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535F" w:rsidRPr="002B1610" w:rsidRDefault="0081535F" w:rsidP="003F26FD">
      <w:pPr>
        <w:spacing w:after="0" w:line="216" w:lineRule="auto"/>
        <w:ind w:left="-142" w:right="-174"/>
        <w:jc w:val="center"/>
        <w:rPr>
          <w:rFonts w:ascii="Verdana" w:hAnsi="Verdana"/>
          <w:b/>
          <w:w w:val="95"/>
          <w:sz w:val="20"/>
          <w:szCs w:val="20"/>
        </w:rPr>
      </w:pPr>
      <w:bookmarkStart w:id="0" w:name="_GoBack"/>
      <w:bookmarkEnd w:id="0"/>
    </w:p>
    <w:p w:rsidR="00DF15C3" w:rsidRPr="002B1610" w:rsidRDefault="00DF15C3" w:rsidP="003F26FD">
      <w:pPr>
        <w:spacing w:after="0" w:line="216" w:lineRule="auto"/>
        <w:ind w:left="-142" w:right="-174"/>
        <w:jc w:val="center"/>
        <w:rPr>
          <w:rFonts w:ascii="Verdana" w:hAnsi="Verdana"/>
          <w:b/>
          <w:w w:val="95"/>
          <w:sz w:val="20"/>
          <w:szCs w:val="20"/>
        </w:rPr>
      </w:pPr>
    </w:p>
    <w:p w:rsidR="00DF15C3" w:rsidRPr="002B1610" w:rsidRDefault="00E93F9D" w:rsidP="003F26FD">
      <w:pPr>
        <w:spacing w:after="0" w:line="216" w:lineRule="auto"/>
        <w:ind w:left="-142" w:right="-174"/>
        <w:jc w:val="center"/>
        <w:rPr>
          <w:rFonts w:ascii="Verdana" w:hAnsi="Verdana"/>
          <w:w w:val="95"/>
          <w:sz w:val="20"/>
          <w:szCs w:val="20"/>
          <w:lang w:val="es-ES"/>
        </w:rPr>
      </w:pPr>
      <w:r>
        <w:rPr>
          <w:rFonts w:ascii="Verdana" w:hAnsi="Verdana"/>
          <w:b/>
          <w:w w:val="95"/>
          <w:sz w:val="20"/>
          <w:szCs w:val="20"/>
        </w:rPr>
        <w:t>C</w:t>
      </w:r>
      <w:r w:rsidR="00DF15C3" w:rsidRPr="002B1610">
        <w:rPr>
          <w:rFonts w:ascii="Verdana" w:hAnsi="Verdana"/>
          <w:b/>
          <w:w w:val="95"/>
          <w:sz w:val="20"/>
          <w:szCs w:val="20"/>
        </w:rPr>
        <w:t>ORTE INTERAMERICANA DE DERECHOS HUMANOS</w:t>
      </w:r>
    </w:p>
    <w:p w:rsidR="009B70EA" w:rsidRDefault="00DF15C3" w:rsidP="003F26FD">
      <w:pPr>
        <w:tabs>
          <w:tab w:val="left" w:pos="2960"/>
          <w:tab w:val="center" w:pos="4680"/>
        </w:tabs>
        <w:spacing w:after="0" w:line="216" w:lineRule="auto"/>
        <w:ind w:left="-142" w:right="-174"/>
        <w:jc w:val="center"/>
        <w:rPr>
          <w:rFonts w:ascii="Verdana" w:hAnsi="Verdana"/>
          <w:b/>
          <w:w w:val="95"/>
          <w:sz w:val="20"/>
          <w:szCs w:val="20"/>
          <w:lang w:val="es-ES"/>
        </w:rPr>
      </w:pPr>
      <w:r w:rsidRPr="002B1610">
        <w:rPr>
          <w:rFonts w:ascii="Verdana" w:hAnsi="Verdana"/>
          <w:b/>
          <w:w w:val="95"/>
          <w:sz w:val="20"/>
          <w:szCs w:val="20"/>
          <w:lang w:val="es-ES"/>
        </w:rPr>
        <w:t>CASO V</w:t>
      </w:r>
      <w:r>
        <w:rPr>
          <w:rFonts w:ascii="Verdana" w:hAnsi="Verdana"/>
          <w:b/>
          <w:w w:val="95"/>
          <w:sz w:val="20"/>
          <w:szCs w:val="20"/>
          <w:lang w:val="es-ES"/>
        </w:rPr>
        <w:t>E</w:t>
      </w:r>
      <w:r w:rsidRPr="002B1610">
        <w:rPr>
          <w:rFonts w:ascii="Verdana" w:hAnsi="Verdana"/>
          <w:b/>
          <w:w w:val="95"/>
          <w:sz w:val="20"/>
          <w:szCs w:val="20"/>
          <w:lang w:val="es-ES"/>
        </w:rPr>
        <w:t>LIZ FRANCO</w:t>
      </w:r>
      <w:r w:rsidR="00A1262D">
        <w:rPr>
          <w:rFonts w:ascii="Verdana" w:hAnsi="Verdana"/>
          <w:b/>
          <w:w w:val="95"/>
          <w:sz w:val="20"/>
          <w:szCs w:val="20"/>
          <w:lang w:val="es-ES"/>
        </w:rPr>
        <w:t xml:space="preserve"> Y OTROS</w:t>
      </w:r>
      <w:r w:rsidRPr="002B1610">
        <w:rPr>
          <w:rFonts w:ascii="Verdana" w:hAnsi="Verdana"/>
          <w:b/>
          <w:w w:val="95"/>
          <w:sz w:val="20"/>
          <w:szCs w:val="20"/>
          <w:lang w:val="es-ES"/>
        </w:rPr>
        <w:t xml:space="preserve"> </w:t>
      </w:r>
      <w:r w:rsidR="00A1262D" w:rsidRPr="00A1262D">
        <w:rPr>
          <w:rFonts w:ascii="Verdana" w:hAnsi="Verdana"/>
          <w:b/>
          <w:w w:val="95"/>
          <w:sz w:val="20"/>
          <w:szCs w:val="20"/>
          <w:lang w:val="es-ES"/>
        </w:rPr>
        <w:t>VS</w:t>
      </w:r>
      <w:r w:rsidRPr="00A1262D">
        <w:rPr>
          <w:rFonts w:ascii="Verdana" w:hAnsi="Verdana"/>
          <w:b/>
          <w:w w:val="95"/>
          <w:sz w:val="20"/>
          <w:szCs w:val="20"/>
          <w:lang w:val="es-ES"/>
        </w:rPr>
        <w:t xml:space="preserve">. </w:t>
      </w:r>
      <w:r w:rsidRPr="002B1610">
        <w:rPr>
          <w:rFonts w:ascii="Verdana" w:hAnsi="Verdana"/>
          <w:b/>
          <w:w w:val="95"/>
          <w:sz w:val="20"/>
          <w:szCs w:val="20"/>
          <w:lang w:val="es-ES"/>
        </w:rPr>
        <w:t>GUATEMALA</w:t>
      </w:r>
    </w:p>
    <w:p w:rsidR="00DF15C3" w:rsidRPr="002B1610" w:rsidRDefault="00DF15C3" w:rsidP="003F26FD">
      <w:pPr>
        <w:spacing w:after="0" w:line="216" w:lineRule="auto"/>
        <w:ind w:left="-142" w:right="-174"/>
        <w:jc w:val="center"/>
        <w:outlineLvl w:val="0"/>
        <w:rPr>
          <w:rFonts w:ascii="Verdana" w:hAnsi="Verdana"/>
          <w:b/>
          <w:w w:val="95"/>
          <w:sz w:val="20"/>
          <w:szCs w:val="20"/>
          <w:lang w:val="es-ES"/>
        </w:rPr>
      </w:pPr>
    </w:p>
    <w:p w:rsidR="00DF15C3" w:rsidRPr="002B1610" w:rsidRDefault="003114C1" w:rsidP="003F26FD">
      <w:pPr>
        <w:spacing w:after="0" w:line="216" w:lineRule="auto"/>
        <w:ind w:left="-142" w:right="-174"/>
        <w:jc w:val="center"/>
        <w:rPr>
          <w:rFonts w:ascii="Verdana" w:hAnsi="Verdana"/>
          <w:b/>
          <w:w w:val="95"/>
          <w:sz w:val="20"/>
          <w:szCs w:val="20"/>
        </w:rPr>
      </w:pPr>
      <w:r>
        <w:rPr>
          <w:rFonts w:ascii="Verdana" w:hAnsi="Verdana"/>
          <w:b/>
          <w:w w:val="95"/>
          <w:sz w:val="20"/>
          <w:szCs w:val="20"/>
        </w:rPr>
        <w:t xml:space="preserve">SENTENCIA DE 19 DE MAYO DE </w:t>
      </w:r>
      <w:r w:rsidR="00DF15C3" w:rsidRPr="002B1610">
        <w:rPr>
          <w:rFonts w:ascii="Verdana" w:hAnsi="Verdana"/>
          <w:b/>
          <w:w w:val="95"/>
          <w:sz w:val="20"/>
          <w:szCs w:val="20"/>
        </w:rPr>
        <w:t>2014</w:t>
      </w:r>
    </w:p>
    <w:p w:rsidR="00DF15C3" w:rsidRPr="002B1610" w:rsidRDefault="00DF15C3" w:rsidP="003F26FD">
      <w:pPr>
        <w:spacing w:after="0" w:line="216" w:lineRule="auto"/>
        <w:ind w:left="-142" w:right="-174"/>
        <w:jc w:val="center"/>
        <w:rPr>
          <w:rFonts w:ascii="Verdana" w:hAnsi="Verdana"/>
          <w:b/>
          <w:w w:val="95"/>
          <w:sz w:val="20"/>
          <w:szCs w:val="20"/>
        </w:rPr>
      </w:pPr>
    </w:p>
    <w:p w:rsidR="00DF15C3" w:rsidRPr="002B1610" w:rsidRDefault="00DF15C3" w:rsidP="003F26FD">
      <w:pPr>
        <w:spacing w:after="0" w:line="216" w:lineRule="auto"/>
        <w:ind w:left="-142" w:right="-174"/>
        <w:jc w:val="center"/>
        <w:rPr>
          <w:rFonts w:ascii="Verdana" w:hAnsi="Verdana"/>
          <w:b/>
          <w:w w:val="95"/>
          <w:sz w:val="20"/>
          <w:szCs w:val="20"/>
        </w:rPr>
      </w:pPr>
      <w:r w:rsidRPr="002B1610">
        <w:rPr>
          <w:rFonts w:ascii="Verdana" w:hAnsi="Verdana"/>
          <w:b/>
          <w:i/>
          <w:w w:val="95"/>
          <w:sz w:val="20"/>
          <w:szCs w:val="20"/>
        </w:rPr>
        <w:t>(Excepciones Preliminares, Fondo,</w:t>
      </w:r>
      <w:r>
        <w:rPr>
          <w:rFonts w:ascii="Verdana" w:hAnsi="Verdana"/>
          <w:b/>
          <w:i/>
          <w:w w:val="95"/>
          <w:sz w:val="20"/>
          <w:szCs w:val="20"/>
        </w:rPr>
        <w:t xml:space="preserve"> </w:t>
      </w:r>
      <w:r w:rsidRPr="002B1610">
        <w:rPr>
          <w:rFonts w:ascii="Verdana" w:hAnsi="Verdana"/>
          <w:b/>
          <w:i/>
          <w:w w:val="95"/>
          <w:sz w:val="20"/>
          <w:szCs w:val="20"/>
        </w:rPr>
        <w:t>Reparaciones</w:t>
      </w:r>
      <w:r>
        <w:rPr>
          <w:rFonts w:ascii="Verdana" w:hAnsi="Verdana"/>
          <w:b/>
          <w:i/>
          <w:w w:val="95"/>
          <w:sz w:val="20"/>
          <w:szCs w:val="20"/>
        </w:rPr>
        <w:t xml:space="preserve"> y Costas</w:t>
      </w:r>
      <w:r w:rsidRPr="002B1610">
        <w:rPr>
          <w:rFonts w:ascii="Verdana" w:hAnsi="Verdana"/>
          <w:b/>
          <w:w w:val="95"/>
          <w:sz w:val="20"/>
          <w:szCs w:val="20"/>
        </w:rPr>
        <w:t>)</w:t>
      </w:r>
    </w:p>
    <w:p w:rsidR="00DF15C3" w:rsidRPr="002B1610" w:rsidRDefault="00DF15C3" w:rsidP="003F26FD">
      <w:pPr>
        <w:spacing w:after="0" w:line="216" w:lineRule="auto"/>
        <w:ind w:left="-142" w:right="-174"/>
        <w:rPr>
          <w:rFonts w:ascii="Verdana" w:hAnsi="Verdana"/>
          <w:b/>
          <w:w w:val="95"/>
          <w:sz w:val="20"/>
          <w:szCs w:val="20"/>
        </w:rPr>
      </w:pPr>
    </w:p>
    <w:p w:rsidR="00DF15C3" w:rsidRPr="002B1610" w:rsidRDefault="00DF15C3" w:rsidP="003F26FD">
      <w:pPr>
        <w:spacing w:after="0" w:line="216" w:lineRule="auto"/>
        <w:ind w:left="-142" w:right="-174"/>
        <w:rPr>
          <w:rFonts w:ascii="Verdana" w:hAnsi="Verdana"/>
          <w:b/>
          <w:w w:val="95"/>
          <w:sz w:val="20"/>
          <w:szCs w:val="20"/>
        </w:rPr>
      </w:pPr>
    </w:p>
    <w:p w:rsidR="00DF15C3" w:rsidRDefault="00DF15C3" w:rsidP="003F26FD">
      <w:pPr>
        <w:spacing w:after="0" w:line="216" w:lineRule="auto"/>
        <w:ind w:left="-142" w:right="-174"/>
        <w:rPr>
          <w:rFonts w:ascii="Verdana" w:hAnsi="Verdana"/>
          <w:b/>
          <w:w w:val="95"/>
          <w:sz w:val="20"/>
          <w:szCs w:val="20"/>
        </w:rPr>
      </w:pPr>
    </w:p>
    <w:p w:rsidR="00DF15C3" w:rsidRPr="002B1610" w:rsidRDefault="00DF15C3" w:rsidP="003F26FD">
      <w:pPr>
        <w:spacing w:after="0" w:line="216" w:lineRule="auto"/>
        <w:ind w:left="-142" w:right="-174"/>
        <w:rPr>
          <w:rFonts w:ascii="Verdana" w:hAnsi="Verdana"/>
          <w:b/>
          <w:w w:val="95"/>
          <w:sz w:val="20"/>
          <w:szCs w:val="20"/>
        </w:rPr>
      </w:pPr>
    </w:p>
    <w:p w:rsidR="00DF15C3" w:rsidRPr="002B1610" w:rsidRDefault="00DF15C3" w:rsidP="003F26FD">
      <w:pPr>
        <w:spacing w:after="0" w:line="216" w:lineRule="auto"/>
        <w:ind w:left="-142" w:right="-174"/>
        <w:rPr>
          <w:rFonts w:ascii="Verdana" w:hAnsi="Verdana"/>
          <w:b/>
          <w:w w:val="95"/>
          <w:sz w:val="20"/>
          <w:szCs w:val="20"/>
        </w:rPr>
      </w:pPr>
    </w:p>
    <w:p w:rsidR="00DF15C3" w:rsidRPr="002B1610" w:rsidRDefault="00DF15C3" w:rsidP="003F26FD">
      <w:pPr>
        <w:spacing w:after="0" w:line="216" w:lineRule="auto"/>
        <w:ind w:left="-142" w:right="-174"/>
        <w:rPr>
          <w:rFonts w:ascii="Verdana" w:hAnsi="Verdana"/>
          <w:w w:val="95"/>
          <w:sz w:val="20"/>
          <w:szCs w:val="20"/>
        </w:rPr>
      </w:pPr>
      <w:r w:rsidRPr="002B1610">
        <w:rPr>
          <w:rFonts w:ascii="Verdana" w:hAnsi="Verdana"/>
          <w:w w:val="95"/>
          <w:sz w:val="20"/>
          <w:szCs w:val="20"/>
        </w:rPr>
        <w:t xml:space="preserve">En el caso </w:t>
      </w:r>
      <w:r w:rsidRPr="002B1610">
        <w:rPr>
          <w:rFonts w:ascii="Verdana" w:hAnsi="Verdana"/>
          <w:i/>
          <w:w w:val="95"/>
          <w:sz w:val="20"/>
          <w:szCs w:val="20"/>
        </w:rPr>
        <w:t>V</w:t>
      </w:r>
      <w:r>
        <w:rPr>
          <w:rFonts w:ascii="Verdana" w:hAnsi="Verdana"/>
          <w:i/>
          <w:w w:val="95"/>
          <w:sz w:val="20"/>
          <w:szCs w:val="20"/>
        </w:rPr>
        <w:t>e</w:t>
      </w:r>
      <w:r w:rsidRPr="002B1610">
        <w:rPr>
          <w:rFonts w:ascii="Verdana" w:hAnsi="Verdana"/>
          <w:i/>
          <w:w w:val="95"/>
          <w:sz w:val="20"/>
          <w:szCs w:val="20"/>
        </w:rPr>
        <w:t>liz Franco y otros</w:t>
      </w:r>
      <w:r w:rsidRPr="002B1610">
        <w:rPr>
          <w:rFonts w:ascii="Verdana" w:hAnsi="Verdana"/>
          <w:w w:val="95"/>
          <w:sz w:val="20"/>
          <w:szCs w:val="20"/>
        </w:rPr>
        <w:t xml:space="preserve">, </w:t>
      </w:r>
    </w:p>
    <w:p w:rsidR="00DF15C3" w:rsidRPr="002B1610" w:rsidRDefault="00DF15C3" w:rsidP="003F26FD">
      <w:pPr>
        <w:spacing w:after="0" w:line="216" w:lineRule="auto"/>
        <w:ind w:left="-142" w:right="-174"/>
        <w:rPr>
          <w:rFonts w:ascii="Verdana" w:hAnsi="Verdana"/>
          <w:w w:val="95"/>
          <w:sz w:val="20"/>
          <w:szCs w:val="20"/>
        </w:rPr>
      </w:pPr>
    </w:p>
    <w:p w:rsidR="00DF15C3" w:rsidRPr="002B1610" w:rsidRDefault="00DF15C3" w:rsidP="003F26FD">
      <w:pPr>
        <w:spacing w:after="0" w:line="216" w:lineRule="auto"/>
        <w:ind w:left="-142" w:right="-174"/>
        <w:rPr>
          <w:rFonts w:ascii="Verdana" w:hAnsi="Verdana"/>
          <w:w w:val="95"/>
          <w:sz w:val="20"/>
          <w:szCs w:val="20"/>
        </w:rPr>
      </w:pPr>
      <w:r w:rsidRPr="002B1610">
        <w:rPr>
          <w:rFonts w:ascii="Verdana" w:hAnsi="Verdana"/>
          <w:w w:val="95"/>
          <w:sz w:val="20"/>
          <w:szCs w:val="20"/>
        </w:rPr>
        <w:t>la Corte Interamericana de Derechos Humanos (en adelante “la Corte Interamericana”, “la Corte” o “el Tribunal”)</w:t>
      </w:r>
      <w:r w:rsidR="003114C1">
        <w:rPr>
          <w:rFonts w:ascii="Verdana" w:hAnsi="Verdana"/>
          <w:w w:val="95"/>
          <w:sz w:val="20"/>
          <w:szCs w:val="20"/>
        </w:rPr>
        <w:t>, integrada por los siguientes J</w:t>
      </w:r>
      <w:r w:rsidRPr="002B1610">
        <w:rPr>
          <w:rFonts w:ascii="Verdana" w:hAnsi="Verdana"/>
          <w:w w:val="95"/>
          <w:sz w:val="20"/>
          <w:szCs w:val="20"/>
        </w:rPr>
        <w:t>ueces:</w:t>
      </w:r>
    </w:p>
    <w:p w:rsidR="00DF15C3" w:rsidRPr="002B1610" w:rsidRDefault="00DF15C3" w:rsidP="003F26FD">
      <w:pPr>
        <w:spacing w:after="0" w:line="216" w:lineRule="auto"/>
        <w:ind w:left="-142" w:right="-174"/>
        <w:rPr>
          <w:rFonts w:ascii="Verdana" w:hAnsi="Verdana"/>
          <w:w w:val="95"/>
          <w:sz w:val="20"/>
          <w:szCs w:val="20"/>
        </w:rPr>
      </w:pPr>
    </w:p>
    <w:p w:rsidR="00DF15C3" w:rsidRDefault="00DF15C3" w:rsidP="003F26FD">
      <w:pPr>
        <w:spacing w:after="0" w:line="216" w:lineRule="auto"/>
        <w:ind w:left="-142" w:right="-174"/>
        <w:rPr>
          <w:rFonts w:ascii="Verdana" w:hAnsi="Verdana"/>
          <w:w w:val="95"/>
          <w:sz w:val="20"/>
          <w:szCs w:val="20"/>
        </w:rPr>
      </w:pPr>
    </w:p>
    <w:p w:rsidR="00DF15C3" w:rsidRPr="002B1610" w:rsidRDefault="00DF15C3" w:rsidP="003F26FD">
      <w:pPr>
        <w:spacing w:after="0" w:line="216" w:lineRule="auto"/>
        <w:ind w:left="-142" w:right="-174"/>
        <w:rPr>
          <w:rFonts w:ascii="Verdana" w:hAnsi="Verdana"/>
          <w:w w:val="95"/>
          <w:sz w:val="20"/>
          <w:szCs w:val="20"/>
        </w:rPr>
      </w:pPr>
    </w:p>
    <w:p w:rsidR="00DF15C3" w:rsidRPr="002B1610" w:rsidRDefault="00DF15C3" w:rsidP="003F26FD">
      <w:pPr>
        <w:pStyle w:val="citaindirecta"/>
        <w:tabs>
          <w:tab w:val="left" w:pos="851"/>
        </w:tabs>
        <w:spacing w:line="216" w:lineRule="auto"/>
        <w:ind w:left="-142" w:right="-174"/>
        <w:rPr>
          <w:w w:val="95"/>
        </w:rPr>
      </w:pPr>
      <w:r w:rsidRPr="002B1610">
        <w:rPr>
          <w:w w:val="95"/>
        </w:rPr>
        <w:t>Humberto Antonio Sierra Porto, Presidente;</w:t>
      </w:r>
    </w:p>
    <w:p w:rsidR="00DF15C3" w:rsidRPr="002B1610" w:rsidRDefault="00DF15C3" w:rsidP="003F26FD">
      <w:pPr>
        <w:pStyle w:val="citaindirecta"/>
        <w:tabs>
          <w:tab w:val="left" w:pos="851"/>
        </w:tabs>
        <w:spacing w:line="216" w:lineRule="auto"/>
        <w:ind w:left="-142" w:right="-174"/>
        <w:rPr>
          <w:w w:val="95"/>
        </w:rPr>
      </w:pPr>
      <w:r w:rsidRPr="002B1610">
        <w:rPr>
          <w:w w:val="95"/>
        </w:rPr>
        <w:t>Roberto F. Caldas,</w:t>
      </w:r>
      <w:r w:rsidRPr="002B1610">
        <w:rPr>
          <w:rFonts w:cs="Verdana"/>
          <w:w w:val="95"/>
          <w:lang w:val="es-CR"/>
        </w:rPr>
        <w:t xml:space="preserve"> Vicepresidente;</w:t>
      </w:r>
    </w:p>
    <w:p w:rsidR="00DF15C3" w:rsidRPr="002B1610" w:rsidRDefault="00DF15C3" w:rsidP="003F26FD">
      <w:pPr>
        <w:tabs>
          <w:tab w:val="left" w:pos="720"/>
          <w:tab w:val="left" w:pos="851"/>
        </w:tabs>
        <w:spacing w:after="0" w:line="216" w:lineRule="auto"/>
        <w:ind w:left="-142" w:right="-174"/>
        <w:rPr>
          <w:rFonts w:ascii="Verdana" w:hAnsi="Verdana" w:cs="Verdana"/>
          <w:w w:val="95"/>
          <w:sz w:val="20"/>
          <w:szCs w:val="20"/>
          <w:lang w:val="es-CR"/>
        </w:rPr>
      </w:pPr>
      <w:r w:rsidRPr="002B1610">
        <w:rPr>
          <w:rFonts w:ascii="Verdana" w:hAnsi="Verdana" w:cs="Verdana"/>
          <w:w w:val="95"/>
          <w:sz w:val="20"/>
          <w:szCs w:val="20"/>
          <w:lang w:val="es-CR"/>
        </w:rPr>
        <w:t xml:space="preserve">Manuel E. Ventura Robles, </w:t>
      </w:r>
      <w:r w:rsidRPr="002B1610">
        <w:rPr>
          <w:rFonts w:ascii="Verdana" w:hAnsi="Verdana"/>
          <w:w w:val="95"/>
          <w:sz w:val="20"/>
          <w:szCs w:val="20"/>
        </w:rPr>
        <w:t>Juez;</w:t>
      </w:r>
      <w:r w:rsidRPr="002B1610">
        <w:rPr>
          <w:rFonts w:ascii="Verdana" w:hAnsi="Verdana" w:cs="Verdana"/>
          <w:w w:val="95"/>
          <w:sz w:val="20"/>
          <w:szCs w:val="20"/>
          <w:lang w:val="es-CR"/>
        </w:rPr>
        <w:t xml:space="preserve"> </w:t>
      </w:r>
    </w:p>
    <w:p w:rsidR="00DF15C3" w:rsidRPr="002B1610" w:rsidRDefault="00DF15C3" w:rsidP="003F26FD">
      <w:pPr>
        <w:tabs>
          <w:tab w:val="left" w:pos="720"/>
          <w:tab w:val="left" w:pos="851"/>
        </w:tabs>
        <w:spacing w:after="0" w:line="216" w:lineRule="auto"/>
        <w:ind w:left="-142" w:right="-174"/>
        <w:rPr>
          <w:rFonts w:ascii="Verdana" w:hAnsi="Verdana" w:cs="Verdana"/>
          <w:w w:val="95"/>
          <w:sz w:val="20"/>
          <w:szCs w:val="20"/>
          <w:lang w:val="es-CR"/>
        </w:rPr>
      </w:pPr>
      <w:r w:rsidRPr="002B1610">
        <w:rPr>
          <w:rFonts w:ascii="Verdana" w:hAnsi="Verdana"/>
          <w:w w:val="95"/>
          <w:sz w:val="20"/>
          <w:szCs w:val="20"/>
        </w:rPr>
        <w:t>Diego García-Sayán,</w:t>
      </w:r>
      <w:r w:rsidRPr="002B1610">
        <w:rPr>
          <w:rFonts w:ascii="Verdana" w:hAnsi="Verdana" w:cs="Verdana"/>
          <w:w w:val="95"/>
          <w:sz w:val="20"/>
          <w:szCs w:val="20"/>
          <w:lang w:val="es-CR"/>
        </w:rPr>
        <w:t xml:space="preserve"> </w:t>
      </w:r>
      <w:r w:rsidRPr="002B1610">
        <w:rPr>
          <w:rFonts w:ascii="Verdana" w:hAnsi="Verdana"/>
          <w:w w:val="95"/>
          <w:sz w:val="20"/>
          <w:szCs w:val="20"/>
        </w:rPr>
        <w:t>Juez;</w:t>
      </w:r>
      <w:r w:rsidRPr="002B1610">
        <w:rPr>
          <w:rFonts w:ascii="Verdana" w:hAnsi="Verdana" w:cs="Verdana"/>
          <w:w w:val="95"/>
          <w:sz w:val="20"/>
          <w:szCs w:val="20"/>
          <w:lang w:val="es-CR"/>
        </w:rPr>
        <w:t xml:space="preserve"> </w:t>
      </w:r>
    </w:p>
    <w:p w:rsidR="00DF15C3" w:rsidRPr="002B1610" w:rsidRDefault="00DF15C3" w:rsidP="003F26FD">
      <w:pPr>
        <w:pStyle w:val="citaindirecta"/>
        <w:tabs>
          <w:tab w:val="left" w:pos="851"/>
        </w:tabs>
        <w:spacing w:line="216" w:lineRule="auto"/>
        <w:ind w:left="-142" w:right="-174"/>
        <w:rPr>
          <w:w w:val="95"/>
        </w:rPr>
      </w:pPr>
      <w:r w:rsidRPr="002B1610">
        <w:rPr>
          <w:w w:val="95"/>
        </w:rPr>
        <w:t xml:space="preserve">Alberto Pérez </w:t>
      </w:r>
      <w:proofErr w:type="spellStart"/>
      <w:r w:rsidRPr="002B1610">
        <w:rPr>
          <w:w w:val="95"/>
        </w:rPr>
        <w:t>Pérez</w:t>
      </w:r>
      <w:proofErr w:type="spellEnd"/>
      <w:r w:rsidRPr="002B1610">
        <w:rPr>
          <w:w w:val="95"/>
        </w:rPr>
        <w:t>, Juez;</w:t>
      </w:r>
    </w:p>
    <w:p w:rsidR="00DF15C3" w:rsidRPr="002B1610" w:rsidRDefault="00DF15C3" w:rsidP="003F26FD">
      <w:pPr>
        <w:pStyle w:val="citaindirecta"/>
        <w:tabs>
          <w:tab w:val="left" w:pos="851"/>
        </w:tabs>
        <w:spacing w:line="216" w:lineRule="auto"/>
        <w:ind w:left="-142" w:right="-174"/>
        <w:rPr>
          <w:w w:val="95"/>
        </w:rPr>
      </w:pPr>
      <w:r w:rsidRPr="002B1610">
        <w:rPr>
          <w:w w:val="95"/>
        </w:rPr>
        <w:t>Eduardo Vio Grossi, Juez,</w:t>
      </w:r>
      <w:r w:rsidR="001E0DBB">
        <w:rPr>
          <w:w w:val="95"/>
        </w:rPr>
        <w:t xml:space="preserve"> </w:t>
      </w:r>
      <w:r w:rsidRPr="002B1610">
        <w:rPr>
          <w:w w:val="95"/>
        </w:rPr>
        <w:t>y</w:t>
      </w:r>
    </w:p>
    <w:p w:rsidR="00DF15C3" w:rsidRPr="002B1610" w:rsidRDefault="00DF15C3" w:rsidP="003F26FD">
      <w:pPr>
        <w:pStyle w:val="citaindirecta"/>
        <w:tabs>
          <w:tab w:val="left" w:pos="851"/>
        </w:tabs>
        <w:spacing w:line="216" w:lineRule="auto"/>
        <w:ind w:left="-142" w:right="-174"/>
        <w:rPr>
          <w:w w:val="95"/>
        </w:rPr>
      </w:pPr>
      <w:r w:rsidRPr="002B1610">
        <w:rPr>
          <w:w w:val="95"/>
        </w:rPr>
        <w:t>Eduardo Ferrer Mac-</w:t>
      </w:r>
      <w:proofErr w:type="spellStart"/>
      <w:r w:rsidRPr="002B1610">
        <w:rPr>
          <w:w w:val="95"/>
        </w:rPr>
        <w:t>Gregor</w:t>
      </w:r>
      <w:proofErr w:type="spellEnd"/>
      <w:r w:rsidRPr="002B1610">
        <w:rPr>
          <w:w w:val="95"/>
        </w:rPr>
        <w:t xml:space="preserve"> </w:t>
      </w:r>
      <w:proofErr w:type="spellStart"/>
      <w:r w:rsidRPr="002B1610">
        <w:rPr>
          <w:w w:val="95"/>
        </w:rPr>
        <w:t>Poisot</w:t>
      </w:r>
      <w:proofErr w:type="spellEnd"/>
      <w:r w:rsidRPr="002B1610">
        <w:rPr>
          <w:w w:val="95"/>
        </w:rPr>
        <w:t>, Juez;</w:t>
      </w:r>
    </w:p>
    <w:p w:rsidR="00DF15C3" w:rsidRPr="002B1610" w:rsidRDefault="00DF15C3" w:rsidP="003F26FD">
      <w:pPr>
        <w:tabs>
          <w:tab w:val="left" w:pos="851"/>
        </w:tabs>
        <w:spacing w:after="0" w:line="216" w:lineRule="auto"/>
        <w:ind w:left="-142" w:right="-174"/>
        <w:rPr>
          <w:rFonts w:ascii="Verdana" w:hAnsi="Verdana"/>
          <w:w w:val="95"/>
          <w:sz w:val="20"/>
          <w:szCs w:val="20"/>
          <w:lang w:val="es-ES"/>
        </w:rPr>
      </w:pPr>
    </w:p>
    <w:p w:rsidR="00DF15C3" w:rsidRPr="002B1610" w:rsidRDefault="00DF15C3" w:rsidP="003F26FD">
      <w:pPr>
        <w:tabs>
          <w:tab w:val="left" w:pos="851"/>
        </w:tabs>
        <w:spacing w:after="0" w:line="216" w:lineRule="auto"/>
        <w:ind w:left="-142" w:right="-174"/>
        <w:rPr>
          <w:rFonts w:ascii="Verdana" w:hAnsi="Verdana"/>
          <w:w w:val="95"/>
          <w:sz w:val="20"/>
          <w:szCs w:val="20"/>
          <w:lang w:val="es-ES"/>
        </w:rPr>
      </w:pPr>
    </w:p>
    <w:p w:rsidR="00DF15C3" w:rsidRPr="002B1610" w:rsidRDefault="00DF15C3" w:rsidP="003F26FD">
      <w:pPr>
        <w:tabs>
          <w:tab w:val="left" w:pos="851"/>
        </w:tabs>
        <w:spacing w:after="0" w:line="216" w:lineRule="auto"/>
        <w:ind w:left="-142" w:right="-174"/>
        <w:rPr>
          <w:rFonts w:ascii="Verdana" w:hAnsi="Verdana"/>
          <w:w w:val="95"/>
          <w:sz w:val="20"/>
          <w:szCs w:val="20"/>
          <w:lang w:val="es-ES"/>
        </w:rPr>
      </w:pPr>
      <w:r w:rsidRPr="002B1610">
        <w:rPr>
          <w:rFonts w:ascii="Verdana" w:hAnsi="Verdana"/>
          <w:w w:val="95"/>
          <w:sz w:val="20"/>
          <w:szCs w:val="20"/>
          <w:lang w:val="es-ES"/>
        </w:rPr>
        <w:t xml:space="preserve">presentes además, </w:t>
      </w:r>
    </w:p>
    <w:p w:rsidR="00DF15C3" w:rsidRPr="002B1610" w:rsidRDefault="00DF15C3" w:rsidP="003F26FD">
      <w:pPr>
        <w:spacing w:after="0" w:line="216" w:lineRule="auto"/>
        <w:ind w:left="-142" w:right="-174"/>
        <w:rPr>
          <w:rFonts w:ascii="Verdana" w:hAnsi="Verdana"/>
          <w:w w:val="95"/>
          <w:sz w:val="20"/>
          <w:szCs w:val="20"/>
          <w:lang w:val="es-ES"/>
        </w:rPr>
      </w:pPr>
      <w:r w:rsidRPr="002B1610">
        <w:rPr>
          <w:rFonts w:ascii="Verdana" w:hAnsi="Verdana"/>
          <w:w w:val="95"/>
          <w:sz w:val="20"/>
          <w:szCs w:val="20"/>
          <w:lang w:val="es-ES"/>
        </w:rPr>
        <w:t>Pablo Saavedra Alessandri, Secretario, y</w:t>
      </w:r>
    </w:p>
    <w:p w:rsidR="00DF15C3" w:rsidRPr="002B1610" w:rsidRDefault="00DF15C3" w:rsidP="003F26FD">
      <w:pPr>
        <w:tabs>
          <w:tab w:val="left" w:pos="720"/>
          <w:tab w:val="left" w:pos="851"/>
        </w:tabs>
        <w:spacing w:after="0" w:line="216" w:lineRule="auto"/>
        <w:ind w:left="-142" w:right="-174"/>
        <w:rPr>
          <w:rFonts w:ascii="Verdana" w:hAnsi="Verdana"/>
          <w:w w:val="95"/>
          <w:sz w:val="20"/>
          <w:szCs w:val="20"/>
          <w:lang w:val="es-ES"/>
        </w:rPr>
      </w:pPr>
      <w:r w:rsidRPr="002B1610">
        <w:rPr>
          <w:rFonts w:ascii="Verdana" w:hAnsi="Verdana"/>
          <w:w w:val="95"/>
          <w:sz w:val="20"/>
          <w:szCs w:val="20"/>
          <w:lang w:val="es-ES"/>
        </w:rPr>
        <w:t>Emilia Segares Rodríguez, Secretaria Adjunta,</w:t>
      </w:r>
    </w:p>
    <w:p w:rsidR="00DF15C3" w:rsidRPr="002B1610" w:rsidRDefault="00DF15C3" w:rsidP="003F26FD">
      <w:pPr>
        <w:tabs>
          <w:tab w:val="left" w:pos="851"/>
        </w:tabs>
        <w:spacing w:after="0" w:line="216" w:lineRule="auto"/>
        <w:ind w:left="-142" w:right="-174"/>
        <w:rPr>
          <w:rFonts w:ascii="Verdana" w:hAnsi="Verdana"/>
          <w:w w:val="95"/>
          <w:sz w:val="20"/>
          <w:szCs w:val="20"/>
          <w:lang w:val="es-ES"/>
        </w:rPr>
      </w:pPr>
    </w:p>
    <w:p w:rsidR="00DF15C3" w:rsidRDefault="00DF15C3" w:rsidP="003F26FD">
      <w:pPr>
        <w:tabs>
          <w:tab w:val="left" w:pos="851"/>
        </w:tabs>
        <w:spacing w:after="0" w:line="216" w:lineRule="auto"/>
        <w:ind w:left="-142" w:right="-174"/>
        <w:rPr>
          <w:rFonts w:ascii="Verdana" w:hAnsi="Verdana"/>
          <w:w w:val="95"/>
          <w:sz w:val="20"/>
          <w:szCs w:val="20"/>
          <w:lang w:val="es-ES"/>
        </w:rPr>
      </w:pPr>
    </w:p>
    <w:p w:rsidR="00DF15C3" w:rsidRPr="002B1610" w:rsidRDefault="00122C63" w:rsidP="003F26FD">
      <w:pPr>
        <w:tabs>
          <w:tab w:val="left" w:pos="5578"/>
        </w:tabs>
        <w:spacing w:after="0" w:line="216" w:lineRule="auto"/>
        <w:ind w:left="-142" w:right="-174"/>
        <w:rPr>
          <w:rFonts w:ascii="Verdana" w:hAnsi="Verdana"/>
          <w:w w:val="95"/>
          <w:sz w:val="20"/>
          <w:szCs w:val="20"/>
          <w:lang w:val="es-ES"/>
        </w:rPr>
      </w:pPr>
      <w:r>
        <w:rPr>
          <w:rFonts w:ascii="Verdana" w:hAnsi="Verdana"/>
          <w:w w:val="95"/>
          <w:sz w:val="20"/>
          <w:szCs w:val="20"/>
          <w:lang w:val="es-ES"/>
        </w:rPr>
        <w:tab/>
      </w:r>
    </w:p>
    <w:p w:rsidR="00DF15C3" w:rsidRPr="002B1610" w:rsidRDefault="0063373E" w:rsidP="003F26FD">
      <w:pPr>
        <w:tabs>
          <w:tab w:val="left" w:pos="851"/>
        </w:tabs>
        <w:spacing w:after="0" w:line="216" w:lineRule="auto"/>
        <w:ind w:left="-142" w:right="-174"/>
        <w:jc w:val="both"/>
        <w:rPr>
          <w:rFonts w:ascii="Verdana" w:hAnsi="Verdana" w:cs="Verdana"/>
          <w:w w:val="95"/>
          <w:sz w:val="20"/>
          <w:szCs w:val="20"/>
          <w:lang w:val="es-CO"/>
        </w:rPr>
      </w:pPr>
      <w:r w:rsidRPr="00763922">
        <w:rPr>
          <w:rFonts w:ascii="Verdana" w:hAnsi="Verdana" w:cs="Verdana"/>
          <w:w w:val="95"/>
          <w:sz w:val="20"/>
          <w:szCs w:val="20"/>
          <w:lang w:val="es-ES"/>
        </w:rPr>
        <w:t>de conformidad con los artículos 62.3 y 63.1 de la Convención Americana sobre Derechos Humanos (en adelante también “la Convención Americana” o “la Convención”) y con los artículos 31, 32, 42, 65 y 67</w:t>
      </w:r>
      <w:r w:rsidR="00DF15C3" w:rsidRPr="00763922">
        <w:rPr>
          <w:rFonts w:ascii="Verdana" w:hAnsi="Verdana" w:cs="Verdana"/>
          <w:w w:val="95"/>
          <w:sz w:val="20"/>
          <w:szCs w:val="20"/>
          <w:lang w:val="es-ES"/>
        </w:rPr>
        <w:t xml:space="preserve"> del</w:t>
      </w:r>
      <w:r w:rsidR="00DF15C3" w:rsidRPr="002B1610">
        <w:rPr>
          <w:rFonts w:ascii="Verdana" w:hAnsi="Verdana" w:cs="Verdana"/>
          <w:w w:val="95"/>
          <w:sz w:val="20"/>
          <w:szCs w:val="20"/>
          <w:lang w:val="es-ES"/>
        </w:rPr>
        <w:t xml:space="preserve"> Reglamento de la Corte (en adelante </w:t>
      </w:r>
      <w:r w:rsidR="00122C63">
        <w:rPr>
          <w:rFonts w:ascii="Verdana" w:hAnsi="Verdana" w:cs="Verdana"/>
          <w:w w:val="95"/>
          <w:sz w:val="20"/>
          <w:szCs w:val="20"/>
          <w:lang w:val="es-ES"/>
        </w:rPr>
        <w:t xml:space="preserve">también </w:t>
      </w:r>
      <w:r w:rsidR="00DF15C3" w:rsidRPr="002B1610">
        <w:rPr>
          <w:rFonts w:ascii="Verdana" w:hAnsi="Verdana" w:cs="Verdana"/>
          <w:w w:val="95"/>
          <w:sz w:val="20"/>
          <w:szCs w:val="20"/>
          <w:lang w:val="es-ES"/>
        </w:rPr>
        <w:t>“el Reglamento”), dicta la presente Sentencia, que se estructura en el siguiente orden</w:t>
      </w:r>
      <w:r w:rsidR="00DF15C3" w:rsidRPr="002B1610">
        <w:rPr>
          <w:rFonts w:ascii="Verdana" w:hAnsi="Verdana" w:cs="Verdana"/>
          <w:w w:val="95"/>
          <w:sz w:val="20"/>
          <w:szCs w:val="20"/>
          <w:lang w:val="es-CO"/>
        </w:rPr>
        <w:t>:</w:t>
      </w:r>
    </w:p>
    <w:p w:rsidR="00DF15C3" w:rsidRPr="002B1610" w:rsidRDefault="00DF15C3" w:rsidP="003F26FD">
      <w:pPr>
        <w:tabs>
          <w:tab w:val="left" w:pos="851"/>
        </w:tabs>
        <w:spacing w:after="0" w:line="216" w:lineRule="auto"/>
        <w:ind w:left="-142" w:right="-174"/>
        <w:rPr>
          <w:rFonts w:ascii="Verdana" w:hAnsi="Verdana"/>
          <w:w w:val="95"/>
          <w:sz w:val="20"/>
          <w:szCs w:val="20"/>
          <w:lang w:val="es-CO"/>
        </w:rPr>
      </w:pPr>
    </w:p>
    <w:p w:rsidR="00DF15C3" w:rsidRPr="002B1610" w:rsidRDefault="00DF15C3" w:rsidP="003F26FD">
      <w:pPr>
        <w:spacing w:after="0" w:line="216" w:lineRule="auto"/>
        <w:ind w:left="-142" w:right="-174"/>
        <w:rPr>
          <w:rFonts w:ascii="Verdana" w:hAnsi="Verdana"/>
          <w:w w:val="95"/>
          <w:sz w:val="20"/>
          <w:szCs w:val="20"/>
        </w:rPr>
      </w:pPr>
    </w:p>
    <w:p w:rsidR="00DF15C3" w:rsidRPr="002B1610" w:rsidRDefault="00DF15C3" w:rsidP="003F26FD">
      <w:pPr>
        <w:spacing w:after="0" w:line="216" w:lineRule="auto"/>
        <w:ind w:left="-142" w:right="-174"/>
        <w:rPr>
          <w:rFonts w:ascii="Verdana" w:hAnsi="Verdana"/>
          <w:w w:val="95"/>
          <w:sz w:val="20"/>
          <w:szCs w:val="20"/>
        </w:rPr>
      </w:pPr>
    </w:p>
    <w:p w:rsidR="00DF15C3" w:rsidRPr="002B1610" w:rsidRDefault="00DF15C3" w:rsidP="003F26FD">
      <w:pPr>
        <w:spacing w:after="0" w:line="216" w:lineRule="auto"/>
        <w:ind w:left="-142" w:right="-174"/>
        <w:rPr>
          <w:rFonts w:ascii="Verdana" w:hAnsi="Verdana"/>
          <w:w w:val="95"/>
          <w:sz w:val="20"/>
          <w:szCs w:val="20"/>
        </w:rPr>
      </w:pPr>
    </w:p>
    <w:p w:rsidR="00DF15C3" w:rsidRPr="002B1610" w:rsidRDefault="00DF15C3" w:rsidP="003F26FD">
      <w:pPr>
        <w:spacing w:after="0" w:line="216" w:lineRule="auto"/>
        <w:ind w:left="-142" w:right="-174"/>
        <w:rPr>
          <w:rFonts w:ascii="Verdana" w:hAnsi="Verdana"/>
          <w:w w:val="95"/>
          <w:sz w:val="20"/>
          <w:szCs w:val="20"/>
        </w:rPr>
      </w:pPr>
    </w:p>
    <w:p w:rsidR="00DF15C3" w:rsidRPr="002B1610" w:rsidRDefault="00DF15C3" w:rsidP="003F26FD">
      <w:pPr>
        <w:spacing w:after="0" w:line="216" w:lineRule="auto"/>
        <w:ind w:left="-142" w:right="-174"/>
        <w:rPr>
          <w:rFonts w:ascii="Verdana" w:hAnsi="Verdana"/>
          <w:w w:val="95"/>
          <w:sz w:val="20"/>
          <w:szCs w:val="20"/>
        </w:rPr>
      </w:pPr>
    </w:p>
    <w:p w:rsidR="00DF15C3" w:rsidRPr="002B1610" w:rsidRDefault="00DF15C3" w:rsidP="003F26FD">
      <w:pPr>
        <w:spacing w:after="0" w:line="216" w:lineRule="auto"/>
        <w:ind w:left="-142" w:right="-174"/>
        <w:rPr>
          <w:rFonts w:ascii="Verdana" w:hAnsi="Verdana"/>
          <w:w w:val="95"/>
          <w:sz w:val="20"/>
          <w:szCs w:val="20"/>
        </w:rPr>
      </w:pPr>
    </w:p>
    <w:p w:rsidR="00DF15C3" w:rsidRPr="002B1610" w:rsidRDefault="00DF15C3" w:rsidP="003F26FD">
      <w:pPr>
        <w:spacing w:after="0" w:line="216" w:lineRule="auto"/>
        <w:ind w:left="-142" w:right="-174"/>
        <w:rPr>
          <w:rFonts w:ascii="Verdana" w:hAnsi="Verdana"/>
          <w:w w:val="95"/>
          <w:sz w:val="20"/>
          <w:szCs w:val="20"/>
        </w:rPr>
      </w:pPr>
    </w:p>
    <w:p w:rsidR="00DF15C3" w:rsidRPr="002B1610" w:rsidRDefault="00DF15C3" w:rsidP="003F26FD">
      <w:pPr>
        <w:spacing w:after="0" w:line="216" w:lineRule="auto"/>
        <w:ind w:left="-142" w:right="-174"/>
        <w:rPr>
          <w:rFonts w:ascii="Verdana" w:hAnsi="Verdana"/>
          <w:w w:val="95"/>
          <w:sz w:val="20"/>
          <w:szCs w:val="20"/>
        </w:rPr>
      </w:pPr>
    </w:p>
    <w:p w:rsidR="00DF15C3" w:rsidRDefault="00DF15C3" w:rsidP="003F26FD">
      <w:pPr>
        <w:spacing w:after="0" w:line="216" w:lineRule="auto"/>
        <w:ind w:left="-142" w:right="-174"/>
        <w:rPr>
          <w:rFonts w:ascii="Verdana" w:hAnsi="Verdana"/>
          <w:w w:val="95"/>
          <w:sz w:val="20"/>
          <w:szCs w:val="20"/>
        </w:rPr>
      </w:pPr>
    </w:p>
    <w:p w:rsidR="00DF15C3" w:rsidRDefault="00DF15C3" w:rsidP="003F26FD">
      <w:pPr>
        <w:spacing w:after="0" w:line="216" w:lineRule="auto"/>
        <w:ind w:left="-142" w:right="-174"/>
        <w:rPr>
          <w:rFonts w:ascii="Verdana" w:hAnsi="Verdana"/>
          <w:w w:val="95"/>
          <w:sz w:val="20"/>
          <w:szCs w:val="20"/>
        </w:rPr>
      </w:pPr>
    </w:p>
    <w:p w:rsidR="00DF15C3" w:rsidRDefault="00DF15C3" w:rsidP="003F26FD">
      <w:pPr>
        <w:spacing w:after="0" w:line="216" w:lineRule="auto"/>
        <w:ind w:left="-142" w:right="-174"/>
        <w:rPr>
          <w:rFonts w:ascii="Verdana" w:hAnsi="Verdana"/>
          <w:w w:val="95"/>
          <w:sz w:val="20"/>
          <w:szCs w:val="20"/>
        </w:rPr>
      </w:pPr>
    </w:p>
    <w:p w:rsidR="00DF15C3" w:rsidRDefault="00DF15C3" w:rsidP="003F26FD">
      <w:pPr>
        <w:spacing w:after="0" w:line="216" w:lineRule="auto"/>
        <w:ind w:left="-142" w:right="-174"/>
        <w:rPr>
          <w:rFonts w:ascii="Verdana" w:hAnsi="Verdana"/>
          <w:w w:val="95"/>
          <w:sz w:val="20"/>
          <w:szCs w:val="20"/>
        </w:rPr>
      </w:pPr>
    </w:p>
    <w:p w:rsidR="00DF15C3" w:rsidRDefault="00DF15C3" w:rsidP="003F26FD">
      <w:pPr>
        <w:spacing w:after="0" w:line="216" w:lineRule="auto"/>
        <w:ind w:left="-142" w:right="-174"/>
        <w:rPr>
          <w:rFonts w:ascii="Verdana" w:hAnsi="Verdana"/>
          <w:w w:val="95"/>
          <w:sz w:val="20"/>
          <w:szCs w:val="20"/>
        </w:rPr>
      </w:pPr>
    </w:p>
    <w:p w:rsidR="00F04D11" w:rsidRDefault="00F04D11" w:rsidP="003F26FD">
      <w:pPr>
        <w:spacing w:after="0" w:line="216" w:lineRule="auto"/>
        <w:ind w:left="-142" w:right="-174"/>
        <w:rPr>
          <w:rFonts w:ascii="Verdana" w:hAnsi="Verdana"/>
          <w:w w:val="95"/>
          <w:sz w:val="20"/>
          <w:szCs w:val="20"/>
        </w:rPr>
      </w:pPr>
    </w:p>
    <w:p w:rsidR="00F04D11" w:rsidRDefault="00F04D11" w:rsidP="003F26FD">
      <w:pPr>
        <w:spacing w:after="0" w:line="216" w:lineRule="auto"/>
        <w:ind w:left="-142" w:right="-174"/>
        <w:rPr>
          <w:rFonts w:ascii="Verdana" w:hAnsi="Verdana"/>
          <w:w w:val="95"/>
          <w:sz w:val="20"/>
          <w:szCs w:val="20"/>
        </w:rPr>
      </w:pPr>
    </w:p>
    <w:p w:rsidR="00F04D11" w:rsidRDefault="00F04D11" w:rsidP="003F26FD">
      <w:pPr>
        <w:spacing w:after="0" w:line="216" w:lineRule="auto"/>
        <w:ind w:left="-142" w:right="-174"/>
        <w:rPr>
          <w:rFonts w:ascii="Verdana" w:hAnsi="Verdana"/>
          <w:w w:val="95"/>
          <w:sz w:val="20"/>
          <w:szCs w:val="20"/>
        </w:rPr>
      </w:pPr>
    </w:p>
    <w:p w:rsidR="00F04D11" w:rsidRDefault="00F04D11" w:rsidP="003F26FD">
      <w:pPr>
        <w:spacing w:after="0" w:line="216" w:lineRule="auto"/>
        <w:ind w:left="-142" w:right="-174"/>
        <w:rPr>
          <w:rFonts w:ascii="Verdana" w:hAnsi="Verdana"/>
          <w:w w:val="95"/>
          <w:sz w:val="20"/>
          <w:szCs w:val="20"/>
        </w:rPr>
      </w:pPr>
    </w:p>
    <w:p w:rsidR="00F04D11" w:rsidRDefault="00F04D11" w:rsidP="003F26FD">
      <w:pPr>
        <w:spacing w:after="0" w:line="216" w:lineRule="auto"/>
        <w:ind w:left="-142" w:right="-174"/>
        <w:rPr>
          <w:rFonts w:ascii="Verdana" w:hAnsi="Verdana"/>
          <w:w w:val="95"/>
          <w:sz w:val="20"/>
          <w:szCs w:val="20"/>
        </w:rPr>
      </w:pPr>
    </w:p>
    <w:p w:rsidR="00DF15C3" w:rsidRPr="002B1610" w:rsidRDefault="00DF15C3" w:rsidP="003F26FD">
      <w:pPr>
        <w:spacing w:after="0" w:line="216" w:lineRule="auto"/>
        <w:ind w:left="-142" w:right="-174"/>
        <w:rPr>
          <w:rFonts w:ascii="Verdana" w:hAnsi="Verdana"/>
          <w:w w:val="95"/>
          <w:sz w:val="20"/>
          <w:szCs w:val="20"/>
        </w:rPr>
      </w:pPr>
    </w:p>
    <w:p w:rsidR="00DF15C3" w:rsidRDefault="00DF15C3" w:rsidP="003F26FD">
      <w:pPr>
        <w:spacing w:after="0" w:line="216" w:lineRule="auto"/>
        <w:ind w:left="-142" w:right="-174"/>
        <w:jc w:val="center"/>
        <w:rPr>
          <w:rFonts w:ascii="Verdana" w:hAnsi="Verdana"/>
          <w:b/>
          <w:w w:val="95"/>
          <w:sz w:val="20"/>
          <w:szCs w:val="20"/>
          <w:lang w:val="es-CO"/>
        </w:rPr>
      </w:pPr>
      <w:r w:rsidRPr="00701625">
        <w:rPr>
          <w:rFonts w:ascii="Verdana" w:hAnsi="Verdana"/>
          <w:b/>
          <w:w w:val="95"/>
          <w:sz w:val="20"/>
          <w:szCs w:val="20"/>
          <w:lang w:val="es-CO"/>
        </w:rPr>
        <w:lastRenderedPageBreak/>
        <w:t>Tabla de contenido</w:t>
      </w:r>
    </w:p>
    <w:p w:rsidR="001D7482" w:rsidRPr="00701625" w:rsidRDefault="001D7482" w:rsidP="003F26FD">
      <w:pPr>
        <w:spacing w:after="0" w:line="216" w:lineRule="auto"/>
        <w:ind w:left="-142" w:right="-174"/>
        <w:jc w:val="center"/>
        <w:rPr>
          <w:rFonts w:ascii="Verdana" w:hAnsi="Verdana"/>
          <w:b/>
          <w:w w:val="95"/>
          <w:sz w:val="20"/>
          <w:szCs w:val="20"/>
          <w:lang w:val="es-CO"/>
        </w:rPr>
      </w:pPr>
    </w:p>
    <w:p w:rsidR="00DF15C3" w:rsidRPr="00701625" w:rsidRDefault="00DF15C3" w:rsidP="003F26FD">
      <w:pPr>
        <w:spacing w:after="0" w:line="216" w:lineRule="auto"/>
        <w:ind w:left="-142" w:right="-174"/>
        <w:jc w:val="center"/>
        <w:rPr>
          <w:rFonts w:ascii="Verdana" w:hAnsi="Verdana"/>
          <w:b/>
          <w:w w:val="95"/>
          <w:sz w:val="20"/>
          <w:szCs w:val="20"/>
          <w:lang w:val="es-CO"/>
        </w:rPr>
      </w:pPr>
    </w:p>
    <w:p w:rsidR="00011561" w:rsidRPr="005C0264" w:rsidRDefault="00BC2861" w:rsidP="00C551E6">
      <w:pPr>
        <w:pStyle w:val="TDC1"/>
        <w:tabs>
          <w:tab w:val="clear" w:pos="8828"/>
          <w:tab w:val="right" w:leader="dot" w:pos="8820"/>
        </w:tabs>
        <w:rPr>
          <w:w w:val="100"/>
          <w:u w:val="none"/>
          <w:lang w:val="en-US" w:eastAsia="en-US"/>
        </w:rPr>
      </w:pPr>
      <w:r w:rsidRPr="00BC2861">
        <w:rPr>
          <w:rFonts w:ascii="Verdana" w:hAnsi="Verdana"/>
          <w:sz w:val="20"/>
          <w:szCs w:val="20"/>
          <w:lang w:val="es-CO"/>
        </w:rPr>
        <w:fldChar w:fldCharType="begin"/>
      </w:r>
      <w:r w:rsidR="00F17D88" w:rsidRPr="005C0264">
        <w:rPr>
          <w:rFonts w:ascii="Verdana" w:hAnsi="Verdana"/>
          <w:sz w:val="20"/>
          <w:szCs w:val="20"/>
          <w:lang w:val="es-CO"/>
        </w:rPr>
        <w:instrText xml:space="preserve"> TOC \o "1-6" \h \z \u </w:instrText>
      </w:r>
      <w:r w:rsidRPr="00BC2861">
        <w:rPr>
          <w:rFonts w:ascii="Verdana" w:hAnsi="Verdana"/>
          <w:sz w:val="20"/>
          <w:szCs w:val="20"/>
          <w:lang w:val="es-CO"/>
        </w:rPr>
        <w:fldChar w:fldCharType="separate"/>
      </w:r>
      <w:r w:rsidR="00011561" w:rsidRPr="005C0264">
        <w:rPr>
          <w:rStyle w:val="Hipervnculo"/>
          <w:color w:val="auto"/>
          <w:lang w:val="es-MX"/>
        </w:rPr>
        <w:t>I</w:t>
      </w:r>
      <w:r w:rsidR="00C551E6" w:rsidRPr="005C0264">
        <w:rPr>
          <w:rStyle w:val="Hipervnculo"/>
          <w:color w:val="auto"/>
        </w:rPr>
        <w:t xml:space="preserve"> </w:t>
      </w:r>
      <w:hyperlink w:anchor="_Toc394313629" w:history="1">
        <w:r w:rsidR="00011561" w:rsidRPr="005C0264">
          <w:rPr>
            <w:rStyle w:val="Hipervnculo"/>
            <w:color w:val="auto"/>
            <w:lang w:val="es-MX"/>
          </w:rPr>
          <w:t>INTRODUCCIÓN DE LA CAUSA Y OBJETO DE LA CONTROVERSIA</w:t>
        </w:r>
        <w:r w:rsidR="00011561" w:rsidRPr="005C0264">
          <w:rPr>
            <w:webHidden/>
          </w:rPr>
          <w:tab/>
        </w:r>
        <w:r w:rsidRPr="005C0264">
          <w:rPr>
            <w:webHidden/>
          </w:rPr>
          <w:fldChar w:fldCharType="begin"/>
        </w:r>
        <w:r w:rsidR="00011561" w:rsidRPr="005C0264">
          <w:rPr>
            <w:webHidden/>
          </w:rPr>
          <w:instrText xml:space="preserve"> PAGEREF _Toc394313629 \h </w:instrText>
        </w:r>
        <w:r w:rsidRPr="005C0264">
          <w:rPr>
            <w:webHidden/>
          </w:rPr>
        </w:r>
        <w:r w:rsidRPr="005C0264">
          <w:rPr>
            <w:webHidden/>
          </w:rPr>
          <w:fldChar w:fldCharType="separate"/>
        </w:r>
        <w:r w:rsidR="00C75D32">
          <w:rPr>
            <w:webHidden/>
          </w:rPr>
          <w:t>5</w:t>
        </w:r>
        <w:r w:rsidRPr="005C0264">
          <w:rPr>
            <w:webHidden/>
          </w:rPr>
          <w:fldChar w:fldCharType="end"/>
        </w:r>
      </w:hyperlink>
    </w:p>
    <w:p w:rsidR="00011561" w:rsidRPr="005C0264" w:rsidRDefault="00BC2861" w:rsidP="00C551E6">
      <w:pPr>
        <w:pStyle w:val="TDC1"/>
        <w:tabs>
          <w:tab w:val="clear" w:pos="8828"/>
          <w:tab w:val="right" w:leader="dot" w:pos="8820"/>
        </w:tabs>
        <w:rPr>
          <w:w w:val="100"/>
          <w:u w:val="none"/>
          <w:lang w:val="en-US" w:eastAsia="en-US"/>
        </w:rPr>
      </w:pPr>
      <w:hyperlink w:anchor="_Toc394313630" w:history="1">
        <w:r w:rsidR="00011561" w:rsidRPr="005C0264">
          <w:rPr>
            <w:rStyle w:val="Hipervnculo"/>
            <w:rFonts w:cs="Verdana"/>
            <w:snapToGrid w:val="0"/>
            <w:color w:val="auto"/>
            <w:lang w:val="es-MX" w:eastAsia="es-ES"/>
          </w:rPr>
          <w:t>II PROCEDIMIENTO ANTE LA CORTE</w:t>
        </w:r>
        <w:r w:rsidR="00011561" w:rsidRPr="005C0264">
          <w:rPr>
            <w:webHidden/>
          </w:rPr>
          <w:tab/>
        </w:r>
        <w:r w:rsidRPr="005C0264">
          <w:rPr>
            <w:webHidden/>
          </w:rPr>
          <w:fldChar w:fldCharType="begin"/>
        </w:r>
        <w:r w:rsidR="00011561" w:rsidRPr="005C0264">
          <w:rPr>
            <w:webHidden/>
          </w:rPr>
          <w:instrText xml:space="preserve"> PAGEREF _Toc394313630 \h </w:instrText>
        </w:r>
        <w:r w:rsidRPr="005C0264">
          <w:rPr>
            <w:webHidden/>
          </w:rPr>
        </w:r>
        <w:r w:rsidRPr="005C0264">
          <w:rPr>
            <w:webHidden/>
          </w:rPr>
          <w:fldChar w:fldCharType="separate"/>
        </w:r>
        <w:r w:rsidR="00C75D32">
          <w:rPr>
            <w:webHidden/>
          </w:rPr>
          <w:t>7</w:t>
        </w:r>
        <w:r w:rsidRPr="005C0264">
          <w:rPr>
            <w:webHidden/>
          </w:rPr>
          <w:fldChar w:fldCharType="end"/>
        </w:r>
      </w:hyperlink>
    </w:p>
    <w:p w:rsidR="00011561" w:rsidRPr="005C0264" w:rsidRDefault="00011561" w:rsidP="00C551E6">
      <w:pPr>
        <w:pStyle w:val="TDC1"/>
        <w:tabs>
          <w:tab w:val="clear" w:pos="8828"/>
          <w:tab w:val="right" w:leader="dot" w:pos="8820"/>
        </w:tabs>
        <w:rPr>
          <w:w w:val="100"/>
          <w:u w:val="none"/>
          <w:lang w:val="en-US" w:eastAsia="en-US"/>
        </w:rPr>
      </w:pPr>
      <w:r w:rsidRPr="005C0264">
        <w:rPr>
          <w:rStyle w:val="Hipervnculo"/>
          <w:color w:val="auto"/>
        </w:rPr>
        <w:t>III</w:t>
      </w:r>
      <w:r w:rsidR="00C551E6" w:rsidRPr="005C0264">
        <w:rPr>
          <w:rStyle w:val="Hipervnculo"/>
          <w:color w:val="auto"/>
        </w:rPr>
        <w:t xml:space="preserve"> </w:t>
      </w:r>
      <w:hyperlink w:anchor="_Toc394313632" w:history="1">
        <w:r w:rsidRPr="005C0264">
          <w:rPr>
            <w:rStyle w:val="Hipervnculo"/>
            <w:color w:val="auto"/>
          </w:rPr>
          <w:t>CONSIDERACIONES PREVIAS</w:t>
        </w:r>
        <w:r w:rsidRPr="005C0264">
          <w:rPr>
            <w:webHidden/>
          </w:rPr>
          <w:tab/>
        </w:r>
        <w:r w:rsidR="00BC2861" w:rsidRPr="005C0264">
          <w:rPr>
            <w:webHidden/>
          </w:rPr>
          <w:fldChar w:fldCharType="begin"/>
        </w:r>
        <w:r w:rsidRPr="005C0264">
          <w:rPr>
            <w:webHidden/>
          </w:rPr>
          <w:instrText xml:space="preserve"> PAGEREF _Toc394313632 \h </w:instrText>
        </w:r>
        <w:r w:rsidR="00BC2861" w:rsidRPr="005C0264">
          <w:rPr>
            <w:webHidden/>
          </w:rPr>
        </w:r>
        <w:r w:rsidR="00BC2861" w:rsidRPr="005C0264">
          <w:rPr>
            <w:webHidden/>
          </w:rPr>
          <w:fldChar w:fldCharType="separate"/>
        </w:r>
        <w:r w:rsidR="00C75D32">
          <w:rPr>
            <w:webHidden/>
          </w:rPr>
          <w:t>9</w:t>
        </w:r>
        <w:r w:rsidR="00BC2861" w:rsidRPr="005C0264">
          <w:rPr>
            <w:webHidden/>
          </w:rPr>
          <w:fldChar w:fldCharType="end"/>
        </w:r>
      </w:hyperlink>
    </w:p>
    <w:p w:rsidR="00011561" w:rsidRPr="005C0264" w:rsidRDefault="00BC2861" w:rsidP="00C551E6">
      <w:pPr>
        <w:pStyle w:val="TDC2"/>
        <w:rPr>
          <w:noProof/>
          <w:lang w:val="en-US" w:eastAsia="en-US"/>
        </w:rPr>
      </w:pPr>
      <w:hyperlink w:anchor="_Toc394313633" w:history="1">
        <w:r w:rsidR="00011561" w:rsidRPr="005C0264">
          <w:rPr>
            <w:rStyle w:val="Hipervnculo"/>
            <w:rFonts w:ascii="Verdana" w:hAnsi="Verdana"/>
            <w:noProof/>
            <w:color w:val="auto"/>
            <w:w w:val="95"/>
            <w:lang w:val="es-CR"/>
          </w:rPr>
          <w:t>A.</w:t>
        </w:r>
        <w:r w:rsidR="00011561" w:rsidRPr="005C0264">
          <w:rPr>
            <w:noProof/>
            <w:lang w:val="en-US" w:eastAsia="en-US"/>
          </w:rPr>
          <w:tab/>
        </w:r>
        <w:r w:rsidR="00011561" w:rsidRPr="005C0264">
          <w:rPr>
            <w:rStyle w:val="Hipervnculo"/>
            <w:rFonts w:ascii="Verdana" w:hAnsi="Verdana"/>
            <w:noProof/>
            <w:color w:val="auto"/>
            <w:w w:val="95"/>
            <w:lang w:val="es-CR"/>
          </w:rPr>
          <w:t>Aceptación de hechos del Estado en el trámite ante la Comisión</w:t>
        </w:r>
        <w:r w:rsidR="00011561" w:rsidRPr="005C0264">
          <w:rPr>
            <w:noProof/>
            <w:webHidden/>
          </w:rPr>
          <w:tab/>
        </w:r>
        <w:r w:rsidRPr="005C0264">
          <w:rPr>
            <w:noProof/>
            <w:webHidden/>
          </w:rPr>
          <w:fldChar w:fldCharType="begin"/>
        </w:r>
        <w:r w:rsidR="00011561" w:rsidRPr="005C0264">
          <w:rPr>
            <w:noProof/>
            <w:webHidden/>
          </w:rPr>
          <w:instrText xml:space="preserve"> PAGEREF _Toc394313633 \h </w:instrText>
        </w:r>
        <w:r w:rsidRPr="005C0264">
          <w:rPr>
            <w:noProof/>
            <w:webHidden/>
          </w:rPr>
        </w:r>
        <w:r w:rsidRPr="005C0264">
          <w:rPr>
            <w:noProof/>
            <w:webHidden/>
          </w:rPr>
          <w:fldChar w:fldCharType="separate"/>
        </w:r>
        <w:r w:rsidR="00C75D32">
          <w:rPr>
            <w:noProof/>
            <w:webHidden/>
          </w:rPr>
          <w:t>9</w:t>
        </w:r>
        <w:r w:rsidRPr="005C0264">
          <w:rPr>
            <w:noProof/>
            <w:webHidden/>
          </w:rPr>
          <w:fldChar w:fldCharType="end"/>
        </w:r>
      </w:hyperlink>
    </w:p>
    <w:p w:rsidR="00011561" w:rsidRPr="005C0264" w:rsidRDefault="00BC2861" w:rsidP="00C551E6">
      <w:pPr>
        <w:pStyle w:val="TDC3"/>
        <w:tabs>
          <w:tab w:val="clear" w:pos="8828"/>
          <w:tab w:val="right" w:leader="dot" w:pos="8820"/>
        </w:tabs>
        <w:rPr>
          <w:rFonts w:ascii="Calibri" w:eastAsia="Times New Roman" w:hAnsi="Calibri"/>
          <w:b w:val="0"/>
          <w:i w:val="0"/>
          <w:smallCaps w:val="0"/>
          <w:w w:val="100"/>
          <w:sz w:val="22"/>
          <w:szCs w:val="22"/>
          <w:lang w:val="en-US" w:eastAsia="en-US"/>
        </w:rPr>
      </w:pPr>
      <w:hyperlink w:anchor="_Toc394313634" w:history="1">
        <w:r w:rsidR="00011561" w:rsidRPr="005C0264">
          <w:rPr>
            <w:rStyle w:val="Hipervnculo"/>
            <w:color w:val="auto"/>
            <w:lang w:val="es-CR"/>
          </w:rPr>
          <w:t>A.1) Argumentos de las partes y la Comisión</w:t>
        </w:r>
        <w:r w:rsidR="00011561" w:rsidRPr="005C0264">
          <w:rPr>
            <w:webHidden/>
          </w:rPr>
          <w:tab/>
        </w:r>
        <w:r w:rsidRPr="005C0264">
          <w:rPr>
            <w:webHidden/>
          </w:rPr>
          <w:fldChar w:fldCharType="begin"/>
        </w:r>
        <w:r w:rsidR="00011561" w:rsidRPr="005C0264">
          <w:rPr>
            <w:webHidden/>
          </w:rPr>
          <w:instrText xml:space="preserve"> PAGEREF _Toc394313634 \h </w:instrText>
        </w:r>
        <w:r w:rsidRPr="005C0264">
          <w:rPr>
            <w:webHidden/>
          </w:rPr>
        </w:r>
        <w:r w:rsidRPr="005C0264">
          <w:rPr>
            <w:webHidden/>
          </w:rPr>
          <w:fldChar w:fldCharType="separate"/>
        </w:r>
        <w:r w:rsidR="00C75D32">
          <w:rPr>
            <w:webHidden/>
          </w:rPr>
          <w:t>9</w:t>
        </w:r>
        <w:r w:rsidRPr="005C0264">
          <w:rPr>
            <w:webHidden/>
          </w:rPr>
          <w:fldChar w:fldCharType="end"/>
        </w:r>
      </w:hyperlink>
    </w:p>
    <w:p w:rsidR="00011561" w:rsidRPr="005C0264" w:rsidRDefault="00BC2861" w:rsidP="00C551E6">
      <w:pPr>
        <w:pStyle w:val="TDC3"/>
        <w:tabs>
          <w:tab w:val="clear" w:pos="8828"/>
          <w:tab w:val="right" w:leader="dot" w:pos="8820"/>
        </w:tabs>
        <w:rPr>
          <w:rFonts w:ascii="Calibri" w:eastAsia="Times New Roman" w:hAnsi="Calibri"/>
          <w:b w:val="0"/>
          <w:i w:val="0"/>
          <w:smallCaps w:val="0"/>
          <w:w w:val="100"/>
          <w:sz w:val="22"/>
          <w:szCs w:val="22"/>
          <w:lang w:val="en-US" w:eastAsia="en-US"/>
        </w:rPr>
      </w:pPr>
      <w:hyperlink w:anchor="_Toc394313635" w:history="1">
        <w:r w:rsidR="00011561" w:rsidRPr="005C0264">
          <w:rPr>
            <w:rStyle w:val="Hipervnculo"/>
            <w:color w:val="auto"/>
            <w:lang w:val="es-CR"/>
          </w:rPr>
          <w:t>A.2) Consideraciones de la Corte</w:t>
        </w:r>
        <w:r w:rsidR="00011561" w:rsidRPr="005C0264">
          <w:rPr>
            <w:webHidden/>
          </w:rPr>
          <w:tab/>
        </w:r>
        <w:r w:rsidRPr="005C0264">
          <w:rPr>
            <w:webHidden/>
          </w:rPr>
          <w:fldChar w:fldCharType="begin"/>
        </w:r>
        <w:r w:rsidR="00011561" w:rsidRPr="005C0264">
          <w:rPr>
            <w:webHidden/>
          </w:rPr>
          <w:instrText xml:space="preserve"> PAGEREF _Toc394313635 \h </w:instrText>
        </w:r>
        <w:r w:rsidRPr="005C0264">
          <w:rPr>
            <w:webHidden/>
          </w:rPr>
        </w:r>
        <w:r w:rsidRPr="005C0264">
          <w:rPr>
            <w:webHidden/>
          </w:rPr>
          <w:fldChar w:fldCharType="separate"/>
        </w:r>
        <w:r w:rsidR="00C75D32">
          <w:rPr>
            <w:webHidden/>
          </w:rPr>
          <w:t>10</w:t>
        </w:r>
        <w:r w:rsidRPr="005C0264">
          <w:rPr>
            <w:webHidden/>
          </w:rPr>
          <w:fldChar w:fldCharType="end"/>
        </w:r>
      </w:hyperlink>
    </w:p>
    <w:p w:rsidR="00011561" w:rsidRPr="005C0264" w:rsidRDefault="00BC2861" w:rsidP="00C551E6">
      <w:pPr>
        <w:pStyle w:val="TDC2"/>
        <w:rPr>
          <w:noProof/>
          <w:lang w:val="en-US" w:eastAsia="en-US"/>
        </w:rPr>
      </w:pPr>
      <w:hyperlink w:anchor="_Toc394313636" w:history="1">
        <w:r w:rsidR="00011561" w:rsidRPr="005C0264">
          <w:rPr>
            <w:rStyle w:val="Hipervnculo"/>
            <w:rFonts w:ascii="Verdana" w:hAnsi="Verdana" w:cs="Verdana"/>
            <w:noProof/>
            <w:color w:val="auto"/>
            <w:w w:val="95"/>
            <w:lang w:val="es-CR"/>
          </w:rPr>
          <w:t>B.</w:t>
        </w:r>
        <w:r w:rsidR="00011561" w:rsidRPr="005C0264">
          <w:rPr>
            <w:noProof/>
            <w:lang w:val="en-US" w:eastAsia="en-US"/>
          </w:rPr>
          <w:tab/>
        </w:r>
        <w:r w:rsidR="00011561" w:rsidRPr="005C0264">
          <w:rPr>
            <w:rStyle w:val="Hipervnculo"/>
            <w:rFonts w:ascii="Verdana" w:hAnsi="Verdana" w:cs="Verdana"/>
            <w:noProof/>
            <w:color w:val="auto"/>
            <w:w w:val="95"/>
            <w:lang w:val="es-CR"/>
          </w:rPr>
          <w:t>Respecto del marco fáctico</w:t>
        </w:r>
        <w:r w:rsidR="00011561" w:rsidRPr="005C0264">
          <w:rPr>
            <w:noProof/>
            <w:webHidden/>
          </w:rPr>
          <w:tab/>
        </w:r>
        <w:r w:rsidRPr="005C0264">
          <w:rPr>
            <w:noProof/>
            <w:webHidden/>
          </w:rPr>
          <w:fldChar w:fldCharType="begin"/>
        </w:r>
        <w:r w:rsidR="00011561" w:rsidRPr="005C0264">
          <w:rPr>
            <w:noProof/>
            <w:webHidden/>
          </w:rPr>
          <w:instrText xml:space="preserve"> PAGEREF _Toc394313636 \h </w:instrText>
        </w:r>
        <w:r w:rsidRPr="005C0264">
          <w:rPr>
            <w:noProof/>
            <w:webHidden/>
          </w:rPr>
        </w:r>
        <w:r w:rsidRPr="005C0264">
          <w:rPr>
            <w:noProof/>
            <w:webHidden/>
          </w:rPr>
          <w:fldChar w:fldCharType="separate"/>
        </w:r>
        <w:r w:rsidR="00C75D32">
          <w:rPr>
            <w:noProof/>
            <w:webHidden/>
          </w:rPr>
          <w:t>11</w:t>
        </w:r>
        <w:r w:rsidRPr="005C0264">
          <w:rPr>
            <w:noProof/>
            <w:webHidden/>
          </w:rPr>
          <w:fldChar w:fldCharType="end"/>
        </w:r>
      </w:hyperlink>
    </w:p>
    <w:p w:rsidR="00011561" w:rsidRPr="005C0264" w:rsidRDefault="00BC2861" w:rsidP="00C551E6">
      <w:pPr>
        <w:pStyle w:val="TDC2"/>
        <w:rPr>
          <w:noProof/>
          <w:lang w:val="en-US" w:eastAsia="en-US"/>
        </w:rPr>
      </w:pPr>
      <w:hyperlink w:anchor="_Toc394313637" w:history="1">
        <w:r w:rsidR="00011561" w:rsidRPr="005C0264">
          <w:rPr>
            <w:rStyle w:val="Hipervnculo"/>
            <w:rFonts w:ascii="Verdana" w:hAnsi="Verdana"/>
            <w:noProof/>
            <w:color w:val="auto"/>
            <w:w w:val="95"/>
            <w:lang w:val="es-CR"/>
          </w:rPr>
          <w:t>C.</w:t>
        </w:r>
        <w:r w:rsidR="00011561" w:rsidRPr="005C0264">
          <w:rPr>
            <w:noProof/>
            <w:lang w:val="en-US" w:eastAsia="en-US"/>
          </w:rPr>
          <w:tab/>
        </w:r>
        <w:r w:rsidR="00011561" w:rsidRPr="005C0264">
          <w:rPr>
            <w:rStyle w:val="Hipervnculo"/>
            <w:rFonts w:ascii="Verdana" w:hAnsi="Verdana"/>
            <w:noProof/>
            <w:color w:val="auto"/>
            <w:w w:val="95"/>
            <w:lang w:val="es-CR"/>
          </w:rPr>
          <w:t>Sobre la determinación de las presuntas víctimas</w:t>
        </w:r>
        <w:r w:rsidR="00011561" w:rsidRPr="005C0264">
          <w:rPr>
            <w:noProof/>
            <w:webHidden/>
          </w:rPr>
          <w:tab/>
        </w:r>
        <w:r w:rsidRPr="005C0264">
          <w:rPr>
            <w:noProof/>
            <w:webHidden/>
          </w:rPr>
          <w:fldChar w:fldCharType="begin"/>
        </w:r>
        <w:r w:rsidR="00011561" w:rsidRPr="005C0264">
          <w:rPr>
            <w:noProof/>
            <w:webHidden/>
          </w:rPr>
          <w:instrText xml:space="preserve"> PAGEREF _Toc394313637 \h </w:instrText>
        </w:r>
        <w:r w:rsidRPr="005C0264">
          <w:rPr>
            <w:noProof/>
            <w:webHidden/>
          </w:rPr>
        </w:r>
        <w:r w:rsidRPr="005C0264">
          <w:rPr>
            <w:noProof/>
            <w:webHidden/>
          </w:rPr>
          <w:fldChar w:fldCharType="separate"/>
        </w:r>
        <w:r w:rsidR="00C75D32">
          <w:rPr>
            <w:noProof/>
            <w:webHidden/>
          </w:rPr>
          <w:t>12</w:t>
        </w:r>
        <w:r w:rsidRPr="005C0264">
          <w:rPr>
            <w:noProof/>
            <w:webHidden/>
          </w:rPr>
          <w:fldChar w:fldCharType="end"/>
        </w:r>
      </w:hyperlink>
    </w:p>
    <w:p w:rsidR="00011561" w:rsidRPr="005C0264" w:rsidRDefault="00BC2861" w:rsidP="00C551E6">
      <w:pPr>
        <w:pStyle w:val="TDC1"/>
        <w:tabs>
          <w:tab w:val="clear" w:pos="8828"/>
          <w:tab w:val="right" w:leader="dot" w:pos="8820"/>
        </w:tabs>
        <w:rPr>
          <w:w w:val="100"/>
          <w:u w:val="none"/>
          <w:lang w:val="en-US" w:eastAsia="en-US"/>
        </w:rPr>
      </w:pPr>
      <w:hyperlink w:anchor="_Toc394313638" w:history="1">
        <w:r w:rsidR="00011561" w:rsidRPr="005C0264">
          <w:rPr>
            <w:rStyle w:val="Hipervnculo"/>
            <w:color w:val="auto"/>
          </w:rPr>
          <w:t>IV</w:t>
        </w:r>
      </w:hyperlink>
      <w:r w:rsidR="00C551E6" w:rsidRPr="005C0264">
        <w:rPr>
          <w:rStyle w:val="Hipervnculo"/>
          <w:color w:val="auto"/>
        </w:rPr>
        <w:t xml:space="preserve"> </w:t>
      </w:r>
      <w:hyperlink w:anchor="_Toc394313639" w:history="1">
        <w:r w:rsidR="00011561" w:rsidRPr="005C0264">
          <w:rPr>
            <w:rStyle w:val="Hipervnculo"/>
            <w:color w:val="auto"/>
          </w:rPr>
          <w:t>COMPETENCIA</w:t>
        </w:r>
        <w:r w:rsidR="00011561" w:rsidRPr="005C0264">
          <w:rPr>
            <w:webHidden/>
          </w:rPr>
          <w:tab/>
        </w:r>
        <w:r w:rsidRPr="005C0264">
          <w:rPr>
            <w:webHidden/>
          </w:rPr>
          <w:fldChar w:fldCharType="begin"/>
        </w:r>
        <w:r w:rsidR="00011561" w:rsidRPr="005C0264">
          <w:rPr>
            <w:webHidden/>
          </w:rPr>
          <w:instrText xml:space="preserve"> PAGEREF _Toc394313639 \h </w:instrText>
        </w:r>
        <w:r w:rsidRPr="005C0264">
          <w:rPr>
            <w:webHidden/>
          </w:rPr>
        </w:r>
        <w:r w:rsidRPr="005C0264">
          <w:rPr>
            <w:webHidden/>
          </w:rPr>
          <w:fldChar w:fldCharType="separate"/>
        </w:r>
        <w:r w:rsidR="00C75D32">
          <w:rPr>
            <w:webHidden/>
          </w:rPr>
          <w:t>13</w:t>
        </w:r>
        <w:r w:rsidRPr="005C0264">
          <w:rPr>
            <w:webHidden/>
          </w:rPr>
          <w:fldChar w:fldCharType="end"/>
        </w:r>
      </w:hyperlink>
    </w:p>
    <w:p w:rsidR="00011561" w:rsidRPr="005C0264" w:rsidRDefault="00BC2861" w:rsidP="00C551E6">
      <w:pPr>
        <w:pStyle w:val="TDC1"/>
        <w:tabs>
          <w:tab w:val="clear" w:pos="8828"/>
          <w:tab w:val="right" w:leader="dot" w:pos="8820"/>
        </w:tabs>
        <w:rPr>
          <w:w w:val="100"/>
          <w:u w:val="none"/>
          <w:lang w:val="en-US" w:eastAsia="en-US"/>
        </w:rPr>
      </w:pPr>
      <w:hyperlink w:anchor="_Toc394313640" w:history="1">
        <w:r w:rsidR="00011561" w:rsidRPr="005C0264">
          <w:rPr>
            <w:rStyle w:val="Hipervnculo"/>
            <w:color w:val="auto"/>
          </w:rPr>
          <w:t>V</w:t>
        </w:r>
      </w:hyperlink>
      <w:r w:rsidR="00C551E6" w:rsidRPr="005C0264">
        <w:rPr>
          <w:rStyle w:val="Hipervnculo"/>
          <w:color w:val="auto"/>
        </w:rPr>
        <w:t xml:space="preserve"> </w:t>
      </w:r>
      <w:hyperlink w:anchor="_Toc394313641" w:history="1">
        <w:r w:rsidR="00011561" w:rsidRPr="005C0264">
          <w:rPr>
            <w:rStyle w:val="Hipervnculo"/>
            <w:color w:val="auto"/>
            <w:lang w:val="es-CR"/>
          </w:rPr>
          <w:t>EXCEPCIONES PRELIMINARES DE FALTA DE COMPETENCIA Y</w:t>
        </w:r>
      </w:hyperlink>
      <w:r w:rsidR="00C551E6" w:rsidRPr="005C0264">
        <w:rPr>
          <w:rStyle w:val="Hipervnculo"/>
          <w:color w:val="auto"/>
        </w:rPr>
        <w:t xml:space="preserve"> </w:t>
      </w:r>
      <w:hyperlink w:anchor="_Toc394313642" w:history="1">
        <w:r w:rsidR="00011561" w:rsidRPr="005C0264">
          <w:rPr>
            <w:rStyle w:val="Hipervnculo"/>
            <w:color w:val="auto"/>
            <w:lang w:val="es-CR"/>
          </w:rPr>
          <w:t>NO AGOTAMIENTO DE LOS RECURSOS INTERNOS</w:t>
        </w:r>
        <w:r w:rsidR="00011561" w:rsidRPr="005C0264">
          <w:rPr>
            <w:webHidden/>
          </w:rPr>
          <w:tab/>
        </w:r>
        <w:r w:rsidRPr="005C0264">
          <w:rPr>
            <w:webHidden/>
          </w:rPr>
          <w:fldChar w:fldCharType="begin"/>
        </w:r>
        <w:r w:rsidR="00011561" w:rsidRPr="005C0264">
          <w:rPr>
            <w:webHidden/>
          </w:rPr>
          <w:instrText xml:space="preserve"> PAGEREF _Toc394313642 \h </w:instrText>
        </w:r>
        <w:r w:rsidRPr="005C0264">
          <w:rPr>
            <w:webHidden/>
          </w:rPr>
        </w:r>
        <w:r w:rsidRPr="005C0264">
          <w:rPr>
            <w:webHidden/>
          </w:rPr>
          <w:fldChar w:fldCharType="separate"/>
        </w:r>
        <w:r w:rsidR="00C75D32">
          <w:rPr>
            <w:webHidden/>
          </w:rPr>
          <w:t>13</w:t>
        </w:r>
        <w:r w:rsidRPr="005C0264">
          <w:rPr>
            <w:webHidden/>
          </w:rPr>
          <w:fldChar w:fldCharType="end"/>
        </w:r>
      </w:hyperlink>
    </w:p>
    <w:p w:rsidR="00011561" w:rsidRPr="005C0264" w:rsidRDefault="00BC2861" w:rsidP="00C551E6">
      <w:pPr>
        <w:pStyle w:val="TDC2"/>
        <w:rPr>
          <w:noProof/>
          <w:lang w:val="en-US" w:eastAsia="en-US"/>
        </w:rPr>
      </w:pPr>
      <w:hyperlink w:anchor="_Toc394313643" w:history="1">
        <w:r w:rsidR="00011561" w:rsidRPr="005C0264">
          <w:rPr>
            <w:rStyle w:val="Hipervnculo"/>
            <w:rFonts w:ascii="Verdana" w:hAnsi="Verdana"/>
            <w:noProof/>
            <w:color w:val="auto"/>
            <w:w w:val="95"/>
            <w:lang w:val="es-CR"/>
          </w:rPr>
          <w:t>A.</w:t>
        </w:r>
        <w:r w:rsidR="00011561" w:rsidRPr="005C0264">
          <w:rPr>
            <w:noProof/>
            <w:lang w:val="en-US" w:eastAsia="en-US"/>
          </w:rPr>
          <w:tab/>
        </w:r>
        <w:r w:rsidR="00011561" w:rsidRPr="005C0264">
          <w:rPr>
            <w:rStyle w:val="Hipervnculo"/>
            <w:rFonts w:ascii="Verdana" w:hAnsi="Verdana"/>
            <w:noProof/>
            <w:color w:val="auto"/>
            <w:w w:val="95"/>
            <w:lang w:val="es-CR"/>
          </w:rPr>
          <w:t>Excepción preliminar de falta de competencia material sobre el artículo 7 de la Convención de Belém do Pará</w:t>
        </w:r>
        <w:r w:rsidR="00011561" w:rsidRPr="005C0264">
          <w:rPr>
            <w:noProof/>
            <w:webHidden/>
          </w:rPr>
          <w:tab/>
        </w:r>
        <w:r w:rsidRPr="005C0264">
          <w:rPr>
            <w:noProof/>
            <w:webHidden/>
          </w:rPr>
          <w:fldChar w:fldCharType="begin"/>
        </w:r>
        <w:r w:rsidR="00011561" w:rsidRPr="005C0264">
          <w:rPr>
            <w:noProof/>
            <w:webHidden/>
          </w:rPr>
          <w:instrText xml:space="preserve"> PAGEREF _Toc394313643 \h </w:instrText>
        </w:r>
        <w:r w:rsidRPr="005C0264">
          <w:rPr>
            <w:noProof/>
            <w:webHidden/>
          </w:rPr>
        </w:r>
        <w:r w:rsidRPr="005C0264">
          <w:rPr>
            <w:noProof/>
            <w:webHidden/>
          </w:rPr>
          <w:fldChar w:fldCharType="separate"/>
        </w:r>
        <w:r w:rsidR="00C75D32">
          <w:rPr>
            <w:noProof/>
            <w:webHidden/>
          </w:rPr>
          <w:t>13</w:t>
        </w:r>
        <w:r w:rsidRPr="005C0264">
          <w:rPr>
            <w:noProof/>
            <w:webHidden/>
          </w:rPr>
          <w:fldChar w:fldCharType="end"/>
        </w:r>
      </w:hyperlink>
    </w:p>
    <w:p w:rsidR="00011561" w:rsidRPr="005C0264" w:rsidRDefault="00BC2861" w:rsidP="00C551E6">
      <w:pPr>
        <w:pStyle w:val="TDC3"/>
        <w:tabs>
          <w:tab w:val="clear" w:pos="8828"/>
          <w:tab w:val="right" w:leader="dot" w:pos="8820"/>
        </w:tabs>
        <w:rPr>
          <w:rFonts w:ascii="Calibri" w:eastAsia="Times New Roman" w:hAnsi="Calibri"/>
          <w:b w:val="0"/>
          <w:i w:val="0"/>
          <w:smallCaps w:val="0"/>
          <w:w w:val="100"/>
          <w:sz w:val="22"/>
          <w:szCs w:val="22"/>
          <w:lang w:val="en-US" w:eastAsia="en-US"/>
        </w:rPr>
      </w:pPr>
      <w:hyperlink w:anchor="_Toc394313644" w:history="1">
        <w:r w:rsidR="00011561" w:rsidRPr="005C0264">
          <w:rPr>
            <w:rStyle w:val="Hipervnculo"/>
            <w:color w:val="auto"/>
            <w:lang w:val="es-CR"/>
          </w:rPr>
          <w:t>A.1) Argumentos de las partes y la Comisión</w:t>
        </w:r>
        <w:r w:rsidR="00011561" w:rsidRPr="005C0264">
          <w:rPr>
            <w:webHidden/>
          </w:rPr>
          <w:tab/>
        </w:r>
        <w:r w:rsidRPr="005C0264">
          <w:rPr>
            <w:webHidden/>
          </w:rPr>
          <w:fldChar w:fldCharType="begin"/>
        </w:r>
        <w:r w:rsidR="00011561" w:rsidRPr="005C0264">
          <w:rPr>
            <w:webHidden/>
          </w:rPr>
          <w:instrText xml:space="preserve"> PAGEREF _Toc394313644 \h </w:instrText>
        </w:r>
        <w:r w:rsidRPr="005C0264">
          <w:rPr>
            <w:webHidden/>
          </w:rPr>
        </w:r>
        <w:r w:rsidRPr="005C0264">
          <w:rPr>
            <w:webHidden/>
          </w:rPr>
          <w:fldChar w:fldCharType="separate"/>
        </w:r>
        <w:r w:rsidR="00C75D32">
          <w:rPr>
            <w:webHidden/>
          </w:rPr>
          <w:t>13</w:t>
        </w:r>
        <w:r w:rsidRPr="005C0264">
          <w:rPr>
            <w:webHidden/>
          </w:rPr>
          <w:fldChar w:fldCharType="end"/>
        </w:r>
      </w:hyperlink>
    </w:p>
    <w:p w:rsidR="00011561" w:rsidRPr="005C0264" w:rsidRDefault="00BC2861" w:rsidP="00C551E6">
      <w:pPr>
        <w:pStyle w:val="TDC3"/>
        <w:tabs>
          <w:tab w:val="clear" w:pos="8828"/>
          <w:tab w:val="right" w:leader="dot" w:pos="8820"/>
        </w:tabs>
        <w:rPr>
          <w:rFonts w:ascii="Calibri" w:eastAsia="Times New Roman" w:hAnsi="Calibri"/>
          <w:b w:val="0"/>
          <w:i w:val="0"/>
          <w:smallCaps w:val="0"/>
          <w:w w:val="100"/>
          <w:sz w:val="22"/>
          <w:szCs w:val="22"/>
          <w:lang w:val="en-US" w:eastAsia="en-US"/>
        </w:rPr>
      </w:pPr>
      <w:hyperlink w:anchor="_Toc394313645" w:history="1">
        <w:r w:rsidR="00011561" w:rsidRPr="005C0264">
          <w:rPr>
            <w:rStyle w:val="Hipervnculo"/>
            <w:color w:val="auto"/>
          </w:rPr>
          <w:t>A.2) Consideraciones de la Corte</w:t>
        </w:r>
        <w:r w:rsidR="00011561" w:rsidRPr="005C0264">
          <w:rPr>
            <w:webHidden/>
          </w:rPr>
          <w:tab/>
        </w:r>
        <w:r w:rsidRPr="005C0264">
          <w:rPr>
            <w:webHidden/>
          </w:rPr>
          <w:fldChar w:fldCharType="begin"/>
        </w:r>
        <w:r w:rsidR="00011561" w:rsidRPr="005C0264">
          <w:rPr>
            <w:webHidden/>
          </w:rPr>
          <w:instrText xml:space="preserve"> PAGEREF _Toc394313645 \h </w:instrText>
        </w:r>
        <w:r w:rsidRPr="005C0264">
          <w:rPr>
            <w:webHidden/>
          </w:rPr>
        </w:r>
        <w:r w:rsidRPr="005C0264">
          <w:rPr>
            <w:webHidden/>
          </w:rPr>
          <w:fldChar w:fldCharType="separate"/>
        </w:r>
        <w:r w:rsidR="00C75D32">
          <w:rPr>
            <w:webHidden/>
          </w:rPr>
          <w:t>14</w:t>
        </w:r>
        <w:r w:rsidRPr="005C0264">
          <w:rPr>
            <w:webHidden/>
          </w:rPr>
          <w:fldChar w:fldCharType="end"/>
        </w:r>
      </w:hyperlink>
    </w:p>
    <w:p w:rsidR="00011561" w:rsidRPr="005C0264" w:rsidRDefault="00BC2861" w:rsidP="00C551E6">
      <w:pPr>
        <w:pStyle w:val="TDC2"/>
        <w:rPr>
          <w:noProof/>
          <w:lang w:val="en-US" w:eastAsia="en-US"/>
        </w:rPr>
      </w:pPr>
      <w:hyperlink w:anchor="_Toc394313646" w:history="1">
        <w:r w:rsidR="00011561" w:rsidRPr="005C0264">
          <w:rPr>
            <w:rStyle w:val="Hipervnculo"/>
            <w:rFonts w:ascii="Verdana" w:hAnsi="Verdana"/>
            <w:noProof/>
            <w:color w:val="auto"/>
            <w:w w:val="95"/>
            <w:lang w:val="es-CR"/>
          </w:rPr>
          <w:t>B.</w:t>
        </w:r>
        <w:r w:rsidR="00011561" w:rsidRPr="005C0264">
          <w:rPr>
            <w:noProof/>
            <w:lang w:val="en-US" w:eastAsia="en-US"/>
          </w:rPr>
          <w:tab/>
        </w:r>
        <w:r w:rsidR="00011561" w:rsidRPr="005C0264">
          <w:rPr>
            <w:rStyle w:val="Hipervnculo"/>
            <w:rFonts w:ascii="Verdana" w:hAnsi="Verdana"/>
            <w:noProof/>
            <w:color w:val="auto"/>
            <w:w w:val="95"/>
            <w:lang w:val="es-CR"/>
          </w:rPr>
          <w:t>Excepción preliminar de no de agotamiento de recursos internos</w:t>
        </w:r>
        <w:r w:rsidR="00011561" w:rsidRPr="005C0264">
          <w:rPr>
            <w:noProof/>
            <w:webHidden/>
          </w:rPr>
          <w:tab/>
        </w:r>
        <w:r w:rsidRPr="005C0264">
          <w:rPr>
            <w:noProof/>
            <w:webHidden/>
          </w:rPr>
          <w:fldChar w:fldCharType="begin"/>
        </w:r>
        <w:r w:rsidR="00011561" w:rsidRPr="005C0264">
          <w:rPr>
            <w:noProof/>
            <w:webHidden/>
          </w:rPr>
          <w:instrText xml:space="preserve"> PAGEREF _Toc394313646 \h </w:instrText>
        </w:r>
        <w:r w:rsidRPr="005C0264">
          <w:rPr>
            <w:noProof/>
            <w:webHidden/>
          </w:rPr>
        </w:r>
        <w:r w:rsidRPr="005C0264">
          <w:rPr>
            <w:noProof/>
            <w:webHidden/>
          </w:rPr>
          <w:fldChar w:fldCharType="separate"/>
        </w:r>
        <w:r w:rsidR="00C75D32">
          <w:rPr>
            <w:noProof/>
            <w:webHidden/>
          </w:rPr>
          <w:t>15</w:t>
        </w:r>
        <w:r w:rsidRPr="005C0264">
          <w:rPr>
            <w:noProof/>
            <w:webHidden/>
          </w:rPr>
          <w:fldChar w:fldCharType="end"/>
        </w:r>
      </w:hyperlink>
    </w:p>
    <w:p w:rsidR="00011561" w:rsidRPr="005C0264" w:rsidRDefault="00BC2861" w:rsidP="00C551E6">
      <w:pPr>
        <w:pStyle w:val="TDC3"/>
        <w:tabs>
          <w:tab w:val="clear" w:pos="8828"/>
          <w:tab w:val="right" w:leader="dot" w:pos="8820"/>
        </w:tabs>
        <w:rPr>
          <w:rFonts w:ascii="Calibri" w:eastAsia="Times New Roman" w:hAnsi="Calibri"/>
          <w:b w:val="0"/>
          <w:i w:val="0"/>
          <w:smallCaps w:val="0"/>
          <w:w w:val="100"/>
          <w:sz w:val="22"/>
          <w:szCs w:val="22"/>
          <w:lang w:val="en-US" w:eastAsia="en-US"/>
        </w:rPr>
      </w:pPr>
      <w:hyperlink w:anchor="_Toc394313647" w:history="1">
        <w:r w:rsidR="00011561" w:rsidRPr="005C0264">
          <w:rPr>
            <w:rStyle w:val="Hipervnculo"/>
            <w:color w:val="auto"/>
            <w:lang w:val="es-CR"/>
          </w:rPr>
          <w:t>B.1) Argumentos de las partes y la Comisión</w:t>
        </w:r>
        <w:r w:rsidR="00011561" w:rsidRPr="005C0264">
          <w:rPr>
            <w:webHidden/>
          </w:rPr>
          <w:tab/>
        </w:r>
        <w:r w:rsidRPr="005C0264">
          <w:rPr>
            <w:webHidden/>
          </w:rPr>
          <w:fldChar w:fldCharType="begin"/>
        </w:r>
        <w:r w:rsidR="00011561" w:rsidRPr="005C0264">
          <w:rPr>
            <w:webHidden/>
          </w:rPr>
          <w:instrText xml:space="preserve"> PAGEREF _Toc394313647 \h </w:instrText>
        </w:r>
        <w:r w:rsidRPr="005C0264">
          <w:rPr>
            <w:webHidden/>
          </w:rPr>
        </w:r>
        <w:r w:rsidRPr="005C0264">
          <w:rPr>
            <w:webHidden/>
          </w:rPr>
          <w:fldChar w:fldCharType="separate"/>
        </w:r>
        <w:r w:rsidR="00C75D32">
          <w:rPr>
            <w:webHidden/>
          </w:rPr>
          <w:t>15</w:t>
        </w:r>
        <w:r w:rsidRPr="005C0264">
          <w:rPr>
            <w:webHidden/>
          </w:rPr>
          <w:fldChar w:fldCharType="end"/>
        </w:r>
      </w:hyperlink>
    </w:p>
    <w:p w:rsidR="00011561" w:rsidRPr="005C0264" w:rsidRDefault="00BC2861" w:rsidP="00C551E6">
      <w:pPr>
        <w:pStyle w:val="TDC3"/>
        <w:tabs>
          <w:tab w:val="clear" w:pos="8828"/>
          <w:tab w:val="right" w:leader="dot" w:pos="8820"/>
        </w:tabs>
        <w:rPr>
          <w:rFonts w:ascii="Calibri" w:eastAsia="Times New Roman" w:hAnsi="Calibri"/>
          <w:b w:val="0"/>
          <w:i w:val="0"/>
          <w:smallCaps w:val="0"/>
          <w:w w:val="100"/>
          <w:sz w:val="22"/>
          <w:szCs w:val="22"/>
          <w:lang w:val="en-US" w:eastAsia="en-US"/>
        </w:rPr>
      </w:pPr>
      <w:hyperlink w:anchor="_Toc394313648" w:history="1">
        <w:r w:rsidR="00011561" w:rsidRPr="005C0264">
          <w:rPr>
            <w:rStyle w:val="Hipervnculo"/>
            <w:color w:val="auto"/>
          </w:rPr>
          <w:t>B.2) Consideraciones de la Corte</w:t>
        </w:r>
        <w:r w:rsidR="00011561" w:rsidRPr="005C0264">
          <w:rPr>
            <w:webHidden/>
          </w:rPr>
          <w:tab/>
        </w:r>
        <w:r w:rsidRPr="005C0264">
          <w:rPr>
            <w:webHidden/>
          </w:rPr>
          <w:fldChar w:fldCharType="begin"/>
        </w:r>
        <w:r w:rsidR="00011561" w:rsidRPr="005C0264">
          <w:rPr>
            <w:webHidden/>
          </w:rPr>
          <w:instrText xml:space="preserve"> PAGEREF _Toc394313648 \h </w:instrText>
        </w:r>
        <w:r w:rsidRPr="005C0264">
          <w:rPr>
            <w:webHidden/>
          </w:rPr>
        </w:r>
        <w:r w:rsidRPr="005C0264">
          <w:rPr>
            <w:webHidden/>
          </w:rPr>
          <w:fldChar w:fldCharType="separate"/>
        </w:r>
        <w:r w:rsidR="00C75D32">
          <w:rPr>
            <w:webHidden/>
          </w:rPr>
          <w:t>16</w:t>
        </w:r>
        <w:r w:rsidRPr="005C0264">
          <w:rPr>
            <w:webHidden/>
          </w:rPr>
          <w:fldChar w:fldCharType="end"/>
        </w:r>
      </w:hyperlink>
    </w:p>
    <w:p w:rsidR="00011561" w:rsidRPr="005C0264" w:rsidRDefault="00BC2861" w:rsidP="00C551E6">
      <w:pPr>
        <w:pStyle w:val="TDC1"/>
        <w:tabs>
          <w:tab w:val="clear" w:pos="8828"/>
          <w:tab w:val="right" w:leader="dot" w:pos="8820"/>
        </w:tabs>
        <w:rPr>
          <w:w w:val="100"/>
          <w:u w:val="none"/>
          <w:lang w:val="en-US" w:eastAsia="en-US"/>
        </w:rPr>
      </w:pPr>
      <w:hyperlink w:anchor="_Toc394313649" w:history="1">
        <w:r w:rsidR="00011561" w:rsidRPr="005C0264">
          <w:rPr>
            <w:rStyle w:val="Hipervnculo"/>
            <w:color w:val="auto"/>
            <w:lang w:val="es-CO" w:eastAsia="es-CO"/>
          </w:rPr>
          <w:t>VI</w:t>
        </w:r>
      </w:hyperlink>
      <w:r w:rsidR="00C551E6" w:rsidRPr="005C0264">
        <w:rPr>
          <w:rStyle w:val="Hipervnculo"/>
          <w:color w:val="auto"/>
        </w:rPr>
        <w:t xml:space="preserve"> </w:t>
      </w:r>
      <w:hyperlink w:anchor="_Toc394313650" w:history="1">
        <w:r w:rsidR="00011561" w:rsidRPr="005C0264">
          <w:rPr>
            <w:rStyle w:val="Hipervnculo"/>
            <w:color w:val="auto"/>
            <w:lang w:val="es-CO" w:eastAsia="es-CO"/>
          </w:rPr>
          <w:t>PRUEBA</w:t>
        </w:r>
        <w:r w:rsidR="00011561" w:rsidRPr="005C0264">
          <w:rPr>
            <w:webHidden/>
          </w:rPr>
          <w:tab/>
        </w:r>
        <w:r w:rsidRPr="005C0264">
          <w:rPr>
            <w:webHidden/>
          </w:rPr>
          <w:fldChar w:fldCharType="begin"/>
        </w:r>
        <w:r w:rsidR="00011561" w:rsidRPr="005C0264">
          <w:rPr>
            <w:webHidden/>
          </w:rPr>
          <w:instrText xml:space="preserve"> PAGEREF _Toc394313650 \h </w:instrText>
        </w:r>
        <w:r w:rsidRPr="005C0264">
          <w:rPr>
            <w:webHidden/>
          </w:rPr>
        </w:r>
        <w:r w:rsidRPr="005C0264">
          <w:rPr>
            <w:webHidden/>
          </w:rPr>
          <w:fldChar w:fldCharType="separate"/>
        </w:r>
        <w:r w:rsidR="00C75D32">
          <w:rPr>
            <w:webHidden/>
          </w:rPr>
          <w:t>17</w:t>
        </w:r>
        <w:r w:rsidRPr="005C0264">
          <w:rPr>
            <w:webHidden/>
          </w:rPr>
          <w:fldChar w:fldCharType="end"/>
        </w:r>
      </w:hyperlink>
    </w:p>
    <w:p w:rsidR="00011561" w:rsidRPr="005C0264" w:rsidRDefault="00BC2861" w:rsidP="00C551E6">
      <w:pPr>
        <w:pStyle w:val="TDC2"/>
        <w:rPr>
          <w:noProof/>
          <w:lang w:val="en-US" w:eastAsia="en-US"/>
        </w:rPr>
      </w:pPr>
      <w:hyperlink w:anchor="_Toc394313651" w:history="1">
        <w:r w:rsidR="00011561" w:rsidRPr="005C0264">
          <w:rPr>
            <w:rStyle w:val="Hipervnculo"/>
            <w:rFonts w:ascii="Verdana" w:hAnsi="Verdana" w:cs="Arial"/>
            <w:noProof/>
            <w:color w:val="auto"/>
            <w:w w:val="95"/>
            <w:lang w:val="es-CO" w:eastAsia="es-CR"/>
          </w:rPr>
          <w:t>A.</w:t>
        </w:r>
        <w:r w:rsidR="00011561" w:rsidRPr="005C0264">
          <w:rPr>
            <w:noProof/>
            <w:lang w:val="en-US" w:eastAsia="en-US"/>
          </w:rPr>
          <w:tab/>
        </w:r>
        <w:r w:rsidR="00011561" w:rsidRPr="005C0264">
          <w:rPr>
            <w:rStyle w:val="Hipervnculo"/>
            <w:rFonts w:ascii="Verdana" w:hAnsi="Verdana"/>
            <w:noProof/>
            <w:color w:val="auto"/>
            <w:w w:val="95"/>
            <w:lang w:val="es-CO" w:eastAsia="es-ES"/>
          </w:rPr>
          <w:t>Prueba documental, decla</w:t>
        </w:r>
        <w:r w:rsidR="00011561" w:rsidRPr="005C0264">
          <w:rPr>
            <w:rStyle w:val="Hipervnculo"/>
            <w:rFonts w:ascii="Verdana" w:hAnsi="Verdana"/>
            <w:noProof/>
            <w:color w:val="auto"/>
            <w:w w:val="95"/>
            <w:lang w:val="es-CO"/>
          </w:rPr>
          <w:t>ra</w:t>
        </w:r>
        <w:r w:rsidR="00011561" w:rsidRPr="005C0264">
          <w:rPr>
            <w:rStyle w:val="Hipervnculo"/>
            <w:rFonts w:ascii="Verdana" w:hAnsi="Verdana"/>
            <w:noProof/>
            <w:color w:val="auto"/>
            <w:w w:val="95"/>
            <w:lang w:val="es-CO" w:eastAsia="es-CO"/>
          </w:rPr>
          <w:t>ciones de las presunta</w:t>
        </w:r>
        <w:r w:rsidR="00011561" w:rsidRPr="005C0264">
          <w:rPr>
            <w:rStyle w:val="Hipervnculo"/>
            <w:rFonts w:ascii="Verdana" w:hAnsi="Verdana" w:cs="Arial"/>
            <w:noProof/>
            <w:color w:val="auto"/>
            <w:w w:val="95"/>
            <w:lang w:val="es-CO" w:eastAsia="es-CR"/>
          </w:rPr>
          <w:t>s ví</w:t>
        </w:r>
        <w:r w:rsidR="00011561" w:rsidRPr="005C0264">
          <w:rPr>
            <w:rStyle w:val="Hipervnculo"/>
            <w:rFonts w:ascii="Verdana" w:hAnsi="Verdana"/>
            <w:noProof/>
            <w:color w:val="auto"/>
            <w:w w:val="95"/>
            <w:lang w:val="es-CO"/>
          </w:rPr>
          <w:t>cti</w:t>
        </w:r>
        <w:r w:rsidR="00011561" w:rsidRPr="005C0264">
          <w:rPr>
            <w:rStyle w:val="Hipervnculo"/>
            <w:rFonts w:ascii="Verdana" w:hAnsi="Verdana" w:cs="Arial"/>
            <w:noProof/>
            <w:color w:val="auto"/>
            <w:w w:val="95"/>
            <w:lang w:val="es-CO" w:eastAsia="es-CR"/>
          </w:rPr>
          <w:t>mas, testimonial y pericial</w:t>
        </w:r>
        <w:r w:rsidR="00011561" w:rsidRPr="005C0264">
          <w:rPr>
            <w:noProof/>
            <w:webHidden/>
          </w:rPr>
          <w:tab/>
        </w:r>
        <w:r w:rsidRPr="005C0264">
          <w:rPr>
            <w:noProof/>
            <w:webHidden/>
          </w:rPr>
          <w:fldChar w:fldCharType="begin"/>
        </w:r>
        <w:r w:rsidR="00011561" w:rsidRPr="005C0264">
          <w:rPr>
            <w:noProof/>
            <w:webHidden/>
          </w:rPr>
          <w:instrText xml:space="preserve"> PAGEREF _Toc394313651 \h </w:instrText>
        </w:r>
        <w:r w:rsidRPr="005C0264">
          <w:rPr>
            <w:noProof/>
            <w:webHidden/>
          </w:rPr>
        </w:r>
        <w:r w:rsidRPr="005C0264">
          <w:rPr>
            <w:noProof/>
            <w:webHidden/>
          </w:rPr>
          <w:fldChar w:fldCharType="separate"/>
        </w:r>
        <w:r w:rsidR="00C75D32">
          <w:rPr>
            <w:noProof/>
            <w:webHidden/>
          </w:rPr>
          <w:t>17</w:t>
        </w:r>
        <w:r w:rsidRPr="005C0264">
          <w:rPr>
            <w:noProof/>
            <w:webHidden/>
          </w:rPr>
          <w:fldChar w:fldCharType="end"/>
        </w:r>
      </w:hyperlink>
    </w:p>
    <w:p w:rsidR="00011561" w:rsidRPr="005C0264" w:rsidRDefault="00BC2861" w:rsidP="00C551E6">
      <w:pPr>
        <w:pStyle w:val="TDC2"/>
        <w:rPr>
          <w:noProof/>
          <w:lang w:val="en-US" w:eastAsia="en-US"/>
        </w:rPr>
      </w:pPr>
      <w:hyperlink w:anchor="_Toc394313652" w:history="1">
        <w:r w:rsidR="00011561" w:rsidRPr="005C0264">
          <w:rPr>
            <w:rStyle w:val="Hipervnculo"/>
            <w:rFonts w:ascii="Verdana" w:hAnsi="Verdana"/>
            <w:noProof/>
            <w:color w:val="auto"/>
            <w:w w:val="95"/>
            <w:lang w:val="es-CR"/>
          </w:rPr>
          <w:t>B.</w:t>
        </w:r>
        <w:r w:rsidR="00011561" w:rsidRPr="005C0264">
          <w:rPr>
            <w:noProof/>
            <w:lang w:val="en-US" w:eastAsia="en-US"/>
          </w:rPr>
          <w:tab/>
        </w:r>
        <w:r w:rsidR="00011561" w:rsidRPr="005C0264">
          <w:rPr>
            <w:rStyle w:val="Hipervnculo"/>
            <w:rFonts w:ascii="Verdana" w:hAnsi="Verdana"/>
            <w:noProof/>
            <w:color w:val="auto"/>
            <w:w w:val="95"/>
            <w:lang w:val="es-CR"/>
          </w:rPr>
          <w:t>Admisi</w:t>
        </w:r>
        <w:r w:rsidR="00011561" w:rsidRPr="005C0264">
          <w:rPr>
            <w:rStyle w:val="Hipervnculo"/>
            <w:rFonts w:ascii="Verdana" w:hAnsi="Verdana" w:cs="Arial"/>
            <w:noProof/>
            <w:color w:val="auto"/>
            <w:w w:val="95"/>
            <w:lang w:val="es-CO" w:eastAsia="es-CR"/>
          </w:rPr>
          <w:t>ón</w:t>
        </w:r>
        <w:r w:rsidR="00011561" w:rsidRPr="005C0264">
          <w:rPr>
            <w:rStyle w:val="Hipervnculo"/>
            <w:rFonts w:ascii="Verdana" w:hAnsi="Verdana"/>
            <w:noProof/>
            <w:color w:val="auto"/>
            <w:w w:val="95"/>
            <w:lang w:val="es-CR"/>
          </w:rPr>
          <w:t xml:space="preserve"> de la prueba documental</w:t>
        </w:r>
        <w:r w:rsidR="00011561" w:rsidRPr="005C0264">
          <w:rPr>
            <w:noProof/>
            <w:webHidden/>
          </w:rPr>
          <w:tab/>
        </w:r>
        <w:r w:rsidRPr="005C0264">
          <w:rPr>
            <w:noProof/>
            <w:webHidden/>
          </w:rPr>
          <w:fldChar w:fldCharType="begin"/>
        </w:r>
        <w:r w:rsidR="00011561" w:rsidRPr="005C0264">
          <w:rPr>
            <w:noProof/>
            <w:webHidden/>
          </w:rPr>
          <w:instrText xml:space="preserve"> PAGEREF _Toc394313652 \h </w:instrText>
        </w:r>
        <w:r w:rsidRPr="005C0264">
          <w:rPr>
            <w:noProof/>
            <w:webHidden/>
          </w:rPr>
        </w:r>
        <w:r w:rsidRPr="005C0264">
          <w:rPr>
            <w:noProof/>
            <w:webHidden/>
          </w:rPr>
          <w:fldChar w:fldCharType="separate"/>
        </w:r>
        <w:r w:rsidR="00C75D32">
          <w:rPr>
            <w:noProof/>
            <w:webHidden/>
          </w:rPr>
          <w:t>17</w:t>
        </w:r>
        <w:r w:rsidRPr="005C0264">
          <w:rPr>
            <w:noProof/>
            <w:webHidden/>
          </w:rPr>
          <w:fldChar w:fldCharType="end"/>
        </w:r>
      </w:hyperlink>
    </w:p>
    <w:p w:rsidR="00011561" w:rsidRPr="005C0264" w:rsidRDefault="00BC2861" w:rsidP="00C551E6">
      <w:pPr>
        <w:pStyle w:val="TDC2"/>
        <w:rPr>
          <w:noProof/>
          <w:lang w:val="en-US" w:eastAsia="en-US"/>
        </w:rPr>
      </w:pPr>
      <w:hyperlink w:anchor="_Toc394313653" w:history="1">
        <w:r w:rsidR="00011561" w:rsidRPr="005C0264">
          <w:rPr>
            <w:rStyle w:val="Hipervnculo"/>
            <w:rFonts w:ascii="Verdana" w:hAnsi="Verdana"/>
            <w:noProof/>
            <w:color w:val="auto"/>
            <w:w w:val="95"/>
            <w:lang w:val="es-ES"/>
          </w:rPr>
          <w:t>C.</w:t>
        </w:r>
        <w:r w:rsidR="00011561" w:rsidRPr="005C0264">
          <w:rPr>
            <w:noProof/>
            <w:lang w:val="en-US" w:eastAsia="en-US"/>
          </w:rPr>
          <w:tab/>
        </w:r>
        <w:r w:rsidR="00011561" w:rsidRPr="005C0264">
          <w:rPr>
            <w:rStyle w:val="Hipervnculo"/>
            <w:rFonts w:ascii="Verdana" w:hAnsi="Verdana"/>
            <w:noProof/>
            <w:color w:val="auto"/>
            <w:w w:val="95"/>
            <w:lang w:val="es-ES"/>
          </w:rPr>
          <w:t>Prueba procurada de oficio por la Corte</w:t>
        </w:r>
        <w:r w:rsidR="00011561" w:rsidRPr="005C0264">
          <w:rPr>
            <w:noProof/>
            <w:webHidden/>
          </w:rPr>
          <w:tab/>
        </w:r>
        <w:r w:rsidRPr="005C0264">
          <w:rPr>
            <w:noProof/>
            <w:webHidden/>
          </w:rPr>
          <w:fldChar w:fldCharType="begin"/>
        </w:r>
        <w:r w:rsidR="00011561" w:rsidRPr="005C0264">
          <w:rPr>
            <w:noProof/>
            <w:webHidden/>
          </w:rPr>
          <w:instrText xml:space="preserve"> PAGEREF _Toc394313653 \h </w:instrText>
        </w:r>
        <w:r w:rsidRPr="005C0264">
          <w:rPr>
            <w:noProof/>
            <w:webHidden/>
          </w:rPr>
        </w:r>
        <w:r w:rsidRPr="005C0264">
          <w:rPr>
            <w:noProof/>
            <w:webHidden/>
          </w:rPr>
          <w:fldChar w:fldCharType="separate"/>
        </w:r>
        <w:r w:rsidR="00C75D32">
          <w:rPr>
            <w:noProof/>
            <w:webHidden/>
          </w:rPr>
          <w:t>18</w:t>
        </w:r>
        <w:r w:rsidRPr="005C0264">
          <w:rPr>
            <w:noProof/>
            <w:webHidden/>
          </w:rPr>
          <w:fldChar w:fldCharType="end"/>
        </w:r>
      </w:hyperlink>
    </w:p>
    <w:p w:rsidR="00011561" w:rsidRPr="005C0264" w:rsidRDefault="00BC2861" w:rsidP="00C551E6">
      <w:pPr>
        <w:pStyle w:val="TDC2"/>
        <w:rPr>
          <w:noProof/>
          <w:lang w:val="en-US" w:eastAsia="en-US"/>
        </w:rPr>
      </w:pPr>
      <w:hyperlink w:anchor="_Toc394313654" w:history="1">
        <w:r w:rsidR="00011561" w:rsidRPr="005C0264">
          <w:rPr>
            <w:rStyle w:val="Hipervnculo"/>
            <w:rFonts w:ascii="Verdana" w:hAnsi="Verdana"/>
            <w:noProof/>
            <w:color w:val="auto"/>
            <w:w w:val="95"/>
            <w:lang w:val="es-ES"/>
          </w:rPr>
          <w:t>D.</w:t>
        </w:r>
        <w:r w:rsidR="00011561" w:rsidRPr="005C0264">
          <w:rPr>
            <w:noProof/>
            <w:lang w:val="en-US" w:eastAsia="en-US"/>
          </w:rPr>
          <w:tab/>
        </w:r>
        <w:r w:rsidR="00011561" w:rsidRPr="005C0264">
          <w:rPr>
            <w:rStyle w:val="Hipervnculo"/>
            <w:rFonts w:ascii="Verdana" w:hAnsi="Verdana"/>
            <w:noProof/>
            <w:color w:val="auto"/>
            <w:w w:val="95"/>
            <w:lang w:val="es-ES"/>
          </w:rPr>
          <w:t>Admisión de la declaración de las presuntas víctimas, prueba testimonial y pericial presentada mediante declaración rendida ante fedatario público</w:t>
        </w:r>
        <w:r w:rsidR="00011561" w:rsidRPr="005C0264">
          <w:rPr>
            <w:noProof/>
            <w:webHidden/>
          </w:rPr>
          <w:tab/>
        </w:r>
        <w:r w:rsidRPr="005C0264">
          <w:rPr>
            <w:noProof/>
            <w:webHidden/>
          </w:rPr>
          <w:fldChar w:fldCharType="begin"/>
        </w:r>
        <w:r w:rsidR="00011561" w:rsidRPr="005C0264">
          <w:rPr>
            <w:noProof/>
            <w:webHidden/>
          </w:rPr>
          <w:instrText xml:space="preserve"> PAGEREF _Toc394313654 \h </w:instrText>
        </w:r>
        <w:r w:rsidRPr="005C0264">
          <w:rPr>
            <w:noProof/>
            <w:webHidden/>
          </w:rPr>
        </w:r>
        <w:r w:rsidRPr="005C0264">
          <w:rPr>
            <w:noProof/>
            <w:webHidden/>
          </w:rPr>
          <w:fldChar w:fldCharType="separate"/>
        </w:r>
        <w:r w:rsidR="00C75D32">
          <w:rPr>
            <w:noProof/>
            <w:webHidden/>
          </w:rPr>
          <w:t>20</w:t>
        </w:r>
        <w:r w:rsidRPr="005C0264">
          <w:rPr>
            <w:noProof/>
            <w:webHidden/>
          </w:rPr>
          <w:fldChar w:fldCharType="end"/>
        </w:r>
      </w:hyperlink>
    </w:p>
    <w:p w:rsidR="00011561" w:rsidRPr="005C0264" w:rsidRDefault="00BC2861" w:rsidP="00C551E6">
      <w:pPr>
        <w:pStyle w:val="TDC2"/>
        <w:rPr>
          <w:noProof/>
          <w:lang w:val="en-US" w:eastAsia="en-US"/>
        </w:rPr>
      </w:pPr>
      <w:hyperlink w:anchor="_Toc394313655" w:history="1">
        <w:r w:rsidR="00011561" w:rsidRPr="005C0264">
          <w:rPr>
            <w:rStyle w:val="Hipervnculo"/>
            <w:rFonts w:ascii="Verdana" w:hAnsi="Verdana"/>
            <w:noProof/>
            <w:color w:val="auto"/>
            <w:w w:val="95"/>
            <w:lang w:val="es-ES"/>
          </w:rPr>
          <w:t>E.</w:t>
        </w:r>
        <w:r w:rsidR="00011561" w:rsidRPr="005C0264">
          <w:rPr>
            <w:noProof/>
            <w:lang w:val="en-US" w:eastAsia="en-US"/>
          </w:rPr>
          <w:tab/>
        </w:r>
        <w:r w:rsidR="00011561" w:rsidRPr="005C0264">
          <w:rPr>
            <w:rStyle w:val="Hipervnculo"/>
            <w:rFonts w:ascii="Verdana" w:hAnsi="Verdana"/>
            <w:noProof/>
            <w:color w:val="auto"/>
            <w:w w:val="95"/>
            <w:lang w:val="es-ES"/>
          </w:rPr>
          <w:t>Admisión de la declaración de la presunta víctima y prueba pericial rendida en audiencia pública</w:t>
        </w:r>
        <w:r w:rsidR="00011561" w:rsidRPr="005C0264">
          <w:rPr>
            <w:noProof/>
            <w:webHidden/>
          </w:rPr>
          <w:tab/>
        </w:r>
        <w:r w:rsidRPr="005C0264">
          <w:rPr>
            <w:noProof/>
            <w:webHidden/>
          </w:rPr>
          <w:fldChar w:fldCharType="begin"/>
        </w:r>
        <w:r w:rsidR="00011561" w:rsidRPr="005C0264">
          <w:rPr>
            <w:noProof/>
            <w:webHidden/>
          </w:rPr>
          <w:instrText xml:space="preserve"> PAGEREF _Toc394313655 \h </w:instrText>
        </w:r>
        <w:r w:rsidRPr="005C0264">
          <w:rPr>
            <w:noProof/>
            <w:webHidden/>
          </w:rPr>
        </w:r>
        <w:r w:rsidRPr="005C0264">
          <w:rPr>
            <w:noProof/>
            <w:webHidden/>
          </w:rPr>
          <w:fldChar w:fldCharType="separate"/>
        </w:r>
        <w:r w:rsidR="00C75D32">
          <w:rPr>
            <w:noProof/>
            <w:webHidden/>
          </w:rPr>
          <w:t>22</w:t>
        </w:r>
        <w:r w:rsidRPr="005C0264">
          <w:rPr>
            <w:noProof/>
            <w:webHidden/>
          </w:rPr>
          <w:fldChar w:fldCharType="end"/>
        </w:r>
      </w:hyperlink>
    </w:p>
    <w:p w:rsidR="00011561" w:rsidRPr="005C0264" w:rsidRDefault="00BC2861" w:rsidP="00C551E6">
      <w:pPr>
        <w:pStyle w:val="TDC1"/>
        <w:tabs>
          <w:tab w:val="clear" w:pos="8828"/>
          <w:tab w:val="right" w:leader="dot" w:pos="8820"/>
        </w:tabs>
        <w:rPr>
          <w:w w:val="100"/>
          <w:u w:val="none"/>
          <w:lang w:val="en-US" w:eastAsia="en-US"/>
        </w:rPr>
      </w:pPr>
      <w:hyperlink w:anchor="_Toc394313656" w:history="1">
        <w:r w:rsidR="00011561" w:rsidRPr="005C0264">
          <w:rPr>
            <w:rStyle w:val="Hipervnculo"/>
            <w:color w:val="auto"/>
          </w:rPr>
          <w:t>VII</w:t>
        </w:r>
      </w:hyperlink>
      <w:r w:rsidR="00C551E6" w:rsidRPr="005C0264">
        <w:rPr>
          <w:rStyle w:val="Hipervnculo"/>
          <w:color w:val="auto"/>
        </w:rPr>
        <w:t xml:space="preserve"> </w:t>
      </w:r>
      <w:hyperlink w:anchor="_Toc394313657" w:history="1">
        <w:r w:rsidR="00011561" w:rsidRPr="005C0264">
          <w:rPr>
            <w:rStyle w:val="Hipervnculo"/>
            <w:color w:val="auto"/>
          </w:rPr>
          <w:t>HECHOS</w:t>
        </w:r>
        <w:r w:rsidR="00011561" w:rsidRPr="005C0264">
          <w:rPr>
            <w:webHidden/>
          </w:rPr>
          <w:tab/>
        </w:r>
        <w:r w:rsidRPr="005C0264">
          <w:rPr>
            <w:webHidden/>
          </w:rPr>
          <w:fldChar w:fldCharType="begin"/>
        </w:r>
        <w:r w:rsidR="00011561" w:rsidRPr="005C0264">
          <w:rPr>
            <w:webHidden/>
          </w:rPr>
          <w:instrText xml:space="preserve"> PAGEREF _Toc394313657 \h </w:instrText>
        </w:r>
        <w:r w:rsidRPr="005C0264">
          <w:rPr>
            <w:webHidden/>
          </w:rPr>
        </w:r>
        <w:r w:rsidRPr="005C0264">
          <w:rPr>
            <w:webHidden/>
          </w:rPr>
          <w:fldChar w:fldCharType="separate"/>
        </w:r>
        <w:r w:rsidR="00C75D32">
          <w:rPr>
            <w:webHidden/>
          </w:rPr>
          <w:t>23</w:t>
        </w:r>
        <w:r w:rsidRPr="005C0264">
          <w:rPr>
            <w:webHidden/>
          </w:rPr>
          <w:fldChar w:fldCharType="end"/>
        </w:r>
      </w:hyperlink>
    </w:p>
    <w:p w:rsidR="00011561" w:rsidRPr="005C0264" w:rsidRDefault="00BC2861" w:rsidP="00C551E6">
      <w:pPr>
        <w:pStyle w:val="TDC2"/>
        <w:rPr>
          <w:noProof/>
          <w:lang w:val="en-US" w:eastAsia="en-US"/>
        </w:rPr>
      </w:pPr>
      <w:hyperlink w:anchor="_Toc394313658" w:history="1">
        <w:r w:rsidR="00011561" w:rsidRPr="005C0264">
          <w:rPr>
            <w:rStyle w:val="Hipervnculo"/>
            <w:rFonts w:ascii="Verdana" w:hAnsi="Verdana"/>
            <w:noProof/>
            <w:color w:val="auto"/>
            <w:w w:val="95"/>
          </w:rPr>
          <w:t>A.</w:t>
        </w:r>
        <w:r w:rsidR="00011561" w:rsidRPr="005C0264">
          <w:rPr>
            <w:noProof/>
            <w:lang w:val="en-US" w:eastAsia="en-US"/>
          </w:rPr>
          <w:tab/>
        </w:r>
        <w:r w:rsidR="00011561" w:rsidRPr="005C0264">
          <w:rPr>
            <w:rStyle w:val="Hipervnculo"/>
            <w:rFonts w:ascii="Verdana" w:hAnsi="Verdana"/>
            <w:noProof/>
            <w:color w:val="auto"/>
            <w:w w:val="95"/>
          </w:rPr>
          <w:t>Contexto</w:t>
        </w:r>
        <w:r w:rsidR="00011561" w:rsidRPr="005C0264">
          <w:rPr>
            <w:noProof/>
            <w:webHidden/>
          </w:rPr>
          <w:tab/>
        </w:r>
        <w:r w:rsidRPr="005C0264">
          <w:rPr>
            <w:noProof/>
            <w:webHidden/>
          </w:rPr>
          <w:fldChar w:fldCharType="begin"/>
        </w:r>
        <w:r w:rsidR="00011561" w:rsidRPr="005C0264">
          <w:rPr>
            <w:noProof/>
            <w:webHidden/>
          </w:rPr>
          <w:instrText xml:space="preserve"> PAGEREF _Toc394313658 \h </w:instrText>
        </w:r>
        <w:r w:rsidRPr="005C0264">
          <w:rPr>
            <w:noProof/>
            <w:webHidden/>
          </w:rPr>
        </w:r>
        <w:r w:rsidRPr="005C0264">
          <w:rPr>
            <w:noProof/>
            <w:webHidden/>
          </w:rPr>
          <w:fldChar w:fldCharType="separate"/>
        </w:r>
        <w:r w:rsidR="00C75D32">
          <w:rPr>
            <w:noProof/>
            <w:webHidden/>
          </w:rPr>
          <w:t>23</w:t>
        </w:r>
        <w:r w:rsidRPr="005C0264">
          <w:rPr>
            <w:noProof/>
            <w:webHidden/>
          </w:rPr>
          <w:fldChar w:fldCharType="end"/>
        </w:r>
      </w:hyperlink>
    </w:p>
    <w:p w:rsidR="00011561" w:rsidRPr="005C0264" w:rsidRDefault="00BC2861" w:rsidP="00C551E6">
      <w:pPr>
        <w:pStyle w:val="TDC3"/>
        <w:tabs>
          <w:tab w:val="clear" w:pos="8828"/>
          <w:tab w:val="right" w:leader="dot" w:pos="8820"/>
        </w:tabs>
        <w:rPr>
          <w:rFonts w:ascii="Calibri" w:eastAsia="Times New Roman" w:hAnsi="Calibri"/>
          <w:b w:val="0"/>
          <w:i w:val="0"/>
          <w:smallCaps w:val="0"/>
          <w:w w:val="100"/>
          <w:sz w:val="22"/>
          <w:szCs w:val="22"/>
          <w:lang w:val="en-US" w:eastAsia="en-US"/>
        </w:rPr>
      </w:pPr>
      <w:hyperlink w:anchor="_Toc394313659" w:history="1">
        <w:r w:rsidR="00011561" w:rsidRPr="005C0264">
          <w:rPr>
            <w:rStyle w:val="Hipervnculo"/>
            <w:rFonts w:cs="Calibri"/>
            <w:color w:val="auto"/>
          </w:rPr>
          <w:t>A.1) Introducción</w:t>
        </w:r>
        <w:r w:rsidR="00011561" w:rsidRPr="005C0264">
          <w:rPr>
            <w:webHidden/>
          </w:rPr>
          <w:tab/>
        </w:r>
        <w:r w:rsidRPr="005C0264">
          <w:rPr>
            <w:webHidden/>
          </w:rPr>
          <w:fldChar w:fldCharType="begin"/>
        </w:r>
        <w:r w:rsidR="00011561" w:rsidRPr="005C0264">
          <w:rPr>
            <w:webHidden/>
          </w:rPr>
          <w:instrText xml:space="preserve"> PAGEREF _Toc394313659 \h </w:instrText>
        </w:r>
        <w:r w:rsidRPr="005C0264">
          <w:rPr>
            <w:webHidden/>
          </w:rPr>
        </w:r>
        <w:r w:rsidRPr="005C0264">
          <w:rPr>
            <w:webHidden/>
          </w:rPr>
          <w:fldChar w:fldCharType="separate"/>
        </w:r>
        <w:r w:rsidR="00C75D32">
          <w:rPr>
            <w:webHidden/>
          </w:rPr>
          <w:t>23</w:t>
        </w:r>
        <w:r w:rsidRPr="005C0264">
          <w:rPr>
            <w:webHidden/>
          </w:rPr>
          <w:fldChar w:fldCharType="end"/>
        </w:r>
      </w:hyperlink>
    </w:p>
    <w:p w:rsidR="00011561" w:rsidRPr="005C0264" w:rsidRDefault="00BC2861" w:rsidP="00C551E6">
      <w:pPr>
        <w:pStyle w:val="TDC3"/>
        <w:tabs>
          <w:tab w:val="clear" w:pos="8828"/>
          <w:tab w:val="right" w:leader="dot" w:pos="8820"/>
        </w:tabs>
        <w:rPr>
          <w:rFonts w:ascii="Calibri" w:eastAsia="Times New Roman" w:hAnsi="Calibri"/>
          <w:b w:val="0"/>
          <w:i w:val="0"/>
          <w:smallCaps w:val="0"/>
          <w:w w:val="100"/>
          <w:sz w:val="22"/>
          <w:szCs w:val="22"/>
          <w:lang w:val="en-US" w:eastAsia="en-US"/>
        </w:rPr>
      </w:pPr>
      <w:hyperlink w:anchor="_Toc394313660" w:history="1">
        <w:r w:rsidR="00011561" w:rsidRPr="005C0264">
          <w:rPr>
            <w:rStyle w:val="Hipervnculo"/>
            <w:color w:val="auto"/>
            <w:lang w:val="es-CR"/>
          </w:rPr>
          <w:t>A.2) Sobre la prueba de la situación de contexto</w:t>
        </w:r>
        <w:r w:rsidR="00011561" w:rsidRPr="005C0264">
          <w:rPr>
            <w:webHidden/>
          </w:rPr>
          <w:tab/>
        </w:r>
        <w:r w:rsidRPr="005C0264">
          <w:rPr>
            <w:webHidden/>
          </w:rPr>
          <w:fldChar w:fldCharType="begin"/>
        </w:r>
        <w:r w:rsidR="00011561" w:rsidRPr="005C0264">
          <w:rPr>
            <w:webHidden/>
          </w:rPr>
          <w:instrText xml:space="preserve"> PAGEREF _Toc394313660 \h </w:instrText>
        </w:r>
        <w:r w:rsidRPr="005C0264">
          <w:rPr>
            <w:webHidden/>
          </w:rPr>
        </w:r>
        <w:r w:rsidRPr="005C0264">
          <w:rPr>
            <w:webHidden/>
          </w:rPr>
          <w:fldChar w:fldCharType="separate"/>
        </w:r>
        <w:r w:rsidR="00C75D32">
          <w:rPr>
            <w:webHidden/>
          </w:rPr>
          <w:t>24</w:t>
        </w:r>
        <w:r w:rsidRPr="005C0264">
          <w:rPr>
            <w:webHidden/>
          </w:rPr>
          <w:fldChar w:fldCharType="end"/>
        </w:r>
      </w:hyperlink>
    </w:p>
    <w:p w:rsidR="00011561" w:rsidRPr="005C0264" w:rsidRDefault="00BC2861" w:rsidP="00C551E6">
      <w:pPr>
        <w:pStyle w:val="TDC3"/>
        <w:tabs>
          <w:tab w:val="clear" w:pos="8828"/>
          <w:tab w:val="right" w:leader="dot" w:pos="8820"/>
        </w:tabs>
        <w:rPr>
          <w:rFonts w:ascii="Calibri" w:eastAsia="Times New Roman" w:hAnsi="Calibri"/>
          <w:b w:val="0"/>
          <w:i w:val="0"/>
          <w:smallCaps w:val="0"/>
          <w:w w:val="100"/>
          <w:sz w:val="22"/>
          <w:szCs w:val="22"/>
          <w:lang w:val="en-US" w:eastAsia="en-US"/>
        </w:rPr>
      </w:pPr>
      <w:hyperlink w:anchor="_Toc394313661" w:history="1">
        <w:r w:rsidR="00011561" w:rsidRPr="005C0264">
          <w:rPr>
            <w:rStyle w:val="Hipervnculo"/>
            <w:rFonts w:cs="Calibri"/>
            <w:color w:val="auto"/>
            <w:lang w:val="es-CR"/>
          </w:rPr>
          <w:t>A.3) La violencia homicida en Guatemala en 2001 y su especificidad y evolución en relación con víctimas mujeres.</w:t>
        </w:r>
        <w:r w:rsidR="00011561" w:rsidRPr="005C0264">
          <w:rPr>
            <w:webHidden/>
          </w:rPr>
          <w:tab/>
        </w:r>
        <w:r w:rsidRPr="005C0264">
          <w:rPr>
            <w:webHidden/>
          </w:rPr>
          <w:fldChar w:fldCharType="begin"/>
        </w:r>
        <w:r w:rsidR="00011561" w:rsidRPr="005C0264">
          <w:rPr>
            <w:webHidden/>
          </w:rPr>
          <w:instrText xml:space="preserve"> PAGEREF _Toc394313661 \h </w:instrText>
        </w:r>
        <w:r w:rsidRPr="005C0264">
          <w:rPr>
            <w:webHidden/>
          </w:rPr>
        </w:r>
        <w:r w:rsidRPr="005C0264">
          <w:rPr>
            <w:webHidden/>
          </w:rPr>
          <w:fldChar w:fldCharType="separate"/>
        </w:r>
        <w:r w:rsidR="00C75D32">
          <w:rPr>
            <w:webHidden/>
          </w:rPr>
          <w:t>26</w:t>
        </w:r>
        <w:r w:rsidRPr="005C0264">
          <w:rPr>
            <w:webHidden/>
          </w:rPr>
          <w:fldChar w:fldCharType="end"/>
        </w:r>
      </w:hyperlink>
    </w:p>
    <w:p w:rsidR="00011561" w:rsidRPr="005C0264" w:rsidRDefault="00BC2861" w:rsidP="00C551E6">
      <w:pPr>
        <w:pStyle w:val="TDC3"/>
        <w:tabs>
          <w:tab w:val="clear" w:pos="8828"/>
          <w:tab w:val="right" w:leader="dot" w:pos="8820"/>
        </w:tabs>
        <w:rPr>
          <w:rFonts w:ascii="Calibri" w:eastAsia="Times New Roman" w:hAnsi="Calibri"/>
          <w:b w:val="0"/>
          <w:i w:val="0"/>
          <w:smallCaps w:val="0"/>
          <w:w w:val="100"/>
          <w:sz w:val="22"/>
          <w:szCs w:val="22"/>
          <w:lang w:val="en-US" w:eastAsia="en-US"/>
        </w:rPr>
      </w:pPr>
      <w:hyperlink w:anchor="_Toc394313662" w:history="1">
        <w:r w:rsidR="00011561" w:rsidRPr="005C0264">
          <w:rPr>
            <w:rStyle w:val="Hipervnculo"/>
            <w:color w:val="auto"/>
            <w:lang w:val="es-CR"/>
          </w:rPr>
          <w:t>A.4) Sobre la actuación del Estado en la investigación de homicidios cometidos contra mujeres</w:t>
        </w:r>
        <w:r w:rsidR="00011561" w:rsidRPr="005C0264">
          <w:rPr>
            <w:webHidden/>
          </w:rPr>
          <w:tab/>
        </w:r>
        <w:r w:rsidRPr="005C0264">
          <w:rPr>
            <w:webHidden/>
          </w:rPr>
          <w:fldChar w:fldCharType="begin"/>
        </w:r>
        <w:r w:rsidR="00011561" w:rsidRPr="005C0264">
          <w:rPr>
            <w:webHidden/>
          </w:rPr>
          <w:instrText xml:space="preserve"> PAGEREF _Toc394313662 \h </w:instrText>
        </w:r>
        <w:r w:rsidRPr="005C0264">
          <w:rPr>
            <w:webHidden/>
          </w:rPr>
        </w:r>
        <w:r w:rsidRPr="005C0264">
          <w:rPr>
            <w:webHidden/>
          </w:rPr>
          <w:fldChar w:fldCharType="separate"/>
        </w:r>
        <w:r w:rsidR="00C75D32">
          <w:rPr>
            <w:webHidden/>
          </w:rPr>
          <w:t>30</w:t>
        </w:r>
        <w:r w:rsidRPr="005C0264">
          <w:rPr>
            <w:webHidden/>
          </w:rPr>
          <w:fldChar w:fldCharType="end"/>
        </w:r>
      </w:hyperlink>
    </w:p>
    <w:p w:rsidR="00011561" w:rsidRPr="005C0264" w:rsidRDefault="00BC2861" w:rsidP="00C551E6">
      <w:pPr>
        <w:pStyle w:val="TDC2"/>
        <w:rPr>
          <w:noProof/>
          <w:lang w:val="en-US" w:eastAsia="en-US"/>
        </w:rPr>
      </w:pPr>
      <w:hyperlink w:anchor="_Toc394313663" w:history="1">
        <w:r w:rsidR="00011561" w:rsidRPr="005C0264">
          <w:rPr>
            <w:rStyle w:val="Hipervnculo"/>
            <w:rFonts w:ascii="Verdana" w:hAnsi="Verdana" w:cs="Calibri"/>
            <w:noProof/>
            <w:color w:val="auto"/>
            <w:w w:val="95"/>
          </w:rPr>
          <w:t>B.</w:t>
        </w:r>
        <w:r w:rsidR="00011561" w:rsidRPr="005C0264">
          <w:rPr>
            <w:noProof/>
            <w:lang w:val="en-US" w:eastAsia="en-US"/>
          </w:rPr>
          <w:tab/>
        </w:r>
        <w:r w:rsidR="00011561" w:rsidRPr="005C0264">
          <w:rPr>
            <w:rStyle w:val="Hipervnculo"/>
            <w:rFonts w:ascii="Verdana" w:hAnsi="Verdana" w:cs="Calibri"/>
            <w:noProof/>
            <w:color w:val="auto"/>
            <w:w w:val="95"/>
          </w:rPr>
          <w:t>Hechos del caso</w:t>
        </w:r>
        <w:r w:rsidR="00011561" w:rsidRPr="005C0264">
          <w:rPr>
            <w:noProof/>
            <w:webHidden/>
          </w:rPr>
          <w:tab/>
        </w:r>
        <w:r w:rsidRPr="005C0264">
          <w:rPr>
            <w:noProof/>
            <w:webHidden/>
          </w:rPr>
          <w:fldChar w:fldCharType="begin"/>
        </w:r>
        <w:r w:rsidR="00011561" w:rsidRPr="005C0264">
          <w:rPr>
            <w:noProof/>
            <w:webHidden/>
          </w:rPr>
          <w:instrText xml:space="preserve"> PAGEREF _Toc394313663 \h </w:instrText>
        </w:r>
        <w:r w:rsidRPr="005C0264">
          <w:rPr>
            <w:noProof/>
            <w:webHidden/>
          </w:rPr>
        </w:r>
        <w:r w:rsidRPr="005C0264">
          <w:rPr>
            <w:noProof/>
            <w:webHidden/>
          </w:rPr>
          <w:fldChar w:fldCharType="separate"/>
        </w:r>
        <w:r w:rsidR="00C75D32">
          <w:rPr>
            <w:noProof/>
            <w:webHidden/>
          </w:rPr>
          <w:t>33</w:t>
        </w:r>
        <w:r w:rsidRPr="005C0264">
          <w:rPr>
            <w:noProof/>
            <w:webHidden/>
          </w:rPr>
          <w:fldChar w:fldCharType="end"/>
        </w:r>
      </w:hyperlink>
    </w:p>
    <w:p w:rsidR="00011561" w:rsidRPr="005C0264" w:rsidRDefault="00BC2861" w:rsidP="00C551E6">
      <w:pPr>
        <w:pStyle w:val="TDC3"/>
        <w:tabs>
          <w:tab w:val="clear" w:pos="8828"/>
          <w:tab w:val="right" w:leader="dot" w:pos="8820"/>
        </w:tabs>
        <w:rPr>
          <w:rFonts w:ascii="Calibri" w:eastAsia="Times New Roman" w:hAnsi="Calibri"/>
          <w:b w:val="0"/>
          <w:i w:val="0"/>
          <w:smallCaps w:val="0"/>
          <w:w w:val="100"/>
          <w:sz w:val="22"/>
          <w:szCs w:val="22"/>
          <w:lang w:val="en-US" w:eastAsia="en-US"/>
        </w:rPr>
      </w:pPr>
      <w:hyperlink w:anchor="_Toc394313664" w:history="1">
        <w:r w:rsidR="00011561" w:rsidRPr="005C0264">
          <w:rPr>
            <w:rStyle w:val="Hipervnculo"/>
            <w:color w:val="auto"/>
          </w:rPr>
          <w:t xml:space="preserve">B.1) </w:t>
        </w:r>
        <w:r w:rsidR="00011561" w:rsidRPr="005C0264">
          <w:rPr>
            <w:rStyle w:val="Hipervnculo"/>
            <w:color w:val="auto"/>
            <w:lang w:val="es-CR"/>
          </w:rPr>
          <w:t>María Isabel Veliz Franco</w:t>
        </w:r>
        <w:r w:rsidR="00011561" w:rsidRPr="005C0264">
          <w:rPr>
            <w:webHidden/>
          </w:rPr>
          <w:tab/>
        </w:r>
        <w:r w:rsidRPr="005C0264">
          <w:rPr>
            <w:webHidden/>
          </w:rPr>
          <w:fldChar w:fldCharType="begin"/>
        </w:r>
        <w:r w:rsidR="00011561" w:rsidRPr="005C0264">
          <w:rPr>
            <w:webHidden/>
          </w:rPr>
          <w:instrText xml:space="preserve"> PAGEREF _Toc394313664 \h </w:instrText>
        </w:r>
        <w:r w:rsidRPr="005C0264">
          <w:rPr>
            <w:webHidden/>
          </w:rPr>
        </w:r>
        <w:r w:rsidRPr="005C0264">
          <w:rPr>
            <w:webHidden/>
          </w:rPr>
          <w:fldChar w:fldCharType="separate"/>
        </w:r>
        <w:r w:rsidR="00C75D32">
          <w:rPr>
            <w:webHidden/>
          </w:rPr>
          <w:t>34</w:t>
        </w:r>
        <w:r w:rsidRPr="005C0264">
          <w:rPr>
            <w:webHidden/>
          </w:rPr>
          <w:fldChar w:fldCharType="end"/>
        </w:r>
      </w:hyperlink>
    </w:p>
    <w:p w:rsidR="00011561" w:rsidRPr="005C0264" w:rsidRDefault="00BC2861" w:rsidP="00C551E6">
      <w:pPr>
        <w:pStyle w:val="TDC3"/>
        <w:tabs>
          <w:tab w:val="clear" w:pos="8828"/>
          <w:tab w:val="right" w:leader="dot" w:pos="8820"/>
        </w:tabs>
        <w:rPr>
          <w:rFonts w:ascii="Calibri" w:eastAsia="Times New Roman" w:hAnsi="Calibri"/>
          <w:b w:val="0"/>
          <w:i w:val="0"/>
          <w:smallCaps w:val="0"/>
          <w:w w:val="100"/>
          <w:sz w:val="22"/>
          <w:szCs w:val="22"/>
          <w:lang w:val="en-US" w:eastAsia="en-US"/>
        </w:rPr>
      </w:pPr>
      <w:hyperlink w:anchor="_Toc394313665" w:history="1">
        <w:r w:rsidR="00011561" w:rsidRPr="005C0264">
          <w:rPr>
            <w:rStyle w:val="Hipervnculo"/>
            <w:color w:val="auto"/>
          </w:rPr>
          <w:t xml:space="preserve">B.2) </w:t>
        </w:r>
        <w:r w:rsidR="00011561" w:rsidRPr="005C0264">
          <w:rPr>
            <w:rStyle w:val="Hipervnculo"/>
            <w:color w:val="auto"/>
            <w:lang w:val="es-CR"/>
          </w:rPr>
          <w:t>Denuncia de desaparición y diligencias iniciales</w:t>
        </w:r>
        <w:r w:rsidR="00011561" w:rsidRPr="005C0264">
          <w:rPr>
            <w:webHidden/>
          </w:rPr>
          <w:tab/>
        </w:r>
        <w:r w:rsidRPr="005C0264">
          <w:rPr>
            <w:webHidden/>
          </w:rPr>
          <w:fldChar w:fldCharType="begin"/>
        </w:r>
        <w:r w:rsidR="00011561" w:rsidRPr="005C0264">
          <w:rPr>
            <w:webHidden/>
          </w:rPr>
          <w:instrText xml:space="preserve"> PAGEREF _Toc394313665 \h </w:instrText>
        </w:r>
        <w:r w:rsidRPr="005C0264">
          <w:rPr>
            <w:webHidden/>
          </w:rPr>
        </w:r>
        <w:r w:rsidRPr="005C0264">
          <w:rPr>
            <w:webHidden/>
          </w:rPr>
          <w:fldChar w:fldCharType="separate"/>
        </w:r>
        <w:r w:rsidR="00C75D32">
          <w:rPr>
            <w:webHidden/>
          </w:rPr>
          <w:t>34</w:t>
        </w:r>
        <w:r w:rsidRPr="005C0264">
          <w:rPr>
            <w:webHidden/>
          </w:rPr>
          <w:fldChar w:fldCharType="end"/>
        </w:r>
      </w:hyperlink>
    </w:p>
    <w:p w:rsidR="00011561" w:rsidRPr="005C0264" w:rsidRDefault="00BC2861" w:rsidP="00C551E6">
      <w:pPr>
        <w:pStyle w:val="TDC3"/>
        <w:tabs>
          <w:tab w:val="clear" w:pos="8828"/>
          <w:tab w:val="right" w:leader="dot" w:pos="8820"/>
        </w:tabs>
        <w:rPr>
          <w:rFonts w:ascii="Calibri" w:eastAsia="Times New Roman" w:hAnsi="Calibri"/>
          <w:b w:val="0"/>
          <w:i w:val="0"/>
          <w:smallCaps w:val="0"/>
          <w:w w:val="100"/>
          <w:sz w:val="22"/>
          <w:szCs w:val="22"/>
          <w:lang w:val="en-US" w:eastAsia="en-US"/>
        </w:rPr>
      </w:pPr>
      <w:hyperlink w:anchor="_Toc394313666" w:history="1">
        <w:r w:rsidR="00011561" w:rsidRPr="005C0264">
          <w:rPr>
            <w:rStyle w:val="Hipervnculo"/>
            <w:color w:val="auto"/>
          </w:rPr>
          <w:t>B.3) Actuaciones posteriores</w:t>
        </w:r>
        <w:r w:rsidR="00011561" w:rsidRPr="005C0264">
          <w:rPr>
            <w:webHidden/>
          </w:rPr>
          <w:tab/>
        </w:r>
        <w:r w:rsidRPr="005C0264">
          <w:rPr>
            <w:webHidden/>
          </w:rPr>
          <w:fldChar w:fldCharType="begin"/>
        </w:r>
        <w:r w:rsidR="00011561" w:rsidRPr="005C0264">
          <w:rPr>
            <w:webHidden/>
          </w:rPr>
          <w:instrText xml:space="preserve"> PAGEREF _Toc394313666 \h </w:instrText>
        </w:r>
        <w:r w:rsidRPr="005C0264">
          <w:rPr>
            <w:webHidden/>
          </w:rPr>
        </w:r>
        <w:r w:rsidRPr="005C0264">
          <w:rPr>
            <w:webHidden/>
          </w:rPr>
          <w:fldChar w:fldCharType="separate"/>
        </w:r>
        <w:r w:rsidR="00C75D32">
          <w:rPr>
            <w:webHidden/>
          </w:rPr>
          <w:t>38</w:t>
        </w:r>
        <w:r w:rsidRPr="005C0264">
          <w:rPr>
            <w:webHidden/>
          </w:rPr>
          <w:fldChar w:fldCharType="end"/>
        </w:r>
      </w:hyperlink>
    </w:p>
    <w:p w:rsidR="00011561" w:rsidRPr="005C0264" w:rsidRDefault="00BC2861" w:rsidP="00C551E6">
      <w:pPr>
        <w:pStyle w:val="TDC1"/>
        <w:tabs>
          <w:tab w:val="clear" w:pos="8828"/>
          <w:tab w:val="right" w:leader="dot" w:pos="8820"/>
        </w:tabs>
        <w:rPr>
          <w:w w:val="100"/>
          <w:u w:val="none"/>
          <w:lang w:val="en-US" w:eastAsia="en-US"/>
        </w:rPr>
      </w:pPr>
      <w:hyperlink w:anchor="_Toc394313667" w:history="1">
        <w:r w:rsidR="00011561" w:rsidRPr="005C0264">
          <w:rPr>
            <w:rStyle w:val="Hipervnculo"/>
            <w:color w:val="auto"/>
            <w:lang w:val="es-CR"/>
          </w:rPr>
          <w:t>VIII</w:t>
        </w:r>
      </w:hyperlink>
      <w:r w:rsidR="00C551E6" w:rsidRPr="005C0264">
        <w:rPr>
          <w:rStyle w:val="Hipervnculo"/>
          <w:color w:val="auto"/>
        </w:rPr>
        <w:t xml:space="preserve"> </w:t>
      </w:r>
      <w:hyperlink w:anchor="_Toc394313668" w:history="1">
        <w:r w:rsidR="00011561" w:rsidRPr="005C0264">
          <w:rPr>
            <w:rStyle w:val="Hipervnculo"/>
            <w:color w:val="auto"/>
            <w:lang w:val="es-CR"/>
          </w:rPr>
          <w:t>DERECHOS A LA VIDA, A LA INTEGRIDAD PERSONAL Y A LA LIBERTAD PERSONAL, EN RELACIÓN CON LOS DERECHOS DEL NIÑO, Y LAS OBLIGACIONES DE RESPETAR Y GARANTIZAR LOS DERECHOS SIN DISCRIMINACIÓN, Y PREVENIR LA VIOLENCIA CONTRA LA MUJER</w:t>
        </w:r>
        <w:r w:rsidR="00011561" w:rsidRPr="005C0264">
          <w:rPr>
            <w:webHidden/>
          </w:rPr>
          <w:tab/>
        </w:r>
        <w:r w:rsidRPr="005C0264">
          <w:rPr>
            <w:webHidden/>
          </w:rPr>
          <w:fldChar w:fldCharType="begin"/>
        </w:r>
        <w:r w:rsidR="00011561" w:rsidRPr="005C0264">
          <w:rPr>
            <w:webHidden/>
          </w:rPr>
          <w:instrText xml:space="preserve"> PAGEREF _Toc394313668 \h </w:instrText>
        </w:r>
        <w:r w:rsidRPr="005C0264">
          <w:rPr>
            <w:webHidden/>
          </w:rPr>
        </w:r>
        <w:r w:rsidRPr="005C0264">
          <w:rPr>
            <w:webHidden/>
          </w:rPr>
          <w:fldChar w:fldCharType="separate"/>
        </w:r>
        <w:r w:rsidR="00C75D32">
          <w:rPr>
            <w:webHidden/>
          </w:rPr>
          <w:t>48</w:t>
        </w:r>
        <w:r w:rsidRPr="005C0264">
          <w:rPr>
            <w:webHidden/>
          </w:rPr>
          <w:fldChar w:fldCharType="end"/>
        </w:r>
      </w:hyperlink>
    </w:p>
    <w:p w:rsidR="00011561" w:rsidRPr="005C0264" w:rsidRDefault="00BC2861" w:rsidP="00C551E6">
      <w:pPr>
        <w:pStyle w:val="TDC2"/>
        <w:rPr>
          <w:noProof/>
          <w:lang w:val="en-US" w:eastAsia="en-US"/>
        </w:rPr>
      </w:pPr>
      <w:hyperlink w:anchor="_Toc394313669" w:history="1">
        <w:r w:rsidR="00011561" w:rsidRPr="005C0264">
          <w:rPr>
            <w:rStyle w:val="Hipervnculo"/>
            <w:rFonts w:ascii="Verdana" w:hAnsi="Verdana"/>
            <w:noProof/>
            <w:color w:val="auto"/>
            <w:w w:val="95"/>
            <w:lang w:val="es-CR"/>
          </w:rPr>
          <w:t>A.</w:t>
        </w:r>
        <w:r w:rsidR="00011561" w:rsidRPr="005C0264">
          <w:rPr>
            <w:noProof/>
            <w:lang w:val="en-US" w:eastAsia="en-US"/>
          </w:rPr>
          <w:tab/>
        </w:r>
        <w:r w:rsidR="00011561" w:rsidRPr="005C0264">
          <w:rPr>
            <w:rStyle w:val="Hipervnculo"/>
            <w:rFonts w:ascii="Verdana" w:hAnsi="Verdana"/>
            <w:noProof/>
            <w:color w:val="auto"/>
            <w:w w:val="95"/>
            <w:lang w:val="es-CR"/>
          </w:rPr>
          <w:t>Argumentos de la Comisión y de las partes</w:t>
        </w:r>
        <w:r w:rsidR="00011561" w:rsidRPr="005C0264">
          <w:rPr>
            <w:noProof/>
            <w:webHidden/>
          </w:rPr>
          <w:tab/>
        </w:r>
        <w:r w:rsidRPr="005C0264">
          <w:rPr>
            <w:noProof/>
            <w:webHidden/>
          </w:rPr>
          <w:fldChar w:fldCharType="begin"/>
        </w:r>
        <w:r w:rsidR="00011561" w:rsidRPr="005C0264">
          <w:rPr>
            <w:noProof/>
            <w:webHidden/>
          </w:rPr>
          <w:instrText xml:space="preserve"> PAGEREF _Toc394313669 \h </w:instrText>
        </w:r>
        <w:r w:rsidRPr="005C0264">
          <w:rPr>
            <w:noProof/>
            <w:webHidden/>
          </w:rPr>
        </w:r>
        <w:r w:rsidRPr="005C0264">
          <w:rPr>
            <w:noProof/>
            <w:webHidden/>
          </w:rPr>
          <w:fldChar w:fldCharType="separate"/>
        </w:r>
        <w:r w:rsidR="00C75D32">
          <w:rPr>
            <w:noProof/>
            <w:webHidden/>
          </w:rPr>
          <w:t>48</w:t>
        </w:r>
        <w:r w:rsidRPr="005C0264">
          <w:rPr>
            <w:noProof/>
            <w:webHidden/>
          </w:rPr>
          <w:fldChar w:fldCharType="end"/>
        </w:r>
      </w:hyperlink>
    </w:p>
    <w:p w:rsidR="00011561" w:rsidRPr="005C0264" w:rsidRDefault="00BC2861" w:rsidP="00C551E6">
      <w:pPr>
        <w:pStyle w:val="TDC2"/>
        <w:rPr>
          <w:noProof/>
          <w:lang w:val="en-US" w:eastAsia="en-US"/>
        </w:rPr>
      </w:pPr>
      <w:hyperlink w:anchor="_Toc394313670" w:history="1">
        <w:r w:rsidR="00011561" w:rsidRPr="005C0264">
          <w:rPr>
            <w:rStyle w:val="Hipervnculo"/>
            <w:rFonts w:ascii="Verdana" w:hAnsi="Verdana"/>
            <w:noProof/>
            <w:color w:val="auto"/>
            <w:w w:val="95"/>
          </w:rPr>
          <w:t>B.</w:t>
        </w:r>
        <w:r w:rsidR="00011561" w:rsidRPr="005C0264">
          <w:rPr>
            <w:noProof/>
            <w:lang w:val="en-US" w:eastAsia="en-US"/>
          </w:rPr>
          <w:tab/>
        </w:r>
        <w:r w:rsidR="00011561" w:rsidRPr="005C0264">
          <w:rPr>
            <w:rStyle w:val="Hipervnculo"/>
            <w:rFonts w:ascii="Verdana" w:hAnsi="Verdana"/>
            <w:noProof/>
            <w:color w:val="auto"/>
            <w:w w:val="95"/>
          </w:rPr>
          <w:t>Consideraciones de la Corte</w:t>
        </w:r>
        <w:r w:rsidR="00011561" w:rsidRPr="005C0264">
          <w:rPr>
            <w:noProof/>
            <w:webHidden/>
          </w:rPr>
          <w:tab/>
        </w:r>
        <w:r w:rsidRPr="005C0264">
          <w:rPr>
            <w:noProof/>
            <w:webHidden/>
          </w:rPr>
          <w:fldChar w:fldCharType="begin"/>
        </w:r>
        <w:r w:rsidR="00011561" w:rsidRPr="005C0264">
          <w:rPr>
            <w:noProof/>
            <w:webHidden/>
          </w:rPr>
          <w:instrText xml:space="preserve"> PAGEREF _Toc394313670 \h </w:instrText>
        </w:r>
        <w:r w:rsidRPr="005C0264">
          <w:rPr>
            <w:noProof/>
            <w:webHidden/>
          </w:rPr>
        </w:r>
        <w:r w:rsidRPr="005C0264">
          <w:rPr>
            <w:noProof/>
            <w:webHidden/>
          </w:rPr>
          <w:fldChar w:fldCharType="separate"/>
        </w:r>
        <w:r w:rsidR="00C75D32">
          <w:rPr>
            <w:noProof/>
            <w:webHidden/>
          </w:rPr>
          <w:t>50</w:t>
        </w:r>
        <w:r w:rsidRPr="005C0264">
          <w:rPr>
            <w:noProof/>
            <w:webHidden/>
          </w:rPr>
          <w:fldChar w:fldCharType="end"/>
        </w:r>
      </w:hyperlink>
    </w:p>
    <w:p w:rsidR="00011561" w:rsidRPr="005C0264" w:rsidRDefault="00BC2861" w:rsidP="00C551E6">
      <w:pPr>
        <w:pStyle w:val="TDC3"/>
        <w:tabs>
          <w:tab w:val="clear" w:pos="8828"/>
          <w:tab w:val="right" w:leader="dot" w:pos="8820"/>
        </w:tabs>
        <w:rPr>
          <w:rFonts w:ascii="Calibri" w:eastAsia="Times New Roman" w:hAnsi="Calibri"/>
          <w:b w:val="0"/>
          <w:i w:val="0"/>
          <w:smallCaps w:val="0"/>
          <w:w w:val="100"/>
          <w:sz w:val="22"/>
          <w:szCs w:val="22"/>
          <w:lang w:val="en-US" w:eastAsia="en-US"/>
        </w:rPr>
      </w:pPr>
      <w:hyperlink w:anchor="_Toc394313671" w:history="1">
        <w:r w:rsidR="00011561" w:rsidRPr="005C0264">
          <w:rPr>
            <w:rStyle w:val="Hipervnculo"/>
            <w:color w:val="auto"/>
            <w:lang w:val="es-ES_tradnl"/>
          </w:rPr>
          <w:t>B.1) Obligaciones de garantía</w:t>
        </w:r>
        <w:r w:rsidR="00011561" w:rsidRPr="005C0264">
          <w:rPr>
            <w:webHidden/>
          </w:rPr>
          <w:tab/>
        </w:r>
        <w:r w:rsidRPr="005C0264">
          <w:rPr>
            <w:webHidden/>
          </w:rPr>
          <w:fldChar w:fldCharType="begin"/>
        </w:r>
        <w:r w:rsidR="00011561" w:rsidRPr="005C0264">
          <w:rPr>
            <w:webHidden/>
          </w:rPr>
          <w:instrText xml:space="preserve"> PAGEREF _Toc394313671 \h </w:instrText>
        </w:r>
        <w:r w:rsidRPr="005C0264">
          <w:rPr>
            <w:webHidden/>
          </w:rPr>
        </w:r>
        <w:r w:rsidRPr="005C0264">
          <w:rPr>
            <w:webHidden/>
          </w:rPr>
          <w:fldChar w:fldCharType="separate"/>
        </w:r>
        <w:r w:rsidR="00C75D32">
          <w:rPr>
            <w:webHidden/>
          </w:rPr>
          <w:t>51</w:t>
        </w:r>
        <w:r w:rsidRPr="005C0264">
          <w:rPr>
            <w:webHidden/>
          </w:rPr>
          <w:fldChar w:fldCharType="end"/>
        </w:r>
      </w:hyperlink>
    </w:p>
    <w:p w:rsidR="00011561" w:rsidRPr="005C0264" w:rsidRDefault="00BC2861" w:rsidP="00C551E6">
      <w:pPr>
        <w:pStyle w:val="TDC4"/>
        <w:tabs>
          <w:tab w:val="clear" w:pos="8828"/>
          <w:tab w:val="right" w:leader="dot" w:pos="8820"/>
        </w:tabs>
        <w:rPr>
          <w:noProof/>
          <w:lang w:val="en-US" w:eastAsia="en-US"/>
        </w:rPr>
      </w:pPr>
      <w:hyperlink w:anchor="_Toc394313672" w:history="1">
        <w:r w:rsidR="00011561" w:rsidRPr="005C0264">
          <w:rPr>
            <w:rStyle w:val="Hipervnculo"/>
            <w:rFonts w:ascii="Verdana" w:hAnsi="Verdana"/>
            <w:noProof/>
            <w:color w:val="auto"/>
            <w:w w:val="95"/>
          </w:rPr>
          <w:t>B.1.1. Existencia de una situación de riesgo en perjuicio de María Isabel Veliz Franco</w:t>
        </w:r>
        <w:r w:rsidR="00011561" w:rsidRPr="005C0264">
          <w:rPr>
            <w:noProof/>
            <w:webHidden/>
          </w:rPr>
          <w:tab/>
        </w:r>
        <w:r w:rsidRPr="005C0264">
          <w:rPr>
            <w:noProof/>
            <w:webHidden/>
          </w:rPr>
          <w:fldChar w:fldCharType="begin"/>
        </w:r>
        <w:r w:rsidR="00011561" w:rsidRPr="005C0264">
          <w:rPr>
            <w:noProof/>
            <w:webHidden/>
          </w:rPr>
          <w:instrText xml:space="preserve"> PAGEREF _Toc394313672 \h </w:instrText>
        </w:r>
        <w:r w:rsidRPr="005C0264">
          <w:rPr>
            <w:noProof/>
            <w:webHidden/>
          </w:rPr>
        </w:r>
        <w:r w:rsidRPr="005C0264">
          <w:rPr>
            <w:noProof/>
            <w:webHidden/>
          </w:rPr>
          <w:fldChar w:fldCharType="separate"/>
        </w:r>
        <w:r w:rsidR="00C75D32">
          <w:rPr>
            <w:noProof/>
            <w:webHidden/>
          </w:rPr>
          <w:t>54</w:t>
        </w:r>
        <w:r w:rsidRPr="005C0264">
          <w:rPr>
            <w:noProof/>
            <w:webHidden/>
          </w:rPr>
          <w:fldChar w:fldCharType="end"/>
        </w:r>
      </w:hyperlink>
    </w:p>
    <w:p w:rsidR="00011561" w:rsidRPr="005C0264" w:rsidRDefault="00BC2861" w:rsidP="00C551E6">
      <w:pPr>
        <w:pStyle w:val="TDC4"/>
        <w:tabs>
          <w:tab w:val="clear" w:pos="8828"/>
          <w:tab w:val="right" w:leader="dot" w:pos="8820"/>
        </w:tabs>
        <w:rPr>
          <w:noProof/>
          <w:lang w:val="en-US" w:eastAsia="en-US"/>
        </w:rPr>
      </w:pPr>
      <w:hyperlink w:anchor="_Toc394313673" w:history="1">
        <w:r w:rsidR="00011561" w:rsidRPr="005C0264">
          <w:rPr>
            <w:rStyle w:val="Hipervnculo"/>
            <w:rFonts w:ascii="Verdana" w:hAnsi="Verdana"/>
            <w:noProof/>
            <w:color w:val="auto"/>
            <w:w w:val="95"/>
          </w:rPr>
          <w:t>B.1.2. Posibilidades de una actuación estatal diligente para prevenir el riesgo y su concreción</w:t>
        </w:r>
        <w:r w:rsidR="00011561" w:rsidRPr="005C0264">
          <w:rPr>
            <w:noProof/>
            <w:webHidden/>
          </w:rPr>
          <w:tab/>
        </w:r>
        <w:r w:rsidRPr="005C0264">
          <w:rPr>
            <w:noProof/>
            <w:webHidden/>
          </w:rPr>
          <w:fldChar w:fldCharType="begin"/>
        </w:r>
        <w:r w:rsidR="00011561" w:rsidRPr="005C0264">
          <w:rPr>
            <w:noProof/>
            <w:webHidden/>
          </w:rPr>
          <w:instrText xml:space="preserve"> PAGEREF _Toc394313673 \h </w:instrText>
        </w:r>
        <w:r w:rsidRPr="005C0264">
          <w:rPr>
            <w:noProof/>
            <w:webHidden/>
          </w:rPr>
        </w:r>
        <w:r w:rsidRPr="005C0264">
          <w:rPr>
            <w:noProof/>
            <w:webHidden/>
          </w:rPr>
          <w:fldChar w:fldCharType="separate"/>
        </w:r>
        <w:r w:rsidR="00C75D32">
          <w:rPr>
            <w:noProof/>
            <w:webHidden/>
          </w:rPr>
          <w:t>57</w:t>
        </w:r>
        <w:r w:rsidRPr="005C0264">
          <w:rPr>
            <w:noProof/>
            <w:webHidden/>
          </w:rPr>
          <w:fldChar w:fldCharType="end"/>
        </w:r>
      </w:hyperlink>
    </w:p>
    <w:p w:rsidR="00011561" w:rsidRPr="005C0264" w:rsidRDefault="00BC2861" w:rsidP="00C551E6">
      <w:pPr>
        <w:pStyle w:val="TDC3"/>
        <w:tabs>
          <w:tab w:val="clear" w:pos="8828"/>
          <w:tab w:val="right" w:leader="dot" w:pos="8820"/>
        </w:tabs>
        <w:rPr>
          <w:rFonts w:ascii="Calibri" w:eastAsia="Times New Roman" w:hAnsi="Calibri"/>
          <w:b w:val="0"/>
          <w:i w:val="0"/>
          <w:smallCaps w:val="0"/>
          <w:w w:val="100"/>
          <w:sz w:val="22"/>
          <w:szCs w:val="22"/>
          <w:lang w:val="en-US" w:eastAsia="en-US"/>
        </w:rPr>
      </w:pPr>
      <w:hyperlink w:anchor="_Toc394313674" w:history="1">
        <w:r w:rsidR="00011561" w:rsidRPr="005C0264">
          <w:rPr>
            <w:rStyle w:val="Hipervnculo"/>
            <w:bCs/>
            <w:color w:val="auto"/>
            <w:lang w:val="es-CR"/>
          </w:rPr>
          <w:t>B.2) Conclusión</w:t>
        </w:r>
        <w:r w:rsidR="00011561" w:rsidRPr="005C0264">
          <w:rPr>
            <w:webHidden/>
          </w:rPr>
          <w:tab/>
        </w:r>
        <w:r w:rsidRPr="005C0264">
          <w:rPr>
            <w:webHidden/>
          </w:rPr>
          <w:fldChar w:fldCharType="begin"/>
        </w:r>
        <w:r w:rsidR="00011561" w:rsidRPr="005C0264">
          <w:rPr>
            <w:webHidden/>
          </w:rPr>
          <w:instrText xml:space="preserve"> PAGEREF _Toc394313674 \h </w:instrText>
        </w:r>
        <w:r w:rsidRPr="005C0264">
          <w:rPr>
            <w:webHidden/>
          </w:rPr>
        </w:r>
        <w:r w:rsidRPr="005C0264">
          <w:rPr>
            <w:webHidden/>
          </w:rPr>
          <w:fldChar w:fldCharType="separate"/>
        </w:r>
        <w:r w:rsidR="00C75D32">
          <w:rPr>
            <w:webHidden/>
          </w:rPr>
          <w:t>58</w:t>
        </w:r>
        <w:r w:rsidRPr="005C0264">
          <w:rPr>
            <w:webHidden/>
          </w:rPr>
          <w:fldChar w:fldCharType="end"/>
        </w:r>
      </w:hyperlink>
    </w:p>
    <w:p w:rsidR="00011561" w:rsidRPr="005C0264" w:rsidRDefault="00BC2861" w:rsidP="00C551E6">
      <w:pPr>
        <w:pStyle w:val="TDC1"/>
        <w:tabs>
          <w:tab w:val="clear" w:pos="8828"/>
          <w:tab w:val="right" w:leader="dot" w:pos="8820"/>
        </w:tabs>
        <w:rPr>
          <w:w w:val="100"/>
          <w:u w:val="none"/>
          <w:lang w:val="en-US" w:eastAsia="en-US"/>
        </w:rPr>
      </w:pPr>
      <w:hyperlink w:anchor="_Toc394313675" w:history="1">
        <w:r w:rsidR="00011561" w:rsidRPr="005C0264">
          <w:rPr>
            <w:rStyle w:val="Hipervnculo"/>
            <w:color w:val="auto"/>
            <w:lang w:val="es-CR"/>
          </w:rPr>
          <w:t>IX</w:t>
        </w:r>
      </w:hyperlink>
      <w:r w:rsidR="00C551E6" w:rsidRPr="005C0264">
        <w:rPr>
          <w:rStyle w:val="Hipervnculo"/>
          <w:color w:val="auto"/>
        </w:rPr>
        <w:t xml:space="preserve"> </w:t>
      </w:r>
      <w:hyperlink w:anchor="_Toc394313676" w:history="1">
        <w:r w:rsidR="00011561" w:rsidRPr="005C0264">
          <w:rPr>
            <w:rStyle w:val="Hipervnculo"/>
            <w:color w:val="auto"/>
            <w:lang w:val="es-CR"/>
          </w:rPr>
          <w:t>GARANTÍAS JUDICIALES, IGUALDAD ANTE LA LEY y PROTECCIÓN JUDICIAL, EN RELACIÓN CON LAS OBLIGACIONES GENERALES DE RESPETAR Y GARANTIZAR LOS DERECHOS Y ADOPTAR DISPOSICIONES DE DERECHO INTERNO Y CON EL DEBER DE PREVENIR, SANCIONAR Y ERRADICAR LA VIOLENCIA CONTRA LA MUJER</w:t>
        </w:r>
        <w:r w:rsidR="00011561" w:rsidRPr="005C0264">
          <w:rPr>
            <w:webHidden/>
          </w:rPr>
          <w:tab/>
        </w:r>
        <w:r w:rsidRPr="005C0264">
          <w:rPr>
            <w:webHidden/>
          </w:rPr>
          <w:fldChar w:fldCharType="begin"/>
        </w:r>
        <w:r w:rsidR="00011561" w:rsidRPr="005C0264">
          <w:rPr>
            <w:webHidden/>
          </w:rPr>
          <w:instrText xml:space="preserve"> PAGEREF _Toc394313676 \h </w:instrText>
        </w:r>
        <w:r w:rsidRPr="005C0264">
          <w:rPr>
            <w:webHidden/>
          </w:rPr>
        </w:r>
        <w:r w:rsidRPr="005C0264">
          <w:rPr>
            <w:webHidden/>
          </w:rPr>
          <w:fldChar w:fldCharType="separate"/>
        </w:r>
        <w:r w:rsidR="00C75D32">
          <w:rPr>
            <w:webHidden/>
          </w:rPr>
          <w:t>59</w:t>
        </w:r>
        <w:r w:rsidRPr="005C0264">
          <w:rPr>
            <w:webHidden/>
          </w:rPr>
          <w:fldChar w:fldCharType="end"/>
        </w:r>
      </w:hyperlink>
    </w:p>
    <w:p w:rsidR="00011561" w:rsidRPr="005C0264" w:rsidRDefault="00BC2861" w:rsidP="00C551E6">
      <w:pPr>
        <w:pStyle w:val="TDC2"/>
        <w:rPr>
          <w:noProof/>
          <w:lang w:val="en-US" w:eastAsia="en-US"/>
        </w:rPr>
      </w:pPr>
      <w:hyperlink w:anchor="_Toc394313677" w:history="1">
        <w:r w:rsidR="00011561" w:rsidRPr="005C0264">
          <w:rPr>
            <w:rStyle w:val="Hipervnculo"/>
            <w:rFonts w:ascii="Verdana" w:hAnsi="Verdana"/>
            <w:noProof/>
            <w:color w:val="auto"/>
            <w:w w:val="95"/>
            <w:lang w:val="es-CR"/>
          </w:rPr>
          <w:t>A.</w:t>
        </w:r>
        <w:r w:rsidR="00011561" w:rsidRPr="005C0264">
          <w:rPr>
            <w:noProof/>
            <w:lang w:val="en-US" w:eastAsia="en-US"/>
          </w:rPr>
          <w:tab/>
        </w:r>
        <w:r w:rsidR="00011561" w:rsidRPr="005C0264">
          <w:rPr>
            <w:rStyle w:val="Hipervnculo"/>
            <w:rFonts w:ascii="Verdana" w:hAnsi="Verdana"/>
            <w:noProof/>
            <w:color w:val="auto"/>
            <w:w w:val="95"/>
            <w:lang w:val="es-CR"/>
          </w:rPr>
          <w:t>Argumentos de la Comisión y de las partes</w:t>
        </w:r>
        <w:r w:rsidR="00011561" w:rsidRPr="005C0264">
          <w:rPr>
            <w:noProof/>
            <w:webHidden/>
          </w:rPr>
          <w:tab/>
        </w:r>
        <w:r w:rsidRPr="005C0264">
          <w:rPr>
            <w:noProof/>
            <w:webHidden/>
          </w:rPr>
          <w:fldChar w:fldCharType="begin"/>
        </w:r>
        <w:r w:rsidR="00011561" w:rsidRPr="005C0264">
          <w:rPr>
            <w:noProof/>
            <w:webHidden/>
          </w:rPr>
          <w:instrText xml:space="preserve"> PAGEREF _Toc394313677 \h </w:instrText>
        </w:r>
        <w:r w:rsidRPr="005C0264">
          <w:rPr>
            <w:noProof/>
            <w:webHidden/>
          </w:rPr>
        </w:r>
        <w:r w:rsidRPr="005C0264">
          <w:rPr>
            <w:noProof/>
            <w:webHidden/>
          </w:rPr>
          <w:fldChar w:fldCharType="separate"/>
        </w:r>
        <w:r w:rsidR="00C75D32">
          <w:rPr>
            <w:noProof/>
            <w:webHidden/>
          </w:rPr>
          <w:t>59</w:t>
        </w:r>
        <w:r w:rsidRPr="005C0264">
          <w:rPr>
            <w:noProof/>
            <w:webHidden/>
          </w:rPr>
          <w:fldChar w:fldCharType="end"/>
        </w:r>
      </w:hyperlink>
    </w:p>
    <w:p w:rsidR="00011561" w:rsidRPr="005C0264" w:rsidRDefault="00BC2861" w:rsidP="00C551E6">
      <w:pPr>
        <w:pStyle w:val="TDC2"/>
        <w:rPr>
          <w:noProof/>
          <w:lang w:val="en-US" w:eastAsia="en-US"/>
        </w:rPr>
      </w:pPr>
      <w:hyperlink w:anchor="_Toc394313678" w:history="1">
        <w:r w:rsidR="00011561" w:rsidRPr="005C0264">
          <w:rPr>
            <w:rStyle w:val="Hipervnculo"/>
            <w:rFonts w:ascii="Verdana" w:hAnsi="Verdana"/>
            <w:noProof/>
            <w:color w:val="auto"/>
            <w:w w:val="95"/>
          </w:rPr>
          <w:t>B.</w:t>
        </w:r>
        <w:r w:rsidR="00011561" w:rsidRPr="005C0264">
          <w:rPr>
            <w:noProof/>
            <w:lang w:val="en-US" w:eastAsia="en-US"/>
          </w:rPr>
          <w:tab/>
        </w:r>
        <w:r w:rsidR="00011561" w:rsidRPr="005C0264">
          <w:rPr>
            <w:rStyle w:val="Hipervnculo"/>
            <w:rFonts w:ascii="Verdana" w:hAnsi="Verdana"/>
            <w:noProof/>
            <w:color w:val="auto"/>
            <w:w w:val="95"/>
          </w:rPr>
          <w:t>Consideraciones de la Corte</w:t>
        </w:r>
        <w:r w:rsidR="00011561" w:rsidRPr="005C0264">
          <w:rPr>
            <w:noProof/>
            <w:webHidden/>
          </w:rPr>
          <w:tab/>
        </w:r>
        <w:r w:rsidRPr="005C0264">
          <w:rPr>
            <w:noProof/>
            <w:webHidden/>
          </w:rPr>
          <w:fldChar w:fldCharType="begin"/>
        </w:r>
        <w:r w:rsidR="00011561" w:rsidRPr="005C0264">
          <w:rPr>
            <w:noProof/>
            <w:webHidden/>
          </w:rPr>
          <w:instrText xml:space="preserve"> PAGEREF _Toc394313678 \h </w:instrText>
        </w:r>
        <w:r w:rsidRPr="005C0264">
          <w:rPr>
            <w:noProof/>
            <w:webHidden/>
          </w:rPr>
        </w:r>
        <w:r w:rsidRPr="005C0264">
          <w:rPr>
            <w:noProof/>
            <w:webHidden/>
          </w:rPr>
          <w:fldChar w:fldCharType="separate"/>
        </w:r>
        <w:r w:rsidR="00C75D32">
          <w:rPr>
            <w:noProof/>
            <w:webHidden/>
          </w:rPr>
          <w:t>63</w:t>
        </w:r>
        <w:r w:rsidRPr="005C0264">
          <w:rPr>
            <w:noProof/>
            <w:webHidden/>
          </w:rPr>
          <w:fldChar w:fldCharType="end"/>
        </w:r>
      </w:hyperlink>
    </w:p>
    <w:p w:rsidR="00011561" w:rsidRPr="005C0264" w:rsidRDefault="00BC2861" w:rsidP="00C551E6">
      <w:pPr>
        <w:pStyle w:val="TDC3"/>
        <w:tabs>
          <w:tab w:val="clear" w:pos="8828"/>
          <w:tab w:val="right" w:leader="dot" w:pos="8820"/>
        </w:tabs>
        <w:rPr>
          <w:rFonts w:ascii="Calibri" w:eastAsia="Times New Roman" w:hAnsi="Calibri"/>
          <w:b w:val="0"/>
          <w:i w:val="0"/>
          <w:smallCaps w:val="0"/>
          <w:w w:val="100"/>
          <w:sz w:val="22"/>
          <w:szCs w:val="22"/>
          <w:lang w:val="en-US" w:eastAsia="en-US"/>
        </w:rPr>
      </w:pPr>
      <w:hyperlink w:anchor="_Toc394313679" w:history="1">
        <w:r w:rsidR="00011561" w:rsidRPr="005C0264">
          <w:rPr>
            <w:rStyle w:val="Hipervnculo"/>
            <w:color w:val="auto"/>
            <w:lang w:val="es-CR"/>
          </w:rPr>
          <w:t>B.1) Irregularidades a partir del hallazgo del cuerpo de María Isabel, y posteriores actuaciones de los funcionarios estatales (resguardo del lugar del hallazgo, inspección ocular, acta de levantamiento de cadáver, cadena de custodia de las evidencias, autopsia, y peritajes)</w:t>
        </w:r>
        <w:r w:rsidR="00011561" w:rsidRPr="005C0264">
          <w:rPr>
            <w:webHidden/>
          </w:rPr>
          <w:tab/>
        </w:r>
        <w:r w:rsidRPr="005C0264">
          <w:rPr>
            <w:webHidden/>
          </w:rPr>
          <w:fldChar w:fldCharType="begin"/>
        </w:r>
        <w:r w:rsidR="00011561" w:rsidRPr="005C0264">
          <w:rPr>
            <w:webHidden/>
          </w:rPr>
          <w:instrText xml:space="preserve"> PAGEREF _Toc394313679 \h </w:instrText>
        </w:r>
        <w:r w:rsidRPr="005C0264">
          <w:rPr>
            <w:webHidden/>
          </w:rPr>
        </w:r>
        <w:r w:rsidRPr="005C0264">
          <w:rPr>
            <w:webHidden/>
          </w:rPr>
          <w:fldChar w:fldCharType="separate"/>
        </w:r>
        <w:r w:rsidR="00C75D32">
          <w:rPr>
            <w:webHidden/>
          </w:rPr>
          <w:t>67</w:t>
        </w:r>
        <w:r w:rsidRPr="005C0264">
          <w:rPr>
            <w:webHidden/>
          </w:rPr>
          <w:fldChar w:fldCharType="end"/>
        </w:r>
      </w:hyperlink>
    </w:p>
    <w:p w:rsidR="00011561" w:rsidRPr="005C0264" w:rsidRDefault="00BC2861" w:rsidP="00C551E6">
      <w:pPr>
        <w:pStyle w:val="TDC3"/>
        <w:tabs>
          <w:tab w:val="clear" w:pos="8828"/>
          <w:tab w:val="right" w:leader="dot" w:pos="8820"/>
        </w:tabs>
        <w:rPr>
          <w:rFonts w:ascii="Calibri" w:eastAsia="Times New Roman" w:hAnsi="Calibri"/>
          <w:b w:val="0"/>
          <w:i w:val="0"/>
          <w:smallCaps w:val="0"/>
          <w:w w:val="100"/>
          <w:sz w:val="22"/>
          <w:szCs w:val="22"/>
          <w:lang w:val="en-US" w:eastAsia="en-US"/>
        </w:rPr>
      </w:pPr>
      <w:hyperlink w:anchor="_Toc394313680" w:history="1">
        <w:r w:rsidR="00011561" w:rsidRPr="005C0264">
          <w:rPr>
            <w:rStyle w:val="Hipervnculo"/>
            <w:color w:val="auto"/>
          </w:rPr>
          <w:t>B.2) Seguimiento de llamadas telefónicas</w:t>
        </w:r>
        <w:r w:rsidR="00011561" w:rsidRPr="005C0264">
          <w:rPr>
            <w:webHidden/>
          </w:rPr>
          <w:tab/>
        </w:r>
        <w:r w:rsidRPr="005C0264">
          <w:rPr>
            <w:webHidden/>
          </w:rPr>
          <w:fldChar w:fldCharType="begin"/>
        </w:r>
        <w:r w:rsidR="00011561" w:rsidRPr="005C0264">
          <w:rPr>
            <w:webHidden/>
          </w:rPr>
          <w:instrText xml:space="preserve"> PAGEREF _Toc394313680 \h </w:instrText>
        </w:r>
        <w:r w:rsidRPr="005C0264">
          <w:rPr>
            <w:webHidden/>
          </w:rPr>
        </w:r>
        <w:r w:rsidRPr="005C0264">
          <w:rPr>
            <w:webHidden/>
          </w:rPr>
          <w:fldChar w:fldCharType="separate"/>
        </w:r>
        <w:r w:rsidR="00C75D32">
          <w:rPr>
            <w:webHidden/>
          </w:rPr>
          <w:t>72</w:t>
        </w:r>
        <w:r w:rsidRPr="005C0264">
          <w:rPr>
            <w:webHidden/>
          </w:rPr>
          <w:fldChar w:fldCharType="end"/>
        </w:r>
      </w:hyperlink>
    </w:p>
    <w:p w:rsidR="00011561" w:rsidRPr="005C0264" w:rsidRDefault="00BC2861" w:rsidP="00C551E6">
      <w:pPr>
        <w:pStyle w:val="TDC3"/>
        <w:tabs>
          <w:tab w:val="clear" w:pos="8828"/>
          <w:tab w:val="right" w:leader="dot" w:pos="8820"/>
        </w:tabs>
        <w:rPr>
          <w:rFonts w:ascii="Calibri" w:eastAsia="Times New Roman" w:hAnsi="Calibri"/>
          <w:b w:val="0"/>
          <w:i w:val="0"/>
          <w:smallCaps w:val="0"/>
          <w:w w:val="100"/>
          <w:sz w:val="22"/>
          <w:szCs w:val="22"/>
          <w:lang w:val="en-US" w:eastAsia="en-US"/>
        </w:rPr>
      </w:pPr>
      <w:hyperlink w:anchor="_Toc394313681" w:history="1">
        <w:r w:rsidR="00011561" w:rsidRPr="005C0264">
          <w:rPr>
            <w:rStyle w:val="Hipervnculo"/>
            <w:color w:val="auto"/>
            <w:lang w:val="es-CR"/>
          </w:rPr>
          <w:t>B.3) Falta de adopción de medidas cautelares respecto a un sospechoso</w:t>
        </w:r>
        <w:r w:rsidR="00011561" w:rsidRPr="005C0264">
          <w:rPr>
            <w:webHidden/>
          </w:rPr>
          <w:tab/>
        </w:r>
        <w:r w:rsidRPr="005C0264">
          <w:rPr>
            <w:webHidden/>
          </w:rPr>
          <w:fldChar w:fldCharType="begin"/>
        </w:r>
        <w:r w:rsidR="00011561" w:rsidRPr="005C0264">
          <w:rPr>
            <w:webHidden/>
          </w:rPr>
          <w:instrText xml:space="preserve"> PAGEREF _Toc394313681 \h </w:instrText>
        </w:r>
        <w:r w:rsidRPr="005C0264">
          <w:rPr>
            <w:webHidden/>
          </w:rPr>
        </w:r>
        <w:r w:rsidRPr="005C0264">
          <w:rPr>
            <w:webHidden/>
          </w:rPr>
          <w:fldChar w:fldCharType="separate"/>
        </w:r>
        <w:r w:rsidR="00C75D32">
          <w:rPr>
            <w:webHidden/>
          </w:rPr>
          <w:t>73</w:t>
        </w:r>
        <w:r w:rsidRPr="005C0264">
          <w:rPr>
            <w:webHidden/>
          </w:rPr>
          <w:fldChar w:fldCharType="end"/>
        </w:r>
      </w:hyperlink>
    </w:p>
    <w:p w:rsidR="00011561" w:rsidRPr="005C0264" w:rsidRDefault="00BC2861" w:rsidP="00C551E6">
      <w:pPr>
        <w:pStyle w:val="TDC3"/>
        <w:tabs>
          <w:tab w:val="clear" w:pos="8828"/>
          <w:tab w:val="right" w:leader="dot" w:pos="8820"/>
        </w:tabs>
        <w:rPr>
          <w:rFonts w:ascii="Calibri" w:eastAsia="Times New Roman" w:hAnsi="Calibri"/>
          <w:b w:val="0"/>
          <w:i w:val="0"/>
          <w:smallCaps w:val="0"/>
          <w:w w:val="100"/>
          <w:sz w:val="22"/>
          <w:szCs w:val="22"/>
          <w:lang w:val="en-US" w:eastAsia="en-US"/>
        </w:rPr>
      </w:pPr>
      <w:hyperlink w:anchor="_Toc394313682" w:history="1">
        <w:r w:rsidR="00011561" w:rsidRPr="005C0264">
          <w:rPr>
            <w:rStyle w:val="Hipervnculo"/>
            <w:color w:val="auto"/>
            <w:lang w:val="es-CR"/>
          </w:rPr>
          <w:t>B.4) Discriminación y falta de investigación con perspectiva de género</w:t>
        </w:r>
        <w:r w:rsidR="00011561" w:rsidRPr="005C0264">
          <w:rPr>
            <w:webHidden/>
          </w:rPr>
          <w:tab/>
        </w:r>
        <w:r w:rsidRPr="005C0264">
          <w:rPr>
            <w:webHidden/>
          </w:rPr>
          <w:fldChar w:fldCharType="begin"/>
        </w:r>
        <w:r w:rsidR="00011561" w:rsidRPr="005C0264">
          <w:rPr>
            <w:webHidden/>
          </w:rPr>
          <w:instrText xml:space="preserve"> PAGEREF _Toc394313682 \h </w:instrText>
        </w:r>
        <w:r w:rsidRPr="005C0264">
          <w:rPr>
            <w:webHidden/>
          </w:rPr>
        </w:r>
        <w:r w:rsidRPr="005C0264">
          <w:rPr>
            <w:webHidden/>
          </w:rPr>
          <w:fldChar w:fldCharType="separate"/>
        </w:r>
        <w:r w:rsidR="00C75D32">
          <w:rPr>
            <w:webHidden/>
          </w:rPr>
          <w:t>73</w:t>
        </w:r>
        <w:r w:rsidRPr="005C0264">
          <w:rPr>
            <w:webHidden/>
          </w:rPr>
          <w:fldChar w:fldCharType="end"/>
        </w:r>
      </w:hyperlink>
    </w:p>
    <w:p w:rsidR="00011561" w:rsidRPr="005C0264" w:rsidRDefault="00BC2861" w:rsidP="00C551E6">
      <w:pPr>
        <w:pStyle w:val="TDC3"/>
        <w:tabs>
          <w:tab w:val="clear" w:pos="8828"/>
          <w:tab w:val="right" w:leader="dot" w:pos="8820"/>
        </w:tabs>
        <w:rPr>
          <w:rFonts w:ascii="Calibri" w:eastAsia="Times New Roman" w:hAnsi="Calibri"/>
          <w:b w:val="0"/>
          <w:i w:val="0"/>
          <w:smallCaps w:val="0"/>
          <w:w w:val="100"/>
          <w:sz w:val="22"/>
          <w:szCs w:val="22"/>
          <w:lang w:val="en-US" w:eastAsia="en-US"/>
        </w:rPr>
      </w:pPr>
      <w:hyperlink w:anchor="_Toc394313683" w:history="1">
        <w:r w:rsidR="00011561" w:rsidRPr="005C0264">
          <w:rPr>
            <w:rStyle w:val="Hipervnculo"/>
            <w:color w:val="auto"/>
            <w:lang w:val="es-CR"/>
          </w:rPr>
          <w:t>B.5) Plazo razonable</w:t>
        </w:r>
        <w:r w:rsidR="00011561" w:rsidRPr="005C0264">
          <w:rPr>
            <w:webHidden/>
          </w:rPr>
          <w:tab/>
        </w:r>
        <w:r w:rsidRPr="005C0264">
          <w:rPr>
            <w:webHidden/>
          </w:rPr>
          <w:fldChar w:fldCharType="begin"/>
        </w:r>
        <w:r w:rsidR="00011561" w:rsidRPr="005C0264">
          <w:rPr>
            <w:webHidden/>
          </w:rPr>
          <w:instrText xml:space="preserve"> PAGEREF _Toc394313683 \h </w:instrText>
        </w:r>
        <w:r w:rsidRPr="005C0264">
          <w:rPr>
            <w:webHidden/>
          </w:rPr>
        </w:r>
        <w:r w:rsidRPr="005C0264">
          <w:rPr>
            <w:webHidden/>
          </w:rPr>
          <w:fldChar w:fldCharType="separate"/>
        </w:r>
        <w:r w:rsidR="00C75D32">
          <w:rPr>
            <w:webHidden/>
          </w:rPr>
          <w:t>76</w:t>
        </w:r>
        <w:r w:rsidRPr="005C0264">
          <w:rPr>
            <w:webHidden/>
          </w:rPr>
          <w:fldChar w:fldCharType="end"/>
        </w:r>
      </w:hyperlink>
    </w:p>
    <w:p w:rsidR="00011561" w:rsidRPr="005C0264" w:rsidRDefault="00BC2861" w:rsidP="00C551E6">
      <w:pPr>
        <w:pStyle w:val="TDC2"/>
        <w:rPr>
          <w:noProof/>
          <w:lang w:val="en-US" w:eastAsia="en-US"/>
        </w:rPr>
      </w:pPr>
      <w:hyperlink w:anchor="_Toc394313684" w:history="1">
        <w:r w:rsidR="00011561" w:rsidRPr="005C0264">
          <w:rPr>
            <w:rStyle w:val="Hipervnculo"/>
            <w:rFonts w:ascii="Verdana" w:hAnsi="Verdana"/>
            <w:noProof/>
            <w:color w:val="auto"/>
            <w:w w:val="95"/>
          </w:rPr>
          <w:t>C.</w:t>
        </w:r>
        <w:r w:rsidR="00011561" w:rsidRPr="005C0264">
          <w:rPr>
            <w:noProof/>
            <w:lang w:val="en-US" w:eastAsia="en-US"/>
          </w:rPr>
          <w:tab/>
        </w:r>
        <w:r w:rsidR="00011561" w:rsidRPr="005C0264">
          <w:rPr>
            <w:rStyle w:val="Hipervnculo"/>
            <w:rFonts w:ascii="Verdana" w:hAnsi="Verdana"/>
            <w:noProof/>
            <w:color w:val="auto"/>
            <w:w w:val="95"/>
          </w:rPr>
          <w:t>Conclusión</w:t>
        </w:r>
        <w:r w:rsidR="00011561" w:rsidRPr="005C0264">
          <w:rPr>
            <w:noProof/>
            <w:webHidden/>
          </w:rPr>
          <w:tab/>
        </w:r>
        <w:r w:rsidRPr="005C0264">
          <w:rPr>
            <w:noProof/>
            <w:webHidden/>
          </w:rPr>
          <w:fldChar w:fldCharType="begin"/>
        </w:r>
        <w:r w:rsidR="00011561" w:rsidRPr="005C0264">
          <w:rPr>
            <w:noProof/>
            <w:webHidden/>
          </w:rPr>
          <w:instrText xml:space="preserve"> PAGEREF _Toc394313684 \h </w:instrText>
        </w:r>
        <w:r w:rsidRPr="005C0264">
          <w:rPr>
            <w:noProof/>
            <w:webHidden/>
          </w:rPr>
        </w:r>
        <w:r w:rsidRPr="005C0264">
          <w:rPr>
            <w:noProof/>
            <w:webHidden/>
          </w:rPr>
          <w:fldChar w:fldCharType="separate"/>
        </w:r>
        <w:r w:rsidR="00C75D32">
          <w:rPr>
            <w:noProof/>
            <w:webHidden/>
          </w:rPr>
          <w:t>79</w:t>
        </w:r>
        <w:r w:rsidRPr="005C0264">
          <w:rPr>
            <w:noProof/>
            <w:webHidden/>
          </w:rPr>
          <w:fldChar w:fldCharType="end"/>
        </w:r>
      </w:hyperlink>
    </w:p>
    <w:p w:rsidR="00011561" w:rsidRPr="005C0264" w:rsidRDefault="00BC2861" w:rsidP="00C551E6">
      <w:pPr>
        <w:pStyle w:val="TDC1"/>
        <w:tabs>
          <w:tab w:val="clear" w:pos="8828"/>
          <w:tab w:val="right" w:leader="dot" w:pos="8820"/>
        </w:tabs>
        <w:rPr>
          <w:w w:val="100"/>
          <w:u w:val="none"/>
          <w:lang w:val="en-US" w:eastAsia="en-US"/>
        </w:rPr>
      </w:pPr>
      <w:hyperlink w:anchor="_Toc394313685" w:history="1">
        <w:r w:rsidR="00011561" w:rsidRPr="005C0264">
          <w:rPr>
            <w:rStyle w:val="Hipervnculo"/>
            <w:color w:val="auto"/>
            <w:lang w:val="es-MX"/>
          </w:rPr>
          <w:t>X</w:t>
        </w:r>
      </w:hyperlink>
      <w:r w:rsidR="00C551E6" w:rsidRPr="005C0264">
        <w:rPr>
          <w:rStyle w:val="Hipervnculo"/>
          <w:color w:val="auto"/>
        </w:rPr>
        <w:t xml:space="preserve"> </w:t>
      </w:r>
      <w:hyperlink w:anchor="_Toc394313686" w:history="1">
        <w:r w:rsidR="00011561" w:rsidRPr="005C0264">
          <w:rPr>
            <w:rStyle w:val="Hipervnculo"/>
            <w:color w:val="auto"/>
            <w:lang w:val="es-MX"/>
          </w:rPr>
          <w:t>DERECHO A LA INTEGRIDAD PERSONAL DE LOS FAMILIARES, EN RELACION CON LAS OBLIGACIONES DE RESPETAR Y GARANTIZAR LOS DERECHOS</w:t>
        </w:r>
        <w:r w:rsidR="00011561" w:rsidRPr="005C0264">
          <w:rPr>
            <w:webHidden/>
          </w:rPr>
          <w:tab/>
        </w:r>
        <w:r w:rsidRPr="005C0264">
          <w:rPr>
            <w:webHidden/>
          </w:rPr>
          <w:fldChar w:fldCharType="begin"/>
        </w:r>
        <w:r w:rsidR="00011561" w:rsidRPr="005C0264">
          <w:rPr>
            <w:webHidden/>
          </w:rPr>
          <w:instrText xml:space="preserve"> PAGEREF _Toc394313686 \h </w:instrText>
        </w:r>
        <w:r w:rsidRPr="005C0264">
          <w:rPr>
            <w:webHidden/>
          </w:rPr>
        </w:r>
        <w:r w:rsidRPr="005C0264">
          <w:rPr>
            <w:webHidden/>
          </w:rPr>
          <w:fldChar w:fldCharType="separate"/>
        </w:r>
        <w:r w:rsidR="00C75D32">
          <w:rPr>
            <w:webHidden/>
          </w:rPr>
          <w:t>80</w:t>
        </w:r>
        <w:r w:rsidRPr="005C0264">
          <w:rPr>
            <w:webHidden/>
          </w:rPr>
          <w:fldChar w:fldCharType="end"/>
        </w:r>
      </w:hyperlink>
    </w:p>
    <w:p w:rsidR="00011561" w:rsidRPr="005C0264" w:rsidRDefault="00BC2861" w:rsidP="00C551E6">
      <w:pPr>
        <w:pStyle w:val="TDC2"/>
        <w:rPr>
          <w:noProof/>
          <w:lang w:val="en-US" w:eastAsia="en-US"/>
        </w:rPr>
      </w:pPr>
      <w:hyperlink w:anchor="_Toc394313687" w:history="1">
        <w:r w:rsidR="00011561" w:rsidRPr="005C0264">
          <w:rPr>
            <w:rStyle w:val="Hipervnculo"/>
            <w:rFonts w:ascii="Verdana" w:hAnsi="Verdana"/>
            <w:noProof/>
            <w:color w:val="auto"/>
            <w:w w:val="95"/>
          </w:rPr>
          <w:t>A.</w:t>
        </w:r>
        <w:r w:rsidR="00011561" w:rsidRPr="005C0264">
          <w:rPr>
            <w:noProof/>
            <w:lang w:val="en-US" w:eastAsia="en-US"/>
          </w:rPr>
          <w:tab/>
        </w:r>
        <w:r w:rsidR="00011561" w:rsidRPr="005C0264">
          <w:rPr>
            <w:rStyle w:val="Hipervnculo"/>
            <w:rFonts w:ascii="Verdana" w:hAnsi="Verdana"/>
            <w:noProof/>
            <w:color w:val="auto"/>
            <w:w w:val="95"/>
          </w:rPr>
          <w:t>Argumentos de la Comisión y de las partes</w:t>
        </w:r>
        <w:r w:rsidR="00011561" w:rsidRPr="005C0264">
          <w:rPr>
            <w:noProof/>
            <w:webHidden/>
          </w:rPr>
          <w:tab/>
        </w:r>
        <w:r w:rsidRPr="005C0264">
          <w:rPr>
            <w:noProof/>
            <w:webHidden/>
          </w:rPr>
          <w:fldChar w:fldCharType="begin"/>
        </w:r>
        <w:r w:rsidR="00011561" w:rsidRPr="005C0264">
          <w:rPr>
            <w:noProof/>
            <w:webHidden/>
          </w:rPr>
          <w:instrText xml:space="preserve"> PAGEREF _Toc394313687 \h </w:instrText>
        </w:r>
        <w:r w:rsidRPr="005C0264">
          <w:rPr>
            <w:noProof/>
            <w:webHidden/>
          </w:rPr>
        </w:r>
        <w:r w:rsidRPr="005C0264">
          <w:rPr>
            <w:noProof/>
            <w:webHidden/>
          </w:rPr>
          <w:fldChar w:fldCharType="separate"/>
        </w:r>
        <w:r w:rsidR="00C75D32">
          <w:rPr>
            <w:noProof/>
            <w:webHidden/>
          </w:rPr>
          <w:t>80</w:t>
        </w:r>
        <w:r w:rsidRPr="005C0264">
          <w:rPr>
            <w:noProof/>
            <w:webHidden/>
          </w:rPr>
          <w:fldChar w:fldCharType="end"/>
        </w:r>
      </w:hyperlink>
    </w:p>
    <w:p w:rsidR="00011561" w:rsidRPr="005C0264" w:rsidRDefault="00BC2861" w:rsidP="00C551E6">
      <w:pPr>
        <w:pStyle w:val="TDC2"/>
        <w:rPr>
          <w:noProof/>
          <w:lang w:val="en-US" w:eastAsia="en-US"/>
        </w:rPr>
      </w:pPr>
      <w:hyperlink w:anchor="_Toc394313688" w:history="1">
        <w:r w:rsidR="00011561" w:rsidRPr="005C0264">
          <w:rPr>
            <w:rStyle w:val="Hipervnculo"/>
            <w:rFonts w:ascii="Verdana" w:hAnsi="Verdana"/>
            <w:noProof/>
            <w:color w:val="auto"/>
            <w:w w:val="95"/>
          </w:rPr>
          <w:t>B.</w:t>
        </w:r>
        <w:r w:rsidR="00011561" w:rsidRPr="005C0264">
          <w:rPr>
            <w:noProof/>
            <w:lang w:val="en-US" w:eastAsia="en-US"/>
          </w:rPr>
          <w:tab/>
        </w:r>
        <w:r w:rsidR="00011561" w:rsidRPr="005C0264">
          <w:rPr>
            <w:rStyle w:val="Hipervnculo"/>
            <w:rFonts w:ascii="Verdana" w:hAnsi="Verdana"/>
            <w:noProof/>
            <w:color w:val="auto"/>
            <w:w w:val="95"/>
          </w:rPr>
          <w:t>Consideraciones de la Corte</w:t>
        </w:r>
        <w:r w:rsidR="00011561" w:rsidRPr="005C0264">
          <w:rPr>
            <w:noProof/>
            <w:webHidden/>
          </w:rPr>
          <w:tab/>
        </w:r>
        <w:r w:rsidRPr="005C0264">
          <w:rPr>
            <w:noProof/>
            <w:webHidden/>
          </w:rPr>
          <w:fldChar w:fldCharType="begin"/>
        </w:r>
        <w:r w:rsidR="00011561" w:rsidRPr="005C0264">
          <w:rPr>
            <w:noProof/>
            <w:webHidden/>
          </w:rPr>
          <w:instrText xml:space="preserve"> PAGEREF _Toc394313688 \h </w:instrText>
        </w:r>
        <w:r w:rsidRPr="005C0264">
          <w:rPr>
            <w:noProof/>
            <w:webHidden/>
          </w:rPr>
        </w:r>
        <w:r w:rsidRPr="005C0264">
          <w:rPr>
            <w:noProof/>
            <w:webHidden/>
          </w:rPr>
          <w:fldChar w:fldCharType="separate"/>
        </w:r>
        <w:r w:rsidR="00C75D32">
          <w:rPr>
            <w:noProof/>
            <w:webHidden/>
          </w:rPr>
          <w:t>81</w:t>
        </w:r>
        <w:r w:rsidRPr="005C0264">
          <w:rPr>
            <w:noProof/>
            <w:webHidden/>
          </w:rPr>
          <w:fldChar w:fldCharType="end"/>
        </w:r>
      </w:hyperlink>
    </w:p>
    <w:p w:rsidR="00011561" w:rsidRPr="005C0264" w:rsidRDefault="00BC2861" w:rsidP="00C551E6">
      <w:pPr>
        <w:pStyle w:val="TDC1"/>
        <w:tabs>
          <w:tab w:val="clear" w:pos="8828"/>
          <w:tab w:val="right" w:leader="dot" w:pos="8820"/>
        </w:tabs>
        <w:rPr>
          <w:w w:val="100"/>
          <w:u w:val="none"/>
          <w:lang w:val="en-US" w:eastAsia="en-US"/>
        </w:rPr>
      </w:pPr>
      <w:hyperlink w:anchor="_Toc394313689" w:history="1">
        <w:r w:rsidR="00011561" w:rsidRPr="005C0264">
          <w:rPr>
            <w:rStyle w:val="Hipervnculo"/>
            <w:color w:val="auto"/>
          </w:rPr>
          <w:t>XI</w:t>
        </w:r>
      </w:hyperlink>
      <w:r w:rsidR="00C551E6" w:rsidRPr="005C0264">
        <w:rPr>
          <w:rStyle w:val="Hipervnculo"/>
          <w:color w:val="auto"/>
        </w:rPr>
        <w:t xml:space="preserve"> </w:t>
      </w:r>
      <w:hyperlink w:anchor="_Toc394313690" w:history="1">
        <w:r w:rsidR="00011561" w:rsidRPr="005C0264">
          <w:rPr>
            <w:rStyle w:val="Hipervnculo"/>
            <w:color w:val="auto"/>
          </w:rPr>
          <w:t>REPARACIONES</w:t>
        </w:r>
        <w:r w:rsidR="00011561" w:rsidRPr="005C0264">
          <w:rPr>
            <w:webHidden/>
          </w:rPr>
          <w:tab/>
        </w:r>
        <w:r w:rsidRPr="005C0264">
          <w:rPr>
            <w:webHidden/>
          </w:rPr>
          <w:fldChar w:fldCharType="begin"/>
        </w:r>
        <w:r w:rsidR="00011561" w:rsidRPr="005C0264">
          <w:rPr>
            <w:webHidden/>
          </w:rPr>
          <w:instrText xml:space="preserve"> PAGEREF _Toc394313690 \h </w:instrText>
        </w:r>
        <w:r w:rsidRPr="005C0264">
          <w:rPr>
            <w:webHidden/>
          </w:rPr>
        </w:r>
        <w:r w:rsidRPr="005C0264">
          <w:rPr>
            <w:webHidden/>
          </w:rPr>
          <w:fldChar w:fldCharType="separate"/>
        </w:r>
        <w:r w:rsidR="00C75D32">
          <w:rPr>
            <w:webHidden/>
          </w:rPr>
          <w:t>83</w:t>
        </w:r>
        <w:r w:rsidRPr="005C0264">
          <w:rPr>
            <w:webHidden/>
          </w:rPr>
          <w:fldChar w:fldCharType="end"/>
        </w:r>
      </w:hyperlink>
    </w:p>
    <w:p w:rsidR="00011561" w:rsidRPr="005C0264" w:rsidRDefault="00BC2861" w:rsidP="00C551E6">
      <w:pPr>
        <w:pStyle w:val="TDC2"/>
        <w:rPr>
          <w:noProof/>
          <w:lang w:val="en-US" w:eastAsia="en-US"/>
        </w:rPr>
      </w:pPr>
      <w:hyperlink w:anchor="_Toc394313691" w:history="1">
        <w:r w:rsidR="00011561" w:rsidRPr="005C0264">
          <w:rPr>
            <w:rStyle w:val="Hipervnculo"/>
            <w:rFonts w:ascii="Verdana" w:hAnsi="Verdana"/>
            <w:noProof/>
            <w:color w:val="auto"/>
            <w:w w:val="95"/>
          </w:rPr>
          <w:t>A.</w:t>
        </w:r>
        <w:r w:rsidR="00011561" w:rsidRPr="005C0264">
          <w:rPr>
            <w:noProof/>
            <w:lang w:val="en-US" w:eastAsia="en-US"/>
          </w:rPr>
          <w:tab/>
        </w:r>
        <w:r w:rsidR="00011561" w:rsidRPr="005C0264">
          <w:rPr>
            <w:rStyle w:val="Hipervnculo"/>
            <w:rFonts w:ascii="Verdana" w:hAnsi="Verdana"/>
            <w:noProof/>
            <w:color w:val="auto"/>
            <w:w w:val="95"/>
          </w:rPr>
          <w:t>Parte Lesionada</w:t>
        </w:r>
        <w:r w:rsidR="00011561" w:rsidRPr="005C0264">
          <w:rPr>
            <w:noProof/>
            <w:webHidden/>
          </w:rPr>
          <w:tab/>
        </w:r>
        <w:r w:rsidRPr="005C0264">
          <w:rPr>
            <w:noProof/>
            <w:webHidden/>
          </w:rPr>
          <w:fldChar w:fldCharType="begin"/>
        </w:r>
        <w:r w:rsidR="00011561" w:rsidRPr="005C0264">
          <w:rPr>
            <w:noProof/>
            <w:webHidden/>
          </w:rPr>
          <w:instrText xml:space="preserve"> PAGEREF _Toc394313691 \h </w:instrText>
        </w:r>
        <w:r w:rsidRPr="005C0264">
          <w:rPr>
            <w:noProof/>
            <w:webHidden/>
          </w:rPr>
        </w:r>
        <w:r w:rsidRPr="005C0264">
          <w:rPr>
            <w:noProof/>
            <w:webHidden/>
          </w:rPr>
          <w:fldChar w:fldCharType="separate"/>
        </w:r>
        <w:r w:rsidR="00C75D32">
          <w:rPr>
            <w:noProof/>
            <w:webHidden/>
          </w:rPr>
          <w:t>83</w:t>
        </w:r>
        <w:r w:rsidRPr="005C0264">
          <w:rPr>
            <w:noProof/>
            <w:webHidden/>
          </w:rPr>
          <w:fldChar w:fldCharType="end"/>
        </w:r>
      </w:hyperlink>
    </w:p>
    <w:p w:rsidR="00011561" w:rsidRPr="005C0264" w:rsidRDefault="00BC2861" w:rsidP="00C551E6">
      <w:pPr>
        <w:pStyle w:val="TDC2"/>
        <w:rPr>
          <w:noProof/>
          <w:lang w:val="en-US" w:eastAsia="en-US"/>
        </w:rPr>
      </w:pPr>
      <w:hyperlink w:anchor="_Toc394313692" w:history="1">
        <w:r w:rsidR="00011561" w:rsidRPr="005C0264">
          <w:rPr>
            <w:rStyle w:val="Hipervnculo"/>
            <w:rFonts w:ascii="Verdana" w:hAnsi="Verdana"/>
            <w:noProof/>
            <w:color w:val="auto"/>
            <w:w w:val="95"/>
            <w:lang w:val="es-CR"/>
          </w:rPr>
          <w:t>B. Obligación de investigar los hechos e identificar y, en su caso, sancionar a los responsables</w:t>
        </w:r>
        <w:r w:rsidR="00011561" w:rsidRPr="005C0264">
          <w:rPr>
            <w:noProof/>
            <w:webHidden/>
          </w:rPr>
          <w:tab/>
        </w:r>
        <w:r w:rsidRPr="005C0264">
          <w:rPr>
            <w:noProof/>
            <w:webHidden/>
          </w:rPr>
          <w:fldChar w:fldCharType="begin"/>
        </w:r>
        <w:r w:rsidR="00011561" w:rsidRPr="005C0264">
          <w:rPr>
            <w:noProof/>
            <w:webHidden/>
          </w:rPr>
          <w:instrText xml:space="preserve"> PAGEREF _Toc394313692 \h </w:instrText>
        </w:r>
        <w:r w:rsidRPr="005C0264">
          <w:rPr>
            <w:noProof/>
            <w:webHidden/>
          </w:rPr>
        </w:r>
        <w:r w:rsidRPr="005C0264">
          <w:rPr>
            <w:noProof/>
            <w:webHidden/>
          </w:rPr>
          <w:fldChar w:fldCharType="separate"/>
        </w:r>
        <w:r w:rsidR="00C75D32">
          <w:rPr>
            <w:noProof/>
            <w:webHidden/>
          </w:rPr>
          <w:t>83</w:t>
        </w:r>
        <w:r w:rsidRPr="005C0264">
          <w:rPr>
            <w:noProof/>
            <w:webHidden/>
          </w:rPr>
          <w:fldChar w:fldCharType="end"/>
        </w:r>
      </w:hyperlink>
    </w:p>
    <w:p w:rsidR="00011561" w:rsidRPr="005C0264" w:rsidRDefault="00BC2861" w:rsidP="00C551E6">
      <w:pPr>
        <w:pStyle w:val="TDC3"/>
        <w:tabs>
          <w:tab w:val="clear" w:pos="8828"/>
          <w:tab w:val="right" w:leader="dot" w:pos="8820"/>
        </w:tabs>
        <w:rPr>
          <w:rFonts w:ascii="Calibri" w:eastAsia="Times New Roman" w:hAnsi="Calibri"/>
          <w:b w:val="0"/>
          <w:i w:val="0"/>
          <w:smallCaps w:val="0"/>
          <w:w w:val="100"/>
          <w:sz w:val="22"/>
          <w:szCs w:val="22"/>
          <w:lang w:val="en-US" w:eastAsia="en-US"/>
        </w:rPr>
      </w:pPr>
      <w:hyperlink w:anchor="_Toc394313693" w:history="1">
        <w:r w:rsidR="00011561" w:rsidRPr="005C0264">
          <w:rPr>
            <w:rStyle w:val="Hipervnculo"/>
            <w:color w:val="auto"/>
            <w:lang w:val="es-CR"/>
          </w:rPr>
          <w:t>B.1) Argumentos de la Comisión y de las partes</w:t>
        </w:r>
        <w:r w:rsidR="00011561" w:rsidRPr="005C0264">
          <w:rPr>
            <w:webHidden/>
          </w:rPr>
          <w:tab/>
        </w:r>
        <w:r w:rsidRPr="005C0264">
          <w:rPr>
            <w:webHidden/>
          </w:rPr>
          <w:fldChar w:fldCharType="begin"/>
        </w:r>
        <w:r w:rsidR="00011561" w:rsidRPr="005C0264">
          <w:rPr>
            <w:webHidden/>
          </w:rPr>
          <w:instrText xml:space="preserve"> PAGEREF _Toc394313693 \h </w:instrText>
        </w:r>
        <w:r w:rsidRPr="005C0264">
          <w:rPr>
            <w:webHidden/>
          </w:rPr>
        </w:r>
        <w:r w:rsidRPr="005C0264">
          <w:rPr>
            <w:webHidden/>
          </w:rPr>
          <w:fldChar w:fldCharType="separate"/>
        </w:r>
        <w:r w:rsidR="00C75D32">
          <w:rPr>
            <w:webHidden/>
          </w:rPr>
          <w:t>83</w:t>
        </w:r>
        <w:r w:rsidRPr="005C0264">
          <w:rPr>
            <w:webHidden/>
          </w:rPr>
          <w:fldChar w:fldCharType="end"/>
        </w:r>
      </w:hyperlink>
    </w:p>
    <w:p w:rsidR="00011561" w:rsidRPr="005C0264" w:rsidRDefault="00BC2861" w:rsidP="00C551E6">
      <w:pPr>
        <w:pStyle w:val="TDC3"/>
        <w:tabs>
          <w:tab w:val="clear" w:pos="8828"/>
          <w:tab w:val="right" w:leader="dot" w:pos="8820"/>
        </w:tabs>
        <w:rPr>
          <w:rFonts w:ascii="Calibri" w:eastAsia="Times New Roman" w:hAnsi="Calibri"/>
          <w:b w:val="0"/>
          <w:i w:val="0"/>
          <w:smallCaps w:val="0"/>
          <w:w w:val="100"/>
          <w:sz w:val="22"/>
          <w:szCs w:val="22"/>
          <w:lang w:val="en-US" w:eastAsia="en-US"/>
        </w:rPr>
      </w:pPr>
      <w:hyperlink w:anchor="_Toc394313694" w:history="1">
        <w:r w:rsidR="00011561" w:rsidRPr="005C0264">
          <w:rPr>
            <w:rStyle w:val="Hipervnculo"/>
            <w:color w:val="auto"/>
            <w:lang w:val="es-CR"/>
          </w:rPr>
          <w:t>B.2) Consideraciones de la Corte</w:t>
        </w:r>
        <w:r w:rsidR="00011561" w:rsidRPr="005C0264">
          <w:rPr>
            <w:webHidden/>
          </w:rPr>
          <w:tab/>
        </w:r>
        <w:r w:rsidRPr="005C0264">
          <w:rPr>
            <w:webHidden/>
          </w:rPr>
          <w:fldChar w:fldCharType="begin"/>
        </w:r>
        <w:r w:rsidR="00011561" w:rsidRPr="005C0264">
          <w:rPr>
            <w:webHidden/>
          </w:rPr>
          <w:instrText xml:space="preserve"> PAGEREF _Toc394313694 \h </w:instrText>
        </w:r>
        <w:r w:rsidRPr="005C0264">
          <w:rPr>
            <w:webHidden/>
          </w:rPr>
        </w:r>
        <w:r w:rsidRPr="005C0264">
          <w:rPr>
            <w:webHidden/>
          </w:rPr>
          <w:fldChar w:fldCharType="separate"/>
        </w:r>
        <w:r w:rsidR="00C75D32">
          <w:rPr>
            <w:webHidden/>
          </w:rPr>
          <w:t>84</w:t>
        </w:r>
        <w:r w:rsidRPr="005C0264">
          <w:rPr>
            <w:webHidden/>
          </w:rPr>
          <w:fldChar w:fldCharType="end"/>
        </w:r>
      </w:hyperlink>
    </w:p>
    <w:p w:rsidR="00011561" w:rsidRPr="005C0264" w:rsidRDefault="00BC2861" w:rsidP="00C551E6">
      <w:pPr>
        <w:pStyle w:val="TDC2"/>
        <w:rPr>
          <w:noProof/>
          <w:lang w:val="en-US" w:eastAsia="en-US"/>
        </w:rPr>
      </w:pPr>
      <w:hyperlink w:anchor="_Toc394313695" w:history="1">
        <w:r w:rsidR="00011561" w:rsidRPr="005C0264">
          <w:rPr>
            <w:rStyle w:val="Hipervnculo"/>
            <w:rFonts w:ascii="Verdana" w:hAnsi="Verdana"/>
            <w:noProof/>
            <w:color w:val="auto"/>
            <w:w w:val="95"/>
            <w:lang w:val="es-EC"/>
          </w:rPr>
          <w:t>C. Medidas de satisfacción</w:t>
        </w:r>
        <w:r w:rsidR="00011561" w:rsidRPr="005C0264">
          <w:rPr>
            <w:noProof/>
            <w:webHidden/>
          </w:rPr>
          <w:tab/>
        </w:r>
        <w:r w:rsidRPr="005C0264">
          <w:rPr>
            <w:noProof/>
            <w:webHidden/>
          </w:rPr>
          <w:fldChar w:fldCharType="begin"/>
        </w:r>
        <w:r w:rsidR="00011561" w:rsidRPr="005C0264">
          <w:rPr>
            <w:noProof/>
            <w:webHidden/>
          </w:rPr>
          <w:instrText xml:space="preserve"> PAGEREF _Toc394313695 \h </w:instrText>
        </w:r>
        <w:r w:rsidRPr="005C0264">
          <w:rPr>
            <w:noProof/>
            <w:webHidden/>
          </w:rPr>
        </w:r>
        <w:r w:rsidRPr="005C0264">
          <w:rPr>
            <w:noProof/>
            <w:webHidden/>
          </w:rPr>
          <w:fldChar w:fldCharType="separate"/>
        </w:r>
        <w:r w:rsidR="00C75D32">
          <w:rPr>
            <w:noProof/>
            <w:webHidden/>
          </w:rPr>
          <w:t>84</w:t>
        </w:r>
        <w:r w:rsidRPr="005C0264">
          <w:rPr>
            <w:noProof/>
            <w:webHidden/>
          </w:rPr>
          <w:fldChar w:fldCharType="end"/>
        </w:r>
      </w:hyperlink>
    </w:p>
    <w:p w:rsidR="00011561" w:rsidRPr="005C0264" w:rsidRDefault="00BC2861" w:rsidP="00C551E6">
      <w:pPr>
        <w:pStyle w:val="TDC3"/>
        <w:tabs>
          <w:tab w:val="clear" w:pos="8828"/>
          <w:tab w:val="right" w:leader="dot" w:pos="8820"/>
        </w:tabs>
        <w:rPr>
          <w:rFonts w:ascii="Calibri" w:eastAsia="Times New Roman" w:hAnsi="Calibri"/>
          <w:b w:val="0"/>
          <w:i w:val="0"/>
          <w:smallCaps w:val="0"/>
          <w:w w:val="100"/>
          <w:sz w:val="22"/>
          <w:szCs w:val="22"/>
          <w:lang w:val="en-US" w:eastAsia="en-US"/>
        </w:rPr>
      </w:pPr>
      <w:hyperlink w:anchor="_Toc394313696" w:history="1">
        <w:r w:rsidR="00011561" w:rsidRPr="005C0264">
          <w:rPr>
            <w:rStyle w:val="Hipervnculo"/>
            <w:color w:val="auto"/>
          </w:rPr>
          <w:t>C.1) Argumentos de la Comisión y de las partes</w:t>
        </w:r>
        <w:r w:rsidR="00011561" w:rsidRPr="005C0264">
          <w:rPr>
            <w:webHidden/>
          </w:rPr>
          <w:tab/>
        </w:r>
        <w:r w:rsidRPr="005C0264">
          <w:rPr>
            <w:webHidden/>
          </w:rPr>
          <w:fldChar w:fldCharType="begin"/>
        </w:r>
        <w:r w:rsidR="00011561" w:rsidRPr="005C0264">
          <w:rPr>
            <w:webHidden/>
          </w:rPr>
          <w:instrText xml:space="preserve"> PAGEREF _Toc394313696 \h </w:instrText>
        </w:r>
        <w:r w:rsidRPr="005C0264">
          <w:rPr>
            <w:webHidden/>
          </w:rPr>
        </w:r>
        <w:r w:rsidRPr="005C0264">
          <w:rPr>
            <w:webHidden/>
          </w:rPr>
          <w:fldChar w:fldCharType="separate"/>
        </w:r>
        <w:r w:rsidR="00C75D32">
          <w:rPr>
            <w:webHidden/>
          </w:rPr>
          <w:t>84</w:t>
        </w:r>
        <w:r w:rsidRPr="005C0264">
          <w:rPr>
            <w:webHidden/>
          </w:rPr>
          <w:fldChar w:fldCharType="end"/>
        </w:r>
      </w:hyperlink>
    </w:p>
    <w:p w:rsidR="00011561" w:rsidRPr="005C0264" w:rsidRDefault="00BC2861" w:rsidP="00C551E6">
      <w:pPr>
        <w:pStyle w:val="TDC3"/>
        <w:tabs>
          <w:tab w:val="clear" w:pos="8828"/>
          <w:tab w:val="right" w:leader="dot" w:pos="8820"/>
        </w:tabs>
        <w:rPr>
          <w:rFonts w:ascii="Calibri" w:eastAsia="Times New Roman" w:hAnsi="Calibri"/>
          <w:b w:val="0"/>
          <w:i w:val="0"/>
          <w:smallCaps w:val="0"/>
          <w:w w:val="100"/>
          <w:sz w:val="22"/>
          <w:szCs w:val="22"/>
          <w:lang w:val="en-US" w:eastAsia="en-US"/>
        </w:rPr>
      </w:pPr>
      <w:hyperlink w:anchor="_Toc394313697" w:history="1">
        <w:r w:rsidR="00011561" w:rsidRPr="005C0264">
          <w:rPr>
            <w:rStyle w:val="Hipervnculo"/>
            <w:color w:val="auto"/>
            <w:lang w:val="es-CR"/>
          </w:rPr>
          <w:t>C.2) Consideraciones de la Corte</w:t>
        </w:r>
        <w:r w:rsidR="00011561" w:rsidRPr="005C0264">
          <w:rPr>
            <w:webHidden/>
          </w:rPr>
          <w:tab/>
        </w:r>
        <w:r w:rsidRPr="005C0264">
          <w:rPr>
            <w:webHidden/>
          </w:rPr>
          <w:fldChar w:fldCharType="begin"/>
        </w:r>
        <w:r w:rsidR="00011561" w:rsidRPr="005C0264">
          <w:rPr>
            <w:webHidden/>
          </w:rPr>
          <w:instrText xml:space="preserve"> PAGEREF _Toc394313697 \h </w:instrText>
        </w:r>
        <w:r w:rsidRPr="005C0264">
          <w:rPr>
            <w:webHidden/>
          </w:rPr>
        </w:r>
        <w:r w:rsidRPr="005C0264">
          <w:rPr>
            <w:webHidden/>
          </w:rPr>
          <w:fldChar w:fldCharType="separate"/>
        </w:r>
        <w:r w:rsidR="00C75D32">
          <w:rPr>
            <w:webHidden/>
          </w:rPr>
          <w:t>85</w:t>
        </w:r>
        <w:r w:rsidRPr="005C0264">
          <w:rPr>
            <w:webHidden/>
          </w:rPr>
          <w:fldChar w:fldCharType="end"/>
        </w:r>
      </w:hyperlink>
    </w:p>
    <w:p w:rsidR="00011561" w:rsidRPr="005C0264" w:rsidRDefault="00BC2861" w:rsidP="00C551E6">
      <w:pPr>
        <w:pStyle w:val="TDC4"/>
        <w:tabs>
          <w:tab w:val="clear" w:pos="8828"/>
          <w:tab w:val="right" w:leader="dot" w:pos="8820"/>
        </w:tabs>
        <w:rPr>
          <w:noProof/>
          <w:lang w:val="en-US" w:eastAsia="en-US"/>
        </w:rPr>
      </w:pPr>
      <w:hyperlink w:anchor="_Toc394313698" w:history="1">
        <w:r w:rsidR="00011561" w:rsidRPr="005C0264">
          <w:rPr>
            <w:rStyle w:val="Hipervnculo"/>
            <w:rFonts w:ascii="Verdana" w:hAnsi="Verdana"/>
            <w:noProof/>
            <w:color w:val="auto"/>
            <w:w w:val="95"/>
          </w:rPr>
          <w:t>C.2.1. Publicación de la Sentencia</w:t>
        </w:r>
        <w:r w:rsidR="00011561" w:rsidRPr="005C0264">
          <w:rPr>
            <w:noProof/>
            <w:webHidden/>
          </w:rPr>
          <w:tab/>
        </w:r>
        <w:r w:rsidRPr="005C0264">
          <w:rPr>
            <w:noProof/>
            <w:webHidden/>
          </w:rPr>
          <w:fldChar w:fldCharType="begin"/>
        </w:r>
        <w:r w:rsidR="00011561" w:rsidRPr="005C0264">
          <w:rPr>
            <w:noProof/>
            <w:webHidden/>
          </w:rPr>
          <w:instrText xml:space="preserve"> PAGEREF _Toc394313698 \h </w:instrText>
        </w:r>
        <w:r w:rsidRPr="005C0264">
          <w:rPr>
            <w:noProof/>
            <w:webHidden/>
          </w:rPr>
        </w:r>
        <w:r w:rsidRPr="005C0264">
          <w:rPr>
            <w:noProof/>
            <w:webHidden/>
          </w:rPr>
          <w:fldChar w:fldCharType="separate"/>
        </w:r>
        <w:r w:rsidR="00C75D32">
          <w:rPr>
            <w:noProof/>
            <w:webHidden/>
          </w:rPr>
          <w:t>85</w:t>
        </w:r>
        <w:r w:rsidRPr="005C0264">
          <w:rPr>
            <w:noProof/>
            <w:webHidden/>
          </w:rPr>
          <w:fldChar w:fldCharType="end"/>
        </w:r>
      </w:hyperlink>
    </w:p>
    <w:p w:rsidR="00011561" w:rsidRPr="005C0264" w:rsidRDefault="00BC2861" w:rsidP="00C551E6">
      <w:pPr>
        <w:pStyle w:val="TDC4"/>
        <w:tabs>
          <w:tab w:val="clear" w:pos="8828"/>
          <w:tab w:val="right" w:leader="dot" w:pos="8820"/>
        </w:tabs>
        <w:rPr>
          <w:noProof/>
          <w:lang w:val="en-US" w:eastAsia="en-US"/>
        </w:rPr>
      </w:pPr>
      <w:hyperlink w:anchor="_Toc394313699" w:history="1">
        <w:r w:rsidR="00011561" w:rsidRPr="005C0264">
          <w:rPr>
            <w:rStyle w:val="Hipervnculo"/>
            <w:rFonts w:ascii="Verdana" w:hAnsi="Verdana"/>
            <w:noProof/>
            <w:color w:val="auto"/>
            <w:w w:val="95"/>
          </w:rPr>
          <w:t>C.2.2. Acto de disculpas públicas</w:t>
        </w:r>
        <w:r w:rsidR="00011561" w:rsidRPr="005C0264">
          <w:rPr>
            <w:noProof/>
            <w:webHidden/>
          </w:rPr>
          <w:tab/>
        </w:r>
        <w:r w:rsidRPr="005C0264">
          <w:rPr>
            <w:noProof/>
            <w:webHidden/>
          </w:rPr>
          <w:fldChar w:fldCharType="begin"/>
        </w:r>
        <w:r w:rsidR="00011561" w:rsidRPr="005C0264">
          <w:rPr>
            <w:noProof/>
            <w:webHidden/>
          </w:rPr>
          <w:instrText xml:space="preserve"> PAGEREF _Toc394313699 \h </w:instrText>
        </w:r>
        <w:r w:rsidRPr="005C0264">
          <w:rPr>
            <w:noProof/>
            <w:webHidden/>
          </w:rPr>
        </w:r>
        <w:r w:rsidRPr="005C0264">
          <w:rPr>
            <w:noProof/>
            <w:webHidden/>
          </w:rPr>
          <w:fldChar w:fldCharType="separate"/>
        </w:r>
        <w:r w:rsidR="00C75D32">
          <w:rPr>
            <w:noProof/>
            <w:webHidden/>
          </w:rPr>
          <w:t>86</w:t>
        </w:r>
        <w:r w:rsidRPr="005C0264">
          <w:rPr>
            <w:noProof/>
            <w:webHidden/>
          </w:rPr>
          <w:fldChar w:fldCharType="end"/>
        </w:r>
      </w:hyperlink>
    </w:p>
    <w:p w:rsidR="00011561" w:rsidRPr="005C0264" w:rsidRDefault="00BC2861" w:rsidP="00C551E6">
      <w:pPr>
        <w:pStyle w:val="TDC4"/>
        <w:tabs>
          <w:tab w:val="clear" w:pos="8828"/>
          <w:tab w:val="right" w:leader="dot" w:pos="8820"/>
        </w:tabs>
        <w:rPr>
          <w:noProof/>
          <w:lang w:val="en-US" w:eastAsia="en-US"/>
        </w:rPr>
      </w:pPr>
      <w:hyperlink w:anchor="_Toc394313700" w:history="1">
        <w:r w:rsidR="00011561" w:rsidRPr="005C0264">
          <w:rPr>
            <w:rStyle w:val="Hipervnculo"/>
            <w:rFonts w:ascii="Verdana" w:hAnsi="Verdana"/>
            <w:noProof/>
            <w:color w:val="auto"/>
            <w:w w:val="95"/>
          </w:rPr>
          <w:t>C.2.3. Otras medidas solicitadas</w:t>
        </w:r>
        <w:r w:rsidR="00011561" w:rsidRPr="005C0264">
          <w:rPr>
            <w:noProof/>
            <w:webHidden/>
          </w:rPr>
          <w:tab/>
        </w:r>
        <w:r w:rsidRPr="005C0264">
          <w:rPr>
            <w:noProof/>
            <w:webHidden/>
          </w:rPr>
          <w:fldChar w:fldCharType="begin"/>
        </w:r>
        <w:r w:rsidR="00011561" w:rsidRPr="005C0264">
          <w:rPr>
            <w:noProof/>
            <w:webHidden/>
          </w:rPr>
          <w:instrText xml:space="preserve"> PAGEREF _Toc394313700 \h </w:instrText>
        </w:r>
        <w:r w:rsidRPr="005C0264">
          <w:rPr>
            <w:noProof/>
            <w:webHidden/>
          </w:rPr>
        </w:r>
        <w:r w:rsidRPr="005C0264">
          <w:rPr>
            <w:noProof/>
            <w:webHidden/>
          </w:rPr>
          <w:fldChar w:fldCharType="separate"/>
        </w:r>
        <w:r w:rsidR="00C75D32">
          <w:rPr>
            <w:noProof/>
            <w:webHidden/>
          </w:rPr>
          <w:t>86</w:t>
        </w:r>
        <w:r w:rsidRPr="005C0264">
          <w:rPr>
            <w:noProof/>
            <w:webHidden/>
          </w:rPr>
          <w:fldChar w:fldCharType="end"/>
        </w:r>
      </w:hyperlink>
    </w:p>
    <w:p w:rsidR="00011561" w:rsidRPr="005C0264" w:rsidRDefault="00BC2861" w:rsidP="00C551E6">
      <w:pPr>
        <w:pStyle w:val="TDC2"/>
        <w:rPr>
          <w:noProof/>
          <w:lang w:val="en-US" w:eastAsia="en-US"/>
        </w:rPr>
      </w:pPr>
      <w:hyperlink w:anchor="_Toc394313701" w:history="1">
        <w:r w:rsidR="00011561" w:rsidRPr="005C0264">
          <w:rPr>
            <w:rStyle w:val="Hipervnculo"/>
            <w:rFonts w:ascii="Verdana" w:hAnsi="Verdana"/>
            <w:noProof/>
            <w:color w:val="auto"/>
            <w:w w:val="95"/>
            <w:lang w:val="es-CR"/>
          </w:rPr>
          <w:t>D. Garantías de no repetición</w:t>
        </w:r>
        <w:r w:rsidR="00011561" w:rsidRPr="005C0264">
          <w:rPr>
            <w:noProof/>
            <w:webHidden/>
          </w:rPr>
          <w:tab/>
        </w:r>
        <w:r w:rsidRPr="005C0264">
          <w:rPr>
            <w:noProof/>
            <w:webHidden/>
          </w:rPr>
          <w:fldChar w:fldCharType="begin"/>
        </w:r>
        <w:r w:rsidR="00011561" w:rsidRPr="005C0264">
          <w:rPr>
            <w:noProof/>
            <w:webHidden/>
          </w:rPr>
          <w:instrText xml:space="preserve"> PAGEREF _Toc394313701 \h </w:instrText>
        </w:r>
        <w:r w:rsidRPr="005C0264">
          <w:rPr>
            <w:noProof/>
            <w:webHidden/>
          </w:rPr>
        </w:r>
        <w:r w:rsidRPr="005C0264">
          <w:rPr>
            <w:noProof/>
            <w:webHidden/>
          </w:rPr>
          <w:fldChar w:fldCharType="separate"/>
        </w:r>
        <w:r w:rsidR="00C75D32">
          <w:rPr>
            <w:noProof/>
            <w:webHidden/>
          </w:rPr>
          <w:t>86</w:t>
        </w:r>
        <w:r w:rsidRPr="005C0264">
          <w:rPr>
            <w:noProof/>
            <w:webHidden/>
          </w:rPr>
          <w:fldChar w:fldCharType="end"/>
        </w:r>
      </w:hyperlink>
    </w:p>
    <w:p w:rsidR="00011561" w:rsidRPr="005C0264" w:rsidRDefault="00BC2861" w:rsidP="00C551E6">
      <w:pPr>
        <w:pStyle w:val="TDC3"/>
        <w:tabs>
          <w:tab w:val="clear" w:pos="8828"/>
          <w:tab w:val="right" w:leader="dot" w:pos="8820"/>
        </w:tabs>
        <w:rPr>
          <w:rFonts w:ascii="Calibri" w:eastAsia="Times New Roman" w:hAnsi="Calibri"/>
          <w:b w:val="0"/>
          <w:i w:val="0"/>
          <w:smallCaps w:val="0"/>
          <w:w w:val="100"/>
          <w:sz w:val="22"/>
          <w:szCs w:val="22"/>
          <w:lang w:val="en-US" w:eastAsia="en-US"/>
        </w:rPr>
      </w:pPr>
      <w:hyperlink w:anchor="_Toc394313702" w:history="1">
        <w:r w:rsidR="00011561" w:rsidRPr="005C0264">
          <w:rPr>
            <w:rStyle w:val="Hipervnculo"/>
            <w:color w:val="auto"/>
          </w:rPr>
          <w:t>D.</w:t>
        </w:r>
        <w:r w:rsidR="00011561" w:rsidRPr="005C0264">
          <w:rPr>
            <w:rStyle w:val="Hipervnculo"/>
            <w:color w:val="auto"/>
            <w:lang w:val="es-CR"/>
          </w:rPr>
          <w:t xml:space="preserve">1) Solicitud </w:t>
        </w:r>
        <w:r w:rsidR="00011561" w:rsidRPr="005C0264">
          <w:rPr>
            <w:rStyle w:val="Hipervnculo"/>
            <w:color w:val="auto"/>
          </w:rPr>
          <w:t>de fortalecer la capacidad institucional para combatir la impunidad frente a casos de violencia contra las mujeres</w:t>
        </w:r>
        <w:r w:rsidR="00011561" w:rsidRPr="005C0264">
          <w:rPr>
            <w:rStyle w:val="Hipervnculo"/>
            <w:color w:val="auto"/>
            <w:lang w:val="es-CR"/>
          </w:rPr>
          <w:t xml:space="preserve"> y  garantizar que los dichos casos sean adecuadamente prevenidos, investigados, sancionados y reparados</w:t>
        </w:r>
        <w:r w:rsidR="00011561" w:rsidRPr="005C0264">
          <w:rPr>
            <w:webHidden/>
          </w:rPr>
          <w:tab/>
        </w:r>
        <w:r w:rsidRPr="005C0264">
          <w:rPr>
            <w:webHidden/>
          </w:rPr>
          <w:fldChar w:fldCharType="begin"/>
        </w:r>
        <w:r w:rsidR="00011561" w:rsidRPr="005C0264">
          <w:rPr>
            <w:webHidden/>
          </w:rPr>
          <w:instrText xml:space="preserve"> PAGEREF _Toc394313702 \h </w:instrText>
        </w:r>
        <w:r w:rsidRPr="005C0264">
          <w:rPr>
            <w:webHidden/>
          </w:rPr>
        </w:r>
        <w:r w:rsidRPr="005C0264">
          <w:rPr>
            <w:webHidden/>
          </w:rPr>
          <w:fldChar w:fldCharType="separate"/>
        </w:r>
        <w:r w:rsidR="00C75D32">
          <w:rPr>
            <w:webHidden/>
          </w:rPr>
          <w:t>86</w:t>
        </w:r>
        <w:r w:rsidRPr="005C0264">
          <w:rPr>
            <w:webHidden/>
          </w:rPr>
          <w:fldChar w:fldCharType="end"/>
        </w:r>
      </w:hyperlink>
    </w:p>
    <w:p w:rsidR="00011561" w:rsidRPr="005C0264" w:rsidRDefault="00BC2861" w:rsidP="00C551E6">
      <w:pPr>
        <w:pStyle w:val="TDC4"/>
        <w:tabs>
          <w:tab w:val="clear" w:pos="8828"/>
          <w:tab w:val="right" w:leader="dot" w:pos="8820"/>
        </w:tabs>
        <w:rPr>
          <w:noProof/>
          <w:lang w:val="en-US" w:eastAsia="en-US"/>
        </w:rPr>
      </w:pPr>
      <w:hyperlink w:anchor="_Toc394313703" w:history="1">
        <w:r w:rsidR="00011561" w:rsidRPr="005C0264">
          <w:rPr>
            <w:rStyle w:val="Hipervnculo"/>
            <w:rFonts w:ascii="Verdana" w:hAnsi="Verdana"/>
            <w:noProof/>
            <w:color w:val="auto"/>
            <w:w w:val="95"/>
          </w:rPr>
          <w:t>D.1.1. Argumentos de la Comisión y el Estado</w:t>
        </w:r>
        <w:r w:rsidR="00011561" w:rsidRPr="005C0264">
          <w:rPr>
            <w:noProof/>
            <w:webHidden/>
          </w:rPr>
          <w:tab/>
        </w:r>
        <w:r w:rsidRPr="005C0264">
          <w:rPr>
            <w:noProof/>
            <w:webHidden/>
          </w:rPr>
          <w:fldChar w:fldCharType="begin"/>
        </w:r>
        <w:r w:rsidR="00011561" w:rsidRPr="005C0264">
          <w:rPr>
            <w:noProof/>
            <w:webHidden/>
          </w:rPr>
          <w:instrText xml:space="preserve"> PAGEREF _Toc394313703 \h </w:instrText>
        </w:r>
        <w:r w:rsidRPr="005C0264">
          <w:rPr>
            <w:noProof/>
            <w:webHidden/>
          </w:rPr>
        </w:r>
        <w:r w:rsidRPr="005C0264">
          <w:rPr>
            <w:noProof/>
            <w:webHidden/>
          </w:rPr>
          <w:fldChar w:fldCharType="separate"/>
        </w:r>
        <w:r w:rsidR="00C75D32">
          <w:rPr>
            <w:noProof/>
            <w:webHidden/>
          </w:rPr>
          <w:t>86</w:t>
        </w:r>
        <w:r w:rsidRPr="005C0264">
          <w:rPr>
            <w:noProof/>
            <w:webHidden/>
          </w:rPr>
          <w:fldChar w:fldCharType="end"/>
        </w:r>
      </w:hyperlink>
    </w:p>
    <w:p w:rsidR="00011561" w:rsidRPr="005C0264" w:rsidRDefault="00BC2861" w:rsidP="00C551E6">
      <w:pPr>
        <w:pStyle w:val="TDC4"/>
        <w:tabs>
          <w:tab w:val="clear" w:pos="8828"/>
          <w:tab w:val="right" w:leader="dot" w:pos="8820"/>
        </w:tabs>
        <w:rPr>
          <w:noProof/>
          <w:lang w:val="en-US" w:eastAsia="en-US"/>
        </w:rPr>
      </w:pPr>
      <w:hyperlink w:anchor="_Toc394313704" w:history="1">
        <w:r w:rsidR="00011561" w:rsidRPr="005C0264">
          <w:rPr>
            <w:rStyle w:val="Hipervnculo"/>
            <w:rFonts w:ascii="Verdana" w:hAnsi="Verdana"/>
            <w:noProof/>
            <w:color w:val="auto"/>
            <w:w w:val="95"/>
          </w:rPr>
          <w:t>D.1.2. Consideraciones de la Corte</w:t>
        </w:r>
        <w:r w:rsidR="00011561" w:rsidRPr="005C0264">
          <w:rPr>
            <w:noProof/>
            <w:webHidden/>
          </w:rPr>
          <w:tab/>
        </w:r>
        <w:r w:rsidRPr="005C0264">
          <w:rPr>
            <w:noProof/>
            <w:webHidden/>
          </w:rPr>
          <w:fldChar w:fldCharType="begin"/>
        </w:r>
        <w:r w:rsidR="00011561" w:rsidRPr="005C0264">
          <w:rPr>
            <w:noProof/>
            <w:webHidden/>
          </w:rPr>
          <w:instrText xml:space="preserve"> PAGEREF _Toc394313704 \h </w:instrText>
        </w:r>
        <w:r w:rsidRPr="005C0264">
          <w:rPr>
            <w:noProof/>
            <w:webHidden/>
          </w:rPr>
        </w:r>
        <w:r w:rsidRPr="005C0264">
          <w:rPr>
            <w:noProof/>
            <w:webHidden/>
          </w:rPr>
          <w:fldChar w:fldCharType="separate"/>
        </w:r>
        <w:r w:rsidR="00C75D32">
          <w:rPr>
            <w:noProof/>
            <w:webHidden/>
          </w:rPr>
          <w:t>87</w:t>
        </w:r>
        <w:r w:rsidRPr="005C0264">
          <w:rPr>
            <w:noProof/>
            <w:webHidden/>
          </w:rPr>
          <w:fldChar w:fldCharType="end"/>
        </w:r>
      </w:hyperlink>
    </w:p>
    <w:p w:rsidR="00011561" w:rsidRPr="005C0264" w:rsidRDefault="00BC2861" w:rsidP="00C551E6">
      <w:pPr>
        <w:pStyle w:val="TDC3"/>
        <w:tabs>
          <w:tab w:val="clear" w:pos="8828"/>
          <w:tab w:val="right" w:leader="dot" w:pos="8820"/>
        </w:tabs>
        <w:rPr>
          <w:rFonts w:ascii="Calibri" w:eastAsia="Times New Roman" w:hAnsi="Calibri"/>
          <w:b w:val="0"/>
          <w:i w:val="0"/>
          <w:smallCaps w:val="0"/>
          <w:w w:val="100"/>
          <w:sz w:val="22"/>
          <w:szCs w:val="22"/>
          <w:lang w:val="en-US" w:eastAsia="en-US"/>
        </w:rPr>
      </w:pPr>
      <w:hyperlink w:anchor="_Toc394313705" w:history="1">
        <w:r w:rsidR="00011561" w:rsidRPr="005C0264">
          <w:rPr>
            <w:rStyle w:val="Hipervnculo"/>
            <w:color w:val="auto"/>
            <w:lang w:val="es-CR"/>
          </w:rPr>
          <w:t>D.2) Adopción de políticas públicas y programas institucionales integrados destinados a eliminar los estereotipos discriminatorios sobre el rol de las mujeres y promover la erradicación de patrones socioculturales discriminatorios que impiden su acceso pleno a la justicia</w:t>
        </w:r>
        <w:r w:rsidR="00011561" w:rsidRPr="005C0264">
          <w:rPr>
            <w:webHidden/>
          </w:rPr>
          <w:tab/>
        </w:r>
        <w:r w:rsidRPr="005C0264">
          <w:rPr>
            <w:webHidden/>
          </w:rPr>
          <w:fldChar w:fldCharType="begin"/>
        </w:r>
        <w:r w:rsidR="00011561" w:rsidRPr="005C0264">
          <w:rPr>
            <w:webHidden/>
          </w:rPr>
          <w:instrText xml:space="preserve"> PAGEREF _Toc394313705 \h </w:instrText>
        </w:r>
        <w:r w:rsidRPr="005C0264">
          <w:rPr>
            <w:webHidden/>
          </w:rPr>
        </w:r>
        <w:r w:rsidRPr="005C0264">
          <w:rPr>
            <w:webHidden/>
          </w:rPr>
          <w:fldChar w:fldCharType="separate"/>
        </w:r>
        <w:r w:rsidR="00C75D32">
          <w:rPr>
            <w:webHidden/>
          </w:rPr>
          <w:t>90</w:t>
        </w:r>
        <w:r w:rsidRPr="005C0264">
          <w:rPr>
            <w:webHidden/>
          </w:rPr>
          <w:fldChar w:fldCharType="end"/>
        </w:r>
      </w:hyperlink>
    </w:p>
    <w:p w:rsidR="00011561" w:rsidRPr="005C0264" w:rsidRDefault="00BC2861" w:rsidP="00C551E6">
      <w:pPr>
        <w:pStyle w:val="TDC4"/>
        <w:tabs>
          <w:tab w:val="clear" w:pos="8828"/>
          <w:tab w:val="right" w:leader="dot" w:pos="8820"/>
        </w:tabs>
        <w:rPr>
          <w:noProof/>
          <w:lang w:val="en-US" w:eastAsia="en-US"/>
        </w:rPr>
      </w:pPr>
      <w:hyperlink w:anchor="_Toc394313706" w:history="1">
        <w:r w:rsidR="00011561" w:rsidRPr="005C0264">
          <w:rPr>
            <w:rStyle w:val="Hipervnculo"/>
            <w:rFonts w:ascii="Verdana" w:hAnsi="Verdana"/>
            <w:noProof/>
            <w:color w:val="auto"/>
            <w:w w:val="95"/>
          </w:rPr>
          <w:t>D.2.1. Argumentos de la Comisión y las partes</w:t>
        </w:r>
        <w:r w:rsidR="00011561" w:rsidRPr="005C0264">
          <w:rPr>
            <w:noProof/>
            <w:webHidden/>
          </w:rPr>
          <w:tab/>
        </w:r>
        <w:r w:rsidRPr="005C0264">
          <w:rPr>
            <w:noProof/>
            <w:webHidden/>
          </w:rPr>
          <w:fldChar w:fldCharType="begin"/>
        </w:r>
        <w:r w:rsidR="00011561" w:rsidRPr="005C0264">
          <w:rPr>
            <w:noProof/>
            <w:webHidden/>
          </w:rPr>
          <w:instrText xml:space="preserve"> PAGEREF _Toc394313706 \h </w:instrText>
        </w:r>
        <w:r w:rsidRPr="005C0264">
          <w:rPr>
            <w:noProof/>
            <w:webHidden/>
          </w:rPr>
        </w:r>
        <w:r w:rsidRPr="005C0264">
          <w:rPr>
            <w:noProof/>
            <w:webHidden/>
          </w:rPr>
          <w:fldChar w:fldCharType="separate"/>
        </w:r>
        <w:r w:rsidR="00C75D32">
          <w:rPr>
            <w:noProof/>
            <w:webHidden/>
          </w:rPr>
          <w:t>90</w:t>
        </w:r>
        <w:r w:rsidRPr="005C0264">
          <w:rPr>
            <w:noProof/>
            <w:webHidden/>
          </w:rPr>
          <w:fldChar w:fldCharType="end"/>
        </w:r>
      </w:hyperlink>
    </w:p>
    <w:p w:rsidR="00011561" w:rsidRPr="005C0264" w:rsidRDefault="00BC2861" w:rsidP="00C551E6">
      <w:pPr>
        <w:pStyle w:val="TDC4"/>
        <w:tabs>
          <w:tab w:val="clear" w:pos="8828"/>
          <w:tab w:val="right" w:leader="dot" w:pos="8820"/>
        </w:tabs>
        <w:rPr>
          <w:noProof/>
          <w:lang w:val="en-US" w:eastAsia="en-US"/>
        </w:rPr>
      </w:pPr>
      <w:hyperlink w:anchor="_Toc394313707" w:history="1">
        <w:r w:rsidR="00011561" w:rsidRPr="005C0264">
          <w:rPr>
            <w:rStyle w:val="Hipervnculo"/>
            <w:rFonts w:ascii="Verdana" w:hAnsi="Verdana"/>
            <w:noProof/>
            <w:color w:val="auto"/>
            <w:w w:val="95"/>
          </w:rPr>
          <w:t>D.2.2.Consideraciones de la Corte</w:t>
        </w:r>
        <w:r w:rsidR="00011561" w:rsidRPr="005C0264">
          <w:rPr>
            <w:noProof/>
            <w:webHidden/>
          </w:rPr>
          <w:tab/>
        </w:r>
        <w:r w:rsidRPr="005C0264">
          <w:rPr>
            <w:noProof/>
            <w:webHidden/>
          </w:rPr>
          <w:fldChar w:fldCharType="begin"/>
        </w:r>
        <w:r w:rsidR="00011561" w:rsidRPr="005C0264">
          <w:rPr>
            <w:noProof/>
            <w:webHidden/>
          </w:rPr>
          <w:instrText xml:space="preserve"> PAGEREF _Toc394313707 \h </w:instrText>
        </w:r>
        <w:r w:rsidRPr="005C0264">
          <w:rPr>
            <w:noProof/>
            <w:webHidden/>
          </w:rPr>
        </w:r>
        <w:r w:rsidRPr="005C0264">
          <w:rPr>
            <w:noProof/>
            <w:webHidden/>
          </w:rPr>
          <w:fldChar w:fldCharType="separate"/>
        </w:r>
        <w:r w:rsidR="00C75D32">
          <w:rPr>
            <w:noProof/>
            <w:webHidden/>
          </w:rPr>
          <w:t>90</w:t>
        </w:r>
        <w:r w:rsidRPr="005C0264">
          <w:rPr>
            <w:noProof/>
            <w:webHidden/>
          </w:rPr>
          <w:fldChar w:fldCharType="end"/>
        </w:r>
      </w:hyperlink>
    </w:p>
    <w:p w:rsidR="00011561" w:rsidRPr="005C0264" w:rsidRDefault="00BC2861" w:rsidP="00C551E6">
      <w:pPr>
        <w:pStyle w:val="TDC2"/>
        <w:rPr>
          <w:noProof/>
          <w:lang w:val="en-US" w:eastAsia="en-US"/>
        </w:rPr>
      </w:pPr>
      <w:hyperlink w:anchor="_Toc394313708" w:history="1">
        <w:r w:rsidR="00011561" w:rsidRPr="005C0264">
          <w:rPr>
            <w:rStyle w:val="Hipervnculo"/>
            <w:rFonts w:ascii="Verdana" w:hAnsi="Verdana"/>
            <w:noProof/>
            <w:color w:val="auto"/>
            <w:w w:val="95"/>
            <w:lang w:val="es-EC"/>
          </w:rPr>
          <w:t>E. Atención y tratamientos médicos y psicológicos adecuados</w:t>
        </w:r>
        <w:r w:rsidR="00011561" w:rsidRPr="005C0264">
          <w:rPr>
            <w:noProof/>
            <w:webHidden/>
          </w:rPr>
          <w:tab/>
        </w:r>
        <w:r w:rsidRPr="005C0264">
          <w:rPr>
            <w:noProof/>
            <w:webHidden/>
          </w:rPr>
          <w:fldChar w:fldCharType="begin"/>
        </w:r>
        <w:r w:rsidR="00011561" w:rsidRPr="005C0264">
          <w:rPr>
            <w:noProof/>
            <w:webHidden/>
          </w:rPr>
          <w:instrText xml:space="preserve"> PAGEREF _Toc394313708 \h </w:instrText>
        </w:r>
        <w:r w:rsidRPr="005C0264">
          <w:rPr>
            <w:noProof/>
            <w:webHidden/>
          </w:rPr>
        </w:r>
        <w:r w:rsidRPr="005C0264">
          <w:rPr>
            <w:noProof/>
            <w:webHidden/>
          </w:rPr>
          <w:fldChar w:fldCharType="separate"/>
        </w:r>
        <w:r w:rsidR="00C75D32">
          <w:rPr>
            <w:noProof/>
            <w:webHidden/>
          </w:rPr>
          <w:t>91</w:t>
        </w:r>
        <w:r w:rsidRPr="005C0264">
          <w:rPr>
            <w:noProof/>
            <w:webHidden/>
          </w:rPr>
          <w:fldChar w:fldCharType="end"/>
        </w:r>
      </w:hyperlink>
    </w:p>
    <w:p w:rsidR="00011561" w:rsidRPr="005C0264" w:rsidRDefault="00BC2861" w:rsidP="00C551E6">
      <w:pPr>
        <w:pStyle w:val="TDC3"/>
        <w:tabs>
          <w:tab w:val="clear" w:pos="8828"/>
          <w:tab w:val="right" w:leader="dot" w:pos="8820"/>
        </w:tabs>
        <w:rPr>
          <w:rFonts w:ascii="Calibri" w:eastAsia="Times New Roman" w:hAnsi="Calibri"/>
          <w:b w:val="0"/>
          <w:i w:val="0"/>
          <w:smallCaps w:val="0"/>
          <w:w w:val="100"/>
          <w:sz w:val="22"/>
          <w:szCs w:val="22"/>
          <w:lang w:val="en-US" w:eastAsia="en-US"/>
        </w:rPr>
      </w:pPr>
      <w:hyperlink w:anchor="_Toc394313709" w:history="1">
        <w:r w:rsidR="00011561" w:rsidRPr="005C0264">
          <w:rPr>
            <w:rStyle w:val="Hipervnculo"/>
            <w:color w:val="auto"/>
          </w:rPr>
          <w:t>E.1) Argumentos de la representante y el Estado</w:t>
        </w:r>
        <w:r w:rsidR="00011561" w:rsidRPr="005C0264">
          <w:rPr>
            <w:webHidden/>
          </w:rPr>
          <w:tab/>
        </w:r>
        <w:r w:rsidRPr="005C0264">
          <w:rPr>
            <w:webHidden/>
          </w:rPr>
          <w:fldChar w:fldCharType="begin"/>
        </w:r>
        <w:r w:rsidR="00011561" w:rsidRPr="005C0264">
          <w:rPr>
            <w:webHidden/>
          </w:rPr>
          <w:instrText xml:space="preserve"> PAGEREF _Toc394313709 \h </w:instrText>
        </w:r>
        <w:r w:rsidRPr="005C0264">
          <w:rPr>
            <w:webHidden/>
          </w:rPr>
        </w:r>
        <w:r w:rsidRPr="005C0264">
          <w:rPr>
            <w:webHidden/>
          </w:rPr>
          <w:fldChar w:fldCharType="separate"/>
        </w:r>
        <w:r w:rsidR="00C75D32">
          <w:rPr>
            <w:webHidden/>
          </w:rPr>
          <w:t>91</w:t>
        </w:r>
        <w:r w:rsidRPr="005C0264">
          <w:rPr>
            <w:webHidden/>
          </w:rPr>
          <w:fldChar w:fldCharType="end"/>
        </w:r>
      </w:hyperlink>
    </w:p>
    <w:p w:rsidR="00011561" w:rsidRPr="005C0264" w:rsidRDefault="00BC2861" w:rsidP="00C551E6">
      <w:pPr>
        <w:pStyle w:val="TDC3"/>
        <w:tabs>
          <w:tab w:val="clear" w:pos="8828"/>
          <w:tab w:val="right" w:leader="dot" w:pos="8820"/>
        </w:tabs>
        <w:rPr>
          <w:rFonts w:ascii="Calibri" w:eastAsia="Times New Roman" w:hAnsi="Calibri"/>
          <w:b w:val="0"/>
          <w:i w:val="0"/>
          <w:smallCaps w:val="0"/>
          <w:w w:val="100"/>
          <w:sz w:val="22"/>
          <w:szCs w:val="22"/>
          <w:lang w:val="en-US" w:eastAsia="en-US"/>
        </w:rPr>
      </w:pPr>
      <w:hyperlink w:anchor="_Toc394313710" w:history="1">
        <w:r w:rsidR="00011561" w:rsidRPr="005C0264">
          <w:rPr>
            <w:rStyle w:val="Hipervnculo"/>
            <w:color w:val="auto"/>
          </w:rPr>
          <w:t>E.2) Consideraciones de la Corte</w:t>
        </w:r>
        <w:r w:rsidR="00011561" w:rsidRPr="005C0264">
          <w:rPr>
            <w:webHidden/>
          </w:rPr>
          <w:tab/>
        </w:r>
        <w:r w:rsidRPr="005C0264">
          <w:rPr>
            <w:webHidden/>
          </w:rPr>
          <w:fldChar w:fldCharType="begin"/>
        </w:r>
        <w:r w:rsidR="00011561" w:rsidRPr="005C0264">
          <w:rPr>
            <w:webHidden/>
          </w:rPr>
          <w:instrText xml:space="preserve"> PAGEREF _Toc394313710 \h </w:instrText>
        </w:r>
        <w:r w:rsidRPr="005C0264">
          <w:rPr>
            <w:webHidden/>
          </w:rPr>
        </w:r>
        <w:r w:rsidRPr="005C0264">
          <w:rPr>
            <w:webHidden/>
          </w:rPr>
          <w:fldChar w:fldCharType="separate"/>
        </w:r>
        <w:r w:rsidR="00C75D32">
          <w:rPr>
            <w:webHidden/>
          </w:rPr>
          <w:t>92</w:t>
        </w:r>
        <w:r w:rsidRPr="005C0264">
          <w:rPr>
            <w:webHidden/>
          </w:rPr>
          <w:fldChar w:fldCharType="end"/>
        </w:r>
      </w:hyperlink>
    </w:p>
    <w:p w:rsidR="00011561" w:rsidRPr="005C0264" w:rsidRDefault="00BC2861" w:rsidP="00C551E6">
      <w:pPr>
        <w:pStyle w:val="TDC2"/>
        <w:rPr>
          <w:noProof/>
          <w:lang w:val="en-US" w:eastAsia="en-US"/>
        </w:rPr>
      </w:pPr>
      <w:hyperlink w:anchor="_Toc394313711" w:history="1">
        <w:r w:rsidR="00011561" w:rsidRPr="005C0264">
          <w:rPr>
            <w:rStyle w:val="Hipervnculo"/>
            <w:rFonts w:ascii="Verdana" w:hAnsi="Verdana"/>
            <w:noProof/>
            <w:color w:val="auto"/>
            <w:w w:val="95"/>
            <w:lang w:val="es-EC"/>
          </w:rPr>
          <w:t>F. Indemnización por daños materiales e inmateriales.</w:t>
        </w:r>
        <w:r w:rsidR="00011561" w:rsidRPr="005C0264">
          <w:rPr>
            <w:noProof/>
            <w:webHidden/>
          </w:rPr>
          <w:tab/>
        </w:r>
        <w:r w:rsidRPr="005C0264">
          <w:rPr>
            <w:noProof/>
            <w:webHidden/>
          </w:rPr>
          <w:fldChar w:fldCharType="begin"/>
        </w:r>
        <w:r w:rsidR="00011561" w:rsidRPr="005C0264">
          <w:rPr>
            <w:noProof/>
            <w:webHidden/>
          </w:rPr>
          <w:instrText xml:space="preserve"> PAGEREF _Toc394313711 \h </w:instrText>
        </w:r>
        <w:r w:rsidRPr="005C0264">
          <w:rPr>
            <w:noProof/>
            <w:webHidden/>
          </w:rPr>
        </w:r>
        <w:r w:rsidRPr="005C0264">
          <w:rPr>
            <w:noProof/>
            <w:webHidden/>
          </w:rPr>
          <w:fldChar w:fldCharType="separate"/>
        </w:r>
        <w:r w:rsidR="00C75D32">
          <w:rPr>
            <w:noProof/>
            <w:webHidden/>
          </w:rPr>
          <w:t>92</w:t>
        </w:r>
        <w:r w:rsidRPr="005C0264">
          <w:rPr>
            <w:noProof/>
            <w:webHidden/>
          </w:rPr>
          <w:fldChar w:fldCharType="end"/>
        </w:r>
      </w:hyperlink>
    </w:p>
    <w:p w:rsidR="00011561" w:rsidRPr="005C0264" w:rsidRDefault="00BC2861" w:rsidP="00C551E6">
      <w:pPr>
        <w:pStyle w:val="TDC3"/>
        <w:tabs>
          <w:tab w:val="clear" w:pos="8828"/>
          <w:tab w:val="right" w:leader="dot" w:pos="8820"/>
        </w:tabs>
        <w:rPr>
          <w:rFonts w:ascii="Calibri" w:eastAsia="Times New Roman" w:hAnsi="Calibri"/>
          <w:b w:val="0"/>
          <w:i w:val="0"/>
          <w:smallCaps w:val="0"/>
          <w:w w:val="100"/>
          <w:sz w:val="22"/>
          <w:szCs w:val="22"/>
          <w:lang w:val="en-US" w:eastAsia="en-US"/>
        </w:rPr>
      </w:pPr>
      <w:hyperlink w:anchor="_Toc394313712" w:history="1">
        <w:r w:rsidR="00011561" w:rsidRPr="005C0264">
          <w:rPr>
            <w:rStyle w:val="Hipervnculo"/>
            <w:color w:val="auto"/>
          </w:rPr>
          <w:t>F.1) Introducción</w:t>
        </w:r>
        <w:r w:rsidR="00011561" w:rsidRPr="005C0264">
          <w:rPr>
            <w:webHidden/>
          </w:rPr>
          <w:tab/>
        </w:r>
        <w:r w:rsidRPr="005C0264">
          <w:rPr>
            <w:webHidden/>
          </w:rPr>
          <w:fldChar w:fldCharType="begin"/>
        </w:r>
        <w:r w:rsidR="00011561" w:rsidRPr="005C0264">
          <w:rPr>
            <w:webHidden/>
          </w:rPr>
          <w:instrText xml:space="preserve"> PAGEREF _Toc394313712 \h </w:instrText>
        </w:r>
        <w:r w:rsidRPr="005C0264">
          <w:rPr>
            <w:webHidden/>
          </w:rPr>
        </w:r>
        <w:r w:rsidRPr="005C0264">
          <w:rPr>
            <w:webHidden/>
          </w:rPr>
          <w:fldChar w:fldCharType="separate"/>
        </w:r>
        <w:r w:rsidR="00C75D32">
          <w:rPr>
            <w:webHidden/>
          </w:rPr>
          <w:t>92</w:t>
        </w:r>
        <w:r w:rsidRPr="005C0264">
          <w:rPr>
            <w:webHidden/>
          </w:rPr>
          <w:fldChar w:fldCharType="end"/>
        </w:r>
      </w:hyperlink>
    </w:p>
    <w:p w:rsidR="00011561" w:rsidRPr="005C0264" w:rsidRDefault="00BC2861" w:rsidP="00C551E6">
      <w:pPr>
        <w:pStyle w:val="TDC3"/>
        <w:tabs>
          <w:tab w:val="clear" w:pos="8828"/>
          <w:tab w:val="right" w:leader="dot" w:pos="8820"/>
        </w:tabs>
        <w:rPr>
          <w:rFonts w:ascii="Calibri" w:eastAsia="Times New Roman" w:hAnsi="Calibri"/>
          <w:b w:val="0"/>
          <w:i w:val="0"/>
          <w:smallCaps w:val="0"/>
          <w:w w:val="100"/>
          <w:sz w:val="22"/>
          <w:szCs w:val="22"/>
          <w:lang w:val="en-US" w:eastAsia="en-US"/>
        </w:rPr>
      </w:pPr>
      <w:hyperlink w:anchor="_Toc394313713" w:history="1">
        <w:r w:rsidR="00011561" w:rsidRPr="005C0264">
          <w:rPr>
            <w:rStyle w:val="Hipervnculo"/>
            <w:color w:val="auto"/>
          </w:rPr>
          <w:t>F.2) Argumentos de las partes</w:t>
        </w:r>
        <w:r w:rsidR="00011561" w:rsidRPr="005C0264">
          <w:rPr>
            <w:webHidden/>
          </w:rPr>
          <w:tab/>
        </w:r>
        <w:r w:rsidRPr="005C0264">
          <w:rPr>
            <w:webHidden/>
          </w:rPr>
          <w:fldChar w:fldCharType="begin"/>
        </w:r>
        <w:r w:rsidR="00011561" w:rsidRPr="005C0264">
          <w:rPr>
            <w:webHidden/>
          </w:rPr>
          <w:instrText xml:space="preserve"> PAGEREF _Toc394313713 \h </w:instrText>
        </w:r>
        <w:r w:rsidRPr="005C0264">
          <w:rPr>
            <w:webHidden/>
          </w:rPr>
        </w:r>
        <w:r w:rsidRPr="005C0264">
          <w:rPr>
            <w:webHidden/>
          </w:rPr>
          <w:fldChar w:fldCharType="separate"/>
        </w:r>
        <w:r w:rsidR="00C75D32">
          <w:rPr>
            <w:webHidden/>
          </w:rPr>
          <w:t>92</w:t>
        </w:r>
        <w:r w:rsidRPr="005C0264">
          <w:rPr>
            <w:webHidden/>
          </w:rPr>
          <w:fldChar w:fldCharType="end"/>
        </w:r>
      </w:hyperlink>
    </w:p>
    <w:p w:rsidR="00011561" w:rsidRPr="005C0264" w:rsidRDefault="00BC2861" w:rsidP="00C551E6">
      <w:pPr>
        <w:pStyle w:val="TDC3"/>
        <w:tabs>
          <w:tab w:val="clear" w:pos="8828"/>
          <w:tab w:val="right" w:leader="dot" w:pos="8820"/>
        </w:tabs>
        <w:rPr>
          <w:rFonts w:ascii="Calibri" w:eastAsia="Times New Roman" w:hAnsi="Calibri"/>
          <w:b w:val="0"/>
          <w:i w:val="0"/>
          <w:smallCaps w:val="0"/>
          <w:w w:val="100"/>
          <w:sz w:val="22"/>
          <w:szCs w:val="22"/>
          <w:lang w:val="en-US" w:eastAsia="en-US"/>
        </w:rPr>
      </w:pPr>
      <w:hyperlink w:anchor="_Toc394313714" w:history="1">
        <w:r w:rsidR="00011561" w:rsidRPr="005C0264">
          <w:rPr>
            <w:rStyle w:val="Hipervnculo"/>
            <w:color w:val="auto"/>
          </w:rPr>
          <w:t>F.3) Consideraciones de la Corte</w:t>
        </w:r>
        <w:r w:rsidR="00011561" w:rsidRPr="005C0264">
          <w:rPr>
            <w:webHidden/>
          </w:rPr>
          <w:tab/>
        </w:r>
        <w:r w:rsidRPr="005C0264">
          <w:rPr>
            <w:webHidden/>
          </w:rPr>
          <w:fldChar w:fldCharType="begin"/>
        </w:r>
        <w:r w:rsidR="00011561" w:rsidRPr="005C0264">
          <w:rPr>
            <w:webHidden/>
          </w:rPr>
          <w:instrText xml:space="preserve"> PAGEREF _Toc394313714 \h </w:instrText>
        </w:r>
        <w:r w:rsidRPr="005C0264">
          <w:rPr>
            <w:webHidden/>
          </w:rPr>
        </w:r>
        <w:r w:rsidRPr="005C0264">
          <w:rPr>
            <w:webHidden/>
          </w:rPr>
          <w:fldChar w:fldCharType="separate"/>
        </w:r>
        <w:r w:rsidR="00C75D32">
          <w:rPr>
            <w:webHidden/>
          </w:rPr>
          <w:t>95</w:t>
        </w:r>
        <w:r w:rsidRPr="005C0264">
          <w:rPr>
            <w:webHidden/>
          </w:rPr>
          <w:fldChar w:fldCharType="end"/>
        </w:r>
      </w:hyperlink>
    </w:p>
    <w:p w:rsidR="00011561" w:rsidRPr="005C0264" w:rsidRDefault="00BC2861" w:rsidP="00C551E6">
      <w:pPr>
        <w:pStyle w:val="TDC2"/>
        <w:rPr>
          <w:noProof/>
          <w:lang w:val="en-US" w:eastAsia="en-US"/>
        </w:rPr>
      </w:pPr>
      <w:hyperlink w:anchor="_Toc394313715" w:history="1">
        <w:r w:rsidR="00011561" w:rsidRPr="005C0264">
          <w:rPr>
            <w:rStyle w:val="Hipervnculo"/>
            <w:rFonts w:ascii="Verdana" w:hAnsi="Verdana"/>
            <w:noProof/>
            <w:color w:val="auto"/>
            <w:w w:val="95"/>
            <w:lang w:val="es-EC"/>
          </w:rPr>
          <w:t>G. Costas y gastos</w:t>
        </w:r>
        <w:r w:rsidR="00011561" w:rsidRPr="005C0264">
          <w:rPr>
            <w:noProof/>
            <w:webHidden/>
          </w:rPr>
          <w:tab/>
        </w:r>
        <w:r w:rsidRPr="005C0264">
          <w:rPr>
            <w:noProof/>
            <w:webHidden/>
          </w:rPr>
          <w:fldChar w:fldCharType="begin"/>
        </w:r>
        <w:r w:rsidR="00011561" w:rsidRPr="005C0264">
          <w:rPr>
            <w:noProof/>
            <w:webHidden/>
          </w:rPr>
          <w:instrText xml:space="preserve"> PAGEREF _Toc394313715 \h </w:instrText>
        </w:r>
        <w:r w:rsidRPr="005C0264">
          <w:rPr>
            <w:noProof/>
            <w:webHidden/>
          </w:rPr>
        </w:r>
        <w:r w:rsidRPr="005C0264">
          <w:rPr>
            <w:noProof/>
            <w:webHidden/>
          </w:rPr>
          <w:fldChar w:fldCharType="separate"/>
        </w:r>
        <w:r w:rsidR="00C75D32">
          <w:rPr>
            <w:noProof/>
            <w:webHidden/>
          </w:rPr>
          <w:t>96</w:t>
        </w:r>
        <w:r w:rsidRPr="005C0264">
          <w:rPr>
            <w:noProof/>
            <w:webHidden/>
          </w:rPr>
          <w:fldChar w:fldCharType="end"/>
        </w:r>
      </w:hyperlink>
    </w:p>
    <w:p w:rsidR="00011561" w:rsidRPr="005C0264" w:rsidRDefault="00BC2861" w:rsidP="00C551E6">
      <w:pPr>
        <w:pStyle w:val="TDC3"/>
        <w:tabs>
          <w:tab w:val="clear" w:pos="8828"/>
          <w:tab w:val="right" w:leader="dot" w:pos="8820"/>
        </w:tabs>
        <w:rPr>
          <w:rFonts w:ascii="Calibri" w:eastAsia="Times New Roman" w:hAnsi="Calibri"/>
          <w:b w:val="0"/>
          <w:i w:val="0"/>
          <w:smallCaps w:val="0"/>
          <w:w w:val="100"/>
          <w:sz w:val="22"/>
          <w:szCs w:val="22"/>
          <w:lang w:val="en-US" w:eastAsia="en-US"/>
        </w:rPr>
      </w:pPr>
      <w:hyperlink w:anchor="_Toc394313716" w:history="1">
        <w:r w:rsidR="00011561" w:rsidRPr="005C0264">
          <w:rPr>
            <w:rStyle w:val="Hipervnculo"/>
            <w:color w:val="auto"/>
          </w:rPr>
          <w:t>G.1) Argumentos de la representante y el Estado</w:t>
        </w:r>
        <w:r w:rsidR="00011561" w:rsidRPr="005C0264">
          <w:rPr>
            <w:webHidden/>
          </w:rPr>
          <w:tab/>
        </w:r>
        <w:r w:rsidRPr="005C0264">
          <w:rPr>
            <w:webHidden/>
          </w:rPr>
          <w:fldChar w:fldCharType="begin"/>
        </w:r>
        <w:r w:rsidR="00011561" w:rsidRPr="005C0264">
          <w:rPr>
            <w:webHidden/>
          </w:rPr>
          <w:instrText xml:space="preserve"> PAGEREF _Toc394313716 \h </w:instrText>
        </w:r>
        <w:r w:rsidRPr="005C0264">
          <w:rPr>
            <w:webHidden/>
          </w:rPr>
        </w:r>
        <w:r w:rsidRPr="005C0264">
          <w:rPr>
            <w:webHidden/>
          </w:rPr>
          <w:fldChar w:fldCharType="separate"/>
        </w:r>
        <w:r w:rsidR="00C75D32">
          <w:rPr>
            <w:webHidden/>
          </w:rPr>
          <w:t>96</w:t>
        </w:r>
        <w:r w:rsidRPr="005C0264">
          <w:rPr>
            <w:webHidden/>
          </w:rPr>
          <w:fldChar w:fldCharType="end"/>
        </w:r>
      </w:hyperlink>
    </w:p>
    <w:p w:rsidR="00011561" w:rsidRPr="005C0264" w:rsidRDefault="00BC2861" w:rsidP="00C551E6">
      <w:pPr>
        <w:pStyle w:val="TDC3"/>
        <w:tabs>
          <w:tab w:val="clear" w:pos="8828"/>
          <w:tab w:val="right" w:leader="dot" w:pos="8820"/>
        </w:tabs>
        <w:rPr>
          <w:rFonts w:ascii="Calibri" w:eastAsia="Times New Roman" w:hAnsi="Calibri"/>
          <w:b w:val="0"/>
          <w:i w:val="0"/>
          <w:smallCaps w:val="0"/>
          <w:w w:val="100"/>
          <w:sz w:val="22"/>
          <w:szCs w:val="22"/>
          <w:lang w:val="en-US" w:eastAsia="en-US"/>
        </w:rPr>
      </w:pPr>
      <w:hyperlink w:anchor="_Toc394313717" w:history="1">
        <w:r w:rsidR="00011561" w:rsidRPr="005C0264">
          <w:rPr>
            <w:rStyle w:val="Hipervnculo"/>
            <w:color w:val="auto"/>
          </w:rPr>
          <w:t>G.2) Consideraciones de la Corte</w:t>
        </w:r>
        <w:r w:rsidR="00011561" w:rsidRPr="005C0264">
          <w:rPr>
            <w:webHidden/>
          </w:rPr>
          <w:tab/>
        </w:r>
        <w:r w:rsidRPr="005C0264">
          <w:rPr>
            <w:webHidden/>
          </w:rPr>
          <w:fldChar w:fldCharType="begin"/>
        </w:r>
        <w:r w:rsidR="00011561" w:rsidRPr="005C0264">
          <w:rPr>
            <w:webHidden/>
          </w:rPr>
          <w:instrText xml:space="preserve"> PAGEREF _Toc394313717 \h </w:instrText>
        </w:r>
        <w:r w:rsidRPr="005C0264">
          <w:rPr>
            <w:webHidden/>
          </w:rPr>
        </w:r>
        <w:r w:rsidRPr="005C0264">
          <w:rPr>
            <w:webHidden/>
          </w:rPr>
          <w:fldChar w:fldCharType="separate"/>
        </w:r>
        <w:r w:rsidR="00C75D32">
          <w:rPr>
            <w:webHidden/>
          </w:rPr>
          <w:t>97</w:t>
        </w:r>
        <w:r w:rsidRPr="005C0264">
          <w:rPr>
            <w:webHidden/>
          </w:rPr>
          <w:fldChar w:fldCharType="end"/>
        </w:r>
      </w:hyperlink>
    </w:p>
    <w:p w:rsidR="00011561" w:rsidRPr="005C0264" w:rsidRDefault="00BC2861" w:rsidP="00C551E6">
      <w:pPr>
        <w:pStyle w:val="TDC2"/>
        <w:rPr>
          <w:noProof/>
          <w:lang w:val="en-US" w:eastAsia="en-US"/>
        </w:rPr>
      </w:pPr>
      <w:hyperlink w:anchor="_Toc394313718" w:history="1">
        <w:r w:rsidR="00011561" w:rsidRPr="005C0264">
          <w:rPr>
            <w:rStyle w:val="Hipervnculo"/>
            <w:rFonts w:ascii="Verdana" w:hAnsi="Verdana"/>
            <w:noProof/>
            <w:color w:val="auto"/>
            <w:w w:val="95"/>
            <w:lang w:val="es-EC"/>
          </w:rPr>
          <w:t>H. Reintegro de los gastos al Fondo de Asistencia Legal de Víctimas</w:t>
        </w:r>
        <w:r w:rsidR="00011561" w:rsidRPr="005C0264">
          <w:rPr>
            <w:noProof/>
            <w:webHidden/>
          </w:rPr>
          <w:tab/>
        </w:r>
        <w:r w:rsidRPr="005C0264">
          <w:rPr>
            <w:noProof/>
            <w:webHidden/>
          </w:rPr>
          <w:fldChar w:fldCharType="begin"/>
        </w:r>
        <w:r w:rsidR="00011561" w:rsidRPr="005C0264">
          <w:rPr>
            <w:noProof/>
            <w:webHidden/>
          </w:rPr>
          <w:instrText xml:space="preserve"> PAGEREF _Toc394313718 \h </w:instrText>
        </w:r>
        <w:r w:rsidRPr="005C0264">
          <w:rPr>
            <w:noProof/>
            <w:webHidden/>
          </w:rPr>
        </w:r>
        <w:r w:rsidRPr="005C0264">
          <w:rPr>
            <w:noProof/>
            <w:webHidden/>
          </w:rPr>
          <w:fldChar w:fldCharType="separate"/>
        </w:r>
        <w:r w:rsidR="00C75D32">
          <w:rPr>
            <w:noProof/>
            <w:webHidden/>
          </w:rPr>
          <w:t>97</w:t>
        </w:r>
        <w:r w:rsidRPr="005C0264">
          <w:rPr>
            <w:noProof/>
            <w:webHidden/>
          </w:rPr>
          <w:fldChar w:fldCharType="end"/>
        </w:r>
      </w:hyperlink>
    </w:p>
    <w:p w:rsidR="00011561" w:rsidRPr="005C0264" w:rsidRDefault="00BC2861" w:rsidP="00C551E6">
      <w:pPr>
        <w:pStyle w:val="TDC2"/>
        <w:rPr>
          <w:noProof/>
          <w:lang w:val="en-US" w:eastAsia="en-US"/>
        </w:rPr>
      </w:pPr>
      <w:hyperlink w:anchor="_Toc394313720" w:history="1">
        <w:r w:rsidR="00011561" w:rsidRPr="005C0264">
          <w:rPr>
            <w:rStyle w:val="Hipervnculo"/>
            <w:rFonts w:ascii="Verdana" w:hAnsi="Verdana"/>
            <w:noProof/>
            <w:color w:val="auto"/>
            <w:w w:val="95"/>
            <w:lang w:val="es-EC"/>
          </w:rPr>
          <w:t>I. Modalidad de cumplimiento de los pagos ordenados</w:t>
        </w:r>
        <w:r w:rsidR="00011561" w:rsidRPr="005C0264">
          <w:rPr>
            <w:noProof/>
            <w:webHidden/>
          </w:rPr>
          <w:tab/>
        </w:r>
        <w:r w:rsidRPr="005C0264">
          <w:rPr>
            <w:noProof/>
            <w:webHidden/>
          </w:rPr>
          <w:fldChar w:fldCharType="begin"/>
        </w:r>
        <w:r w:rsidR="00011561" w:rsidRPr="005C0264">
          <w:rPr>
            <w:noProof/>
            <w:webHidden/>
          </w:rPr>
          <w:instrText xml:space="preserve"> PAGEREF _Toc394313720 \h </w:instrText>
        </w:r>
        <w:r w:rsidRPr="005C0264">
          <w:rPr>
            <w:noProof/>
            <w:webHidden/>
          </w:rPr>
        </w:r>
        <w:r w:rsidRPr="005C0264">
          <w:rPr>
            <w:noProof/>
            <w:webHidden/>
          </w:rPr>
          <w:fldChar w:fldCharType="separate"/>
        </w:r>
        <w:r w:rsidR="00C75D32">
          <w:rPr>
            <w:noProof/>
            <w:webHidden/>
          </w:rPr>
          <w:t>99</w:t>
        </w:r>
        <w:r w:rsidRPr="005C0264">
          <w:rPr>
            <w:noProof/>
            <w:webHidden/>
          </w:rPr>
          <w:fldChar w:fldCharType="end"/>
        </w:r>
      </w:hyperlink>
    </w:p>
    <w:p w:rsidR="00011561" w:rsidRPr="0081535F" w:rsidRDefault="00BC2861" w:rsidP="00C551E6">
      <w:pPr>
        <w:pStyle w:val="TDC1"/>
        <w:tabs>
          <w:tab w:val="clear" w:pos="8828"/>
          <w:tab w:val="right" w:leader="dot" w:pos="8820"/>
        </w:tabs>
        <w:rPr>
          <w:w w:val="100"/>
          <w:u w:val="none"/>
          <w:lang w:val="es-CR" w:eastAsia="en-US"/>
        </w:rPr>
      </w:pPr>
      <w:hyperlink w:anchor="_Toc394313721" w:history="1">
        <w:r w:rsidR="00011561" w:rsidRPr="005C0264">
          <w:rPr>
            <w:rStyle w:val="Hipervnculo"/>
            <w:color w:val="auto"/>
          </w:rPr>
          <w:t>XII</w:t>
        </w:r>
      </w:hyperlink>
      <w:r w:rsidR="00C551E6" w:rsidRPr="005C0264">
        <w:rPr>
          <w:rStyle w:val="Hipervnculo"/>
          <w:color w:val="auto"/>
        </w:rPr>
        <w:t xml:space="preserve"> </w:t>
      </w:r>
      <w:hyperlink w:anchor="_Toc394313722" w:history="1">
        <w:r w:rsidR="00011561" w:rsidRPr="005C0264">
          <w:rPr>
            <w:rStyle w:val="Hipervnculo"/>
            <w:color w:val="auto"/>
          </w:rPr>
          <w:t>PUNTOS RESOLUTIVOS</w:t>
        </w:r>
        <w:r w:rsidR="00011561" w:rsidRPr="005C0264">
          <w:rPr>
            <w:webHidden/>
          </w:rPr>
          <w:tab/>
        </w:r>
        <w:r w:rsidRPr="005C0264">
          <w:rPr>
            <w:webHidden/>
          </w:rPr>
          <w:fldChar w:fldCharType="begin"/>
        </w:r>
        <w:r w:rsidR="00011561" w:rsidRPr="005C0264">
          <w:rPr>
            <w:webHidden/>
          </w:rPr>
          <w:instrText xml:space="preserve"> PAGEREF _Toc394313722 \h </w:instrText>
        </w:r>
        <w:r w:rsidRPr="005C0264">
          <w:rPr>
            <w:webHidden/>
          </w:rPr>
        </w:r>
        <w:r w:rsidRPr="005C0264">
          <w:rPr>
            <w:webHidden/>
          </w:rPr>
          <w:fldChar w:fldCharType="separate"/>
        </w:r>
        <w:r w:rsidR="00C75D32">
          <w:rPr>
            <w:webHidden/>
          </w:rPr>
          <w:t>100</w:t>
        </w:r>
        <w:r w:rsidRPr="005C0264">
          <w:rPr>
            <w:webHidden/>
          </w:rPr>
          <w:fldChar w:fldCharType="end"/>
        </w:r>
      </w:hyperlink>
    </w:p>
    <w:p w:rsidR="00DF15C3" w:rsidRPr="00701625" w:rsidRDefault="00BC2861" w:rsidP="00C551E6">
      <w:pPr>
        <w:tabs>
          <w:tab w:val="right" w:leader="dot" w:pos="8820"/>
        </w:tabs>
        <w:spacing w:after="0" w:line="216" w:lineRule="auto"/>
        <w:ind w:left="-142" w:right="-174"/>
        <w:jc w:val="center"/>
        <w:rPr>
          <w:rFonts w:ascii="Verdana" w:hAnsi="Verdana"/>
          <w:b/>
          <w:w w:val="95"/>
          <w:sz w:val="20"/>
          <w:szCs w:val="20"/>
          <w:lang w:val="es-CO"/>
        </w:rPr>
      </w:pPr>
      <w:r w:rsidRPr="005C0264">
        <w:rPr>
          <w:rFonts w:ascii="Verdana" w:hAnsi="Verdana"/>
          <w:b/>
          <w:w w:val="95"/>
          <w:sz w:val="20"/>
          <w:szCs w:val="20"/>
          <w:lang w:val="es-CO"/>
        </w:rPr>
        <w:fldChar w:fldCharType="end"/>
      </w:r>
    </w:p>
    <w:p w:rsidR="00DF15C3" w:rsidRPr="002B1610" w:rsidRDefault="00DF15C3" w:rsidP="00F17D88">
      <w:pPr>
        <w:tabs>
          <w:tab w:val="right" w:leader="dot" w:pos="8730"/>
          <w:tab w:val="right" w:leader="dot" w:pos="8931"/>
          <w:tab w:val="right" w:leader="dot" w:pos="9356"/>
        </w:tabs>
        <w:spacing w:after="0" w:line="216" w:lineRule="auto"/>
        <w:ind w:left="-142" w:right="3"/>
        <w:jc w:val="both"/>
        <w:rPr>
          <w:rFonts w:ascii="Verdana" w:hAnsi="Verdana"/>
          <w:w w:val="95"/>
          <w:sz w:val="20"/>
          <w:szCs w:val="20"/>
        </w:rPr>
      </w:pPr>
    </w:p>
    <w:p w:rsidR="00DF15C3" w:rsidRPr="002B1610" w:rsidRDefault="00DF15C3" w:rsidP="00F17D88">
      <w:pPr>
        <w:tabs>
          <w:tab w:val="right" w:leader="dot" w:pos="8730"/>
          <w:tab w:val="right" w:leader="dot" w:pos="9356"/>
        </w:tabs>
        <w:spacing w:after="0" w:line="216" w:lineRule="auto"/>
        <w:ind w:left="-142" w:right="3"/>
        <w:rPr>
          <w:rFonts w:ascii="Verdana" w:hAnsi="Verdana"/>
          <w:w w:val="95"/>
          <w:sz w:val="20"/>
          <w:szCs w:val="20"/>
        </w:rPr>
      </w:pPr>
    </w:p>
    <w:p w:rsidR="00DF15C3" w:rsidRDefault="00DF15C3" w:rsidP="003F26FD">
      <w:pPr>
        <w:spacing w:after="0" w:line="216" w:lineRule="auto"/>
        <w:ind w:left="-142" w:right="-174"/>
        <w:rPr>
          <w:rFonts w:ascii="Verdana" w:hAnsi="Verdana"/>
          <w:w w:val="95"/>
          <w:sz w:val="20"/>
          <w:szCs w:val="20"/>
        </w:rPr>
      </w:pPr>
    </w:p>
    <w:p w:rsidR="00DF15C3" w:rsidRDefault="00DF15C3" w:rsidP="003F26FD">
      <w:pPr>
        <w:spacing w:after="0" w:line="216" w:lineRule="auto"/>
        <w:ind w:left="-142" w:right="-174"/>
        <w:rPr>
          <w:rFonts w:ascii="Verdana" w:hAnsi="Verdana"/>
          <w:w w:val="95"/>
          <w:sz w:val="20"/>
          <w:szCs w:val="20"/>
        </w:rPr>
      </w:pPr>
    </w:p>
    <w:p w:rsidR="00DF15C3" w:rsidRDefault="00DF15C3" w:rsidP="003F26FD">
      <w:pPr>
        <w:spacing w:after="0" w:line="216" w:lineRule="auto"/>
        <w:ind w:left="-142" w:right="-174"/>
        <w:rPr>
          <w:rFonts w:ascii="Verdana" w:hAnsi="Verdana"/>
          <w:w w:val="95"/>
          <w:sz w:val="20"/>
          <w:szCs w:val="20"/>
        </w:rPr>
      </w:pPr>
    </w:p>
    <w:p w:rsidR="00DF15C3" w:rsidRDefault="00DF15C3" w:rsidP="003F26FD">
      <w:pPr>
        <w:spacing w:after="0" w:line="216" w:lineRule="auto"/>
        <w:ind w:left="-142" w:right="-174"/>
        <w:rPr>
          <w:rFonts w:ascii="Verdana" w:hAnsi="Verdana"/>
          <w:w w:val="95"/>
          <w:sz w:val="20"/>
          <w:szCs w:val="20"/>
        </w:rPr>
      </w:pPr>
    </w:p>
    <w:p w:rsidR="00DF15C3" w:rsidRDefault="00DF15C3" w:rsidP="003F26FD">
      <w:pPr>
        <w:spacing w:after="0" w:line="216" w:lineRule="auto"/>
        <w:ind w:left="-142" w:right="-174"/>
        <w:rPr>
          <w:rFonts w:ascii="Verdana" w:hAnsi="Verdana"/>
          <w:w w:val="95"/>
          <w:sz w:val="20"/>
          <w:szCs w:val="20"/>
        </w:rPr>
      </w:pPr>
    </w:p>
    <w:p w:rsidR="00DF15C3" w:rsidRDefault="00DF15C3" w:rsidP="003F26FD">
      <w:pPr>
        <w:spacing w:after="0" w:line="216" w:lineRule="auto"/>
        <w:ind w:left="-142" w:right="-174"/>
        <w:rPr>
          <w:rFonts w:ascii="Verdana" w:hAnsi="Verdana"/>
          <w:w w:val="95"/>
          <w:sz w:val="20"/>
          <w:szCs w:val="20"/>
        </w:rPr>
      </w:pPr>
    </w:p>
    <w:p w:rsidR="00DF15C3" w:rsidRDefault="00DF15C3" w:rsidP="003F26FD">
      <w:pPr>
        <w:spacing w:after="0" w:line="216" w:lineRule="auto"/>
        <w:ind w:left="-142" w:right="-174"/>
        <w:rPr>
          <w:rFonts w:ascii="Verdana" w:hAnsi="Verdana"/>
          <w:w w:val="95"/>
          <w:sz w:val="20"/>
          <w:szCs w:val="20"/>
        </w:rPr>
      </w:pPr>
    </w:p>
    <w:p w:rsidR="00DF15C3" w:rsidRDefault="00DF15C3" w:rsidP="003F26FD">
      <w:pPr>
        <w:spacing w:after="0" w:line="216" w:lineRule="auto"/>
        <w:ind w:left="-142" w:right="-174"/>
        <w:rPr>
          <w:rFonts w:ascii="Verdana" w:hAnsi="Verdana"/>
          <w:w w:val="95"/>
          <w:sz w:val="20"/>
          <w:szCs w:val="20"/>
        </w:rPr>
      </w:pPr>
    </w:p>
    <w:p w:rsidR="00DF15C3" w:rsidRDefault="00DF15C3" w:rsidP="003F26FD">
      <w:pPr>
        <w:spacing w:after="0" w:line="216" w:lineRule="auto"/>
        <w:ind w:left="-142" w:right="-174"/>
        <w:rPr>
          <w:rFonts w:ascii="Verdana" w:hAnsi="Verdana"/>
          <w:w w:val="95"/>
          <w:sz w:val="20"/>
          <w:szCs w:val="20"/>
        </w:rPr>
      </w:pPr>
    </w:p>
    <w:p w:rsidR="00DF15C3" w:rsidRDefault="00DF15C3" w:rsidP="003F26FD">
      <w:pPr>
        <w:spacing w:after="0" w:line="216" w:lineRule="auto"/>
        <w:ind w:left="-142" w:right="-174"/>
        <w:rPr>
          <w:rFonts w:ascii="Verdana" w:hAnsi="Verdana"/>
          <w:w w:val="95"/>
          <w:sz w:val="20"/>
          <w:szCs w:val="20"/>
        </w:rPr>
      </w:pPr>
    </w:p>
    <w:p w:rsidR="00DF15C3" w:rsidRDefault="00DF15C3" w:rsidP="003F26FD">
      <w:pPr>
        <w:spacing w:after="0" w:line="216" w:lineRule="auto"/>
        <w:ind w:left="-142" w:right="-174"/>
        <w:rPr>
          <w:rFonts w:ascii="Verdana" w:hAnsi="Verdana"/>
          <w:w w:val="95"/>
          <w:sz w:val="20"/>
          <w:szCs w:val="20"/>
        </w:rPr>
      </w:pPr>
    </w:p>
    <w:p w:rsidR="00DF15C3" w:rsidRDefault="00DF15C3" w:rsidP="003F26FD">
      <w:pPr>
        <w:spacing w:after="0" w:line="216" w:lineRule="auto"/>
        <w:ind w:left="-142" w:right="-174"/>
        <w:rPr>
          <w:rFonts w:ascii="Verdana" w:hAnsi="Verdana"/>
          <w:w w:val="95"/>
          <w:sz w:val="20"/>
          <w:szCs w:val="20"/>
        </w:rPr>
      </w:pPr>
    </w:p>
    <w:p w:rsidR="00DF15C3" w:rsidRDefault="00DF15C3" w:rsidP="003F26FD">
      <w:pPr>
        <w:spacing w:after="0" w:line="216" w:lineRule="auto"/>
        <w:ind w:left="-142" w:right="-174"/>
        <w:rPr>
          <w:rFonts w:ascii="Verdana" w:hAnsi="Verdana"/>
          <w:w w:val="95"/>
          <w:sz w:val="20"/>
          <w:szCs w:val="20"/>
        </w:rPr>
      </w:pPr>
    </w:p>
    <w:p w:rsidR="00DF15C3" w:rsidRDefault="00DF15C3" w:rsidP="003F26FD">
      <w:pPr>
        <w:spacing w:after="0" w:line="216" w:lineRule="auto"/>
        <w:ind w:left="-142" w:right="-174"/>
        <w:rPr>
          <w:rFonts w:ascii="Verdana" w:hAnsi="Verdana"/>
          <w:w w:val="95"/>
          <w:sz w:val="20"/>
          <w:szCs w:val="20"/>
        </w:rPr>
      </w:pPr>
    </w:p>
    <w:p w:rsidR="00DF15C3" w:rsidRDefault="00DF15C3" w:rsidP="003F26FD">
      <w:pPr>
        <w:spacing w:after="0" w:line="216" w:lineRule="auto"/>
        <w:ind w:left="-142" w:right="-174"/>
        <w:rPr>
          <w:rFonts w:ascii="Verdana" w:hAnsi="Verdana"/>
          <w:w w:val="95"/>
          <w:sz w:val="20"/>
          <w:szCs w:val="20"/>
        </w:rPr>
      </w:pPr>
    </w:p>
    <w:p w:rsidR="00DF15C3" w:rsidRDefault="00DF15C3" w:rsidP="003F26FD">
      <w:pPr>
        <w:spacing w:after="0" w:line="216" w:lineRule="auto"/>
        <w:ind w:left="-142" w:right="-174"/>
        <w:rPr>
          <w:rFonts w:ascii="Verdana" w:hAnsi="Verdana"/>
          <w:w w:val="95"/>
          <w:sz w:val="20"/>
          <w:szCs w:val="20"/>
        </w:rPr>
      </w:pPr>
    </w:p>
    <w:p w:rsidR="00DF15C3" w:rsidRDefault="00DF15C3" w:rsidP="003F26FD">
      <w:pPr>
        <w:spacing w:after="0" w:line="216" w:lineRule="auto"/>
        <w:ind w:left="-142" w:right="-174"/>
        <w:rPr>
          <w:rFonts w:ascii="Verdana" w:hAnsi="Verdana"/>
          <w:w w:val="95"/>
          <w:sz w:val="20"/>
          <w:szCs w:val="20"/>
        </w:rPr>
      </w:pPr>
    </w:p>
    <w:p w:rsidR="00DF15C3" w:rsidRDefault="00DF15C3" w:rsidP="003F26FD">
      <w:pPr>
        <w:spacing w:after="0" w:line="216" w:lineRule="auto"/>
        <w:ind w:left="-142" w:right="-174"/>
        <w:rPr>
          <w:rFonts w:ascii="Verdana" w:hAnsi="Verdana"/>
          <w:w w:val="95"/>
          <w:sz w:val="20"/>
          <w:szCs w:val="20"/>
        </w:rPr>
      </w:pPr>
    </w:p>
    <w:p w:rsidR="00DF15C3" w:rsidRDefault="00DF15C3" w:rsidP="003F26FD">
      <w:pPr>
        <w:spacing w:after="0" w:line="216" w:lineRule="auto"/>
        <w:ind w:left="-142" w:right="-174"/>
        <w:rPr>
          <w:rFonts w:ascii="Verdana" w:hAnsi="Verdana"/>
          <w:w w:val="95"/>
          <w:sz w:val="20"/>
          <w:szCs w:val="20"/>
        </w:rPr>
      </w:pPr>
    </w:p>
    <w:p w:rsidR="00DF15C3" w:rsidRDefault="00DF15C3" w:rsidP="003F26FD">
      <w:pPr>
        <w:spacing w:after="0" w:line="216" w:lineRule="auto"/>
        <w:ind w:left="-142" w:right="-174"/>
        <w:rPr>
          <w:rFonts w:ascii="Verdana" w:hAnsi="Verdana"/>
          <w:w w:val="95"/>
          <w:sz w:val="20"/>
          <w:szCs w:val="20"/>
        </w:rPr>
      </w:pPr>
    </w:p>
    <w:p w:rsidR="00DF15C3" w:rsidRDefault="00DF15C3" w:rsidP="003F26FD">
      <w:pPr>
        <w:spacing w:after="0" w:line="216" w:lineRule="auto"/>
        <w:ind w:left="-142" w:right="-174"/>
        <w:rPr>
          <w:rFonts w:ascii="Verdana" w:hAnsi="Verdana"/>
          <w:w w:val="95"/>
          <w:sz w:val="20"/>
          <w:szCs w:val="20"/>
        </w:rPr>
      </w:pPr>
    </w:p>
    <w:p w:rsidR="00DF15C3" w:rsidRDefault="00DF15C3" w:rsidP="003F26FD">
      <w:pPr>
        <w:spacing w:after="0" w:line="216" w:lineRule="auto"/>
        <w:ind w:left="-142" w:right="-174"/>
        <w:rPr>
          <w:rFonts w:ascii="Verdana" w:hAnsi="Verdana"/>
          <w:w w:val="95"/>
          <w:sz w:val="20"/>
          <w:szCs w:val="20"/>
        </w:rPr>
      </w:pPr>
    </w:p>
    <w:p w:rsidR="00DF15C3" w:rsidRPr="002B1610" w:rsidRDefault="00DF15C3" w:rsidP="003F26FD">
      <w:pPr>
        <w:spacing w:after="0" w:line="216" w:lineRule="auto"/>
        <w:ind w:left="-142" w:right="-174"/>
        <w:rPr>
          <w:rFonts w:ascii="Verdana" w:hAnsi="Verdana"/>
          <w:w w:val="95"/>
          <w:sz w:val="20"/>
          <w:szCs w:val="20"/>
        </w:rPr>
      </w:pPr>
    </w:p>
    <w:p w:rsidR="001B1DC5" w:rsidRDefault="001B1DC5" w:rsidP="003F26FD">
      <w:pPr>
        <w:pStyle w:val="Ttulo1"/>
        <w:spacing w:before="0" w:after="0" w:line="216" w:lineRule="auto"/>
        <w:ind w:right="-174"/>
        <w:rPr>
          <w:w w:val="95"/>
          <w:szCs w:val="20"/>
          <w:lang w:val="es-MX"/>
        </w:rPr>
      </w:pPr>
      <w:bookmarkStart w:id="1" w:name="_Toc378081721"/>
      <w:bookmarkStart w:id="2" w:name="_Toc381901591"/>
      <w:bookmarkStart w:id="3" w:name="_Toc384711935"/>
      <w:bookmarkStart w:id="4" w:name="_Toc384720257"/>
      <w:bookmarkStart w:id="5" w:name="_Toc384720406"/>
    </w:p>
    <w:p w:rsidR="001B1DC5" w:rsidRDefault="001B1DC5" w:rsidP="003F26FD">
      <w:pPr>
        <w:pStyle w:val="Ttulo1"/>
        <w:spacing w:before="0" w:after="0" w:line="216" w:lineRule="auto"/>
        <w:ind w:right="-174"/>
        <w:rPr>
          <w:w w:val="95"/>
          <w:szCs w:val="20"/>
          <w:lang w:val="es-MX"/>
        </w:rPr>
      </w:pPr>
    </w:p>
    <w:p w:rsidR="001B1DC5" w:rsidRDefault="001B1DC5" w:rsidP="003F26FD">
      <w:pPr>
        <w:pStyle w:val="Ttulo1"/>
        <w:spacing w:before="0" w:after="0" w:line="216" w:lineRule="auto"/>
        <w:ind w:right="-174"/>
        <w:rPr>
          <w:w w:val="95"/>
          <w:szCs w:val="20"/>
          <w:lang w:val="es-MX"/>
        </w:rPr>
      </w:pPr>
    </w:p>
    <w:p w:rsidR="00F04D11" w:rsidRDefault="00F04D11" w:rsidP="003F26FD">
      <w:pPr>
        <w:ind w:right="-174"/>
      </w:pPr>
    </w:p>
    <w:p w:rsidR="001D7482" w:rsidRDefault="001D7482" w:rsidP="003F26FD">
      <w:pPr>
        <w:ind w:right="-174"/>
      </w:pPr>
    </w:p>
    <w:p w:rsidR="00AA3400" w:rsidRDefault="00AA3400" w:rsidP="003F26FD">
      <w:pPr>
        <w:ind w:right="-174"/>
      </w:pPr>
    </w:p>
    <w:p w:rsidR="00AA3400" w:rsidRDefault="00AA3400" w:rsidP="003F26FD">
      <w:pPr>
        <w:ind w:right="-174"/>
      </w:pPr>
    </w:p>
    <w:p w:rsidR="00AA3400" w:rsidRDefault="00AA3400" w:rsidP="003F26FD">
      <w:pPr>
        <w:ind w:right="-174"/>
      </w:pPr>
    </w:p>
    <w:p w:rsidR="00AA3400" w:rsidRDefault="00AA3400" w:rsidP="003F26FD">
      <w:pPr>
        <w:ind w:right="-174"/>
      </w:pPr>
    </w:p>
    <w:p w:rsidR="00DF15C3" w:rsidRPr="002B1610" w:rsidRDefault="00DF15C3" w:rsidP="00BA1E79">
      <w:pPr>
        <w:pStyle w:val="Ttulo1"/>
        <w:spacing w:before="0" w:after="0" w:line="216" w:lineRule="auto"/>
        <w:ind w:right="-174"/>
        <w:rPr>
          <w:w w:val="95"/>
          <w:szCs w:val="20"/>
          <w:lang w:val="es-MX"/>
        </w:rPr>
      </w:pPr>
      <w:bookmarkStart w:id="6" w:name="_Toc393726420"/>
      <w:bookmarkStart w:id="7" w:name="_Toc393728142"/>
      <w:bookmarkStart w:id="8" w:name="_Toc393728632"/>
      <w:bookmarkStart w:id="9" w:name="_Toc394313628"/>
      <w:r w:rsidRPr="002B1610">
        <w:rPr>
          <w:w w:val="95"/>
          <w:szCs w:val="20"/>
          <w:lang w:val="es-MX"/>
        </w:rPr>
        <w:lastRenderedPageBreak/>
        <w:t>I</w:t>
      </w:r>
      <w:bookmarkEnd w:id="1"/>
      <w:bookmarkEnd w:id="2"/>
      <w:bookmarkEnd w:id="3"/>
      <w:bookmarkEnd w:id="4"/>
      <w:bookmarkEnd w:id="5"/>
      <w:bookmarkEnd w:id="6"/>
      <w:bookmarkEnd w:id="7"/>
      <w:bookmarkEnd w:id="8"/>
      <w:bookmarkEnd w:id="9"/>
    </w:p>
    <w:p w:rsidR="0020700F" w:rsidRDefault="0020700F" w:rsidP="003F26FD">
      <w:pPr>
        <w:pStyle w:val="Ttulo1"/>
        <w:spacing w:before="0" w:after="0" w:line="216" w:lineRule="auto"/>
        <w:ind w:right="-174"/>
        <w:rPr>
          <w:w w:val="95"/>
          <w:szCs w:val="20"/>
          <w:lang w:val="es-MX"/>
        </w:rPr>
      </w:pPr>
      <w:bookmarkStart w:id="10" w:name="_Toc392856484"/>
      <w:bookmarkStart w:id="11" w:name="_Toc394313629"/>
    </w:p>
    <w:p w:rsidR="00DF15C3" w:rsidRPr="002B1610" w:rsidRDefault="00527E94" w:rsidP="003F26FD">
      <w:pPr>
        <w:pStyle w:val="Ttulo1"/>
        <w:spacing w:before="0" w:after="0" w:line="216" w:lineRule="auto"/>
        <w:ind w:right="-174"/>
        <w:rPr>
          <w:w w:val="95"/>
          <w:szCs w:val="20"/>
          <w:lang w:val="es-MX"/>
        </w:rPr>
      </w:pPr>
      <w:r>
        <w:rPr>
          <w:w w:val="95"/>
          <w:szCs w:val="20"/>
          <w:lang w:val="es-MX"/>
        </w:rPr>
        <w:t>I</w:t>
      </w:r>
      <w:r w:rsidR="00DF15C3" w:rsidRPr="002B1610">
        <w:rPr>
          <w:w w:val="95"/>
          <w:szCs w:val="20"/>
          <w:lang w:val="es-MX"/>
        </w:rPr>
        <w:t>NTRODUCCIÓN DE LA CAUSA Y OBJETO DE LA CONTROVERSIA</w:t>
      </w:r>
      <w:bookmarkEnd w:id="10"/>
      <w:bookmarkEnd w:id="11"/>
    </w:p>
    <w:p w:rsidR="00DF15C3" w:rsidRPr="002B1610" w:rsidRDefault="00DF15C3" w:rsidP="003F26FD">
      <w:pPr>
        <w:spacing w:after="0" w:line="216" w:lineRule="auto"/>
        <w:ind w:left="-142" w:right="-174"/>
        <w:rPr>
          <w:rFonts w:ascii="Verdana" w:hAnsi="Verdana"/>
          <w:w w:val="95"/>
          <w:sz w:val="20"/>
          <w:szCs w:val="20"/>
        </w:rPr>
      </w:pPr>
    </w:p>
    <w:p w:rsidR="00DF15C3" w:rsidRPr="002B1610" w:rsidRDefault="00DF15C3" w:rsidP="003F26FD">
      <w:pPr>
        <w:pStyle w:val="Prrafodelista"/>
        <w:numPr>
          <w:ilvl w:val="0"/>
          <w:numId w:val="1"/>
        </w:numPr>
        <w:spacing w:after="0" w:line="216" w:lineRule="auto"/>
        <w:ind w:left="-142" w:right="-174" w:firstLine="0"/>
        <w:jc w:val="both"/>
        <w:rPr>
          <w:rFonts w:ascii="Verdana" w:hAnsi="Verdana"/>
          <w:b/>
          <w:w w:val="95"/>
          <w:sz w:val="20"/>
          <w:szCs w:val="20"/>
          <w:lang w:val="es-CR"/>
        </w:rPr>
      </w:pPr>
      <w:r>
        <w:rPr>
          <w:rFonts w:ascii="Verdana" w:hAnsi="Verdana"/>
          <w:i/>
          <w:w w:val="95"/>
          <w:sz w:val="20"/>
          <w:szCs w:val="20"/>
        </w:rPr>
        <w:t>El caso sometido a la Corte</w:t>
      </w:r>
      <w:r w:rsidRPr="002B1610">
        <w:rPr>
          <w:rFonts w:ascii="Verdana" w:hAnsi="Verdana"/>
          <w:i/>
          <w:w w:val="95"/>
          <w:sz w:val="20"/>
          <w:szCs w:val="20"/>
        </w:rPr>
        <w:t>.</w:t>
      </w:r>
      <w:r w:rsidRPr="002B1610">
        <w:rPr>
          <w:rFonts w:ascii="Verdana" w:hAnsi="Verdana"/>
          <w:w w:val="95"/>
          <w:sz w:val="20"/>
          <w:szCs w:val="20"/>
        </w:rPr>
        <w:t xml:space="preserve"> – El 3 de mayo de 2012</w:t>
      </w:r>
      <w:r>
        <w:rPr>
          <w:rFonts w:ascii="Verdana" w:hAnsi="Verdana"/>
          <w:w w:val="95"/>
          <w:sz w:val="20"/>
          <w:szCs w:val="20"/>
        </w:rPr>
        <w:t xml:space="preserve">, </w:t>
      </w:r>
      <w:r w:rsidRPr="00315B30">
        <w:rPr>
          <w:rFonts w:ascii="Verdana" w:hAnsi="Verdana"/>
          <w:w w:val="95"/>
          <w:sz w:val="20"/>
          <w:szCs w:val="20"/>
        </w:rPr>
        <w:t>de conformidad con lo dispuesto en los artículos 51 y 61 de la Convención Americana y el artículo 35 del Reglamento de la Corte</w:t>
      </w:r>
      <w:r w:rsidR="00CC5CED" w:rsidRPr="00315B30">
        <w:rPr>
          <w:rFonts w:ascii="Verdana" w:hAnsi="Verdana"/>
          <w:w w:val="95"/>
          <w:sz w:val="20"/>
          <w:szCs w:val="20"/>
        </w:rPr>
        <w:t>,</w:t>
      </w:r>
      <w:r w:rsidRPr="00315B30">
        <w:rPr>
          <w:rFonts w:ascii="Verdana" w:hAnsi="Verdana"/>
          <w:w w:val="95"/>
          <w:sz w:val="20"/>
          <w:szCs w:val="20"/>
        </w:rPr>
        <w:t xml:space="preserve"> la Comisión Interamericana de Derechos</w:t>
      </w:r>
      <w:r w:rsidRPr="002B1610">
        <w:rPr>
          <w:rFonts w:ascii="Verdana" w:hAnsi="Verdana"/>
          <w:w w:val="95"/>
          <w:sz w:val="20"/>
          <w:szCs w:val="20"/>
        </w:rPr>
        <w:t xml:space="preserve"> Humanos (en adelante</w:t>
      </w:r>
      <w:r w:rsidR="000402E6">
        <w:rPr>
          <w:rFonts w:ascii="Verdana" w:hAnsi="Verdana"/>
          <w:w w:val="95"/>
          <w:sz w:val="20"/>
          <w:szCs w:val="20"/>
        </w:rPr>
        <w:t xml:space="preserve"> también</w:t>
      </w:r>
      <w:r w:rsidRPr="002B1610">
        <w:rPr>
          <w:rFonts w:ascii="Verdana" w:hAnsi="Verdana"/>
          <w:w w:val="95"/>
          <w:sz w:val="20"/>
          <w:szCs w:val="20"/>
        </w:rPr>
        <w:t xml:space="preserve"> “la Comisión Int</w:t>
      </w:r>
      <w:r w:rsidR="004360A9">
        <w:rPr>
          <w:rFonts w:ascii="Verdana" w:hAnsi="Verdana"/>
          <w:w w:val="95"/>
          <w:sz w:val="20"/>
          <w:szCs w:val="20"/>
        </w:rPr>
        <w:t>eramericana” o “la Comisión”)</w:t>
      </w:r>
      <w:r w:rsidRPr="002B1610">
        <w:rPr>
          <w:rFonts w:ascii="Verdana" w:hAnsi="Verdana"/>
          <w:w w:val="95"/>
          <w:sz w:val="20"/>
          <w:szCs w:val="20"/>
        </w:rPr>
        <w:t xml:space="preserve"> sometió a la jurisdicción de la Corte </w:t>
      </w:r>
      <w:r w:rsidRPr="00250E08">
        <w:rPr>
          <w:rFonts w:ascii="Verdana" w:hAnsi="Verdana"/>
          <w:w w:val="95"/>
          <w:sz w:val="20"/>
          <w:szCs w:val="20"/>
        </w:rPr>
        <w:t xml:space="preserve">(en adelante “escrito de sometimiento”) el caso </w:t>
      </w:r>
      <w:r>
        <w:rPr>
          <w:rFonts w:ascii="Verdana" w:hAnsi="Verdana"/>
          <w:i/>
          <w:w w:val="95"/>
          <w:sz w:val="20"/>
          <w:szCs w:val="20"/>
        </w:rPr>
        <w:t>Veliz</w:t>
      </w:r>
      <w:r w:rsidRPr="00250E08">
        <w:rPr>
          <w:rFonts w:ascii="Verdana" w:hAnsi="Verdana"/>
          <w:i/>
          <w:w w:val="95"/>
          <w:sz w:val="20"/>
          <w:szCs w:val="20"/>
        </w:rPr>
        <w:t xml:space="preserve"> Franco y otros contra la República de Guatemala </w:t>
      </w:r>
      <w:r w:rsidRPr="00250E08">
        <w:rPr>
          <w:rFonts w:ascii="Verdana" w:hAnsi="Verdana"/>
          <w:w w:val="95"/>
          <w:sz w:val="20"/>
          <w:szCs w:val="20"/>
        </w:rPr>
        <w:t xml:space="preserve">(en adelante </w:t>
      </w:r>
      <w:r w:rsidR="000402E6">
        <w:rPr>
          <w:rFonts w:ascii="Verdana" w:hAnsi="Verdana"/>
          <w:w w:val="95"/>
          <w:sz w:val="20"/>
          <w:szCs w:val="20"/>
        </w:rPr>
        <w:t>también</w:t>
      </w:r>
      <w:r w:rsidR="00B714DA">
        <w:rPr>
          <w:rFonts w:ascii="Verdana" w:hAnsi="Verdana"/>
          <w:w w:val="95"/>
          <w:sz w:val="20"/>
          <w:szCs w:val="20"/>
        </w:rPr>
        <w:t xml:space="preserve"> </w:t>
      </w:r>
      <w:r w:rsidRPr="00250E08">
        <w:rPr>
          <w:rFonts w:ascii="Verdana" w:hAnsi="Verdana"/>
          <w:w w:val="95"/>
          <w:sz w:val="20"/>
          <w:szCs w:val="20"/>
        </w:rPr>
        <w:t>“</w:t>
      </w:r>
      <w:r w:rsidR="000402E6">
        <w:rPr>
          <w:rFonts w:ascii="Verdana" w:hAnsi="Verdana"/>
          <w:w w:val="95"/>
          <w:sz w:val="20"/>
          <w:szCs w:val="20"/>
        </w:rPr>
        <w:t xml:space="preserve">el </w:t>
      </w:r>
      <w:r w:rsidRPr="00250E08">
        <w:rPr>
          <w:rFonts w:ascii="Verdana" w:hAnsi="Verdana"/>
          <w:w w:val="95"/>
          <w:sz w:val="20"/>
          <w:szCs w:val="20"/>
        </w:rPr>
        <w:t xml:space="preserve">Estado” o “Guatemala”). De acuerdo con lo señalado por la Comisión, el presente caso se relaciona con la falta de respuesta eficaz del </w:t>
      </w:r>
      <w:r w:rsidRPr="002B1610">
        <w:rPr>
          <w:rFonts w:ascii="Verdana" w:hAnsi="Verdana"/>
          <w:w w:val="95"/>
          <w:sz w:val="20"/>
          <w:szCs w:val="20"/>
        </w:rPr>
        <w:t xml:space="preserve">Estado a la </w:t>
      </w:r>
      <w:r w:rsidRPr="00FC71E6">
        <w:rPr>
          <w:rFonts w:ascii="Verdana" w:hAnsi="Verdana"/>
          <w:w w:val="95"/>
          <w:sz w:val="20"/>
          <w:szCs w:val="20"/>
        </w:rPr>
        <w:t>denuncia presentada el 17 de diciembre de 2001 por Rosa Elvira Franco Sandoval (en adelante también “Rosa Elvira Franco” o “señora Franco Sandoval</w:t>
      </w:r>
      <w:r w:rsidR="000402E6">
        <w:rPr>
          <w:rFonts w:ascii="Verdana" w:hAnsi="Verdana"/>
          <w:w w:val="95"/>
          <w:sz w:val="20"/>
          <w:szCs w:val="20"/>
        </w:rPr>
        <w:t>”</w:t>
      </w:r>
      <w:r w:rsidR="00122C63">
        <w:rPr>
          <w:rFonts w:ascii="Verdana" w:hAnsi="Verdana"/>
          <w:w w:val="95"/>
          <w:sz w:val="20"/>
          <w:szCs w:val="20"/>
        </w:rPr>
        <w:t xml:space="preserve"> o “señora Franco”</w:t>
      </w:r>
      <w:r w:rsidRPr="00FC71E6">
        <w:rPr>
          <w:rFonts w:ascii="Verdana" w:hAnsi="Verdana"/>
          <w:w w:val="95"/>
          <w:sz w:val="20"/>
          <w:szCs w:val="20"/>
        </w:rPr>
        <w:t xml:space="preserve">) ante el Ministerio Público para denunciar la desaparición de su hija, María Isabel </w:t>
      </w:r>
      <w:r>
        <w:rPr>
          <w:rFonts w:ascii="Verdana" w:hAnsi="Verdana"/>
          <w:w w:val="95"/>
          <w:sz w:val="20"/>
          <w:szCs w:val="20"/>
        </w:rPr>
        <w:t xml:space="preserve">Veliz </w:t>
      </w:r>
      <w:r w:rsidRPr="00FC71E6">
        <w:rPr>
          <w:rFonts w:ascii="Verdana" w:hAnsi="Verdana"/>
          <w:w w:val="95"/>
          <w:sz w:val="20"/>
          <w:szCs w:val="20"/>
        </w:rPr>
        <w:t xml:space="preserve">Franco (en adelante también “María Isabel </w:t>
      </w:r>
      <w:r>
        <w:rPr>
          <w:rFonts w:ascii="Verdana" w:hAnsi="Verdana"/>
          <w:w w:val="95"/>
          <w:sz w:val="20"/>
          <w:szCs w:val="20"/>
        </w:rPr>
        <w:t>Veliz</w:t>
      </w:r>
      <w:r w:rsidRPr="00FC71E6">
        <w:rPr>
          <w:rFonts w:ascii="Verdana" w:hAnsi="Verdana"/>
          <w:w w:val="95"/>
          <w:sz w:val="20"/>
          <w:szCs w:val="20"/>
        </w:rPr>
        <w:t>” o “María Isabel” o “la niña” o “</w:t>
      </w:r>
      <w:r w:rsidR="00122C63">
        <w:rPr>
          <w:rFonts w:ascii="Verdana" w:hAnsi="Verdana"/>
          <w:w w:val="95"/>
          <w:sz w:val="20"/>
          <w:szCs w:val="20"/>
        </w:rPr>
        <w:t xml:space="preserve">la </w:t>
      </w:r>
      <w:r>
        <w:rPr>
          <w:rFonts w:ascii="Verdana" w:hAnsi="Verdana"/>
          <w:w w:val="95"/>
          <w:sz w:val="20"/>
          <w:szCs w:val="20"/>
        </w:rPr>
        <w:t xml:space="preserve">presunta </w:t>
      </w:r>
      <w:r w:rsidRPr="00FC71E6">
        <w:rPr>
          <w:rFonts w:ascii="Verdana" w:hAnsi="Verdana"/>
          <w:w w:val="95"/>
          <w:sz w:val="20"/>
          <w:szCs w:val="20"/>
        </w:rPr>
        <w:t xml:space="preserve"> víctima”), de 15 años de edad, así como las posteriores falencias en la investigación de los hechos. En dicha denuncia la señora Franco Sandoval manifestó</w:t>
      </w:r>
      <w:r w:rsidR="004360A9">
        <w:rPr>
          <w:rFonts w:ascii="Verdana" w:hAnsi="Verdana"/>
          <w:w w:val="95"/>
          <w:sz w:val="20"/>
          <w:szCs w:val="20"/>
        </w:rPr>
        <w:t xml:space="preserve"> que el 16 de diciembre de 2001</w:t>
      </w:r>
      <w:r w:rsidRPr="00FC71E6">
        <w:rPr>
          <w:rFonts w:ascii="Verdana" w:hAnsi="Verdana"/>
          <w:w w:val="95"/>
          <w:sz w:val="20"/>
          <w:szCs w:val="20"/>
        </w:rPr>
        <w:t xml:space="preserve"> su hija salió de su casa a las ocho de la mañana hacia su trabajo</w:t>
      </w:r>
      <w:r w:rsidR="00830251">
        <w:rPr>
          <w:rFonts w:ascii="Verdana" w:hAnsi="Verdana"/>
          <w:w w:val="95"/>
          <w:sz w:val="20"/>
          <w:szCs w:val="20"/>
        </w:rPr>
        <w:t xml:space="preserve"> </w:t>
      </w:r>
      <w:r w:rsidRPr="00FC71E6">
        <w:rPr>
          <w:rFonts w:ascii="Verdana" w:hAnsi="Verdana"/>
          <w:w w:val="95"/>
          <w:sz w:val="20"/>
          <w:szCs w:val="20"/>
        </w:rPr>
        <w:t>y no regresó. La Comisión indicó que no hay constancias en cuanto a esfuerzos realizados para buscar a la víctima desde que se presentó la denuncia, hasta que</w:t>
      </w:r>
      <w:r w:rsidRPr="002B1610">
        <w:rPr>
          <w:rFonts w:ascii="Verdana" w:hAnsi="Verdana"/>
          <w:w w:val="95"/>
          <w:sz w:val="20"/>
          <w:szCs w:val="20"/>
        </w:rPr>
        <w:t xml:space="preserve"> se encontró el cadáver a las 14:00 horas del 18 de diciembre de 2001. Asimismo, señaló que existieron una serie de irregularidades durante la investigación de la desaparición y posterior muerte</w:t>
      </w:r>
      <w:r w:rsidRPr="002B1610">
        <w:rPr>
          <w:rStyle w:val="Refdenotaalpie"/>
          <w:rFonts w:ascii="Verdana" w:hAnsi="Verdana"/>
          <w:w w:val="95"/>
          <w:sz w:val="20"/>
          <w:szCs w:val="20"/>
        </w:rPr>
        <w:footnoteReference w:id="1"/>
      </w:r>
      <w:r w:rsidRPr="002B1610">
        <w:rPr>
          <w:rFonts w:ascii="Verdana" w:hAnsi="Verdana"/>
          <w:w w:val="95"/>
          <w:sz w:val="20"/>
          <w:szCs w:val="20"/>
        </w:rPr>
        <w:t xml:space="preserve"> de María Isabel </w:t>
      </w:r>
      <w:r>
        <w:rPr>
          <w:rFonts w:ascii="Verdana" w:hAnsi="Verdana"/>
          <w:w w:val="95"/>
          <w:sz w:val="20"/>
          <w:szCs w:val="20"/>
        </w:rPr>
        <w:t>Veliz</w:t>
      </w:r>
      <w:r w:rsidR="00045490">
        <w:rPr>
          <w:rFonts w:ascii="Verdana" w:hAnsi="Verdana"/>
          <w:w w:val="95"/>
          <w:sz w:val="20"/>
          <w:szCs w:val="20"/>
        </w:rPr>
        <w:t xml:space="preserve"> </w:t>
      </w:r>
      <w:r w:rsidRPr="002B1610">
        <w:rPr>
          <w:rFonts w:ascii="Verdana" w:hAnsi="Verdana"/>
          <w:w w:val="95"/>
          <w:sz w:val="20"/>
          <w:szCs w:val="20"/>
        </w:rPr>
        <w:t xml:space="preserve">Franco, entre las que destacan la falta de realización de diligencias cuando fue reportada desaparecida y fallas en la preservación de la escena del crimen, así como deficiencias en el manejo y análisis de la evidencia recolectada. </w:t>
      </w:r>
    </w:p>
    <w:p w:rsidR="00DF15C3" w:rsidRPr="002B1610" w:rsidRDefault="00DF15C3" w:rsidP="003F26FD">
      <w:pPr>
        <w:pStyle w:val="Prrafodelista"/>
        <w:spacing w:after="0" w:line="216" w:lineRule="auto"/>
        <w:ind w:left="-142" w:right="-174"/>
        <w:jc w:val="both"/>
        <w:rPr>
          <w:rFonts w:ascii="Verdana" w:hAnsi="Verdana"/>
          <w:b/>
          <w:w w:val="95"/>
          <w:sz w:val="20"/>
          <w:szCs w:val="20"/>
          <w:lang w:val="es-CR"/>
        </w:rPr>
      </w:pPr>
    </w:p>
    <w:p w:rsidR="00DF15C3" w:rsidRDefault="00DF15C3" w:rsidP="003F26FD">
      <w:pPr>
        <w:pStyle w:val="Prrafodelista"/>
        <w:spacing w:after="0" w:line="216" w:lineRule="auto"/>
        <w:ind w:left="-142" w:right="-174"/>
        <w:jc w:val="both"/>
        <w:rPr>
          <w:rFonts w:ascii="Verdana" w:hAnsi="Verdana"/>
          <w:w w:val="95"/>
          <w:sz w:val="20"/>
          <w:szCs w:val="20"/>
        </w:rPr>
      </w:pPr>
      <w:r>
        <w:rPr>
          <w:rFonts w:ascii="Verdana" w:hAnsi="Verdana"/>
          <w:w w:val="95"/>
          <w:sz w:val="20"/>
          <w:szCs w:val="20"/>
        </w:rPr>
        <w:t>2</w:t>
      </w:r>
      <w:r w:rsidRPr="00EB187F">
        <w:rPr>
          <w:rFonts w:ascii="Verdana" w:hAnsi="Verdana"/>
          <w:w w:val="95"/>
          <w:sz w:val="20"/>
          <w:szCs w:val="20"/>
        </w:rPr>
        <w:t>.</w:t>
      </w:r>
      <w:r>
        <w:rPr>
          <w:rFonts w:ascii="Verdana" w:hAnsi="Verdana"/>
          <w:i/>
          <w:w w:val="95"/>
          <w:sz w:val="20"/>
          <w:szCs w:val="20"/>
        </w:rPr>
        <w:tab/>
      </w:r>
      <w:r w:rsidRPr="002B1610">
        <w:rPr>
          <w:rFonts w:ascii="Verdana" w:hAnsi="Verdana"/>
          <w:i/>
          <w:w w:val="95"/>
          <w:sz w:val="20"/>
          <w:szCs w:val="20"/>
        </w:rPr>
        <w:t>Trámite ante la Comisión</w:t>
      </w:r>
      <w:r w:rsidRPr="002B1610">
        <w:rPr>
          <w:rFonts w:ascii="Verdana" w:hAnsi="Verdana"/>
          <w:w w:val="95"/>
          <w:sz w:val="20"/>
          <w:szCs w:val="20"/>
        </w:rPr>
        <w:t>. – El trámite ante la Comisión fue el siguiente:</w:t>
      </w:r>
    </w:p>
    <w:p w:rsidR="00DF15C3" w:rsidRPr="00122DC2" w:rsidRDefault="00DF15C3" w:rsidP="003F26FD">
      <w:pPr>
        <w:spacing w:after="0" w:line="216" w:lineRule="auto"/>
        <w:ind w:right="-174"/>
        <w:jc w:val="both"/>
        <w:rPr>
          <w:rFonts w:ascii="Verdana" w:hAnsi="Verdana"/>
          <w:w w:val="95"/>
          <w:sz w:val="20"/>
          <w:szCs w:val="20"/>
        </w:rPr>
      </w:pPr>
    </w:p>
    <w:p w:rsidR="00DF15C3" w:rsidRPr="006A377C" w:rsidRDefault="00DF15C3" w:rsidP="003F26FD">
      <w:pPr>
        <w:pStyle w:val="Prrafodelista"/>
        <w:numPr>
          <w:ilvl w:val="1"/>
          <w:numId w:val="1"/>
        </w:numPr>
        <w:spacing w:after="0" w:line="216" w:lineRule="auto"/>
        <w:ind w:left="-142" w:right="-174" w:firstLine="0"/>
        <w:jc w:val="both"/>
        <w:rPr>
          <w:rFonts w:ascii="Verdana" w:hAnsi="Verdana"/>
          <w:w w:val="95"/>
          <w:sz w:val="20"/>
          <w:szCs w:val="20"/>
        </w:rPr>
      </w:pPr>
      <w:r w:rsidRPr="002B1610">
        <w:rPr>
          <w:rFonts w:ascii="Verdana" w:hAnsi="Verdana"/>
          <w:i/>
          <w:w w:val="95"/>
          <w:sz w:val="20"/>
          <w:szCs w:val="20"/>
        </w:rPr>
        <w:t>Petición</w:t>
      </w:r>
      <w:r w:rsidRPr="002B1610">
        <w:rPr>
          <w:rFonts w:ascii="Verdana" w:hAnsi="Verdana"/>
          <w:w w:val="95"/>
          <w:sz w:val="20"/>
          <w:szCs w:val="20"/>
        </w:rPr>
        <w:t>.- El 26 de enero de 2004 la Comisión recibió la petición presentada por la señora</w:t>
      </w:r>
      <w:r w:rsidRPr="002B1610">
        <w:rPr>
          <w:rFonts w:ascii="Verdana" w:hAnsi="Verdana"/>
          <w:b/>
          <w:w w:val="95"/>
          <w:sz w:val="20"/>
          <w:szCs w:val="20"/>
        </w:rPr>
        <w:t xml:space="preserve"> </w:t>
      </w:r>
      <w:r w:rsidRPr="002B1610">
        <w:rPr>
          <w:rFonts w:ascii="Verdana" w:hAnsi="Verdana"/>
          <w:w w:val="95"/>
          <w:sz w:val="20"/>
          <w:szCs w:val="20"/>
        </w:rPr>
        <w:t>Franco Sandoval, el Centro por la Justicia y el Derecho Internacional (en adelante “CEJIL”) y la Red de No Violencia contra las Mujeres en Guatemala (en adelante “REDNOVI</w:t>
      </w:r>
      <w:r w:rsidR="00E95EA4">
        <w:rPr>
          <w:rFonts w:ascii="Verdana" w:hAnsi="Verdana"/>
          <w:w w:val="95"/>
          <w:sz w:val="20"/>
          <w:szCs w:val="20"/>
        </w:rPr>
        <w:t>”</w:t>
      </w:r>
      <w:r w:rsidRPr="002B1610">
        <w:rPr>
          <w:rFonts w:ascii="Verdana" w:hAnsi="Verdana"/>
          <w:w w:val="95"/>
          <w:sz w:val="20"/>
          <w:szCs w:val="20"/>
        </w:rPr>
        <w:t xml:space="preserve">). </w:t>
      </w:r>
    </w:p>
    <w:p w:rsidR="00DF15C3" w:rsidRPr="002B1610" w:rsidRDefault="00DF15C3" w:rsidP="003F26FD">
      <w:pPr>
        <w:pStyle w:val="Prrafodelista"/>
        <w:spacing w:after="0" w:line="216" w:lineRule="auto"/>
        <w:ind w:left="-142" w:right="-174"/>
        <w:jc w:val="both"/>
        <w:rPr>
          <w:rFonts w:ascii="Verdana" w:hAnsi="Verdana"/>
          <w:w w:val="95"/>
          <w:sz w:val="20"/>
          <w:szCs w:val="20"/>
        </w:rPr>
      </w:pPr>
    </w:p>
    <w:p w:rsidR="00DF15C3" w:rsidRPr="003E007B" w:rsidRDefault="00DF15C3" w:rsidP="003F26FD">
      <w:pPr>
        <w:pStyle w:val="Prrafodelista"/>
        <w:numPr>
          <w:ilvl w:val="1"/>
          <w:numId w:val="1"/>
        </w:numPr>
        <w:spacing w:after="0" w:line="216" w:lineRule="auto"/>
        <w:ind w:left="-142" w:right="-174" w:firstLine="0"/>
        <w:jc w:val="both"/>
        <w:rPr>
          <w:rFonts w:ascii="Verdana" w:hAnsi="Verdana"/>
          <w:w w:val="95"/>
          <w:sz w:val="20"/>
          <w:szCs w:val="20"/>
        </w:rPr>
      </w:pPr>
      <w:r w:rsidRPr="002B1610">
        <w:rPr>
          <w:rFonts w:ascii="Verdana" w:hAnsi="Verdana"/>
          <w:i/>
          <w:w w:val="95"/>
          <w:sz w:val="20"/>
          <w:szCs w:val="20"/>
        </w:rPr>
        <w:t>Informe de Admisibilidad.-</w:t>
      </w:r>
      <w:r w:rsidR="000402E6">
        <w:rPr>
          <w:rFonts w:ascii="Verdana" w:hAnsi="Verdana"/>
          <w:i/>
          <w:w w:val="95"/>
          <w:sz w:val="20"/>
          <w:szCs w:val="20"/>
        </w:rPr>
        <w:t xml:space="preserve"> </w:t>
      </w:r>
      <w:r w:rsidRPr="002B1610">
        <w:rPr>
          <w:rFonts w:ascii="Verdana" w:hAnsi="Verdana"/>
          <w:w w:val="95"/>
          <w:sz w:val="20"/>
          <w:szCs w:val="20"/>
        </w:rPr>
        <w:t>El 21 de octubre de 2006 la Comisión aprobó el Informe de Admisibilidad No. 92/06</w:t>
      </w:r>
      <w:r w:rsidRPr="002B1610">
        <w:rPr>
          <w:rStyle w:val="Refdenotaalpie"/>
          <w:rFonts w:ascii="Verdana" w:hAnsi="Verdana"/>
          <w:w w:val="95"/>
          <w:sz w:val="20"/>
        </w:rPr>
        <w:footnoteReference w:id="2"/>
      </w:r>
      <w:r w:rsidR="000402E6">
        <w:rPr>
          <w:rFonts w:ascii="Verdana" w:hAnsi="Verdana"/>
          <w:w w:val="95"/>
          <w:sz w:val="20"/>
          <w:szCs w:val="20"/>
        </w:rPr>
        <w:t xml:space="preserve"> (en adelante también “Informe de Admisibilidad”)</w:t>
      </w:r>
      <w:r w:rsidRPr="002B1610">
        <w:rPr>
          <w:rFonts w:ascii="Verdana" w:hAnsi="Verdana"/>
          <w:w w:val="95"/>
          <w:sz w:val="20"/>
          <w:szCs w:val="20"/>
        </w:rPr>
        <w:t xml:space="preserve">. </w:t>
      </w:r>
    </w:p>
    <w:p w:rsidR="00DF15C3" w:rsidRPr="00FF1F4C" w:rsidRDefault="00DF15C3" w:rsidP="003F26FD">
      <w:pPr>
        <w:spacing w:after="0" w:line="216" w:lineRule="auto"/>
        <w:ind w:left="-142" w:right="-174"/>
        <w:jc w:val="both"/>
        <w:rPr>
          <w:rFonts w:ascii="Verdana" w:hAnsi="Verdana"/>
          <w:w w:val="95"/>
          <w:sz w:val="20"/>
          <w:szCs w:val="20"/>
        </w:rPr>
      </w:pPr>
    </w:p>
    <w:p w:rsidR="00DF15C3" w:rsidRPr="00452628" w:rsidRDefault="00DF15C3" w:rsidP="003F26FD">
      <w:pPr>
        <w:pStyle w:val="Prrafodelista"/>
        <w:numPr>
          <w:ilvl w:val="1"/>
          <w:numId w:val="1"/>
        </w:numPr>
        <w:spacing w:after="0" w:line="216" w:lineRule="auto"/>
        <w:ind w:left="-142" w:right="-174" w:firstLine="0"/>
        <w:jc w:val="both"/>
        <w:rPr>
          <w:rFonts w:ascii="Verdana" w:hAnsi="Verdana"/>
          <w:w w:val="95"/>
          <w:sz w:val="20"/>
          <w:szCs w:val="20"/>
        </w:rPr>
      </w:pPr>
      <w:r w:rsidRPr="000402E6">
        <w:rPr>
          <w:rFonts w:ascii="Verdana" w:hAnsi="Verdana"/>
          <w:i/>
          <w:w w:val="95"/>
          <w:sz w:val="20"/>
          <w:szCs w:val="20"/>
        </w:rPr>
        <w:t>Informe de Fondo</w:t>
      </w:r>
      <w:r w:rsidRPr="000402E6">
        <w:rPr>
          <w:rFonts w:ascii="Verdana" w:hAnsi="Verdana"/>
          <w:w w:val="95"/>
          <w:sz w:val="20"/>
          <w:szCs w:val="20"/>
        </w:rPr>
        <w:t>.- El 3 de noviembre de 2011 la Comisión aprobó el Informe de Fondo</w:t>
      </w:r>
      <w:r w:rsidR="000402E6" w:rsidRPr="000402E6">
        <w:rPr>
          <w:rFonts w:ascii="Verdana" w:hAnsi="Verdana"/>
          <w:w w:val="95"/>
          <w:sz w:val="20"/>
          <w:szCs w:val="20"/>
        </w:rPr>
        <w:t xml:space="preserve"> </w:t>
      </w:r>
      <w:r w:rsidR="00F15CBE" w:rsidRPr="00B47773">
        <w:rPr>
          <w:rFonts w:ascii="Verdana" w:hAnsi="Verdana"/>
          <w:sz w:val="20"/>
          <w:szCs w:val="20"/>
        </w:rPr>
        <w:t>No. 170/11</w:t>
      </w:r>
      <w:r w:rsidR="000402E6">
        <w:rPr>
          <w:rFonts w:ascii="Verdana" w:hAnsi="Verdana"/>
          <w:sz w:val="20"/>
          <w:szCs w:val="20"/>
        </w:rPr>
        <w:t xml:space="preserve"> (en adelante también “Informe de Fondo”)</w:t>
      </w:r>
      <w:r w:rsidRPr="000402E6">
        <w:rPr>
          <w:rFonts w:ascii="Verdana" w:hAnsi="Verdana"/>
          <w:w w:val="95"/>
          <w:sz w:val="20"/>
          <w:szCs w:val="20"/>
        </w:rPr>
        <w:t>,</w:t>
      </w:r>
      <w:r w:rsidRPr="00452628">
        <w:rPr>
          <w:rFonts w:ascii="Verdana" w:hAnsi="Verdana"/>
          <w:w w:val="95"/>
          <w:sz w:val="20"/>
          <w:szCs w:val="20"/>
        </w:rPr>
        <w:t xml:space="preserve"> de conformidad con el artículo 50 de la Convención, en el cual llegó a una serie de conclusiones y formuló varias recomendaciones al Estado.</w:t>
      </w:r>
      <w:r w:rsidRPr="00452628">
        <w:rPr>
          <w:rFonts w:ascii="Verdana" w:hAnsi="Verdana"/>
          <w:b/>
          <w:w w:val="95"/>
          <w:sz w:val="20"/>
          <w:szCs w:val="20"/>
        </w:rPr>
        <w:t xml:space="preserve"> </w:t>
      </w:r>
    </w:p>
    <w:p w:rsidR="00DF15C3" w:rsidRPr="00250E08" w:rsidRDefault="00DF15C3" w:rsidP="003F26FD">
      <w:pPr>
        <w:pStyle w:val="Prrafodelista"/>
        <w:numPr>
          <w:ilvl w:val="2"/>
          <w:numId w:val="1"/>
        </w:numPr>
        <w:tabs>
          <w:tab w:val="left" w:pos="990"/>
        </w:tabs>
        <w:spacing w:after="0" w:line="19" w:lineRule="atLeast"/>
        <w:ind w:left="900" w:right="-174" w:firstLine="0"/>
        <w:jc w:val="both"/>
        <w:rPr>
          <w:rFonts w:ascii="Verdana" w:hAnsi="Verdana"/>
          <w:sz w:val="20"/>
          <w:szCs w:val="20"/>
        </w:rPr>
      </w:pPr>
      <w:r w:rsidRPr="003E007B">
        <w:rPr>
          <w:rFonts w:ascii="Verdana" w:hAnsi="Verdana"/>
          <w:w w:val="95"/>
          <w:sz w:val="20"/>
          <w:szCs w:val="20"/>
        </w:rPr>
        <w:t xml:space="preserve"> </w:t>
      </w:r>
      <w:r w:rsidRPr="003622B1">
        <w:rPr>
          <w:rFonts w:ascii="Verdana" w:hAnsi="Verdana"/>
          <w:i/>
          <w:w w:val="95"/>
          <w:sz w:val="20"/>
          <w:szCs w:val="20"/>
        </w:rPr>
        <w:t>Conclusiones</w:t>
      </w:r>
      <w:r w:rsidR="00F15CBE" w:rsidRPr="00B47773">
        <w:rPr>
          <w:rFonts w:ascii="Verdana" w:hAnsi="Verdana"/>
          <w:i/>
          <w:w w:val="95"/>
          <w:sz w:val="20"/>
          <w:szCs w:val="20"/>
        </w:rPr>
        <w:t>.</w:t>
      </w:r>
      <w:r w:rsidR="00F15CBE" w:rsidRPr="00B47773">
        <w:rPr>
          <w:rFonts w:ascii="Verdana" w:hAnsi="Verdana"/>
          <w:w w:val="95"/>
          <w:sz w:val="20"/>
          <w:szCs w:val="20"/>
        </w:rPr>
        <w:t>-</w:t>
      </w:r>
      <w:r w:rsidRPr="00FF1F4C">
        <w:rPr>
          <w:rFonts w:ascii="Verdana" w:hAnsi="Verdana"/>
          <w:b/>
          <w:w w:val="95"/>
          <w:sz w:val="20"/>
          <w:szCs w:val="20"/>
        </w:rPr>
        <w:t xml:space="preserve"> </w:t>
      </w:r>
      <w:r w:rsidRPr="00FF1F4C">
        <w:rPr>
          <w:rFonts w:ascii="Verdana" w:hAnsi="Verdana"/>
          <w:b/>
          <w:sz w:val="20"/>
          <w:szCs w:val="20"/>
        </w:rPr>
        <w:t xml:space="preserve"> </w:t>
      </w:r>
      <w:r w:rsidRPr="00250E08">
        <w:rPr>
          <w:rFonts w:ascii="Verdana" w:hAnsi="Verdana"/>
          <w:sz w:val="20"/>
          <w:szCs w:val="20"/>
        </w:rPr>
        <w:t>La Comisión concluyó</w:t>
      </w:r>
      <w:r w:rsidR="00C11F32">
        <w:rPr>
          <w:rFonts w:ascii="Verdana" w:hAnsi="Verdana"/>
          <w:sz w:val="20"/>
          <w:szCs w:val="20"/>
        </w:rPr>
        <w:t xml:space="preserve"> que</w:t>
      </w:r>
      <w:r w:rsidRPr="00250E08">
        <w:rPr>
          <w:rFonts w:ascii="Verdana" w:hAnsi="Verdana"/>
          <w:sz w:val="20"/>
          <w:szCs w:val="20"/>
        </w:rPr>
        <w:t>,</w:t>
      </w:r>
      <w:r w:rsidR="00045490">
        <w:rPr>
          <w:rFonts w:ascii="Verdana" w:hAnsi="Verdana"/>
          <w:sz w:val="20"/>
          <w:szCs w:val="20"/>
        </w:rPr>
        <w:t xml:space="preserve"> en perjuicio de María Isabel Ve</w:t>
      </w:r>
      <w:r w:rsidR="00C11F32">
        <w:rPr>
          <w:rFonts w:ascii="Verdana" w:hAnsi="Verdana"/>
          <w:sz w:val="20"/>
          <w:szCs w:val="20"/>
        </w:rPr>
        <w:t xml:space="preserve">liz Franco, </w:t>
      </w:r>
      <w:r w:rsidRPr="00250E08">
        <w:rPr>
          <w:rFonts w:ascii="Verdana" w:hAnsi="Verdana"/>
          <w:sz w:val="20"/>
          <w:szCs w:val="20"/>
        </w:rPr>
        <w:t>el Estado era responsable de:</w:t>
      </w:r>
    </w:p>
    <w:p w:rsidR="00DF15C3" w:rsidRDefault="00DF15C3" w:rsidP="003F26FD">
      <w:pPr>
        <w:pStyle w:val="Prrafodelista"/>
        <w:spacing w:after="0" w:line="19" w:lineRule="atLeast"/>
        <w:ind w:left="1440" w:right="-174"/>
        <w:jc w:val="both"/>
        <w:rPr>
          <w:rFonts w:ascii="Verdana" w:hAnsi="Verdana"/>
          <w:sz w:val="16"/>
          <w:szCs w:val="16"/>
        </w:rPr>
      </w:pPr>
      <w:r w:rsidRPr="00250E08">
        <w:rPr>
          <w:rFonts w:ascii="Verdana" w:hAnsi="Verdana"/>
          <w:sz w:val="20"/>
          <w:szCs w:val="20"/>
        </w:rPr>
        <w:br/>
      </w:r>
      <w:r w:rsidRPr="00250E08">
        <w:rPr>
          <w:rFonts w:ascii="Verdana" w:hAnsi="Verdana"/>
          <w:sz w:val="16"/>
          <w:szCs w:val="16"/>
        </w:rPr>
        <w:t xml:space="preserve">las violaciones al derecho a la vida, integridad personal y los derechos del niño, </w:t>
      </w:r>
      <w:r w:rsidRPr="00250E08">
        <w:rPr>
          <w:rFonts w:ascii="Verdana" w:hAnsi="Verdana"/>
          <w:sz w:val="16"/>
          <w:szCs w:val="16"/>
        </w:rPr>
        <w:lastRenderedPageBreak/>
        <w:t xml:space="preserve">consagrados en los artículos 4, 5, y 19 de la Convención Americana, todos ellos en conexión con el artículo 1.1 de dicho tratado. Igualmente concluy[ó] que el Estado menoscabó los derechos de María Isabel </w:t>
      </w:r>
      <w:r>
        <w:rPr>
          <w:rFonts w:ascii="Verdana" w:hAnsi="Verdana"/>
          <w:sz w:val="16"/>
          <w:szCs w:val="16"/>
        </w:rPr>
        <w:t>Veliz</w:t>
      </w:r>
      <w:r w:rsidRPr="00250E08">
        <w:rPr>
          <w:rFonts w:ascii="Verdana" w:hAnsi="Verdana"/>
          <w:sz w:val="16"/>
          <w:szCs w:val="16"/>
        </w:rPr>
        <w:t xml:space="preserve"> Franco bajo el artícu</w:t>
      </w:r>
      <w:r w:rsidR="00122C63">
        <w:rPr>
          <w:rFonts w:ascii="Verdana" w:hAnsi="Verdana"/>
          <w:sz w:val="16"/>
          <w:szCs w:val="16"/>
        </w:rPr>
        <w:t xml:space="preserve">lo 7 de la Convención de Belém </w:t>
      </w:r>
      <w:r w:rsidR="00F77273" w:rsidRPr="00F77273">
        <w:rPr>
          <w:rFonts w:ascii="Verdana" w:hAnsi="Verdana"/>
          <w:sz w:val="16"/>
          <w:szCs w:val="16"/>
        </w:rPr>
        <w:t>d</w:t>
      </w:r>
      <w:r w:rsidRPr="00250E08">
        <w:rPr>
          <w:rFonts w:ascii="Verdana" w:hAnsi="Verdana"/>
          <w:sz w:val="16"/>
          <w:szCs w:val="16"/>
        </w:rPr>
        <w:t xml:space="preserve">o Pará[,] en relación con el artículo 24 de la Convención Americana[,] en concordancia con la obligación general de respetar y garantizar los derechos prevista en el artículo 1.1. </w:t>
      </w:r>
    </w:p>
    <w:p w:rsidR="00045490" w:rsidRPr="00250E08" w:rsidRDefault="00045490" w:rsidP="003F26FD">
      <w:pPr>
        <w:pStyle w:val="Prrafodelista"/>
        <w:tabs>
          <w:tab w:val="left" w:pos="8370"/>
        </w:tabs>
        <w:spacing w:after="0" w:line="19" w:lineRule="atLeast"/>
        <w:ind w:left="1440" w:right="-174"/>
        <w:jc w:val="both"/>
        <w:rPr>
          <w:rFonts w:ascii="Verdana" w:hAnsi="Verdana"/>
          <w:sz w:val="16"/>
          <w:szCs w:val="16"/>
        </w:rPr>
      </w:pPr>
    </w:p>
    <w:p w:rsidR="00DF15C3" w:rsidRPr="00250E08" w:rsidRDefault="00DF15C3" w:rsidP="003F26FD">
      <w:pPr>
        <w:pStyle w:val="Prrafodelista"/>
        <w:spacing w:after="0" w:line="19" w:lineRule="atLeast"/>
        <w:ind w:left="630" w:right="-174"/>
        <w:jc w:val="both"/>
        <w:rPr>
          <w:rFonts w:ascii="Verdana" w:hAnsi="Verdana"/>
          <w:sz w:val="20"/>
          <w:szCs w:val="20"/>
        </w:rPr>
      </w:pPr>
      <w:r w:rsidRPr="006A377C">
        <w:rPr>
          <w:rFonts w:ascii="Verdana" w:hAnsi="Verdana"/>
          <w:sz w:val="20"/>
          <w:szCs w:val="20"/>
        </w:rPr>
        <w:t>De igual forma</w:t>
      </w:r>
      <w:r>
        <w:rPr>
          <w:rFonts w:ascii="Verdana" w:hAnsi="Verdana"/>
          <w:sz w:val="20"/>
          <w:szCs w:val="20"/>
        </w:rPr>
        <w:t xml:space="preserve">, </w:t>
      </w:r>
      <w:r w:rsidRPr="00250E08">
        <w:rPr>
          <w:rFonts w:ascii="Verdana" w:hAnsi="Verdana"/>
          <w:sz w:val="20"/>
          <w:szCs w:val="20"/>
        </w:rPr>
        <w:t>la Comisión concluyó que el Estado</w:t>
      </w:r>
      <w:r>
        <w:rPr>
          <w:rFonts w:ascii="Verdana" w:hAnsi="Verdana"/>
          <w:sz w:val="20"/>
          <w:szCs w:val="20"/>
        </w:rPr>
        <w:t>:</w:t>
      </w:r>
      <w:r w:rsidRPr="00250E08">
        <w:rPr>
          <w:rFonts w:ascii="Verdana" w:hAnsi="Verdana"/>
          <w:sz w:val="20"/>
          <w:szCs w:val="20"/>
        </w:rPr>
        <w:t xml:space="preserve"> </w:t>
      </w:r>
    </w:p>
    <w:p w:rsidR="00DF15C3" w:rsidRPr="00250E08" w:rsidRDefault="00DF15C3" w:rsidP="003F26FD">
      <w:pPr>
        <w:pStyle w:val="Prrafodelista"/>
        <w:spacing w:after="0" w:line="19" w:lineRule="atLeast"/>
        <w:ind w:left="630" w:right="-174"/>
        <w:jc w:val="both"/>
        <w:rPr>
          <w:rFonts w:ascii="Verdana" w:hAnsi="Verdana"/>
          <w:sz w:val="20"/>
          <w:szCs w:val="20"/>
        </w:rPr>
      </w:pPr>
    </w:p>
    <w:p w:rsidR="00DF15C3" w:rsidRPr="00022B8B" w:rsidRDefault="00DF15C3" w:rsidP="003F26FD">
      <w:pPr>
        <w:pStyle w:val="Prrafodelista"/>
        <w:spacing w:after="0" w:line="19" w:lineRule="atLeast"/>
        <w:ind w:left="1440" w:right="-174"/>
        <w:jc w:val="both"/>
        <w:rPr>
          <w:rFonts w:ascii="Verdana" w:hAnsi="Verdana"/>
          <w:b/>
          <w:sz w:val="16"/>
          <w:szCs w:val="16"/>
        </w:rPr>
      </w:pPr>
      <w:r w:rsidRPr="00250E08">
        <w:rPr>
          <w:rFonts w:ascii="Verdana" w:hAnsi="Verdana"/>
          <w:sz w:val="16"/>
          <w:szCs w:val="16"/>
        </w:rPr>
        <w:t xml:space="preserve">violó el derecho a la integridad personal consagrado en el artículo 5.1 de la Convención, en conexión con la obligación que le impone al Estado el artículo 1.1 de dicho tratado, en perjuicio de Rosa Elvira Franco Sandoval de </w:t>
      </w:r>
      <w:r>
        <w:rPr>
          <w:rFonts w:ascii="Verdana" w:hAnsi="Verdana"/>
          <w:sz w:val="16"/>
          <w:szCs w:val="16"/>
        </w:rPr>
        <w:t xml:space="preserve">Veliz </w:t>
      </w:r>
      <w:r w:rsidRPr="00250E08">
        <w:rPr>
          <w:rFonts w:ascii="Verdana" w:hAnsi="Verdana"/>
          <w:sz w:val="16"/>
          <w:szCs w:val="16"/>
        </w:rPr>
        <w:t xml:space="preserve">(madre), Leonel Enrique </w:t>
      </w:r>
      <w:r>
        <w:rPr>
          <w:rFonts w:ascii="Verdana" w:hAnsi="Verdana"/>
          <w:sz w:val="16"/>
          <w:szCs w:val="16"/>
        </w:rPr>
        <w:t xml:space="preserve">Veliz </w:t>
      </w:r>
      <w:r w:rsidRPr="00250E08">
        <w:rPr>
          <w:rFonts w:ascii="Verdana" w:hAnsi="Verdana"/>
          <w:sz w:val="16"/>
          <w:szCs w:val="16"/>
        </w:rPr>
        <w:t>(hermano), José Roberto Franco (hermano) y Cruz Elvira Sandoval Polanco de Franco (abuela</w:t>
      </w:r>
      <w:r w:rsidR="003114C1">
        <w:rPr>
          <w:rFonts w:ascii="Verdana" w:hAnsi="Verdana"/>
          <w:sz w:val="16"/>
          <w:szCs w:val="16"/>
        </w:rPr>
        <w:t>,</w:t>
      </w:r>
      <w:r w:rsidRPr="00250E08">
        <w:rPr>
          <w:rFonts w:ascii="Verdana" w:hAnsi="Verdana"/>
          <w:sz w:val="16"/>
          <w:szCs w:val="16"/>
        </w:rPr>
        <w:t xml:space="preserve"> fallecida) y Roberto Franco Pérez (abuelo</w:t>
      </w:r>
      <w:r w:rsidR="003114C1">
        <w:rPr>
          <w:rFonts w:ascii="Verdana" w:hAnsi="Verdana"/>
          <w:sz w:val="16"/>
          <w:szCs w:val="16"/>
        </w:rPr>
        <w:t>,</w:t>
      </w:r>
      <w:r w:rsidRPr="00250E08">
        <w:rPr>
          <w:rFonts w:ascii="Verdana" w:hAnsi="Verdana"/>
          <w:sz w:val="16"/>
          <w:szCs w:val="16"/>
        </w:rPr>
        <w:t xml:space="preserve"> fallecido), así como el derecho a las garantías y protección judicial consagrados en los artículos 8.1 y 25 de la Convención Americana[,] en relación con el artículo 24 del mismo instrumento y en relación con la obligación que impone al Estado el artículo 1.1.</w:t>
      </w:r>
      <w:r w:rsidRPr="00022B8B">
        <w:rPr>
          <w:rFonts w:ascii="Verdana" w:hAnsi="Verdana"/>
          <w:b/>
          <w:sz w:val="16"/>
          <w:szCs w:val="16"/>
        </w:rPr>
        <w:t xml:space="preserve"> </w:t>
      </w:r>
    </w:p>
    <w:p w:rsidR="00DF15C3" w:rsidRPr="002B1610" w:rsidRDefault="00DF15C3" w:rsidP="003F26FD">
      <w:pPr>
        <w:pStyle w:val="Prrafodelista"/>
        <w:spacing w:after="0" w:line="216" w:lineRule="auto"/>
        <w:ind w:right="-174"/>
        <w:jc w:val="both"/>
        <w:rPr>
          <w:rFonts w:ascii="Verdana" w:hAnsi="Verdana"/>
          <w:w w:val="95"/>
          <w:sz w:val="20"/>
          <w:szCs w:val="20"/>
        </w:rPr>
      </w:pPr>
    </w:p>
    <w:p w:rsidR="00DF15C3" w:rsidRPr="003E007B" w:rsidRDefault="00DF15C3" w:rsidP="00446883">
      <w:pPr>
        <w:spacing w:after="0" w:line="216" w:lineRule="auto"/>
        <w:ind w:right="-174" w:firstLine="708"/>
        <w:jc w:val="both"/>
        <w:rPr>
          <w:rFonts w:ascii="Verdana" w:hAnsi="Verdana"/>
          <w:w w:val="95"/>
          <w:sz w:val="20"/>
          <w:szCs w:val="20"/>
        </w:rPr>
      </w:pPr>
      <w:r>
        <w:rPr>
          <w:rFonts w:ascii="Verdana" w:hAnsi="Verdana"/>
          <w:w w:val="95"/>
          <w:sz w:val="20"/>
          <w:szCs w:val="20"/>
        </w:rPr>
        <w:t>ii</w:t>
      </w:r>
      <w:r w:rsidR="00446883">
        <w:rPr>
          <w:rFonts w:ascii="Verdana" w:hAnsi="Verdana"/>
          <w:w w:val="95"/>
          <w:sz w:val="20"/>
          <w:szCs w:val="20"/>
        </w:rPr>
        <w:t>.</w:t>
      </w:r>
      <w:r w:rsidRPr="003E007B">
        <w:rPr>
          <w:rFonts w:ascii="Verdana" w:hAnsi="Verdana"/>
          <w:w w:val="95"/>
          <w:sz w:val="20"/>
          <w:szCs w:val="20"/>
        </w:rPr>
        <w:t xml:space="preserve"> </w:t>
      </w:r>
      <w:r w:rsidRPr="003E007B">
        <w:rPr>
          <w:rFonts w:ascii="Verdana" w:hAnsi="Verdana"/>
          <w:i/>
          <w:w w:val="95"/>
          <w:sz w:val="20"/>
          <w:szCs w:val="20"/>
        </w:rPr>
        <w:t>Recomendaciones.</w:t>
      </w:r>
      <w:r w:rsidRPr="003E007B">
        <w:rPr>
          <w:rFonts w:ascii="Verdana" w:hAnsi="Verdana"/>
          <w:w w:val="95"/>
          <w:sz w:val="20"/>
          <w:szCs w:val="20"/>
        </w:rPr>
        <w:t xml:space="preserve">- </w:t>
      </w:r>
    </w:p>
    <w:p w:rsidR="00DF15C3" w:rsidRPr="002B1610" w:rsidRDefault="00DF15C3" w:rsidP="003F26FD">
      <w:pPr>
        <w:spacing w:after="0" w:line="216" w:lineRule="auto"/>
        <w:ind w:left="1440" w:right="-174"/>
        <w:jc w:val="both"/>
        <w:rPr>
          <w:rFonts w:ascii="Verdana" w:hAnsi="Verdana"/>
          <w:w w:val="95"/>
          <w:sz w:val="20"/>
          <w:szCs w:val="20"/>
        </w:rPr>
      </w:pPr>
    </w:p>
    <w:p w:rsidR="00DF15C3" w:rsidRPr="00250E08" w:rsidRDefault="00DF15C3" w:rsidP="003F26FD">
      <w:pPr>
        <w:pStyle w:val="Prrafodelista"/>
        <w:numPr>
          <w:ilvl w:val="3"/>
          <w:numId w:val="1"/>
        </w:numPr>
        <w:spacing w:after="0" w:line="216" w:lineRule="auto"/>
        <w:ind w:left="1440" w:right="-174" w:firstLine="0"/>
        <w:jc w:val="both"/>
        <w:rPr>
          <w:rFonts w:ascii="Verdana" w:hAnsi="Verdana"/>
          <w:sz w:val="16"/>
          <w:szCs w:val="16"/>
        </w:rPr>
      </w:pPr>
      <w:r w:rsidRPr="00250E08">
        <w:rPr>
          <w:rFonts w:ascii="Verdana" w:hAnsi="Verdana"/>
          <w:sz w:val="16"/>
          <w:szCs w:val="16"/>
        </w:rPr>
        <w:t>Completar la investigación de manera oportuna, inmediata, seri</w:t>
      </w:r>
      <w:r>
        <w:rPr>
          <w:rFonts w:ascii="Verdana" w:hAnsi="Verdana"/>
          <w:sz w:val="16"/>
          <w:szCs w:val="16"/>
        </w:rPr>
        <w:t>a</w:t>
      </w:r>
      <w:r w:rsidRPr="00250E08">
        <w:rPr>
          <w:rFonts w:ascii="Verdana" w:hAnsi="Verdana"/>
          <w:sz w:val="16"/>
          <w:szCs w:val="16"/>
        </w:rPr>
        <w:t xml:space="preserve"> e imparcial con el objeto de esclarecer el asesinato de María Isabel </w:t>
      </w:r>
      <w:r>
        <w:rPr>
          <w:rFonts w:ascii="Verdana" w:hAnsi="Verdana"/>
          <w:sz w:val="16"/>
          <w:szCs w:val="16"/>
        </w:rPr>
        <w:t xml:space="preserve">Veliz </w:t>
      </w:r>
      <w:r w:rsidRPr="00250E08">
        <w:rPr>
          <w:rFonts w:ascii="Verdana" w:hAnsi="Verdana"/>
          <w:sz w:val="16"/>
          <w:szCs w:val="16"/>
        </w:rPr>
        <w:t>Franco e identificar, juzgar y, en su caso sancionar a los responsables.</w:t>
      </w:r>
    </w:p>
    <w:p w:rsidR="00DF15C3" w:rsidRPr="00250E08" w:rsidRDefault="00DF15C3" w:rsidP="003F26FD">
      <w:pPr>
        <w:pStyle w:val="Prrafodelista"/>
        <w:numPr>
          <w:ilvl w:val="3"/>
          <w:numId w:val="1"/>
        </w:numPr>
        <w:spacing w:after="0" w:line="216" w:lineRule="auto"/>
        <w:ind w:left="1440" w:right="-174" w:firstLine="0"/>
        <w:jc w:val="both"/>
        <w:rPr>
          <w:rFonts w:ascii="Verdana" w:hAnsi="Verdana"/>
          <w:sz w:val="16"/>
          <w:szCs w:val="16"/>
        </w:rPr>
      </w:pPr>
      <w:r w:rsidRPr="00250E08">
        <w:rPr>
          <w:rFonts w:ascii="Verdana" w:hAnsi="Verdana"/>
          <w:sz w:val="16"/>
          <w:szCs w:val="16"/>
        </w:rPr>
        <w:t xml:space="preserve">Reparar plenamente a los familiares de María Isabel </w:t>
      </w:r>
      <w:r>
        <w:rPr>
          <w:rFonts w:ascii="Verdana" w:hAnsi="Verdana"/>
          <w:sz w:val="16"/>
          <w:szCs w:val="16"/>
        </w:rPr>
        <w:t xml:space="preserve">Veliz </w:t>
      </w:r>
      <w:r w:rsidRPr="00250E08">
        <w:rPr>
          <w:rFonts w:ascii="Verdana" w:hAnsi="Verdana"/>
          <w:sz w:val="16"/>
          <w:szCs w:val="16"/>
        </w:rPr>
        <w:t>Franco por las violaciones de los derechos humanos […] establecidos.</w:t>
      </w:r>
    </w:p>
    <w:p w:rsidR="00DF15C3" w:rsidRPr="00250E08" w:rsidRDefault="00DF15C3" w:rsidP="003F26FD">
      <w:pPr>
        <w:pStyle w:val="Prrafodelista"/>
        <w:numPr>
          <w:ilvl w:val="3"/>
          <w:numId w:val="1"/>
        </w:numPr>
        <w:spacing w:after="0" w:line="216" w:lineRule="auto"/>
        <w:ind w:left="1440" w:right="-174" w:firstLine="0"/>
        <w:jc w:val="both"/>
        <w:rPr>
          <w:rFonts w:ascii="Verdana" w:hAnsi="Verdana"/>
          <w:sz w:val="16"/>
          <w:szCs w:val="16"/>
        </w:rPr>
      </w:pPr>
      <w:r w:rsidRPr="00250E08">
        <w:rPr>
          <w:rFonts w:ascii="Verdana" w:hAnsi="Verdana"/>
          <w:sz w:val="16"/>
          <w:szCs w:val="16"/>
        </w:rPr>
        <w:t>Implementar como medida de no repetición, una política estatal integral y coordinada, respaldada con recursos públicos adecuados, para garantizar que en los casos específicos de violencia contra las mujeres, sean adecuadamente prevenidos, investigados, sancionados y reparados.</w:t>
      </w:r>
    </w:p>
    <w:p w:rsidR="00DF15C3" w:rsidRPr="00250E08" w:rsidRDefault="00DF15C3" w:rsidP="003F26FD">
      <w:pPr>
        <w:pStyle w:val="Prrafodelista"/>
        <w:numPr>
          <w:ilvl w:val="3"/>
          <w:numId w:val="1"/>
        </w:numPr>
        <w:spacing w:after="0" w:line="216" w:lineRule="auto"/>
        <w:ind w:left="1440" w:right="-174" w:firstLine="0"/>
        <w:jc w:val="both"/>
        <w:rPr>
          <w:rFonts w:ascii="Verdana" w:hAnsi="Verdana"/>
          <w:sz w:val="16"/>
          <w:szCs w:val="16"/>
        </w:rPr>
      </w:pPr>
      <w:r w:rsidRPr="00250E08">
        <w:rPr>
          <w:rFonts w:ascii="Verdana" w:hAnsi="Verdana"/>
          <w:sz w:val="16"/>
          <w:szCs w:val="16"/>
        </w:rPr>
        <w:t>Adoptar reformas en los programas educativos del Estado, desde la etapa formativa y temprana, para promover el respeto de las mujeres como iguales, así como el respeto de sus derechos a la no violencia y a la no discriminación.</w:t>
      </w:r>
    </w:p>
    <w:p w:rsidR="00DF15C3" w:rsidRPr="00250E08" w:rsidRDefault="00DF15C3" w:rsidP="003F26FD">
      <w:pPr>
        <w:pStyle w:val="Prrafodelista"/>
        <w:numPr>
          <w:ilvl w:val="3"/>
          <w:numId w:val="1"/>
        </w:numPr>
        <w:spacing w:after="0" w:line="216" w:lineRule="auto"/>
        <w:ind w:left="1440" w:right="-174" w:firstLine="0"/>
        <w:jc w:val="both"/>
        <w:rPr>
          <w:rFonts w:ascii="Verdana" w:hAnsi="Verdana"/>
          <w:sz w:val="16"/>
          <w:szCs w:val="16"/>
        </w:rPr>
      </w:pPr>
      <w:r w:rsidRPr="00250E08">
        <w:rPr>
          <w:rFonts w:ascii="Verdana" w:hAnsi="Verdana"/>
          <w:sz w:val="16"/>
          <w:szCs w:val="16"/>
        </w:rPr>
        <w:t>Investigar las irregularidades en la investigación del caso que se hayan cometido por agentes del Estado y sancionar a los responsables.</w:t>
      </w:r>
    </w:p>
    <w:p w:rsidR="00DF15C3" w:rsidRPr="00250E08" w:rsidRDefault="00DF15C3" w:rsidP="003F26FD">
      <w:pPr>
        <w:pStyle w:val="Prrafodelista"/>
        <w:numPr>
          <w:ilvl w:val="3"/>
          <w:numId w:val="1"/>
        </w:numPr>
        <w:spacing w:after="0" w:line="216" w:lineRule="auto"/>
        <w:ind w:left="1440" w:right="-174" w:firstLine="0"/>
        <w:jc w:val="both"/>
        <w:rPr>
          <w:rFonts w:ascii="Verdana" w:hAnsi="Verdana"/>
          <w:sz w:val="16"/>
          <w:szCs w:val="16"/>
        </w:rPr>
      </w:pPr>
      <w:r w:rsidRPr="00250E08">
        <w:rPr>
          <w:rFonts w:ascii="Verdana" w:hAnsi="Verdana"/>
          <w:sz w:val="16"/>
          <w:szCs w:val="16"/>
        </w:rPr>
        <w:t>Fortalecer la capacidad institucional para combatir la impunidad frente a casos de  violencia contra las mujeres a través de las investigaciones criminales efectivas con perspectiva de género, que tengan un seguimiento judicial constante, garantizando así una adecuada sanción y reparación.</w:t>
      </w:r>
    </w:p>
    <w:p w:rsidR="00DF15C3" w:rsidRPr="00250E08" w:rsidRDefault="00DF15C3" w:rsidP="003F26FD">
      <w:pPr>
        <w:pStyle w:val="Prrafodelista"/>
        <w:numPr>
          <w:ilvl w:val="3"/>
          <w:numId w:val="1"/>
        </w:numPr>
        <w:spacing w:after="0" w:line="216" w:lineRule="auto"/>
        <w:ind w:left="1440" w:right="-174" w:firstLine="0"/>
        <w:jc w:val="both"/>
        <w:rPr>
          <w:rFonts w:ascii="Verdana" w:hAnsi="Verdana"/>
          <w:sz w:val="16"/>
          <w:szCs w:val="16"/>
        </w:rPr>
      </w:pPr>
      <w:r w:rsidRPr="00250E08">
        <w:rPr>
          <w:rFonts w:ascii="Verdana" w:hAnsi="Verdana"/>
          <w:sz w:val="16"/>
          <w:szCs w:val="16"/>
        </w:rPr>
        <w:t>Implementar medidas y campañas de difusión destinadas al público en general sobre el deber de respetar y garantizar los derechos de las niñas y los niños.</w:t>
      </w:r>
    </w:p>
    <w:p w:rsidR="00DF15C3" w:rsidRPr="002B1610" w:rsidRDefault="00DF15C3" w:rsidP="003F26FD">
      <w:pPr>
        <w:pStyle w:val="Prrafodelista"/>
        <w:numPr>
          <w:ilvl w:val="3"/>
          <w:numId w:val="1"/>
        </w:numPr>
        <w:spacing w:after="0" w:line="216" w:lineRule="auto"/>
        <w:ind w:left="1440" w:right="-174" w:firstLine="0"/>
        <w:jc w:val="both"/>
        <w:rPr>
          <w:rFonts w:ascii="Verdana" w:hAnsi="Verdana"/>
          <w:w w:val="95"/>
          <w:sz w:val="16"/>
          <w:szCs w:val="16"/>
          <w:lang w:val="es-ES" w:eastAsia="es-ES"/>
        </w:rPr>
      </w:pPr>
      <w:r w:rsidRPr="00250E08">
        <w:rPr>
          <w:rFonts w:ascii="Verdana" w:hAnsi="Verdana"/>
          <w:sz w:val="16"/>
          <w:szCs w:val="16"/>
        </w:rPr>
        <w:t>Adoptar políticas públicas y programas institucionales integrales destinados a eliminar los estereotipos discriminatorios sobre el rol de las mujeres y promover la erradicación de peticiones socioculturales discriminatorios que impiden su acceso pleno a la justicia, que incluyan programas de capacitación para funcionarios públicos en todos los sectores del Estado, incluyendo el sector educación, las ramas de administración de justicia y la policía y políticas integrales de prevención.</w:t>
      </w:r>
      <w:r w:rsidRPr="002B1610">
        <w:rPr>
          <w:rFonts w:ascii="Verdana" w:hAnsi="Verdana"/>
          <w:w w:val="95"/>
          <w:sz w:val="16"/>
          <w:szCs w:val="16"/>
        </w:rPr>
        <w:t xml:space="preserve"> </w:t>
      </w:r>
    </w:p>
    <w:p w:rsidR="00DF15C3" w:rsidRPr="002B1610" w:rsidRDefault="00DF15C3" w:rsidP="003F26FD">
      <w:pPr>
        <w:pStyle w:val="Prrafodelista"/>
        <w:spacing w:after="0" w:line="216" w:lineRule="auto"/>
        <w:ind w:left="-142" w:right="-174"/>
        <w:jc w:val="both"/>
        <w:rPr>
          <w:rFonts w:ascii="Verdana" w:hAnsi="Verdana"/>
          <w:w w:val="95"/>
          <w:sz w:val="16"/>
          <w:szCs w:val="16"/>
          <w:lang w:val="es-ES" w:eastAsia="es-ES"/>
        </w:rPr>
      </w:pPr>
    </w:p>
    <w:p w:rsidR="00DF15C3" w:rsidRPr="009427A9" w:rsidRDefault="00DF15C3" w:rsidP="003F26FD">
      <w:pPr>
        <w:pStyle w:val="Prrafodelista"/>
        <w:numPr>
          <w:ilvl w:val="0"/>
          <w:numId w:val="17"/>
        </w:numPr>
        <w:spacing w:after="0" w:line="216" w:lineRule="auto"/>
        <w:ind w:left="0" w:right="-174" w:firstLine="0"/>
        <w:jc w:val="both"/>
        <w:rPr>
          <w:rFonts w:ascii="Verdana" w:hAnsi="Verdana"/>
          <w:w w:val="95"/>
          <w:sz w:val="20"/>
          <w:szCs w:val="20"/>
        </w:rPr>
      </w:pPr>
      <w:r w:rsidRPr="009904B0">
        <w:rPr>
          <w:rFonts w:ascii="Verdana" w:hAnsi="Verdana"/>
          <w:i/>
          <w:w w:val="95"/>
          <w:sz w:val="20"/>
          <w:szCs w:val="20"/>
        </w:rPr>
        <w:t>Notificación al Estado.-</w:t>
      </w:r>
      <w:r w:rsidR="000402E6">
        <w:rPr>
          <w:rFonts w:ascii="Verdana" w:hAnsi="Verdana"/>
          <w:i/>
          <w:w w:val="95"/>
          <w:sz w:val="20"/>
          <w:szCs w:val="20"/>
        </w:rPr>
        <w:t xml:space="preserve"> </w:t>
      </w:r>
      <w:r w:rsidRPr="009904B0">
        <w:rPr>
          <w:rFonts w:ascii="Verdana" w:hAnsi="Verdana"/>
          <w:w w:val="95"/>
          <w:sz w:val="20"/>
          <w:szCs w:val="20"/>
        </w:rPr>
        <w:t xml:space="preserve">El Informe de Fondo fue notificado al Estado el 3 de enero de 2012, </w:t>
      </w:r>
      <w:r>
        <w:rPr>
          <w:rFonts w:ascii="Verdana" w:hAnsi="Verdana"/>
          <w:w w:val="95"/>
          <w:sz w:val="20"/>
          <w:szCs w:val="20"/>
        </w:rPr>
        <w:t>y se le dio</w:t>
      </w:r>
      <w:r w:rsidRPr="009904B0">
        <w:rPr>
          <w:rFonts w:ascii="Verdana" w:hAnsi="Verdana"/>
          <w:w w:val="95"/>
          <w:sz w:val="20"/>
          <w:szCs w:val="20"/>
        </w:rPr>
        <w:t xml:space="preserve"> un plazo de dos meses para informar sobre el cumplimiento de las recomendaciones. El 13 de marzo de 2012 Guatemala presentó un informe sobre el avance del cumplimiento y solicitó una prórroga de un mes. La Comisión otorgó dicha prórroga, solicitando al Estado que el 25 de marzo de 2012 presentara su informe. El Estado no lo presentó en dicha fecha. El 2 de mayo de 2012 los peticionarios informaron a la Comisión que, el 30 de marzo de 2012 el Estado habría propuesto a la señora Franco Sandoval suscribir un acuerdo de solución amistosa. El 19 de abril de 2012 los peticionarios habían respondido al Estado que “ante la considerable demora en materia de justicia, […] no consideraban oportuno firmar un acuerdo de cumplimiento de recomendaciones”. Posteriormente, en respuesta al Informe de Fondo, el Estado presentó información relativa a la investigación y en general sobre las políticas públicas. Finalmente, la Comisión concluyó que el Estado no presentó información expresamente relacionada con las recomendaciones.</w:t>
      </w:r>
    </w:p>
    <w:p w:rsidR="00DF15C3" w:rsidRPr="009904B0" w:rsidRDefault="00DF15C3" w:rsidP="003F26FD">
      <w:pPr>
        <w:pStyle w:val="Prrafodelista"/>
        <w:spacing w:after="0" w:line="216" w:lineRule="auto"/>
        <w:ind w:left="0" w:right="-174"/>
        <w:jc w:val="both"/>
        <w:rPr>
          <w:rFonts w:ascii="Verdana" w:hAnsi="Verdana"/>
          <w:w w:val="95"/>
          <w:sz w:val="20"/>
          <w:szCs w:val="20"/>
        </w:rPr>
      </w:pPr>
    </w:p>
    <w:p w:rsidR="00DF15C3" w:rsidRPr="00C71D45" w:rsidRDefault="00DF15C3" w:rsidP="003F26FD">
      <w:pPr>
        <w:pStyle w:val="Prrafodelista"/>
        <w:numPr>
          <w:ilvl w:val="0"/>
          <w:numId w:val="17"/>
        </w:numPr>
        <w:spacing w:after="0" w:line="216" w:lineRule="auto"/>
        <w:ind w:left="0" w:right="-174" w:firstLine="0"/>
        <w:jc w:val="both"/>
        <w:rPr>
          <w:rFonts w:ascii="Verdana" w:hAnsi="Verdana"/>
          <w:w w:val="95"/>
          <w:sz w:val="20"/>
          <w:szCs w:val="20"/>
        </w:rPr>
      </w:pPr>
      <w:r w:rsidRPr="003622B1">
        <w:rPr>
          <w:rFonts w:ascii="Verdana" w:hAnsi="Verdana"/>
          <w:i/>
          <w:w w:val="95"/>
          <w:sz w:val="20"/>
          <w:szCs w:val="20"/>
        </w:rPr>
        <w:t>Sometimiento a la Corte.</w:t>
      </w:r>
      <w:r w:rsidRPr="003622B1">
        <w:rPr>
          <w:rFonts w:ascii="Verdana" w:hAnsi="Verdana"/>
          <w:w w:val="95"/>
          <w:sz w:val="20"/>
          <w:szCs w:val="20"/>
        </w:rPr>
        <w:t>-</w:t>
      </w:r>
      <w:r w:rsidRPr="007164A0">
        <w:rPr>
          <w:rFonts w:ascii="Verdana" w:hAnsi="Verdana"/>
          <w:b/>
          <w:w w:val="95"/>
          <w:sz w:val="20"/>
          <w:szCs w:val="20"/>
        </w:rPr>
        <w:t xml:space="preserve"> </w:t>
      </w:r>
      <w:r w:rsidRPr="00250E08">
        <w:rPr>
          <w:rFonts w:ascii="Verdana" w:hAnsi="Verdana"/>
          <w:w w:val="95"/>
          <w:sz w:val="20"/>
          <w:szCs w:val="20"/>
        </w:rPr>
        <w:t xml:space="preserve">El 3 de mayo de 2012 la Comisión, sometió a la jurisdicción de la Corte la totalidad de los hechos y violaciones de derechos humanos descritos en el Informe de Fondo. La Comisión designó como sus delegados ante la Corte a la Comisionada Dinah Shelton y a su entonces Secretario Ejecutivo, Santiago A. Canton. Asimismo, indicó que Elizabeth Abi-Mershed, Secretaria Ejecutiva Adjunta, Isabel Madariaga </w:t>
      </w:r>
      <w:r w:rsidRPr="00250E08">
        <w:rPr>
          <w:rFonts w:ascii="Verdana" w:hAnsi="Verdana"/>
          <w:w w:val="95"/>
          <w:sz w:val="20"/>
          <w:szCs w:val="20"/>
        </w:rPr>
        <w:lastRenderedPageBreak/>
        <w:t>y Fiorella Melzi, actuarían como asesoras legales, así como también la entonces asesora legal Karla I. Quintana Osuna</w:t>
      </w:r>
      <w:r w:rsidR="00F15CBE" w:rsidRPr="00B47773">
        <w:rPr>
          <w:rFonts w:ascii="Verdana" w:hAnsi="Verdana"/>
          <w:w w:val="95"/>
          <w:sz w:val="20"/>
          <w:szCs w:val="20"/>
        </w:rPr>
        <w:t>.</w:t>
      </w:r>
      <w:r w:rsidRPr="007164A0">
        <w:rPr>
          <w:rFonts w:ascii="Verdana" w:hAnsi="Verdana"/>
          <w:b/>
          <w:w w:val="95"/>
          <w:sz w:val="20"/>
          <w:szCs w:val="20"/>
        </w:rPr>
        <w:t xml:space="preserve"> </w:t>
      </w:r>
    </w:p>
    <w:p w:rsidR="00DF15C3" w:rsidRPr="007164A0" w:rsidRDefault="00DF15C3" w:rsidP="003F26FD">
      <w:pPr>
        <w:pStyle w:val="Prrafodelista"/>
        <w:spacing w:after="0" w:line="216" w:lineRule="auto"/>
        <w:ind w:left="0" w:right="-174"/>
        <w:jc w:val="both"/>
        <w:rPr>
          <w:rFonts w:ascii="Verdana" w:hAnsi="Verdana"/>
          <w:w w:val="95"/>
          <w:sz w:val="20"/>
          <w:szCs w:val="20"/>
        </w:rPr>
      </w:pPr>
    </w:p>
    <w:p w:rsidR="00DF15C3" w:rsidRPr="00315B30" w:rsidRDefault="00DF15C3" w:rsidP="003F26FD">
      <w:pPr>
        <w:pStyle w:val="Prrafodelista"/>
        <w:numPr>
          <w:ilvl w:val="0"/>
          <w:numId w:val="17"/>
        </w:numPr>
        <w:spacing w:after="0" w:line="216" w:lineRule="auto"/>
        <w:ind w:left="0" w:right="-174" w:firstLine="0"/>
        <w:jc w:val="both"/>
        <w:rPr>
          <w:rFonts w:ascii="Verdana" w:hAnsi="Verdana"/>
          <w:w w:val="95"/>
          <w:sz w:val="20"/>
          <w:szCs w:val="20"/>
        </w:rPr>
      </w:pPr>
      <w:r w:rsidRPr="003622B1">
        <w:rPr>
          <w:rFonts w:ascii="Verdana" w:hAnsi="Verdana"/>
          <w:i/>
          <w:w w:val="95"/>
          <w:sz w:val="20"/>
          <w:szCs w:val="20"/>
        </w:rPr>
        <w:t>Solicitudes de la Comisión Interamericana</w:t>
      </w:r>
      <w:r w:rsidR="00F15CBE" w:rsidRPr="00B47773">
        <w:rPr>
          <w:rFonts w:ascii="Verdana" w:hAnsi="Verdana"/>
          <w:i/>
          <w:w w:val="95"/>
          <w:sz w:val="20"/>
          <w:szCs w:val="20"/>
        </w:rPr>
        <w:t>.-</w:t>
      </w:r>
      <w:r w:rsidRPr="007164A0">
        <w:rPr>
          <w:rFonts w:ascii="Verdana" w:hAnsi="Verdana"/>
          <w:b/>
          <w:w w:val="95"/>
          <w:sz w:val="20"/>
          <w:szCs w:val="20"/>
        </w:rPr>
        <w:t xml:space="preserve"> </w:t>
      </w:r>
      <w:r w:rsidRPr="00250E08">
        <w:rPr>
          <w:rFonts w:ascii="Verdana" w:hAnsi="Verdana"/>
          <w:w w:val="95"/>
          <w:sz w:val="20"/>
          <w:szCs w:val="20"/>
        </w:rPr>
        <w:t xml:space="preserve">Con base en lo anterior, la Comisión solicitó a la Corte que declare la responsabilidad internacional del Estado por la violación de: a) el artículo 4 de la Convención; b) el artículo 5 de la Convención; c) el artículo 19 de la Convención, y d) el artículo 24 de la Convención y el artículo 7 de la Convención de Belém do Pará, todos ellos en relación con el artículo 1.1 de la Convención, en perjuicio de María Isabel </w:t>
      </w:r>
      <w:r>
        <w:rPr>
          <w:rFonts w:ascii="Verdana" w:hAnsi="Verdana"/>
          <w:w w:val="95"/>
          <w:sz w:val="20"/>
          <w:szCs w:val="20"/>
        </w:rPr>
        <w:t xml:space="preserve">Veliz </w:t>
      </w:r>
      <w:r w:rsidRPr="00250E08">
        <w:rPr>
          <w:rFonts w:ascii="Verdana" w:hAnsi="Verdana"/>
          <w:w w:val="95"/>
          <w:sz w:val="20"/>
          <w:szCs w:val="20"/>
        </w:rPr>
        <w:t>Franco. Además solicitó que se declare la violación de: a) el artículo 5.1 de la Convención; b) el artículo 8 de la Convención, y c) el artículo 25 de la Convención, en relación con los artículos 24 y 1.1 del mismo tratado, en perjuicio de la madre, hermanos y abuelos de María Isabel</w:t>
      </w:r>
      <w:r w:rsidRPr="00315B30">
        <w:rPr>
          <w:rFonts w:ascii="Verdana" w:hAnsi="Verdana"/>
          <w:w w:val="95"/>
          <w:sz w:val="20"/>
          <w:szCs w:val="20"/>
        </w:rPr>
        <w:t>.</w:t>
      </w:r>
      <w:r w:rsidR="00122C63" w:rsidRPr="00315B30">
        <w:rPr>
          <w:rFonts w:ascii="Verdana" w:hAnsi="Verdana"/>
          <w:w w:val="95"/>
          <w:sz w:val="20"/>
          <w:szCs w:val="20"/>
          <w:lang w:val="es-ES" w:eastAsia="es-ES"/>
        </w:rPr>
        <w:t xml:space="preserve"> Finalmente, solicitó a este Tribunal que ordenara diversas medidas de reparación.</w:t>
      </w:r>
    </w:p>
    <w:p w:rsidR="00DF15C3" w:rsidRPr="00F026FB" w:rsidRDefault="00DF15C3" w:rsidP="003F26FD">
      <w:pPr>
        <w:spacing w:after="0" w:line="216" w:lineRule="auto"/>
        <w:ind w:right="-174"/>
        <w:jc w:val="both"/>
        <w:rPr>
          <w:rFonts w:ascii="Verdana" w:hAnsi="Verdana"/>
          <w:b/>
          <w:w w:val="95"/>
          <w:sz w:val="20"/>
          <w:szCs w:val="20"/>
          <w:highlight w:val="yellow"/>
        </w:rPr>
      </w:pPr>
    </w:p>
    <w:p w:rsidR="00DF15C3" w:rsidRPr="00134DC1" w:rsidRDefault="00DF15C3" w:rsidP="003F26FD">
      <w:pPr>
        <w:pStyle w:val="Ttulo1"/>
        <w:keepLines/>
        <w:tabs>
          <w:tab w:val="left" w:pos="851"/>
        </w:tabs>
        <w:spacing w:before="0" w:after="0" w:line="216" w:lineRule="auto"/>
        <w:ind w:left="-142" w:right="-174"/>
        <w:rPr>
          <w:rFonts w:cs="Verdana"/>
          <w:b w:val="0"/>
          <w:caps/>
          <w:snapToGrid w:val="0"/>
          <w:w w:val="95"/>
          <w:szCs w:val="20"/>
          <w:lang w:val="es-MX" w:eastAsia="es-ES"/>
        </w:rPr>
      </w:pPr>
      <w:bookmarkStart w:id="12" w:name="_Toc394313630"/>
      <w:r w:rsidRPr="00134DC1">
        <w:rPr>
          <w:rFonts w:cs="Verdana"/>
          <w:caps/>
          <w:snapToGrid w:val="0"/>
          <w:w w:val="95"/>
          <w:szCs w:val="20"/>
          <w:lang w:val="es-MX" w:eastAsia="es-ES"/>
        </w:rPr>
        <w:t>II</w:t>
      </w:r>
      <w:r w:rsidRPr="00134DC1">
        <w:rPr>
          <w:rFonts w:cs="Verdana"/>
          <w:caps/>
          <w:snapToGrid w:val="0"/>
          <w:w w:val="95"/>
          <w:szCs w:val="20"/>
          <w:lang w:val="es-MX" w:eastAsia="es-ES"/>
        </w:rPr>
        <w:br/>
      </w:r>
      <w:bookmarkStart w:id="13" w:name="_Toc311128353"/>
      <w:bookmarkStart w:id="14" w:name="_Toc311128156"/>
      <w:r w:rsidRPr="00134DC1">
        <w:rPr>
          <w:rFonts w:cs="Verdana"/>
          <w:caps/>
          <w:snapToGrid w:val="0"/>
          <w:w w:val="95"/>
          <w:szCs w:val="20"/>
          <w:lang w:val="es-MX" w:eastAsia="es-ES"/>
        </w:rPr>
        <w:t>PROCEDIMIENTO ANTE LA CORTE</w:t>
      </w:r>
      <w:bookmarkEnd w:id="12"/>
      <w:bookmarkEnd w:id="13"/>
      <w:bookmarkEnd w:id="14"/>
    </w:p>
    <w:p w:rsidR="00DF15C3" w:rsidRPr="00134DC1" w:rsidRDefault="00DF15C3" w:rsidP="003F26FD">
      <w:pPr>
        <w:spacing w:after="0" w:line="216" w:lineRule="auto"/>
        <w:ind w:left="-142" w:right="-174"/>
        <w:jc w:val="both"/>
        <w:rPr>
          <w:rFonts w:ascii="Verdana" w:hAnsi="Verdana"/>
          <w:w w:val="95"/>
          <w:sz w:val="20"/>
          <w:szCs w:val="20"/>
        </w:rPr>
      </w:pPr>
    </w:p>
    <w:p w:rsidR="00DF15C3" w:rsidRPr="002B1610" w:rsidRDefault="00DF15C3" w:rsidP="003F26FD">
      <w:pPr>
        <w:pStyle w:val="Prrafodelista"/>
        <w:numPr>
          <w:ilvl w:val="0"/>
          <w:numId w:val="17"/>
        </w:numPr>
        <w:spacing w:after="0" w:line="216" w:lineRule="auto"/>
        <w:ind w:left="-142" w:right="-174" w:firstLine="0"/>
        <w:jc w:val="both"/>
        <w:rPr>
          <w:rFonts w:ascii="Verdana" w:hAnsi="Verdana"/>
          <w:i/>
          <w:w w:val="95"/>
          <w:sz w:val="20"/>
          <w:szCs w:val="20"/>
          <w:lang w:val="es-ES" w:eastAsia="es-ES"/>
        </w:rPr>
      </w:pPr>
      <w:r w:rsidRPr="00134DC1">
        <w:rPr>
          <w:rFonts w:ascii="Verdana" w:hAnsi="Verdana"/>
          <w:i/>
          <w:w w:val="95"/>
          <w:sz w:val="20"/>
          <w:szCs w:val="20"/>
          <w:lang w:eastAsia="es-ES"/>
        </w:rPr>
        <w:t>Notific</w:t>
      </w:r>
      <w:r w:rsidRPr="00B83AA0">
        <w:rPr>
          <w:rFonts w:ascii="Verdana" w:hAnsi="Verdana"/>
          <w:i/>
          <w:w w:val="95"/>
          <w:sz w:val="20"/>
          <w:szCs w:val="20"/>
          <w:lang w:eastAsia="es-ES"/>
        </w:rPr>
        <w:t xml:space="preserve">ación al Estado y a las representantes.- </w:t>
      </w:r>
      <w:r w:rsidRPr="00B83AA0">
        <w:rPr>
          <w:rFonts w:ascii="Verdana" w:hAnsi="Verdana"/>
          <w:w w:val="95"/>
          <w:sz w:val="20"/>
          <w:szCs w:val="20"/>
          <w:lang w:eastAsia="es-ES"/>
        </w:rPr>
        <w:t>El sometimiento de</w:t>
      </w:r>
      <w:r w:rsidRPr="00B83AA0">
        <w:rPr>
          <w:rFonts w:ascii="Verdana" w:hAnsi="Verdana"/>
          <w:w w:val="95"/>
          <w:sz w:val="20"/>
          <w:szCs w:val="20"/>
          <w:lang w:val="es-ES" w:eastAsia="es-ES"/>
        </w:rPr>
        <w:t>l</w:t>
      </w:r>
      <w:r w:rsidRPr="002B1610">
        <w:rPr>
          <w:rFonts w:ascii="Verdana" w:hAnsi="Verdana"/>
          <w:w w:val="95"/>
          <w:sz w:val="20"/>
          <w:szCs w:val="20"/>
          <w:lang w:val="es-ES" w:eastAsia="es-ES"/>
        </w:rPr>
        <w:t xml:space="preserve"> caso fue notificado al Estado y </w:t>
      </w:r>
      <w:r w:rsidRPr="0060474A">
        <w:rPr>
          <w:rFonts w:ascii="Verdana" w:hAnsi="Verdana"/>
          <w:w w:val="95"/>
          <w:sz w:val="20"/>
          <w:szCs w:val="20"/>
          <w:lang w:val="es-ES" w:eastAsia="es-ES"/>
        </w:rPr>
        <w:t>a las</w:t>
      </w:r>
      <w:r w:rsidRPr="002B1610">
        <w:rPr>
          <w:rFonts w:ascii="Verdana" w:hAnsi="Verdana"/>
          <w:w w:val="95"/>
          <w:sz w:val="20"/>
          <w:szCs w:val="20"/>
          <w:lang w:val="es-ES" w:eastAsia="es-ES"/>
        </w:rPr>
        <w:t xml:space="preserve"> represent</w:t>
      </w:r>
      <w:r w:rsidR="004360A9">
        <w:rPr>
          <w:rFonts w:ascii="Verdana" w:hAnsi="Verdana"/>
          <w:w w:val="95"/>
          <w:sz w:val="20"/>
          <w:szCs w:val="20"/>
          <w:lang w:val="es-ES" w:eastAsia="es-ES"/>
        </w:rPr>
        <w:t>antes de las presuntas víctimas</w:t>
      </w:r>
      <w:r w:rsidRPr="002B1610">
        <w:rPr>
          <w:rFonts w:ascii="Verdana" w:hAnsi="Verdana"/>
          <w:w w:val="95"/>
          <w:sz w:val="20"/>
          <w:szCs w:val="20"/>
          <w:lang w:val="es-ES" w:eastAsia="es-ES"/>
        </w:rPr>
        <w:t xml:space="preserve"> mediante comunicación de 3 de julio de 201</w:t>
      </w:r>
      <w:r>
        <w:rPr>
          <w:rFonts w:ascii="Verdana" w:hAnsi="Verdana"/>
          <w:w w:val="95"/>
          <w:sz w:val="20"/>
          <w:szCs w:val="20"/>
          <w:lang w:val="es-ES" w:eastAsia="es-ES"/>
        </w:rPr>
        <w:t>2</w:t>
      </w:r>
      <w:r w:rsidRPr="002B1610">
        <w:rPr>
          <w:rStyle w:val="Refdenotaalpie"/>
          <w:rFonts w:ascii="Verdana" w:hAnsi="Verdana"/>
          <w:w w:val="95"/>
          <w:sz w:val="20"/>
          <w:szCs w:val="20"/>
          <w:lang w:val="es-ES" w:eastAsia="es-ES"/>
        </w:rPr>
        <w:footnoteReference w:id="3"/>
      </w:r>
      <w:r w:rsidRPr="002B1610">
        <w:rPr>
          <w:rFonts w:ascii="Verdana" w:hAnsi="Verdana"/>
          <w:w w:val="95"/>
          <w:sz w:val="20"/>
          <w:szCs w:val="20"/>
          <w:lang w:val="es-ES" w:eastAsia="es-ES"/>
        </w:rPr>
        <w:t xml:space="preserve">. </w:t>
      </w:r>
    </w:p>
    <w:p w:rsidR="00DF15C3" w:rsidRPr="002B1610" w:rsidRDefault="00DF15C3" w:rsidP="003F26FD">
      <w:pPr>
        <w:pStyle w:val="Prrafodelista"/>
        <w:spacing w:after="0" w:line="216" w:lineRule="auto"/>
        <w:ind w:left="-142" w:right="-174"/>
        <w:jc w:val="both"/>
        <w:rPr>
          <w:rFonts w:ascii="Verdana" w:hAnsi="Verdana"/>
          <w:i/>
          <w:w w:val="95"/>
          <w:sz w:val="20"/>
          <w:szCs w:val="20"/>
          <w:lang w:val="es-ES" w:eastAsia="es-ES"/>
        </w:rPr>
      </w:pPr>
      <w:r w:rsidRPr="002B1610">
        <w:rPr>
          <w:rFonts w:ascii="Verdana" w:hAnsi="Verdana"/>
          <w:i/>
          <w:w w:val="95"/>
          <w:sz w:val="20"/>
          <w:szCs w:val="20"/>
          <w:lang w:val="es-ES" w:eastAsia="es-ES"/>
        </w:rPr>
        <w:t xml:space="preserve"> </w:t>
      </w:r>
    </w:p>
    <w:p w:rsidR="00DF15C3" w:rsidRPr="002B1610" w:rsidRDefault="00DF15C3" w:rsidP="003F26FD">
      <w:pPr>
        <w:pStyle w:val="Prrafodelista"/>
        <w:numPr>
          <w:ilvl w:val="0"/>
          <w:numId w:val="17"/>
        </w:numPr>
        <w:spacing w:after="0" w:line="216" w:lineRule="auto"/>
        <w:ind w:left="-142" w:right="-174" w:firstLine="0"/>
        <w:jc w:val="both"/>
        <w:rPr>
          <w:rFonts w:ascii="Verdana" w:hAnsi="Verdana"/>
          <w:b/>
          <w:w w:val="95"/>
          <w:sz w:val="20"/>
          <w:szCs w:val="20"/>
          <w:lang w:val="es-ES" w:eastAsia="es-ES"/>
        </w:rPr>
      </w:pPr>
      <w:r w:rsidRPr="002B1610">
        <w:rPr>
          <w:rFonts w:ascii="Verdana" w:hAnsi="Verdana"/>
          <w:i/>
          <w:w w:val="95"/>
          <w:sz w:val="20"/>
          <w:szCs w:val="20"/>
          <w:lang w:val="es-ES" w:eastAsia="es-ES"/>
        </w:rPr>
        <w:t xml:space="preserve">Escrito de solicitudes, argumentos y pruebas.- </w:t>
      </w:r>
      <w:r w:rsidRPr="002B1610">
        <w:rPr>
          <w:rFonts w:ascii="Verdana" w:hAnsi="Verdana"/>
          <w:w w:val="95"/>
          <w:sz w:val="20"/>
          <w:szCs w:val="20"/>
          <w:lang w:val="es-ES" w:eastAsia="es-ES"/>
        </w:rPr>
        <w:t>El 4 de septiembre de 2012 CEJIL</w:t>
      </w:r>
      <w:r w:rsidR="004360A9">
        <w:rPr>
          <w:rFonts w:ascii="Verdana" w:hAnsi="Verdana"/>
          <w:w w:val="95"/>
          <w:sz w:val="20"/>
          <w:szCs w:val="20"/>
          <w:lang w:val="es-ES" w:eastAsia="es-ES"/>
        </w:rPr>
        <w:t xml:space="preserve"> y</w:t>
      </w:r>
      <w:r w:rsidRPr="002B1610">
        <w:rPr>
          <w:rFonts w:ascii="Verdana" w:hAnsi="Verdana"/>
          <w:w w:val="95"/>
          <w:sz w:val="20"/>
          <w:szCs w:val="20"/>
          <w:lang w:val="es-ES" w:eastAsia="es-ES"/>
        </w:rPr>
        <w:t xml:space="preserve"> REDNOVI presentaron</w:t>
      </w:r>
      <w:r w:rsidRPr="002B1610">
        <w:rPr>
          <w:rStyle w:val="Refdenotaalpie"/>
          <w:rFonts w:ascii="Verdana" w:hAnsi="Verdana"/>
          <w:w w:val="95"/>
          <w:sz w:val="20"/>
          <w:lang w:val="es-ES" w:eastAsia="es-ES"/>
        </w:rPr>
        <w:footnoteReference w:id="4"/>
      </w:r>
      <w:r w:rsidRPr="002B1610">
        <w:rPr>
          <w:rFonts w:ascii="Verdana" w:hAnsi="Verdana"/>
          <w:w w:val="95"/>
          <w:sz w:val="20"/>
          <w:szCs w:val="20"/>
          <w:lang w:val="es-ES" w:eastAsia="es-ES"/>
        </w:rPr>
        <w:t xml:space="preserve"> ante la Corte su escrito de solicitudes, argumentos y pruebas (en adelante escrito de solicitudes y argumentos), conforme al artículo 40 del Reglamento de la Corte. Indicaron que compartían en lo fundamental los planteamientos de los hechos presentados por la Comisión, señalando que desarrollarían con mayor amplitud el contexto en el cual ocurrieron. Agregaron que el Estado faltó a su deber de prevención del artículo 7 (Derecho a la Libertad Personal) y alegaron el incumplimiento del artículo 2 (D</w:t>
      </w:r>
      <w:r w:rsidRPr="002B1610">
        <w:rPr>
          <w:rFonts w:ascii="Verdana" w:hAnsi="Verdana"/>
          <w:w w:val="95"/>
          <w:sz w:val="20"/>
          <w:szCs w:val="20"/>
          <w:lang w:val="es-ES"/>
        </w:rPr>
        <w:t>eber de Adoptar Disposiciones de Derecho Interno) de la Convención. No alegaron la violación del artículo 24 (</w:t>
      </w:r>
      <w:r w:rsidRPr="000208F5">
        <w:rPr>
          <w:rFonts w:ascii="Verdana" w:hAnsi="Verdana"/>
          <w:w w:val="95"/>
          <w:sz w:val="20"/>
          <w:szCs w:val="20"/>
          <w:lang w:val="es-ES"/>
        </w:rPr>
        <w:t>Igualdad ante la Ley</w:t>
      </w:r>
      <w:r w:rsidRPr="002B1610">
        <w:rPr>
          <w:rFonts w:ascii="Verdana" w:hAnsi="Verdana"/>
          <w:w w:val="95"/>
          <w:sz w:val="20"/>
          <w:szCs w:val="20"/>
          <w:lang w:val="es-ES"/>
        </w:rPr>
        <w:t>).</w:t>
      </w:r>
      <w:r w:rsidRPr="002B1610">
        <w:rPr>
          <w:rFonts w:ascii="Verdana" w:hAnsi="Verdana"/>
          <w:w w:val="95"/>
          <w:sz w:val="20"/>
          <w:szCs w:val="20"/>
          <w:lang w:val="es-ES" w:eastAsia="es-ES"/>
        </w:rPr>
        <w:t xml:space="preserve"> Además, solicitaron a la Corte que orden</w:t>
      </w:r>
      <w:r>
        <w:rPr>
          <w:rFonts w:ascii="Verdana" w:hAnsi="Verdana"/>
          <w:w w:val="95"/>
          <w:sz w:val="20"/>
          <w:szCs w:val="20"/>
          <w:lang w:val="es-ES" w:eastAsia="es-ES"/>
        </w:rPr>
        <w:t>ara</w:t>
      </w:r>
      <w:r w:rsidRPr="002B1610">
        <w:rPr>
          <w:rFonts w:ascii="Verdana" w:hAnsi="Verdana"/>
          <w:w w:val="95"/>
          <w:sz w:val="20"/>
          <w:szCs w:val="20"/>
          <w:lang w:val="es-ES" w:eastAsia="es-ES"/>
        </w:rPr>
        <w:t xml:space="preserve"> diversas medidas de reparación. Por último, la madre y los hermanos de María Isabel hicieron una solicitud de acogerse al Fondo de Asistencia Legal </w:t>
      </w:r>
      <w:r w:rsidRPr="002B1610">
        <w:rPr>
          <w:rFonts w:ascii="Verdana" w:hAnsi="Verdana"/>
          <w:w w:val="95"/>
          <w:sz w:val="20"/>
          <w:szCs w:val="20"/>
          <w:lang w:val="es-ES"/>
        </w:rPr>
        <w:t>de Víctimas de la Corte</w:t>
      </w:r>
      <w:r w:rsidR="003114C1">
        <w:rPr>
          <w:rFonts w:ascii="Verdana" w:hAnsi="Verdana"/>
          <w:w w:val="95"/>
          <w:sz w:val="20"/>
          <w:szCs w:val="20"/>
          <w:lang w:val="es-ES"/>
        </w:rPr>
        <w:t xml:space="preserve"> (en adelante </w:t>
      </w:r>
      <w:r w:rsidR="00A27A09">
        <w:rPr>
          <w:rFonts w:ascii="Verdana" w:hAnsi="Verdana"/>
          <w:w w:val="95"/>
          <w:sz w:val="20"/>
          <w:szCs w:val="20"/>
          <w:lang w:val="es-ES"/>
        </w:rPr>
        <w:t xml:space="preserve">también </w:t>
      </w:r>
      <w:r w:rsidR="003114C1">
        <w:rPr>
          <w:rFonts w:ascii="Verdana" w:hAnsi="Verdana"/>
          <w:w w:val="95"/>
          <w:sz w:val="20"/>
          <w:szCs w:val="20"/>
          <w:lang w:val="es-ES"/>
        </w:rPr>
        <w:t>“Fondo de Asistencia Legal de Víctimas</w:t>
      </w:r>
      <w:r w:rsidR="00A27A09">
        <w:rPr>
          <w:rFonts w:ascii="Verdana" w:hAnsi="Verdana"/>
          <w:w w:val="95"/>
          <w:sz w:val="20"/>
          <w:szCs w:val="20"/>
          <w:lang w:val="es-ES"/>
        </w:rPr>
        <w:t>” o “Fondo”</w:t>
      </w:r>
      <w:r w:rsidR="003114C1">
        <w:rPr>
          <w:rFonts w:ascii="Verdana" w:hAnsi="Verdana"/>
          <w:w w:val="95"/>
          <w:sz w:val="20"/>
          <w:szCs w:val="20"/>
          <w:lang w:val="es-ES"/>
        </w:rPr>
        <w:t>)</w:t>
      </w:r>
      <w:r w:rsidRPr="002B1610">
        <w:rPr>
          <w:rFonts w:ascii="Verdana" w:hAnsi="Verdana"/>
          <w:w w:val="95"/>
          <w:sz w:val="20"/>
          <w:szCs w:val="20"/>
          <w:lang w:val="es-ES"/>
        </w:rPr>
        <w:t>.</w:t>
      </w:r>
      <w:r w:rsidRPr="005D3B18">
        <w:rPr>
          <w:rFonts w:ascii="Verdana" w:hAnsi="Verdana"/>
          <w:b/>
          <w:sz w:val="20"/>
          <w:szCs w:val="20"/>
          <w:lang w:val="es-ES"/>
        </w:rPr>
        <w:t xml:space="preserve"> </w:t>
      </w:r>
      <w:r w:rsidRPr="00250E08">
        <w:rPr>
          <w:rFonts w:ascii="Verdana" w:hAnsi="Verdana"/>
          <w:sz w:val="20"/>
          <w:szCs w:val="20"/>
          <w:lang w:val="es-ES"/>
        </w:rPr>
        <w:t>Posteriormente, el 8 de marzo de 2013 las representantes informaron al Tribunal que únicamente REDNOVI actuaría como representante (en adelante</w:t>
      </w:r>
      <w:r w:rsidR="00045490">
        <w:rPr>
          <w:rFonts w:ascii="Verdana" w:hAnsi="Verdana"/>
          <w:sz w:val="20"/>
          <w:szCs w:val="20"/>
          <w:lang w:val="es-ES"/>
        </w:rPr>
        <w:t xml:space="preserve"> también </w:t>
      </w:r>
      <w:r w:rsidRPr="00250E08">
        <w:rPr>
          <w:rFonts w:ascii="Verdana" w:hAnsi="Verdana"/>
          <w:sz w:val="20"/>
          <w:szCs w:val="20"/>
          <w:lang w:val="es-ES"/>
        </w:rPr>
        <w:t>“la representante”).</w:t>
      </w:r>
      <w:r w:rsidRPr="00353432">
        <w:rPr>
          <w:rFonts w:ascii="Verdana" w:hAnsi="Verdana"/>
          <w:sz w:val="16"/>
          <w:szCs w:val="16"/>
          <w:lang w:val="es-ES"/>
        </w:rPr>
        <w:t xml:space="preserve"> </w:t>
      </w:r>
    </w:p>
    <w:p w:rsidR="00DF15C3" w:rsidRPr="002B1610" w:rsidRDefault="00DF15C3" w:rsidP="003F26FD">
      <w:pPr>
        <w:spacing w:after="0" w:line="216" w:lineRule="auto"/>
        <w:ind w:left="-142" w:right="-174"/>
        <w:jc w:val="both"/>
        <w:rPr>
          <w:rFonts w:ascii="Verdana" w:hAnsi="Verdana"/>
          <w:w w:val="95"/>
          <w:sz w:val="20"/>
          <w:szCs w:val="20"/>
          <w:lang w:val="es-ES" w:eastAsia="es-ES"/>
        </w:rPr>
      </w:pPr>
    </w:p>
    <w:p w:rsidR="00DF15C3" w:rsidRPr="002B1610" w:rsidRDefault="00DF15C3" w:rsidP="003F26FD">
      <w:pPr>
        <w:pStyle w:val="Prrafodelista"/>
        <w:numPr>
          <w:ilvl w:val="0"/>
          <w:numId w:val="17"/>
        </w:numPr>
        <w:spacing w:after="0" w:line="216" w:lineRule="auto"/>
        <w:ind w:left="-142" w:right="-174" w:firstLine="0"/>
        <w:jc w:val="both"/>
        <w:rPr>
          <w:rFonts w:ascii="Verdana" w:hAnsi="Verdana"/>
          <w:w w:val="95"/>
          <w:sz w:val="20"/>
          <w:szCs w:val="20"/>
          <w:lang w:val="es-ES"/>
        </w:rPr>
      </w:pPr>
      <w:r w:rsidRPr="002B1610">
        <w:rPr>
          <w:rFonts w:ascii="Verdana" w:eastAsia="Calibri" w:hAnsi="Verdana"/>
          <w:bCs/>
          <w:i/>
          <w:w w:val="95"/>
          <w:sz w:val="20"/>
          <w:szCs w:val="20"/>
          <w:lang w:val="es-CR"/>
        </w:rPr>
        <w:t xml:space="preserve">Escrito de contestación.- </w:t>
      </w:r>
      <w:r w:rsidRPr="002B1610">
        <w:rPr>
          <w:rFonts w:ascii="Verdana" w:eastAsia="Calibri" w:hAnsi="Verdana"/>
          <w:bCs/>
          <w:w w:val="95"/>
          <w:sz w:val="20"/>
          <w:szCs w:val="20"/>
          <w:lang w:val="es-CR"/>
        </w:rPr>
        <w:t>El 18 de diciembre de 2012</w:t>
      </w:r>
      <w:r w:rsidRPr="002B1610">
        <w:rPr>
          <w:rStyle w:val="Refdenotaalpie"/>
          <w:rFonts w:ascii="Verdana" w:eastAsia="Calibri" w:hAnsi="Verdana"/>
          <w:bCs/>
          <w:w w:val="95"/>
          <w:sz w:val="20"/>
          <w:szCs w:val="20"/>
          <w:lang w:val="es-CR"/>
        </w:rPr>
        <w:footnoteReference w:id="5"/>
      </w:r>
      <w:r w:rsidRPr="002B1610">
        <w:rPr>
          <w:rFonts w:ascii="Verdana" w:eastAsia="Calibri" w:hAnsi="Verdana"/>
          <w:bCs/>
          <w:w w:val="95"/>
          <w:sz w:val="20"/>
          <w:szCs w:val="20"/>
          <w:lang w:val="es-CR"/>
        </w:rPr>
        <w:t xml:space="preserve"> el Estado presentó su escrito de interposición de excepción preliminar, contestación al sometimiento del caso y de observaciones al escrito de solicitudes y argumentos (en adelante “escrito de contestación”). En dicho escrito</w:t>
      </w:r>
      <w:r w:rsidRPr="002B1610">
        <w:rPr>
          <w:rFonts w:ascii="Verdana" w:hAnsi="Verdana"/>
          <w:w w:val="95"/>
          <w:sz w:val="20"/>
          <w:szCs w:val="20"/>
          <w:lang w:val="es-ES"/>
        </w:rPr>
        <w:t xml:space="preserve"> interpuso “la excepción preliminar de falta de agotamiento de recursos internos”, contestó en sentido negativo cada una de las alegadas violaciones presentadas por la Comisión y </w:t>
      </w:r>
      <w:r>
        <w:rPr>
          <w:rFonts w:ascii="Verdana" w:hAnsi="Verdana"/>
          <w:w w:val="95"/>
          <w:sz w:val="20"/>
          <w:szCs w:val="20"/>
          <w:lang w:val="es-ES"/>
        </w:rPr>
        <w:t>la representante</w:t>
      </w:r>
      <w:r w:rsidRPr="002B1610">
        <w:rPr>
          <w:rFonts w:ascii="Verdana" w:hAnsi="Verdana"/>
          <w:w w:val="95"/>
          <w:sz w:val="20"/>
          <w:szCs w:val="20"/>
          <w:lang w:val="es-ES"/>
        </w:rPr>
        <w:t>, y solicitó que se determine que el Estado no es responsable internacionalmente. Además, el Estado hizo un “análisis preliminar de competencia”, en el cual señaló que “no reconoce la competencia de la Corte Interamericana para conocer la supuesta violación del artículo 7 de la Convención de Belém do Pará”. Asimismo, planteó, en el marco de su “[a]nálisis de derecho [s]obre las supuestas violaciones alegadas” una consideración relativa a la determinación de las “víctimas” en el Informe de Fondo de la Comisión. Por último, el Estado rechazó las medidas de reparación solicitadas.</w:t>
      </w:r>
      <w:r w:rsidRPr="002B1610">
        <w:rPr>
          <w:rFonts w:ascii="Verdana" w:eastAsia="Calibri" w:hAnsi="Verdana"/>
          <w:b/>
          <w:bCs/>
          <w:w w:val="95"/>
          <w:sz w:val="20"/>
          <w:szCs w:val="20"/>
          <w:lang w:val="es-CR"/>
        </w:rPr>
        <w:t xml:space="preserve"> </w:t>
      </w:r>
      <w:r w:rsidRPr="002B1610">
        <w:rPr>
          <w:rFonts w:ascii="Verdana" w:eastAsia="Calibri" w:hAnsi="Verdana"/>
          <w:bCs/>
          <w:w w:val="95"/>
          <w:sz w:val="20"/>
          <w:szCs w:val="20"/>
          <w:lang w:val="es-CR"/>
        </w:rPr>
        <w:t xml:space="preserve">El Estado </w:t>
      </w:r>
      <w:r w:rsidRPr="002B1610">
        <w:rPr>
          <w:rFonts w:ascii="Verdana" w:eastAsia="Calibri" w:hAnsi="Verdana"/>
          <w:bCs/>
          <w:w w:val="95"/>
          <w:sz w:val="20"/>
          <w:szCs w:val="20"/>
          <w:lang w:val="es-CR"/>
        </w:rPr>
        <w:lastRenderedPageBreak/>
        <w:t xml:space="preserve">designó al señor </w:t>
      </w:r>
      <w:r w:rsidRPr="002B1610">
        <w:rPr>
          <w:rFonts w:ascii="Verdana" w:hAnsi="Verdana"/>
          <w:w w:val="95"/>
          <w:sz w:val="20"/>
          <w:szCs w:val="20"/>
          <w:lang w:val="es-CR"/>
        </w:rPr>
        <w:t>Rodrigo Villagrán Sandoval como Agente</w:t>
      </w:r>
      <w:r w:rsidRPr="002B1610">
        <w:rPr>
          <w:rStyle w:val="Refdenotaalpie"/>
          <w:rFonts w:ascii="Verdana" w:hAnsi="Verdana"/>
          <w:w w:val="95"/>
          <w:sz w:val="20"/>
          <w:lang w:val="es-CR"/>
        </w:rPr>
        <w:footnoteReference w:id="6"/>
      </w:r>
      <w:r w:rsidR="009E2AD7">
        <w:rPr>
          <w:rFonts w:ascii="Verdana" w:hAnsi="Verdana"/>
          <w:w w:val="95"/>
          <w:sz w:val="20"/>
          <w:szCs w:val="20"/>
          <w:lang w:val="es-CR"/>
        </w:rPr>
        <w:t>,</w:t>
      </w:r>
      <w:r w:rsidRPr="002B1610">
        <w:rPr>
          <w:rFonts w:ascii="Verdana" w:hAnsi="Verdana"/>
          <w:w w:val="95"/>
          <w:sz w:val="20"/>
          <w:szCs w:val="20"/>
          <w:lang w:val="es-CR"/>
        </w:rPr>
        <w:t xml:space="preserve"> y a Ema</w:t>
      </w:r>
      <w:r>
        <w:rPr>
          <w:rFonts w:ascii="Verdana" w:hAnsi="Verdana"/>
          <w:w w:val="95"/>
          <w:sz w:val="20"/>
          <w:szCs w:val="20"/>
          <w:lang w:val="es-CR"/>
        </w:rPr>
        <w:t xml:space="preserve"> Estela Hernández Tuy de Iboy </w:t>
      </w:r>
      <w:r w:rsidRPr="002B1610">
        <w:rPr>
          <w:rFonts w:ascii="Verdana" w:hAnsi="Verdana"/>
          <w:w w:val="95"/>
          <w:sz w:val="20"/>
          <w:szCs w:val="20"/>
          <w:lang w:val="es-CR"/>
        </w:rPr>
        <w:t xml:space="preserve">como Agente Alterna. </w:t>
      </w:r>
    </w:p>
    <w:p w:rsidR="00DF15C3" w:rsidRPr="002B1610" w:rsidRDefault="00DF15C3" w:rsidP="003F26FD">
      <w:pPr>
        <w:pStyle w:val="Prrafodelista"/>
        <w:spacing w:after="0" w:line="216" w:lineRule="auto"/>
        <w:ind w:left="-142" w:right="-174"/>
        <w:jc w:val="both"/>
        <w:rPr>
          <w:rFonts w:ascii="Verdana" w:hAnsi="Verdana"/>
          <w:w w:val="95"/>
          <w:sz w:val="20"/>
          <w:szCs w:val="20"/>
          <w:lang w:val="es-ES"/>
        </w:rPr>
      </w:pPr>
    </w:p>
    <w:p w:rsidR="00DF15C3" w:rsidRPr="002B1610" w:rsidRDefault="00DF15C3" w:rsidP="003F26FD">
      <w:pPr>
        <w:pStyle w:val="Prrafodelista"/>
        <w:numPr>
          <w:ilvl w:val="0"/>
          <w:numId w:val="17"/>
        </w:numPr>
        <w:spacing w:after="0" w:line="216" w:lineRule="auto"/>
        <w:ind w:left="-142" w:right="-174" w:firstLine="0"/>
        <w:jc w:val="both"/>
        <w:rPr>
          <w:rFonts w:ascii="Verdana" w:hAnsi="Verdana" w:cs="Verdana"/>
          <w:i/>
          <w:w w:val="95"/>
          <w:sz w:val="20"/>
          <w:szCs w:val="20"/>
          <w:lang w:val="es-ES" w:eastAsia="es-ES"/>
        </w:rPr>
      </w:pPr>
      <w:r w:rsidRPr="002B1610">
        <w:rPr>
          <w:rFonts w:ascii="Verdana" w:hAnsi="Verdana" w:cs="Verdana"/>
          <w:i/>
          <w:w w:val="95"/>
          <w:sz w:val="20"/>
          <w:szCs w:val="20"/>
          <w:lang w:val="es-ES" w:eastAsia="es-ES"/>
        </w:rPr>
        <w:t xml:space="preserve">Acogimiento al Fondo de Asistencia Legal.- </w:t>
      </w:r>
      <w:r w:rsidRPr="002B1610">
        <w:rPr>
          <w:rFonts w:ascii="Verdana" w:hAnsi="Verdana" w:cs="Verdana"/>
          <w:w w:val="95"/>
          <w:sz w:val="20"/>
          <w:szCs w:val="20"/>
          <w:lang w:val="es-ES" w:eastAsia="es-ES"/>
        </w:rPr>
        <w:t xml:space="preserve">Mediante Resolución del </w:t>
      </w:r>
      <w:r>
        <w:rPr>
          <w:rFonts w:ascii="Verdana" w:hAnsi="Verdana" w:cs="Verdana"/>
          <w:w w:val="95"/>
          <w:sz w:val="20"/>
          <w:szCs w:val="20"/>
          <w:lang w:val="es-ES" w:eastAsia="es-ES"/>
        </w:rPr>
        <w:t>Presidente</w:t>
      </w:r>
      <w:r w:rsidR="00122C63" w:rsidRPr="002B1610">
        <w:rPr>
          <w:rStyle w:val="Refdenotaalpie"/>
          <w:rFonts w:ascii="Verdana" w:hAnsi="Verdana" w:cs="Verdana"/>
          <w:w w:val="95"/>
          <w:sz w:val="20"/>
          <w:szCs w:val="20"/>
          <w:lang w:val="es-ES" w:eastAsia="es-ES"/>
        </w:rPr>
        <w:footnoteReference w:id="7"/>
      </w:r>
      <w:r w:rsidRPr="002B1610">
        <w:rPr>
          <w:rFonts w:ascii="Verdana" w:hAnsi="Verdana" w:cs="Verdana"/>
          <w:w w:val="95"/>
          <w:sz w:val="20"/>
          <w:szCs w:val="20"/>
          <w:lang w:eastAsia="es-ES"/>
        </w:rPr>
        <w:t xml:space="preserve"> de la Corte (en adelante “el </w:t>
      </w:r>
      <w:r>
        <w:rPr>
          <w:rFonts w:ascii="Verdana" w:hAnsi="Verdana" w:cs="Verdana"/>
          <w:w w:val="95"/>
          <w:sz w:val="20"/>
          <w:szCs w:val="20"/>
          <w:lang w:eastAsia="es-ES"/>
        </w:rPr>
        <w:t>Presidente</w:t>
      </w:r>
      <w:r w:rsidRPr="002B1610">
        <w:rPr>
          <w:rFonts w:ascii="Verdana" w:hAnsi="Verdana" w:cs="Verdana"/>
          <w:w w:val="95"/>
          <w:sz w:val="20"/>
          <w:szCs w:val="20"/>
          <w:lang w:eastAsia="es-ES"/>
        </w:rPr>
        <w:t>”)</w:t>
      </w:r>
      <w:r w:rsidRPr="002B1610">
        <w:rPr>
          <w:rFonts w:ascii="Verdana" w:hAnsi="Verdana" w:cs="Verdana"/>
          <w:w w:val="95"/>
          <w:sz w:val="20"/>
          <w:szCs w:val="20"/>
          <w:lang w:val="es-ES" w:eastAsia="es-ES"/>
        </w:rPr>
        <w:t xml:space="preserve"> de 8 de enero de 2013 se declaró procedente la solicitud </w:t>
      </w:r>
      <w:r w:rsidRPr="00FC71E6">
        <w:rPr>
          <w:rFonts w:ascii="Verdana" w:hAnsi="Verdana" w:cs="Verdana"/>
          <w:w w:val="95"/>
          <w:sz w:val="20"/>
          <w:szCs w:val="20"/>
          <w:lang w:val="es-ES" w:eastAsia="es-ES"/>
        </w:rPr>
        <w:t>presentada por</w:t>
      </w:r>
      <w:r w:rsidRPr="002B1610">
        <w:rPr>
          <w:rFonts w:ascii="Verdana" w:hAnsi="Verdana" w:cs="Verdana"/>
          <w:w w:val="95"/>
          <w:sz w:val="20"/>
          <w:szCs w:val="20"/>
          <w:lang w:val="es-ES" w:eastAsia="es-ES"/>
        </w:rPr>
        <w:t xml:space="preserve"> las presuntas víctimas, a través de sus representantes (</w:t>
      </w:r>
      <w:r w:rsidRPr="002B1610">
        <w:rPr>
          <w:rFonts w:ascii="Verdana" w:hAnsi="Verdana" w:cs="Verdana"/>
          <w:i/>
          <w:w w:val="95"/>
          <w:sz w:val="20"/>
          <w:szCs w:val="20"/>
          <w:lang w:val="es-ES" w:eastAsia="es-ES"/>
        </w:rPr>
        <w:t>supra</w:t>
      </w:r>
      <w:r w:rsidRPr="002B1610">
        <w:rPr>
          <w:rFonts w:ascii="Verdana" w:hAnsi="Verdana" w:cs="Verdana"/>
          <w:w w:val="95"/>
          <w:sz w:val="20"/>
          <w:szCs w:val="20"/>
          <w:lang w:val="es-ES" w:eastAsia="es-ES"/>
        </w:rPr>
        <w:t xml:space="preserve"> párr. </w:t>
      </w:r>
      <w:r>
        <w:rPr>
          <w:rFonts w:ascii="Verdana" w:hAnsi="Verdana" w:cs="Verdana"/>
          <w:w w:val="95"/>
          <w:sz w:val="20"/>
          <w:szCs w:val="20"/>
          <w:lang w:val="es-ES" w:eastAsia="es-ES"/>
        </w:rPr>
        <w:t>7</w:t>
      </w:r>
      <w:r w:rsidRPr="002B1610">
        <w:rPr>
          <w:rFonts w:ascii="Verdana" w:hAnsi="Verdana" w:cs="Verdana"/>
          <w:w w:val="95"/>
          <w:sz w:val="20"/>
          <w:szCs w:val="20"/>
          <w:lang w:val="es-ES" w:eastAsia="es-ES"/>
        </w:rPr>
        <w:t xml:space="preserve">), de acogerse al Fondo de Asistencia de la Corte. </w:t>
      </w:r>
    </w:p>
    <w:p w:rsidR="00DF15C3" w:rsidRPr="002B1610" w:rsidRDefault="00DF15C3" w:rsidP="003F26FD">
      <w:pPr>
        <w:spacing w:after="0" w:line="216" w:lineRule="auto"/>
        <w:ind w:right="-174"/>
        <w:jc w:val="both"/>
        <w:rPr>
          <w:rFonts w:ascii="Verdana" w:hAnsi="Verdana" w:cs="Verdana"/>
          <w:i/>
          <w:w w:val="95"/>
          <w:sz w:val="20"/>
          <w:szCs w:val="20"/>
          <w:lang w:val="es-ES" w:eastAsia="es-ES"/>
        </w:rPr>
      </w:pPr>
    </w:p>
    <w:p w:rsidR="00DF15C3" w:rsidRPr="002B1610" w:rsidRDefault="00DF15C3" w:rsidP="003F26FD">
      <w:pPr>
        <w:pStyle w:val="Prrafodelista"/>
        <w:numPr>
          <w:ilvl w:val="0"/>
          <w:numId w:val="17"/>
        </w:numPr>
        <w:spacing w:after="0" w:line="216" w:lineRule="auto"/>
        <w:ind w:left="-142" w:right="-174" w:firstLine="0"/>
        <w:jc w:val="both"/>
        <w:rPr>
          <w:rFonts w:ascii="Verdana" w:hAnsi="Verdana" w:cs="Verdana"/>
          <w:w w:val="95"/>
          <w:sz w:val="20"/>
          <w:szCs w:val="20"/>
          <w:lang w:val="es-ES" w:eastAsia="es-ES"/>
        </w:rPr>
      </w:pPr>
      <w:r w:rsidRPr="002B1610">
        <w:rPr>
          <w:rFonts w:ascii="Verdana" w:hAnsi="Verdana" w:cs="Verdana"/>
          <w:i/>
          <w:w w:val="95"/>
          <w:sz w:val="20"/>
          <w:szCs w:val="20"/>
          <w:lang w:val="es-ES" w:eastAsia="es-ES"/>
        </w:rPr>
        <w:t xml:space="preserve">Observaciones a las excepciones preliminares.- </w:t>
      </w:r>
      <w:r w:rsidRPr="002B1610">
        <w:rPr>
          <w:rFonts w:ascii="Verdana" w:hAnsi="Verdana" w:cs="Verdana"/>
          <w:w w:val="95"/>
          <w:sz w:val="20"/>
          <w:szCs w:val="20"/>
          <w:lang w:val="es-ES" w:eastAsia="es-ES"/>
        </w:rPr>
        <w:t xml:space="preserve">Los días 21 y 22 de febrero de 2013 </w:t>
      </w:r>
      <w:r>
        <w:rPr>
          <w:rFonts w:ascii="Verdana" w:hAnsi="Verdana" w:cs="Verdana"/>
          <w:w w:val="95"/>
          <w:sz w:val="20"/>
          <w:szCs w:val="20"/>
          <w:lang w:val="es-ES" w:eastAsia="es-ES"/>
        </w:rPr>
        <w:t>la representante</w:t>
      </w:r>
      <w:r w:rsidRPr="002B1610">
        <w:rPr>
          <w:rFonts w:ascii="Verdana" w:hAnsi="Verdana" w:cs="Verdana"/>
          <w:w w:val="95"/>
          <w:sz w:val="20"/>
          <w:szCs w:val="20"/>
          <w:lang w:val="es-ES" w:eastAsia="es-ES"/>
        </w:rPr>
        <w:t xml:space="preserve"> y la Comisión presentaron, respectivamente, sus observaciones a la excepción preliminar presentada. </w:t>
      </w:r>
    </w:p>
    <w:p w:rsidR="00DF15C3" w:rsidRPr="002B1610" w:rsidRDefault="00DF15C3" w:rsidP="003F26FD">
      <w:pPr>
        <w:spacing w:after="0" w:line="216" w:lineRule="auto"/>
        <w:ind w:left="-142" w:right="-174"/>
        <w:jc w:val="both"/>
        <w:rPr>
          <w:rFonts w:ascii="Verdana" w:hAnsi="Verdana" w:cs="Verdana"/>
          <w:i/>
          <w:w w:val="95"/>
          <w:sz w:val="20"/>
          <w:szCs w:val="20"/>
          <w:lang w:val="es-ES" w:eastAsia="es-ES"/>
        </w:rPr>
      </w:pPr>
    </w:p>
    <w:p w:rsidR="00DF15C3" w:rsidRPr="002B1610" w:rsidRDefault="00DF15C3" w:rsidP="003F26FD">
      <w:pPr>
        <w:pStyle w:val="Prrafodelista"/>
        <w:numPr>
          <w:ilvl w:val="0"/>
          <w:numId w:val="17"/>
        </w:numPr>
        <w:spacing w:after="0" w:line="216" w:lineRule="auto"/>
        <w:ind w:left="-142" w:right="-174" w:firstLine="0"/>
        <w:jc w:val="both"/>
        <w:rPr>
          <w:rFonts w:ascii="Verdana" w:hAnsi="Verdana" w:cs="Verdana"/>
          <w:i/>
          <w:w w:val="95"/>
          <w:sz w:val="20"/>
          <w:szCs w:val="20"/>
          <w:lang w:val="es-ES" w:eastAsia="es-ES"/>
        </w:rPr>
      </w:pPr>
      <w:r w:rsidRPr="002B1610">
        <w:rPr>
          <w:rFonts w:ascii="Verdana" w:hAnsi="Verdana" w:cs="Verdana"/>
          <w:i/>
          <w:w w:val="95"/>
          <w:sz w:val="20"/>
          <w:szCs w:val="20"/>
          <w:lang w:val="es-ES" w:eastAsia="es-ES"/>
        </w:rPr>
        <w:t xml:space="preserve">Convocatoria a audiencia pública.- </w:t>
      </w:r>
      <w:r w:rsidRPr="002B1610">
        <w:rPr>
          <w:rFonts w:ascii="Verdana" w:hAnsi="Verdana" w:cs="Verdana"/>
          <w:w w:val="95"/>
          <w:sz w:val="20"/>
          <w:szCs w:val="20"/>
          <w:lang w:val="es-ES" w:eastAsia="es-ES"/>
        </w:rPr>
        <w:t xml:space="preserve">Mediante Resolución de 10 de abril de 2013 el </w:t>
      </w:r>
      <w:r>
        <w:rPr>
          <w:rFonts w:ascii="Verdana" w:hAnsi="Verdana" w:cs="Verdana"/>
          <w:w w:val="95"/>
          <w:sz w:val="20"/>
          <w:szCs w:val="20"/>
          <w:lang w:val="es-ES" w:eastAsia="es-ES"/>
        </w:rPr>
        <w:t>Presidente</w:t>
      </w:r>
      <w:r w:rsidRPr="002B1610">
        <w:rPr>
          <w:rFonts w:ascii="Verdana" w:hAnsi="Verdana" w:cs="Verdana"/>
          <w:w w:val="95"/>
          <w:sz w:val="20"/>
          <w:szCs w:val="20"/>
          <w:lang w:val="es-ES" w:eastAsia="es-ES"/>
        </w:rPr>
        <w:t xml:space="preserve"> convocó a las partes a una audiencia pública que fue celebrada el 15 de mayo de 2013 durante el 99º Período Ordinario de Sesiones </w:t>
      </w:r>
      <w:r w:rsidRPr="002B1610">
        <w:rPr>
          <w:rFonts w:ascii="Verdana" w:hAnsi="Verdana"/>
          <w:w w:val="95"/>
          <w:sz w:val="20"/>
          <w:szCs w:val="20"/>
          <w:lang w:val="es-ES" w:eastAsia="es-ES"/>
        </w:rPr>
        <w:t>de la Corte, el cual tuvo lugar en su sede</w:t>
      </w:r>
      <w:r w:rsidRPr="002B1610">
        <w:rPr>
          <w:rStyle w:val="Refdenotaalpie"/>
          <w:rFonts w:ascii="Verdana" w:hAnsi="Verdana"/>
          <w:w w:val="95"/>
          <w:sz w:val="20"/>
          <w:lang w:val="es-ES" w:eastAsia="es-ES"/>
        </w:rPr>
        <w:footnoteReference w:id="8"/>
      </w:r>
      <w:r w:rsidR="009E2AD7">
        <w:rPr>
          <w:rFonts w:ascii="Verdana" w:hAnsi="Verdana"/>
          <w:w w:val="95"/>
          <w:sz w:val="20"/>
          <w:szCs w:val="20"/>
          <w:lang w:val="es-ES" w:eastAsia="es-ES"/>
        </w:rPr>
        <w:t xml:space="preserve">, </w:t>
      </w:r>
      <w:r w:rsidRPr="002B1610">
        <w:rPr>
          <w:rFonts w:ascii="Verdana" w:hAnsi="Verdana"/>
          <w:w w:val="95"/>
          <w:sz w:val="20"/>
          <w:szCs w:val="20"/>
          <w:lang w:val="es-ES" w:eastAsia="es-ES"/>
        </w:rPr>
        <w:t xml:space="preserve">y </w:t>
      </w:r>
      <w:r w:rsidRPr="002B1610">
        <w:rPr>
          <w:rFonts w:ascii="Verdana" w:hAnsi="Verdana" w:cs="Verdana"/>
          <w:w w:val="95"/>
          <w:sz w:val="20"/>
          <w:szCs w:val="20"/>
          <w:lang w:val="es-ES" w:eastAsia="es-ES"/>
        </w:rPr>
        <w:t xml:space="preserve">ordenó recibir diversas declaraciones en el presente caso.  </w:t>
      </w:r>
    </w:p>
    <w:p w:rsidR="00DF15C3" w:rsidRPr="002B1610" w:rsidRDefault="00DF15C3" w:rsidP="003F26FD">
      <w:pPr>
        <w:pStyle w:val="Prrafodelista"/>
        <w:spacing w:after="0" w:line="216" w:lineRule="auto"/>
        <w:ind w:left="-142" w:right="-174"/>
        <w:jc w:val="both"/>
        <w:rPr>
          <w:rFonts w:ascii="Verdana" w:hAnsi="Verdana" w:cs="Verdana"/>
          <w:i/>
          <w:w w:val="95"/>
          <w:sz w:val="20"/>
          <w:szCs w:val="20"/>
          <w:lang w:val="es-ES" w:eastAsia="es-ES"/>
        </w:rPr>
      </w:pPr>
    </w:p>
    <w:p w:rsidR="00DF15C3" w:rsidRPr="001D08D1" w:rsidRDefault="00F77273" w:rsidP="003F26FD">
      <w:pPr>
        <w:pStyle w:val="Prrafodelista"/>
        <w:numPr>
          <w:ilvl w:val="0"/>
          <w:numId w:val="17"/>
        </w:numPr>
        <w:spacing w:after="0" w:line="216" w:lineRule="auto"/>
        <w:ind w:left="-142" w:right="-174" w:firstLine="0"/>
        <w:jc w:val="both"/>
        <w:rPr>
          <w:rFonts w:ascii="Verdana" w:hAnsi="Verdana" w:cs="Verdana"/>
          <w:w w:val="95"/>
          <w:sz w:val="20"/>
          <w:szCs w:val="20"/>
          <w:lang w:val="es-ES" w:eastAsia="es-ES"/>
        </w:rPr>
      </w:pPr>
      <w:r w:rsidRPr="00F77273">
        <w:rPr>
          <w:rFonts w:ascii="Verdana" w:hAnsi="Verdana" w:cs="Verdana"/>
          <w:i/>
          <w:w w:val="95"/>
          <w:sz w:val="20"/>
          <w:szCs w:val="20"/>
          <w:lang w:val="es-ES" w:eastAsia="es-ES"/>
        </w:rPr>
        <w:t xml:space="preserve">Amici curiae.- </w:t>
      </w:r>
      <w:r w:rsidRPr="00F77273">
        <w:rPr>
          <w:rFonts w:ascii="Verdana" w:hAnsi="Verdana" w:cs="Verdana"/>
          <w:w w:val="95"/>
          <w:sz w:val="20"/>
          <w:szCs w:val="20"/>
          <w:lang w:val="es-ES" w:eastAsia="es-ES"/>
        </w:rPr>
        <w:t xml:space="preserve">El Tribunal recibió el 30 de mayo de 2013 dos escritos en calidad de </w:t>
      </w:r>
      <w:r w:rsidRPr="00F77273">
        <w:rPr>
          <w:rFonts w:ascii="Verdana" w:hAnsi="Verdana" w:cs="Verdana"/>
          <w:i/>
          <w:w w:val="95"/>
          <w:sz w:val="20"/>
          <w:szCs w:val="20"/>
          <w:lang w:val="es-ES" w:eastAsia="es-ES"/>
        </w:rPr>
        <w:t>amicus curiae:</w:t>
      </w:r>
      <w:r w:rsidRPr="00F77273">
        <w:rPr>
          <w:rFonts w:ascii="Verdana" w:hAnsi="Verdana" w:cs="Verdana"/>
          <w:w w:val="95"/>
          <w:sz w:val="20"/>
          <w:szCs w:val="20"/>
          <w:lang w:val="es-ES" w:eastAsia="es-ES"/>
        </w:rPr>
        <w:t xml:space="preserve"> a) el presentado por la señora Sorina Macricini y los señores Cristian González Chacó y Bruno Rodríguez Reveggio, de </w:t>
      </w:r>
      <w:r w:rsidR="00622AF9" w:rsidRPr="00622AF9">
        <w:rPr>
          <w:rFonts w:ascii="Verdana" w:hAnsi="Verdana" w:cs="Verdana"/>
          <w:i/>
          <w:w w:val="95"/>
          <w:sz w:val="20"/>
          <w:szCs w:val="20"/>
          <w:lang w:val="es-ES" w:eastAsia="es-ES"/>
        </w:rPr>
        <w:t>N</w:t>
      </w:r>
      <w:r w:rsidRPr="00F77273">
        <w:rPr>
          <w:rFonts w:ascii="Verdana" w:hAnsi="Verdana" w:cs="Verdana"/>
          <w:i/>
          <w:w w:val="95"/>
          <w:sz w:val="20"/>
          <w:szCs w:val="20"/>
          <w:lang w:val="es-ES" w:eastAsia="es-ES"/>
        </w:rPr>
        <w:t>otre Dame Law School</w:t>
      </w:r>
      <w:r w:rsidRPr="00F77273">
        <w:rPr>
          <w:rFonts w:ascii="Verdana" w:hAnsi="Verdana" w:cs="Verdana"/>
          <w:w w:val="95"/>
          <w:sz w:val="18"/>
          <w:szCs w:val="18"/>
          <w:lang w:val="es-ES" w:eastAsia="es-ES"/>
        </w:rPr>
        <w:t>,</w:t>
      </w:r>
      <w:r w:rsidRPr="00F77273">
        <w:rPr>
          <w:rFonts w:ascii="Verdana" w:hAnsi="Verdana" w:cs="Verdana"/>
          <w:w w:val="95"/>
          <w:sz w:val="20"/>
          <w:szCs w:val="20"/>
          <w:lang w:val="es-ES" w:eastAsia="es-ES"/>
        </w:rPr>
        <w:t xml:space="preserve"> el cual </w:t>
      </w:r>
      <w:r w:rsidRPr="00315B30">
        <w:rPr>
          <w:rFonts w:ascii="Verdana" w:hAnsi="Verdana" w:cs="Verdana"/>
          <w:w w:val="95"/>
          <w:sz w:val="20"/>
          <w:szCs w:val="20"/>
          <w:lang w:val="es-ES" w:eastAsia="es-ES"/>
        </w:rPr>
        <w:t xml:space="preserve">a partir del apartado VIII se encuentra en inglés. </w:t>
      </w:r>
      <w:r w:rsidRPr="00315B30">
        <w:rPr>
          <w:rFonts w:ascii="Verdana" w:hAnsi="Verdana"/>
          <w:iCs/>
          <w:w w:val="95"/>
          <w:sz w:val="20"/>
          <w:szCs w:val="20"/>
          <w:lang w:val="es-ES"/>
        </w:rPr>
        <w:t>La traducción correspondiente fue recibida por la Corte el 10 de junio de 2013</w:t>
      </w:r>
      <w:r w:rsidRPr="00315B30">
        <w:rPr>
          <w:rFonts w:ascii="Verdana" w:hAnsi="Verdana" w:cs="Verdana"/>
          <w:w w:val="95"/>
          <w:sz w:val="20"/>
          <w:szCs w:val="20"/>
          <w:lang w:val="es-ES" w:eastAsia="es-ES"/>
        </w:rPr>
        <w:t>, y b) el presentado</w:t>
      </w:r>
      <w:r w:rsidR="004360A9">
        <w:rPr>
          <w:rFonts w:ascii="Verdana" w:hAnsi="Verdana" w:cs="Verdana"/>
          <w:w w:val="95"/>
          <w:sz w:val="20"/>
          <w:szCs w:val="20"/>
          <w:lang w:val="es-ES" w:eastAsia="es-ES"/>
        </w:rPr>
        <w:t xml:space="preserve"> </w:t>
      </w:r>
      <w:r w:rsidRPr="00315B30">
        <w:rPr>
          <w:rFonts w:ascii="Verdana" w:hAnsi="Verdana" w:cs="Verdana"/>
          <w:w w:val="95"/>
          <w:sz w:val="20"/>
          <w:szCs w:val="20"/>
          <w:lang w:val="es-ES" w:eastAsia="es-ES"/>
        </w:rPr>
        <w:t>por</w:t>
      </w:r>
      <w:r w:rsidRPr="00F77273">
        <w:rPr>
          <w:rFonts w:ascii="Verdana" w:hAnsi="Verdana" w:cs="Verdana"/>
          <w:w w:val="95"/>
          <w:sz w:val="20"/>
          <w:szCs w:val="20"/>
          <w:lang w:val="es-ES" w:eastAsia="es-ES"/>
        </w:rPr>
        <w:t xml:space="preserve"> las </w:t>
      </w:r>
      <w:r w:rsidRPr="00F77273">
        <w:rPr>
          <w:rFonts w:ascii="Verdana" w:hAnsi="Verdana"/>
          <w:w w:val="95"/>
          <w:sz w:val="20"/>
          <w:szCs w:val="20"/>
          <w:lang w:val="es-ES"/>
        </w:rPr>
        <w:t xml:space="preserve">señoras Christine M. Venter, Ana-Paolo Calpado </w:t>
      </w:r>
      <w:r w:rsidRPr="00F77273">
        <w:rPr>
          <w:rFonts w:ascii="Verdana" w:hAnsi="Verdana" w:cs="Arial"/>
          <w:w w:val="95"/>
          <w:sz w:val="20"/>
          <w:szCs w:val="20"/>
          <w:lang w:val="es-ES"/>
        </w:rPr>
        <w:t>y Daniella Palmiotto</w:t>
      </w:r>
      <w:r w:rsidRPr="00F77273">
        <w:rPr>
          <w:rFonts w:ascii="Verdana" w:hAnsi="Verdana"/>
          <w:w w:val="95"/>
          <w:sz w:val="20"/>
          <w:szCs w:val="20"/>
          <w:lang w:val="es-ES"/>
        </w:rPr>
        <w:t xml:space="preserve">, </w:t>
      </w:r>
      <w:r w:rsidRPr="00F77273">
        <w:rPr>
          <w:rFonts w:ascii="Verdana" w:hAnsi="Verdana"/>
          <w:i/>
          <w:iCs/>
          <w:w w:val="95"/>
          <w:sz w:val="20"/>
          <w:szCs w:val="20"/>
          <w:lang w:val="es-ES"/>
        </w:rPr>
        <w:t>de Notre Dame Law School</w:t>
      </w:r>
      <w:r w:rsidR="004360A9" w:rsidRPr="00315B30">
        <w:rPr>
          <w:rFonts w:ascii="Verdana" w:hAnsi="Verdana" w:cs="Verdana"/>
          <w:w w:val="95"/>
          <w:sz w:val="20"/>
          <w:szCs w:val="20"/>
          <w:lang w:val="es-ES" w:eastAsia="es-ES"/>
        </w:rPr>
        <w:t xml:space="preserve"> en inglés</w:t>
      </w:r>
      <w:r w:rsidR="00606A7F">
        <w:rPr>
          <w:rFonts w:ascii="Verdana" w:hAnsi="Verdana"/>
          <w:i/>
          <w:iCs/>
          <w:w w:val="95"/>
          <w:sz w:val="20"/>
          <w:szCs w:val="20"/>
          <w:lang w:val="es-ES"/>
        </w:rPr>
        <w:t>.</w:t>
      </w:r>
    </w:p>
    <w:p w:rsidR="00DF15C3" w:rsidRDefault="00DF15C3" w:rsidP="003F26FD">
      <w:pPr>
        <w:pStyle w:val="Prrafodelista"/>
        <w:spacing w:after="0" w:line="216" w:lineRule="auto"/>
        <w:ind w:left="-142" w:right="-174"/>
        <w:jc w:val="both"/>
        <w:rPr>
          <w:rFonts w:ascii="Verdana" w:hAnsi="Verdana" w:cs="Verdana"/>
          <w:i/>
          <w:w w:val="95"/>
          <w:sz w:val="20"/>
          <w:szCs w:val="20"/>
          <w:lang w:val="es-ES" w:eastAsia="es-ES"/>
        </w:rPr>
      </w:pPr>
    </w:p>
    <w:p w:rsidR="00DF15C3" w:rsidRPr="002B1610" w:rsidRDefault="00DF15C3" w:rsidP="003F26FD">
      <w:pPr>
        <w:pStyle w:val="Prrafodelista"/>
        <w:numPr>
          <w:ilvl w:val="0"/>
          <w:numId w:val="17"/>
        </w:numPr>
        <w:spacing w:after="0" w:line="216" w:lineRule="auto"/>
        <w:ind w:left="-142" w:right="-174" w:firstLine="0"/>
        <w:jc w:val="both"/>
        <w:rPr>
          <w:rFonts w:ascii="Verdana" w:hAnsi="Verdana" w:cs="Verdana"/>
          <w:w w:val="95"/>
          <w:sz w:val="20"/>
          <w:szCs w:val="20"/>
          <w:lang w:val="es-ES" w:eastAsia="es-ES"/>
        </w:rPr>
      </w:pPr>
      <w:r w:rsidRPr="00034AC5">
        <w:rPr>
          <w:rFonts w:ascii="Verdana" w:hAnsi="Verdana" w:cs="Verdana"/>
          <w:i/>
          <w:w w:val="95"/>
          <w:sz w:val="20"/>
          <w:szCs w:val="20"/>
          <w:lang w:val="es-ES" w:eastAsia="es-ES"/>
        </w:rPr>
        <w:t>Alegatos y obs</w:t>
      </w:r>
      <w:r>
        <w:rPr>
          <w:rFonts w:ascii="Verdana" w:hAnsi="Verdana" w:cs="Verdana"/>
          <w:i/>
          <w:w w:val="95"/>
          <w:sz w:val="20"/>
          <w:szCs w:val="20"/>
          <w:lang w:val="es-ES" w:eastAsia="es-ES"/>
        </w:rPr>
        <w:t xml:space="preserve">ervaciones finales escritos.- </w:t>
      </w:r>
      <w:r>
        <w:rPr>
          <w:rFonts w:ascii="Verdana" w:hAnsi="Verdana" w:cs="Verdana"/>
          <w:w w:val="95"/>
          <w:sz w:val="20"/>
          <w:szCs w:val="20"/>
          <w:lang w:val="es-ES" w:eastAsia="es-ES"/>
        </w:rPr>
        <w:t>El 15 de junio de</w:t>
      </w:r>
      <w:r w:rsidRPr="0016504B">
        <w:rPr>
          <w:rFonts w:ascii="Verdana" w:hAnsi="Verdana" w:cs="Verdana"/>
          <w:w w:val="95"/>
          <w:sz w:val="20"/>
          <w:szCs w:val="20"/>
          <w:lang w:val="es-ES" w:eastAsia="es-ES"/>
        </w:rPr>
        <w:t xml:space="preserve"> 2013 </w:t>
      </w:r>
      <w:r>
        <w:rPr>
          <w:rFonts w:ascii="Verdana" w:hAnsi="Verdana" w:cs="Verdana"/>
          <w:w w:val="95"/>
          <w:sz w:val="20"/>
          <w:szCs w:val="20"/>
          <w:lang w:val="es-ES" w:eastAsia="es-ES"/>
        </w:rPr>
        <w:t>la representante remitió</w:t>
      </w:r>
      <w:r w:rsidRPr="00034AC5">
        <w:rPr>
          <w:rFonts w:ascii="Verdana" w:hAnsi="Verdana" w:cs="Verdana"/>
          <w:w w:val="95"/>
          <w:sz w:val="20"/>
          <w:szCs w:val="20"/>
          <w:lang w:val="es-ES" w:eastAsia="es-ES"/>
        </w:rPr>
        <w:t xml:space="preserve"> sus alegatos finales escritos y los días 15 y 18 de junio de 2013 lo hizo el Estado.</w:t>
      </w:r>
      <w:r w:rsidR="00B714DA" w:rsidRPr="00B714DA">
        <w:rPr>
          <w:rFonts w:ascii="Verdana" w:eastAsia="Calibri" w:hAnsi="Verdana"/>
          <w:bCs/>
          <w:w w:val="95"/>
          <w:sz w:val="20"/>
          <w:szCs w:val="20"/>
          <w:lang w:val="es-CR"/>
        </w:rPr>
        <w:t xml:space="preserve"> </w:t>
      </w:r>
      <w:r w:rsidR="00B714DA" w:rsidRPr="0016504B">
        <w:rPr>
          <w:rFonts w:ascii="Verdana" w:eastAsia="Calibri" w:hAnsi="Verdana"/>
          <w:bCs/>
          <w:w w:val="95"/>
          <w:sz w:val="20"/>
          <w:szCs w:val="20"/>
          <w:lang w:val="es-CR"/>
        </w:rPr>
        <w:t xml:space="preserve">Además, en dicha oportunidad el Estado dio respuesta a las preguntas formuladas por los Jueces durante la audiencia pública y </w:t>
      </w:r>
      <w:r w:rsidR="00B714DA">
        <w:rPr>
          <w:rFonts w:ascii="Verdana" w:eastAsia="Calibri" w:hAnsi="Verdana"/>
          <w:bCs/>
          <w:w w:val="95"/>
          <w:sz w:val="20"/>
          <w:szCs w:val="20"/>
          <w:lang w:val="es-CR"/>
        </w:rPr>
        <w:t>la representante</w:t>
      </w:r>
      <w:r w:rsidR="00B714DA" w:rsidRPr="0016504B">
        <w:rPr>
          <w:rFonts w:ascii="Verdana" w:eastAsia="Calibri" w:hAnsi="Verdana"/>
          <w:bCs/>
          <w:w w:val="95"/>
          <w:sz w:val="20"/>
          <w:szCs w:val="20"/>
          <w:lang w:val="es-CR"/>
        </w:rPr>
        <w:t xml:space="preserve"> </w:t>
      </w:r>
      <w:r w:rsidR="00B714DA">
        <w:rPr>
          <w:rFonts w:ascii="Verdana" w:eastAsia="Calibri" w:hAnsi="Verdana"/>
          <w:bCs/>
          <w:w w:val="95"/>
          <w:sz w:val="20"/>
          <w:szCs w:val="20"/>
          <w:lang w:val="es-CR"/>
        </w:rPr>
        <w:t>se refirió</w:t>
      </w:r>
      <w:r w:rsidR="00B714DA" w:rsidRPr="0016504B">
        <w:rPr>
          <w:rFonts w:ascii="Verdana" w:eastAsia="Calibri" w:hAnsi="Verdana"/>
          <w:bCs/>
          <w:w w:val="95"/>
          <w:sz w:val="20"/>
          <w:szCs w:val="20"/>
          <w:lang w:val="es-CR"/>
        </w:rPr>
        <w:t xml:space="preserve"> de forma general al contexto.</w:t>
      </w:r>
      <w:r w:rsidRPr="00034AC5">
        <w:rPr>
          <w:rFonts w:ascii="Verdana" w:hAnsi="Verdana" w:cs="Verdana"/>
          <w:w w:val="95"/>
          <w:sz w:val="20"/>
          <w:szCs w:val="20"/>
          <w:lang w:val="es-ES" w:eastAsia="es-ES"/>
        </w:rPr>
        <w:t xml:space="preserve"> El 15 de lo</w:t>
      </w:r>
      <w:r w:rsidRPr="0016504B">
        <w:rPr>
          <w:rFonts w:ascii="Verdana" w:hAnsi="Verdana" w:cs="Verdana"/>
          <w:w w:val="95"/>
          <w:sz w:val="20"/>
          <w:szCs w:val="20"/>
          <w:lang w:val="es-ES" w:eastAsia="es-ES"/>
        </w:rPr>
        <w:t xml:space="preserve">s mismos mes y año la </w:t>
      </w:r>
      <w:r w:rsidR="00F15CBE" w:rsidRPr="00B47773">
        <w:rPr>
          <w:rFonts w:ascii="Verdana" w:hAnsi="Verdana" w:cs="Verdana"/>
          <w:w w:val="95"/>
          <w:sz w:val="20"/>
          <w:szCs w:val="20"/>
          <w:lang w:val="es-ES" w:eastAsia="es-ES"/>
        </w:rPr>
        <w:t>Comis</w:t>
      </w:r>
      <w:r w:rsidRPr="000402E6">
        <w:rPr>
          <w:rFonts w:ascii="Verdana" w:hAnsi="Verdana" w:cs="Verdana"/>
          <w:w w:val="95"/>
          <w:sz w:val="20"/>
          <w:szCs w:val="20"/>
          <w:lang w:val="es-ES" w:eastAsia="es-ES"/>
        </w:rPr>
        <w:t>ión</w:t>
      </w:r>
      <w:r w:rsidRPr="0016504B">
        <w:rPr>
          <w:rFonts w:ascii="Verdana" w:hAnsi="Verdana" w:cs="Verdana"/>
          <w:w w:val="95"/>
          <w:sz w:val="20"/>
          <w:szCs w:val="20"/>
          <w:lang w:val="es-ES" w:eastAsia="es-ES"/>
        </w:rPr>
        <w:t xml:space="preserve"> r</w:t>
      </w:r>
      <w:r w:rsidRPr="00034AC5">
        <w:rPr>
          <w:rFonts w:ascii="Verdana" w:hAnsi="Verdana" w:cs="Verdana"/>
          <w:w w:val="95"/>
          <w:sz w:val="20"/>
          <w:szCs w:val="20"/>
          <w:lang w:val="es-ES" w:eastAsia="es-ES"/>
        </w:rPr>
        <w:t>e</w:t>
      </w:r>
      <w:r w:rsidRPr="0016504B">
        <w:rPr>
          <w:rFonts w:ascii="Verdana" w:hAnsi="Verdana" w:cs="Verdana"/>
          <w:w w:val="95"/>
          <w:sz w:val="20"/>
          <w:szCs w:val="20"/>
          <w:lang w:val="es-ES" w:eastAsia="es-ES"/>
        </w:rPr>
        <w:t xml:space="preserve">mitió sus observaciones finales escritas. </w:t>
      </w:r>
      <w:r w:rsidRPr="0016504B">
        <w:rPr>
          <w:rFonts w:ascii="Verdana" w:eastAsia="Calibri" w:hAnsi="Verdana"/>
          <w:bCs/>
          <w:w w:val="95"/>
          <w:sz w:val="20"/>
          <w:szCs w:val="20"/>
          <w:lang w:val="es-CR"/>
        </w:rPr>
        <w:t xml:space="preserve">El 18 de junio de 2013 el Estado informó </w:t>
      </w:r>
      <w:r w:rsidRPr="00034AC5">
        <w:rPr>
          <w:rFonts w:ascii="Verdana" w:hAnsi="Verdana"/>
          <w:w w:val="95"/>
          <w:sz w:val="20"/>
          <w:szCs w:val="20"/>
          <w:lang w:val="es-ES"/>
        </w:rPr>
        <w:t>que habí</w:t>
      </w:r>
      <w:r w:rsidRPr="00034AC5">
        <w:rPr>
          <w:rFonts w:ascii="Verdana" w:hAnsi="Verdana" w:cs="Arial"/>
          <w:w w:val="95"/>
          <w:sz w:val="20"/>
          <w:szCs w:val="20"/>
          <w:lang w:val="es-ES"/>
        </w:rPr>
        <w:t>a modificado su escr</w:t>
      </w:r>
      <w:r w:rsidRPr="00034AC5">
        <w:rPr>
          <w:rFonts w:ascii="Verdana" w:hAnsi="Verdana"/>
          <w:w w:val="95"/>
          <w:sz w:val="20"/>
          <w:szCs w:val="20"/>
          <w:lang w:val="es-ES"/>
        </w:rPr>
        <w:t>it</w:t>
      </w:r>
      <w:r w:rsidRPr="0016504B">
        <w:rPr>
          <w:rFonts w:ascii="Verdana" w:hAnsi="Verdana"/>
          <w:w w:val="95"/>
          <w:sz w:val="20"/>
          <w:szCs w:val="20"/>
          <w:lang w:val="es-ES"/>
        </w:rPr>
        <w:t>o de alegatos finales pr</w:t>
      </w:r>
      <w:r w:rsidRPr="00034AC5">
        <w:rPr>
          <w:rFonts w:ascii="Verdana" w:hAnsi="Verdana"/>
          <w:iCs/>
          <w:w w:val="95"/>
          <w:sz w:val="20"/>
          <w:szCs w:val="20"/>
          <w:lang w:val="es-ES"/>
        </w:rPr>
        <w:t>i</w:t>
      </w:r>
      <w:r w:rsidRPr="0016504B">
        <w:rPr>
          <w:rFonts w:ascii="Verdana" w:hAnsi="Verdana"/>
          <w:w w:val="95"/>
          <w:sz w:val="20"/>
          <w:szCs w:val="20"/>
          <w:lang w:val="es-ES"/>
        </w:rPr>
        <w:t>meramente subido al sitio info</w:t>
      </w:r>
      <w:r w:rsidRPr="002B1610">
        <w:rPr>
          <w:rFonts w:ascii="Verdana" w:hAnsi="Verdana"/>
          <w:w w:val="95"/>
          <w:sz w:val="20"/>
          <w:szCs w:val="20"/>
          <w:lang w:val="es-ES"/>
        </w:rPr>
        <w:t xml:space="preserve">rmático </w:t>
      </w:r>
      <w:r w:rsidRPr="002B1610">
        <w:rPr>
          <w:rFonts w:ascii="Verdana" w:hAnsi="Verdana"/>
          <w:i/>
          <w:w w:val="95"/>
          <w:sz w:val="20"/>
          <w:szCs w:val="20"/>
          <w:lang w:val="es-ES"/>
        </w:rPr>
        <w:t>dropbox</w:t>
      </w:r>
      <w:r w:rsidRPr="002B1610">
        <w:rPr>
          <w:rFonts w:ascii="Verdana" w:hAnsi="Verdana"/>
          <w:w w:val="95"/>
          <w:sz w:val="20"/>
          <w:szCs w:val="20"/>
          <w:lang w:val="es-ES"/>
        </w:rPr>
        <w:t>, “debido a un error material en la numeración y la cita de las notas a pie de página”, por lo que solicitó que se verificará en el sitio el nuevo documento. El 19 de junio de 2013</w:t>
      </w:r>
      <w:r w:rsidR="009E2AD7">
        <w:rPr>
          <w:rFonts w:ascii="Verdana" w:hAnsi="Verdana"/>
          <w:w w:val="95"/>
          <w:sz w:val="20"/>
          <w:szCs w:val="20"/>
          <w:lang w:val="es-ES"/>
        </w:rPr>
        <w:t>, mediante</w:t>
      </w:r>
      <w:r w:rsidRPr="002B1610">
        <w:rPr>
          <w:rFonts w:ascii="Verdana" w:hAnsi="Verdana"/>
          <w:w w:val="95"/>
          <w:sz w:val="20"/>
          <w:szCs w:val="20"/>
          <w:lang w:val="es-ES"/>
        </w:rPr>
        <w:t xml:space="preserve"> </w:t>
      </w:r>
      <w:r w:rsidR="00B47773">
        <w:rPr>
          <w:rFonts w:ascii="Verdana" w:hAnsi="Verdana"/>
          <w:w w:val="95"/>
          <w:sz w:val="20"/>
          <w:szCs w:val="20"/>
          <w:lang w:val="es-ES"/>
        </w:rPr>
        <w:t xml:space="preserve">comunicación de </w:t>
      </w:r>
      <w:r w:rsidRPr="002B1610">
        <w:rPr>
          <w:rFonts w:ascii="Verdana" w:hAnsi="Verdana"/>
          <w:w w:val="95"/>
          <w:sz w:val="20"/>
          <w:szCs w:val="20"/>
          <w:lang w:val="es-ES"/>
        </w:rPr>
        <w:t>la Secretaría de la Corte (en adelante “la Secretaría</w:t>
      </w:r>
      <w:r w:rsidR="00122C63">
        <w:rPr>
          <w:rFonts w:ascii="Verdana" w:hAnsi="Verdana"/>
          <w:w w:val="95"/>
          <w:sz w:val="20"/>
          <w:szCs w:val="20"/>
          <w:lang w:val="es-ES"/>
        </w:rPr>
        <w:t>”</w:t>
      </w:r>
      <w:r w:rsidRPr="002B1610">
        <w:rPr>
          <w:rFonts w:ascii="Verdana" w:hAnsi="Verdana"/>
          <w:w w:val="95"/>
          <w:sz w:val="20"/>
          <w:szCs w:val="20"/>
          <w:lang w:val="es-ES"/>
        </w:rPr>
        <w:t xml:space="preserve">) </w:t>
      </w:r>
      <w:r w:rsidR="00B47773">
        <w:rPr>
          <w:rFonts w:ascii="Verdana" w:hAnsi="Verdana"/>
          <w:w w:val="95"/>
          <w:sz w:val="20"/>
          <w:szCs w:val="20"/>
          <w:lang w:val="es-ES"/>
        </w:rPr>
        <w:t xml:space="preserve">se </w:t>
      </w:r>
      <w:r w:rsidRPr="002B1610">
        <w:rPr>
          <w:rFonts w:ascii="Verdana" w:hAnsi="Verdana"/>
          <w:w w:val="95"/>
          <w:sz w:val="20"/>
          <w:szCs w:val="20"/>
          <w:lang w:val="es-ES"/>
        </w:rPr>
        <w:t xml:space="preserve">informó al Estado que sería puesto en conocimiento del </w:t>
      </w:r>
      <w:r>
        <w:rPr>
          <w:rFonts w:ascii="Verdana" w:hAnsi="Verdana"/>
          <w:w w:val="95"/>
          <w:sz w:val="20"/>
          <w:szCs w:val="20"/>
          <w:lang w:val="es-ES"/>
        </w:rPr>
        <w:t>Presidente</w:t>
      </w:r>
      <w:r w:rsidRPr="002B1610">
        <w:rPr>
          <w:rFonts w:ascii="Verdana" w:hAnsi="Verdana"/>
          <w:w w:val="95"/>
          <w:sz w:val="20"/>
          <w:szCs w:val="20"/>
          <w:lang w:val="es-ES"/>
        </w:rPr>
        <w:t xml:space="preserve"> para los efectos pertinentes y advirtió al Estado “que una vez presentado un documento ante el Tribunal no puede continuar siendo ob</w:t>
      </w:r>
      <w:r w:rsidR="00045490">
        <w:rPr>
          <w:rFonts w:ascii="Verdana" w:hAnsi="Verdana"/>
          <w:w w:val="95"/>
          <w:sz w:val="20"/>
          <w:szCs w:val="20"/>
          <w:lang w:val="es-ES"/>
        </w:rPr>
        <w:t>jeto de modificaciones”</w:t>
      </w:r>
      <w:r w:rsidRPr="002B1610">
        <w:rPr>
          <w:rFonts w:ascii="Verdana" w:hAnsi="Verdana"/>
          <w:w w:val="95"/>
          <w:sz w:val="20"/>
          <w:szCs w:val="20"/>
          <w:lang w:val="es-ES"/>
        </w:rPr>
        <w:t>. El 20 de junio de 2013 el Estado informó que ambas versiones de los alegatos finales escritos se encontraban disponibles en el enlace informático proporcionado para que la Corte comparar</w:t>
      </w:r>
      <w:r w:rsidR="00830251">
        <w:rPr>
          <w:rFonts w:ascii="Verdana" w:hAnsi="Verdana"/>
          <w:w w:val="95"/>
          <w:sz w:val="20"/>
          <w:szCs w:val="20"/>
          <w:lang w:val="es-ES"/>
        </w:rPr>
        <w:t>a</w:t>
      </w:r>
      <w:r w:rsidRPr="002B1610">
        <w:rPr>
          <w:rFonts w:ascii="Verdana" w:hAnsi="Verdana"/>
          <w:w w:val="95"/>
          <w:sz w:val="20"/>
          <w:szCs w:val="20"/>
          <w:lang w:val="es-ES"/>
        </w:rPr>
        <w:t xml:space="preserve"> ambos escritos, y reiteró que se incurrió en un error material. </w:t>
      </w:r>
      <w:r w:rsidRPr="002B1610">
        <w:rPr>
          <w:rFonts w:ascii="Verdana" w:hAnsi="Verdana" w:cs="Verdana"/>
          <w:w w:val="95"/>
          <w:sz w:val="20"/>
          <w:szCs w:val="20"/>
          <w:lang w:val="es-ES" w:eastAsia="es-ES"/>
        </w:rPr>
        <w:t xml:space="preserve">Los escritos de alegatos y observaciones fueron trasmitidos a las partes y a la Comisión Interamericana el 2 de julio de 2013, y el </w:t>
      </w:r>
      <w:r>
        <w:rPr>
          <w:rFonts w:ascii="Verdana" w:hAnsi="Verdana" w:cs="Verdana"/>
          <w:w w:val="95"/>
          <w:sz w:val="20"/>
          <w:szCs w:val="20"/>
          <w:lang w:val="es-ES" w:eastAsia="es-ES"/>
        </w:rPr>
        <w:t>Presidente</w:t>
      </w:r>
      <w:r w:rsidRPr="002B1610">
        <w:rPr>
          <w:rFonts w:ascii="Verdana" w:hAnsi="Verdana" w:cs="Verdana"/>
          <w:w w:val="95"/>
          <w:sz w:val="20"/>
          <w:szCs w:val="20"/>
          <w:lang w:val="es-ES" w:eastAsia="es-ES"/>
        </w:rPr>
        <w:t xml:space="preserve"> les otorgó un plazo para que, a más tardar el 15 de julio de 2013, presentaran las observaciones que estimaran pertinentes a los anexos a dichos escritos.</w:t>
      </w:r>
      <w:r w:rsidRPr="002B1610">
        <w:rPr>
          <w:rFonts w:ascii="Verdana" w:eastAsia="Calibri" w:hAnsi="Verdana"/>
          <w:b/>
          <w:bCs/>
          <w:w w:val="95"/>
          <w:sz w:val="20"/>
          <w:szCs w:val="20"/>
          <w:lang w:val="es-CR"/>
        </w:rPr>
        <w:t xml:space="preserve"> </w:t>
      </w:r>
      <w:r w:rsidRPr="002B1610">
        <w:rPr>
          <w:rFonts w:ascii="Verdana" w:hAnsi="Verdana"/>
          <w:w w:val="95"/>
          <w:sz w:val="20"/>
          <w:szCs w:val="20"/>
          <w:lang w:val="es-ES"/>
        </w:rPr>
        <w:t xml:space="preserve"> En el presente caso, el Tribunal admite el segundo escrito de alegatos finales subido en el sitio informático </w:t>
      </w:r>
      <w:r w:rsidRPr="002B1610">
        <w:rPr>
          <w:rFonts w:ascii="Verdana" w:hAnsi="Verdana"/>
          <w:i/>
          <w:w w:val="95"/>
          <w:sz w:val="20"/>
          <w:szCs w:val="20"/>
          <w:lang w:val="es-ES"/>
        </w:rPr>
        <w:t>dropbox,</w:t>
      </w:r>
      <w:r w:rsidRPr="002B1610">
        <w:rPr>
          <w:rFonts w:ascii="Verdana" w:hAnsi="Verdana"/>
          <w:w w:val="95"/>
          <w:sz w:val="20"/>
          <w:szCs w:val="20"/>
          <w:lang w:val="es-ES"/>
        </w:rPr>
        <w:t xml:space="preserve"> debido a que los cambios realizados constituyen modificaciones de índole material</w:t>
      </w:r>
      <w:r>
        <w:rPr>
          <w:rFonts w:ascii="Verdana" w:hAnsi="Verdana"/>
          <w:w w:val="95"/>
          <w:sz w:val="20"/>
          <w:szCs w:val="20"/>
          <w:lang w:val="es-ES"/>
        </w:rPr>
        <w:t xml:space="preserve"> referentes a la numeración de </w:t>
      </w:r>
      <w:r w:rsidRPr="002B1610">
        <w:rPr>
          <w:rFonts w:ascii="Verdana" w:hAnsi="Verdana"/>
          <w:w w:val="95"/>
          <w:sz w:val="20"/>
          <w:szCs w:val="20"/>
          <w:lang w:val="es-ES"/>
        </w:rPr>
        <w:t>las notas de pie de página, el cual considerará para los efectos de la presente Sentencia.</w:t>
      </w:r>
    </w:p>
    <w:p w:rsidR="00DF15C3" w:rsidRPr="002B1610" w:rsidRDefault="00DF15C3" w:rsidP="003F26FD">
      <w:pPr>
        <w:pStyle w:val="Prrafodelista"/>
        <w:spacing w:after="0" w:line="216" w:lineRule="auto"/>
        <w:ind w:right="-174"/>
        <w:rPr>
          <w:rFonts w:ascii="Verdana" w:hAnsi="Verdana"/>
          <w:i/>
          <w:w w:val="95"/>
          <w:sz w:val="20"/>
          <w:szCs w:val="20"/>
          <w:lang w:val="es-ES"/>
        </w:rPr>
      </w:pPr>
    </w:p>
    <w:p w:rsidR="00DF15C3" w:rsidRPr="002B1610" w:rsidRDefault="00DF15C3" w:rsidP="003F26FD">
      <w:pPr>
        <w:pStyle w:val="Prrafodelista"/>
        <w:numPr>
          <w:ilvl w:val="0"/>
          <w:numId w:val="17"/>
        </w:numPr>
        <w:spacing w:after="0" w:line="216" w:lineRule="auto"/>
        <w:ind w:left="-142" w:right="-174" w:firstLine="0"/>
        <w:contextualSpacing w:val="0"/>
        <w:jc w:val="both"/>
        <w:rPr>
          <w:rFonts w:ascii="Verdana" w:hAnsi="Verdana"/>
          <w:i/>
          <w:w w:val="95"/>
          <w:sz w:val="16"/>
          <w:szCs w:val="16"/>
          <w:lang w:val="es-ES"/>
        </w:rPr>
      </w:pPr>
      <w:r w:rsidRPr="002B1610">
        <w:rPr>
          <w:rFonts w:ascii="Verdana" w:hAnsi="Verdana"/>
          <w:i/>
          <w:w w:val="95"/>
          <w:sz w:val="20"/>
          <w:szCs w:val="20"/>
          <w:lang w:val="es-ES"/>
        </w:rPr>
        <w:t>Observaciones a los anexos adjuntos a los alegatos finales.-</w:t>
      </w:r>
      <w:r w:rsidRPr="002B1610">
        <w:rPr>
          <w:rFonts w:ascii="Verdana" w:hAnsi="Verdana"/>
          <w:w w:val="95"/>
          <w:sz w:val="20"/>
          <w:szCs w:val="20"/>
          <w:lang w:val="es-ES"/>
        </w:rPr>
        <w:t xml:space="preserve"> </w:t>
      </w:r>
      <w:r w:rsidRPr="002B1610">
        <w:rPr>
          <w:rFonts w:ascii="Verdana" w:eastAsia="Calibri" w:hAnsi="Verdana"/>
          <w:bCs/>
          <w:w w:val="95"/>
          <w:sz w:val="20"/>
          <w:szCs w:val="20"/>
          <w:lang w:val="es-CR"/>
        </w:rPr>
        <w:t xml:space="preserve">El 15 de julio de 2013 tanto la Comisión como </w:t>
      </w:r>
      <w:r>
        <w:rPr>
          <w:rFonts w:ascii="Verdana" w:eastAsia="Calibri" w:hAnsi="Verdana"/>
          <w:bCs/>
          <w:w w:val="95"/>
          <w:sz w:val="20"/>
          <w:szCs w:val="20"/>
          <w:lang w:val="es-CR"/>
        </w:rPr>
        <w:t>la representante</w:t>
      </w:r>
      <w:r w:rsidRPr="002B1610">
        <w:rPr>
          <w:rFonts w:ascii="Verdana" w:eastAsia="Calibri" w:hAnsi="Verdana"/>
          <w:bCs/>
          <w:w w:val="95"/>
          <w:sz w:val="20"/>
          <w:szCs w:val="20"/>
          <w:lang w:val="es-CR"/>
        </w:rPr>
        <w:t xml:space="preserve"> presentaron sus observaciones a los anexos presentados por el Estado junto con los alegatos finales escritos, no obstante hicieron otras observaciones. En una comunicación de la Secretaría de 17 de julio de 2013, siguiendo </w:t>
      </w:r>
      <w:r w:rsidRPr="002B1610">
        <w:rPr>
          <w:rFonts w:ascii="Verdana" w:eastAsia="Calibri" w:hAnsi="Verdana"/>
          <w:bCs/>
          <w:w w:val="95"/>
          <w:sz w:val="20"/>
          <w:szCs w:val="20"/>
          <w:lang w:val="es-CR"/>
        </w:rPr>
        <w:lastRenderedPageBreak/>
        <w:t xml:space="preserve">instrucciones del </w:t>
      </w:r>
      <w:r>
        <w:rPr>
          <w:rFonts w:ascii="Verdana" w:eastAsia="Calibri" w:hAnsi="Verdana"/>
          <w:bCs/>
          <w:w w:val="95"/>
          <w:sz w:val="20"/>
          <w:szCs w:val="20"/>
          <w:lang w:val="es-CR"/>
        </w:rPr>
        <w:t>Presidente</w:t>
      </w:r>
      <w:r w:rsidRPr="002B1610">
        <w:rPr>
          <w:rFonts w:ascii="Verdana" w:eastAsia="Calibri" w:hAnsi="Verdana"/>
          <w:bCs/>
          <w:w w:val="95"/>
          <w:sz w:val="20"/>
          <w:szCs w:val="20"/>
          <w:lang w:val="es-CR"/>
        </w:rPr>
        <w:t xml:space="preserve">, se indicó a </w:t>
      </w:r>
      <w:r>
        <w:rPr>
          <w:rFonts w:ascii="Verdana" w:eastAsia="Calibri" w:hAnsi="Verdana"/>
          <w:bCs/>
          <w:w w:val="95"/>
          <w:sz w:val="20"/>
          <w:szCs w:val="20"/>
          <w:lang w:val="es-CR"/>
        </w:rPr>
        <w:t>la representante</w:t>
      </w:r>
      <w:r w:rsidRPr="002B1610">
        <w:rPr>
          <w:rFonts w:ascii="Verdana" w:eastAsia="Calibri" w:hAnsi="Verdana"/>
          <w:bCs/>
          <w:w w:val="95"/>
          <w:sz w:val="20"/>
          <w:szCs w:val="20"/>
          <w:lang w:val="es-CR"/>
        </w:rPr>
        <w:t xml:space="preserve"> y a la Comisión que en r</w:t>
      </w:r>
      <w:r w:rsidR="00830251">
        <w:rPr>
          <w:rFonts w:ascii="Verdana" w:eastAsia="Calibri" w:hAnsi="Verdana"/>
          <w:bCs/>
          <w:w w:val="95"/>
          <w:sz w:val="20"/>
          <w:szCs w:val="20"/>
          <w:lang w:val="es-CR"/>
        </w:rPr>
        <w:t>elación con aspectos que excedieran</w:t>
      </w:r>
      <w:r w:rsidRPr="002B1610">
        <w:rPr>
          <w:rFonts w:ascii="Verdana" w:eastAsia="Calibri" w:hAnsi="Verdana"/>
          <w:bCs/>
          <w:w w:val="95"/>
          <w:sz w:val="20"/>
          <w:szCs w:val="20"/>
          <w:lang w:val="es-CR"/>
        </w:rPr>
        <w:t xml:space="preserve"> las observaciones a los documentos anexos a los alegatos estatales, la pertinencia de considerar dichas observaciones sería determinada por la Corte en la debida oportunidad procesal. Además, el 15 de julio de 2013 el Estado presentó mediante un enlace de </w:t>
      </w:r>
      <w:r w:rsidRPr="002B1610">
        <w:rPr>
          <w:rFonts w:ascii="Verdana" w:eastAsia="Calibri" w:hAnsi="Verdana"/>
          <w:bCs/>
          <w:i/>
          <w:w w:val="95"/>
          <w:sz w:val="20"/>
          <w:szCs w:val="20"/>
          <w:lang w:val="es-CR"/>
        </w:rPr>
        <w:t>dropbox</w:t>
      </w:r>
      <w:r w:rsidRPr="002B1610">
        <w:rPr>
          <w:rFonts w:ascii="Verdana" w:eastAsia="Calibri" w:hAnsi="Verdana"/>
          <w:bCs/>
          <w:w w:val="95"/>
          <w:sz w:val="20"/>
          <w:szCs w:val="20"/>
          <w:lang w:val="es-CR"/>
        </w:rPr>
        <w:t xml:space="preserve"> un escrito en el cual</w:t>
      </w:r>
      <w:r w:rsidRPr="002B1610">
        <w:rPr>
          <w:rFonts w:ascii="Verdana" w:hAnsi="Verdana"/>
          <w:w w:val="95"/>
          <w:sz w:val="20"/>
          <w:szCs w:val="20"/>
          <w:lang w:val="es-ES"/>
        </w:rPr>
        <w:t xml:space="preserve"> realizó observaciones generales sobre los alegatos finales escritos de </w:t>
      </w:r>
      <w:r>
        <w:rPr>
          <w:rFonts w:ascii="Verdana" w:hAnsi="Verdana"/>
          <w:w w:val="95"/>
          <w:sz w:val="20"/>
          <w:szCs w:val="20"/>
          <w:lang w:val="es-ES"/>
        </w:rPr>
        <w:t>la representante</w:t>
      </w:r>
      <w:r w:rsidRPr="002B1610">
        <w:rPr>
          <w:rFonts w:ascii="Verdana" w:hAnsi="Verdana"/>
          <w:w w:val="95"/>
          <w:sz w:val="20"/>
          <w:szCs w:val="20"/>
          <w:lang w:val="es-ES"/>
        </w:rPr>
        <w:t xml:space="preserve"> y sobre las observaciones finales escritas de la Comis</w:t>
      </w:r>
      <w:r w:rsidR="00830251">
        <w:rPr>
          <w:rFonts w:ascii="Verdana" w:hAnsi="Verdana"/>
          <w:w w:val="95"/>
          <w:sz w:val="20"/>
          <w:szCs w:val="20"/>
          <w:lang w:val="es-ES"/>
        </w:rPr>
        <w:t>ión</w:t>
      </w:r>
      <w:r w:rsidRPr="002B1610">
        <w:rPr>
          <w:rFonts w:ascii="Verdana" w:hAnsi="Verdana"/>
          <w:w w:val="95"/>
          <w:sz w:val="20"/>
          <w:szCs w:val="20"/>
          <w:lang w:val="es-ES"/>
        </w:rPr>
        <w:t>.</w:t>
      </w:r>
      <w:r w:rsidRPr="002B1610">
        <w:rPr>
          <w:rFonts w:ascii="Verdana" w:eastAsia="Calibri" w:hAnsi="Verdana"/>
          <w:b/>
          <w:bCs/>
          <w:w w:val="95"/>
          <w:sz w:val="20"/>
          <w:szCs w:val="20"/>
          <w:lang w:val="es-CR"/>
        </w:rPr>
        <w:t xml:space="preserve"> </w:t>
      </w:r>
      <w:r w:rsidRPr="002B1610">
        <w:rPr>
          <w:rFonts w:ascii="Verdana" w:hAnsi="Verdana"/>
          <w:w w:val="95"/>
          <w:sz w:val="20"/>
          <w:szCs w:val="20"/>
          <w:lang w:val="es-ES"/>
        </w:rPr>
        <w:t>En la referida comunicación de la Secretaría de 17 de julio de 2013 se indicó al Estado que el plazo respectivo “no e[ra] una nueva oportunidad para presentar alegatos o argumentos”. Se hizo notar que las observaciones presentadas por el Estado no fueron solicitadas por la Corte o su Presidencia</w:t>
      </w:r>
      <w:r w:rsidR="000208F5">
        <w:rPr>
          <w:rFonts w:ascii="Verdana" w:hAnsi="Verdana"/>
          <w:w w:val="95"/>
          <w:sz w:val="20"/>
          <w:szCs w:val="20"/>
          <w:lang w:val="es-ES"/>
        </w:rPr>
        <w:t>,</w:t>
      </w:r>
      <w:r w:rsidRPr="002B1610">
        <w:rPr>
          <w:rFonts w:ascii="Verdana" w:hAnsi="Verdana"/>
          <w:w w:val="95"/>
          <w:sz w:val="20"/>
          <w:szCs w:val="20"/>
          <w:lang w:val="es-ES"/>
        </w:rPr>
        <w:t xml:space="preserve"> ni están contempladas en el Reglamento del Tribunal, y se indicó al Estado que “su admisibilidad ser[ía] determinada por la Corte, en la debida oportunidad procesal”.</w:t>
      </w:r>
      <w:r w:rsidRPr="002B1610">
        <w:rPr>
          <w:rFonts w:ascii="Verdana" w:eastAsia="Calibri" w:hAnsi="Verdana"/>
          <w:b/>
          <w:bCs/>
          <w:w w:val="95"/>
          <w:sz w:val="20"/>
          <w:szCs w:val="20"/>
          <w:lang w:val="es-CR"/>
        </w:rPr>
        <w:t xml:space="preserve"> </w:t>
      </w:r>
      <w:r w:rsidR="00432EAF" w:rsidRPr="00315B30">
        <w:rPr>
          <w:rFonts w:ascii="Verdana" w:eastAsia="Calibri" w:hAnsi="Verdana"/>
          <w:bCs/>
          <w:w w:val="95"/>
          <w:sz w:val="20"/>
          <w:szCs w:val="20"/>
          <w:lang w:val="es-CR"/>
        </w:rPr>
        <w:t>Al respecto, este Tribunal no admite aquellas otras consideraciones de las partes y la Comisión</w:t>
      </w:r>
      <w:r w:rsidRPr="00315B30">
        <w:rPr>
          <w:rFonts w:ascii="Verdana" w:hAnsi="Verdana"/>
          <w:w w:val="95"/>
          <w:sz w:val="20"/>
          <w:szCs w:val="20"/>
          <w:lang w:val="es-CR"/>
        </w:rPr>
        <w:t xml:space="preserve"> que fueron presentadas </w:t>
      </w:r>
      <w:r w:rsidR="00432EAF" w:rsidRPr="00315B30">
        <w:rPr>
          <w:rFonts w:ascii="Verdana" w:hAnsi="Verdana"/>
          <w:w w:val="95"/>
          <w:sz w:val="20"/>
          <w:szCs w:val="20"/>
          <w:lang w:val="es-CR"/>
        </w:rPr>
        <w:t>junto con las observacion</w:t>
      </w:r>
      <w:r w:rsidR="00B714DA" w:rsidRPr="00315B30">
        <w:rPr>
          <w:rFonts w:ascii="Verdana" w:hAnsi="Verdana"/>
          <w:w w:val="95"/>
          <w:sz w:val="20"/>
          <w:szCs w:val="20"/>
          <w:lang w:val="es-CR"/>
        </w:rPr>
        <w:t>es a los documentos aportados junto con</w:t>
      </w:r>
      <w:r w:rsidR="00432EAF" w:rsidRPr="00315B30">
        <w:rPr>
          <w:rFonts w:ascii="Verdana" w:hAnsi="Verdana"/>
          <w:w w:val="95"/>
          <w:sz w:val="20"/>
          <w:szCs w:val="20"/>
          <w:lang w:val="es-CR"/>
        </w:rPr>
        <w:t xml:space="preserve"> los alegatos finales escritos</w:t>
      </w:r>
      <w:r w:rsidR="00606A7F" w:rsidRPr="00315B30">
        <w:rPr>
          <w:rFonts w:ascii="Verdana" w:hAnsi="Verdana"/>
          <w:w w:val="95"/>
          <w:sz w:val="20"/>
          <w:szCs w:val="20"/>
          <w:lang w:val="es-CR"/>
        </w:rPr>
        <w:t>,</w:t>
      </w:r>
      <w:r w:rsidR="00432EAF" w:rsidRPr="00315B30">
        <w:rPr>
          <w:rFonts w:ascii="Verdana" w:hAnsi="Verdana"/>
          <w:w w:val="95"/>
          <w:sz w:val="20"/>
          <w:szCs w:val="20"/>
          <w:lang w:val="es-CR"/>
        </w:rPr>
        <w:t xml:space="preserve"> porque versan sobre otros asuntos.</w:t>
      </w:r>
      <w:r w:rsidRPr="002B1610">
        <w:rPr>
          <w:rFonts w:ascii="Verdana" w:hAnsi="Verdana"/>
          <w:b/>
          <w:w w:val="95"/>
          <w:sz w:val="20"/>
          <w:szCs w:val="20"/>
          <w:lang w:val="es-CR"/>
        </w:rPr>
        <w:t xml:space="preserve"> </w:t>
      </w:r>
      <w:r w:rsidRPr="002B1610">
        <w:rPr>
          <w:rFonts w:ascii="Verdana" w:hAnsi="Verdana"/>
          <w:b/>
          <w:i/>
          <w:w w:val="95"/>
          <w:sz w:val="20"/>
          <w:szCs w:val="20"/>
          <w:lang w:val="es-CR"/>
        </w:rPr>
        <w:t xml:space="preserve"> </w:t>
      </w:r>
    </w:p>
    <w:p w:rsidR="00DF15C3" w:rsidRPr="002B1610" w:rsidRDefault="00DF15C3" w:rsidP="003F26FD">
      <w:pPr>
        <w:pStyle w:val="Prrafodelista"/>
        <w:autoSpaceDE w:val="0"/>
        <w:autoSpaceDN w:val="0"/>
        <w:adjustRightInd w:val="0"/>
        <w:spacing w:after="0" w:line="216" w:lineRule="auto"/>
        <w:ind w:left="-142" w:right="-174"/>
        <w:jc w:val="both"/>
        <w:rPr>
          <w:rFonts w:ascii="Verdana" w:eastAsia="Calibri" w:hAnsi="Verdana"/>
          <w:bCs/>
          <w:w w:val="95"/>
          <w:sz w:val="20"/>
          <w:szCs w:val="20"/>
          <w:lang w:val="es-CR"/>
        </w:rPr>
      </w:pPr>
    </w:p>
    <w:p w:rsidR="00DF15C3" w:rsidRPr="002B1610" w:rsidRDefault="00DF15C3" w:rsidP="003F26FD">
      <w:pPr>
        <w:pStyle w:val="Prrafodelista"/>
        <w:numPr>
          <w:ilvl w:val="0"/>
          <w:numId w:val="17"/>
        </w:numPr>
        <w:autoSpaceDE w:val="0"/>
        <w:autoSpaceDN w:val="0"/>
        <w:adjustRightInd w:val="0"/>
        <w:spacing w:after="0" w:line="216" w:lineRule="auto"/>
        <w:ind w:left="-142" w:right="-174" w:firstLine="0"/>
        <w:jc w:val="both"/>
        <w:rPr>
          <w:rFonts w:ascii="Verdana" w:eastAsia="Calibri" w:hAnsi="Verdana"/>
          <w:bCs/>
          <w:w w:val="95"/>
          <w:sz w:val="20"/>
          <w:szCs w:val="20"/>
          <w:lang w:val="es-CR"/>
        </w:rPr>
      </w:pPr>
      <w:r w:rsidRPr="002B1610">
        <w:rPr>
          <w:rFonts w:ascii="Verdana" w:hAnsi="Verdana"/>
          <w:i/>
          <w:w w:val="95"/>
          <w:sz w:val="20"/>
          <w:szCs w:val="20"/>
          <w:lang w:val="es-CR"/>
        </w:rPr>
        <w:t xml:space="preserve">Objeciones a </w:t>
      </w:r>
      <w:r w:rsidRPr="002B1610">
        <w:rPr>
          <w:rFonts w:ascii="Verdana" w:hAnsi="Verdana"/>
          <w:i/>
          <w:w w:val="95"/>
          <w:sz w:val="20"/>
          <w:szCs w:val="20"/>
          <w:lang w:val="es-ES"/>
        </w:rPr>
        <w:t>los amici curiae</w:t>
      </w:r>
      <w:r w:rsidRPr="002B1610">
        <w:rPr>
          <w:rFonts w:ascii="Verdana" w:eastAsia="Calibri" w:hAnsi="Verdana"/>
          <w:bCs/>
          <w:w w:val="95"/>
          <w:sz w:val="20"/>
          <w:szCs w:val="20"/>
          <w:lang w:val="es-CR"/>
        </w:rPr>
        <w:t xml:space="preserve">.- Los días 15 de junio y 23 de julio de 2013 el Estado presentó diversas alegaciones para desvirtuar los </w:t>
      </w:r>
      <w:r w:rsidRPr="002B1610">
        <w:rPr>
          <w:rFonts w:ascii="Verdana" w:eastAsia="Calibri" w:hAnsi="Verdana"/>
          <w:bCs/>
          <w:i/>
          <w:w w:val="95"/>
          <w:sz w:val="20"/>
          <w:szCs w:val="20"/>
          <w:lang w:val="es-CR"/>
        </w:rPr>
        <w:t>amici curiae</w:t>
      </w:r>
      <w:r w:rsidRPr="002B1610">
        <w:rPr>
          <w:rFonts w:ascii="Verdana" w:eastAsia="Calibri" w:hAnsi="Verdana"/>
          <w:bCs/>
          <w:w w:val="95"/>
          <w:sz w:val="20"/>
          <w:szCs w:val="20"/>
          <w:lang w:val="es-CR"/>
        </w:rPr>
        <w:t xml:space="preserve"> presentados, por considerar que “no cumplen con el objeto de los mismos escritos que la Cort</w:t>
      </w:r>
      <w:r w:rsidR="00B714DA">
        <w:rPr>
          <w:rFonts w:ascii="Verdana" w:eastAsia="Calibri" w:hAnsi="Verdana"/>
          <w:bCs/>
          <w:w w:val="95"/>
          <w:sz w:val="20"/>
          <w:szCs w:val="20"/>
          <w:lang w:val="es-CR"/>
        </w:rPr>
        <w:t>e ha aceptado con anterioridad”. Basó sus alegatos en que</w:t>
      </w:r>
      <w:r w:rsidRPr="002B1610">
        <w:rPr>
          <w:rFonts w:ascii="Verdana" w:eastAsia="Calibri" w:hAnsi="Verdana"/>
          <w:bCs/>
          <w:w w:val="95"/>
          <w:sz w:val="20"/>
          <w:szCs w:val="20"/>
          <w:lang w:val="es-CR"/>
        </w:rPr>
        <w:t xml:space="preserve"> “los solicitantes no tienen conocimiento del caso y debido a su afán de encuadrar los hechos del presente caso como violencia contra la mujer, no aportan ningún elemento nuevo que sea de utilidad a la […] Corte para mejor fallar” y “les falta legitimidad </w:t>
      </w:r>
      <w:r w:rsidRPr="002B1610">
        <w:rPr>
          <w:rFonts w:ascii="Verdana" w:eastAsia="Calibri" w:hAnsi="Verdana"/>
          <w:bCs/>
          <w:i/>
          <w:w w:val="95"/>
          <w:sz w:val="20"/>
          <w:szCs w:val="20"/>
          <w:lang w:val="es-CR"/>
        </w:rPr>
        <w:t>Locus Standi</w:t>
      </w:r>
      <w:r w:rsidRPr="002B1610">
        <w:rPr>
          <w:rFonts w:ascii="Verdana" w:eastAsia="Calibri" w:hAnsi="Verdana"/>
          <w:bCs/>
          <w:w w:val="95"/>
          <w:sz w:val="20"/>
          <w:szCs w:val="20"/>
          <w:lang w:val="es-CR"/>
        </w:rPr>
        <w:t xml:space="preserve"> para presentar escritos”.</w:t>
      </w:r>
      <w:r w:rsidRPr="002B1610">
        <w:rPr>
          <w:rFonts w:ascii="Verdana" w:eastAsia="Calibri" w:hAnsi="Verdana"/>
          <w:b/>
          <w:bCs/>
          <w:w w:val="95"/>
          <w:sz w:val="20"/>
          <w:szCs w:val="20"/>
          <w:lang w:val="es-CR"/>
        </w:rPr>
        <w:t xml:space="preserve"> </w:t>
      </w:r>
    </w:p>
    <w:p w:rsidR="00DF15C3" w:rsidRPr="002B1610" w:rsidRDefault="00DF15C3" w:rsidP="003F26FD">
      <w:pPr>
        <w:autoSpaceDE w:val="0"/>
        <w:autoSpaceDN w:val="0"/>
        <w:adjustRightInd w:val="0"/>
        <w:spacing w:after="0" w:line="216" w:lineRule="auto"/>
        <w:ind w:left="-142" w:right="-174"/>
        <w:jc w:val="both"/>
        <w:rPr>
          <w:rFonts w:ascii="Verdana" w:eastAsia="Calibri" w:hAnsi="Verdana"/>
          <w:bCs/>
          <w:w w:val="95"/>
          <w:sz w:val="20"/>
          <w:szCs w:val="20"/>
          <w:lang w:val="es-CR"/>
        </w:rPr>
      </w:pPr>
    </w:p>
    <w:p w:rsidR="00DF15C3" w:rsidRPr="00045490" w:rsidRDefault="00DF15C3" w:rsidP="003F26FD">
      <w:pPr>
        <w:pStyle w:val="ListParagraph1"/>
        <w:numPr>
          <w:ilvl w:val="0"/>
          <w:numId w:val="17"/>
        </w:numPr>
        <w:autoSpaceDE w:val="0"/>
        <w:autoSpaceDN w:val="0"/>
        <w:adjustRightInd w:val="0"/>
        <w:spacing w:line="216" w:lineRule="auto"/>
        <w:ind w:left="-142" w:right="-174" w:firstLine="0"/>
        <w:rPr>
          <w:rFonts w:ascii="Verdana" w:hAnsi="Verdana"/>
          <w:w w:val="95"/>
          <w:sz w:val="20"/>
          <w:szCs w:val="20"/>
          <w:lang w:val="es-CR" w:eastAsia="es-ES"/>
        </w:rPr>
      </w:pPr>
      <w:r w:rsidRPr="002B1610">
        <w:rPr>
          <w:rFonts w:ascii="Verdana" w:hAnsi="Verdana"/>
          <w:i/>
          <w:w w:val="95"/>
          <w:sz w:val="20"/>
          <w:szCs w:val="20"/>
          <w:lang w:val="es-CR" w:eastAsia="es-ES"/>
        </w:rPr>
        <w:t>Erogaciones en aplicación del Fondo de Asistencia.</w:t>
      </w:r>
      <w:r w:rsidRPr="002B1610">
        <w:rPr>
          <w:rFonts w:ascii="Verdana" w:hAnsi="Verdana"/>
          <w:w w:val="95"/>
          <w:sz w:val="20"/>
          <w:szCs w:val="20"/>
          <w:lang w:val="es-CR" w:eastAsia="es-ES"/>
        </w:rPr>
        <w:t xml:space="preserve">- El 28 de agosto de 2013 la Secretaría, siguiendo instrucciones del </w:t>
      </w:r>
      <w:r>
        <w:rPr>
          <w:rFonts w:ascii="Verdana" w:hAnsi="Verdana"/>
          <w:w w:val="95"/>
          <w:sz w:val="20"/>
          <w:szCs w:val="20"/>
          <w:lang w:val="es-CR" w:eastAsia="es-ES"/>
        </w:rPr>
        <w:t>Presidente</w:t>
      </w:r>
      <w:r w:rsidRPr="002B1610">
        <w:rPr>
          <w:rFonts w:ascii="Verdana" w:hAnsi="Verdana"/>
          <w:w w:val="95"/>
          <w:sz w:val="20"/>
          <w:szCs w:val="20"/>
          <w:lang w:val="es-CR" w:eastAsia="es-ES"/>
        </w:rPr>
        <w:t xml:space="preserve">, remitió información al Estado sobre las erogaciones efectuadas en aplicación del Fondo de Asistencia Legal de Víctimas en el presente caso y, según lo dispuesto en el artículo 5 del Reglamento de la Corte sobre el Funcionamiento del referido Fondo, le otorgó un plazo para presentar las observaciones que estimara pertinentes. </w:t>
      </w:r>
      <w:r w:rsidR="00622AF9" w:rsidRPr="00622AF9">
        <w:rPr>
          <w:rFonts w:ascii="Verdana" w:hAnsi="Verdana"/>
          <w:w w:val="95"/>
          <w:sz w:val="20"/>
          <w:szCs w:val="20"/>
          <w:lang w:val="es-CR"/>
        </w:rPr>
        <w:t>El 30 de septiembre de 2013</w:t>
      </w:r>
      <w:r w:rsidRPr="002B1610">
        <w:rPr>
          <w:rFonts w:ascii="Verdana" w:hAnsi="Verdana"/>
          <w:w w:val="95"/>
          <w:sz w:val="20"/>
          <w:szCs w:val="20"/>
          <w:lang w:val="es-CR"/>
        </w:rPr>
        <w:t xml:space="preserve"> el Estado remitió sus observaciones al Informe sobre las erogaciones realizadas en aplicación del Fondo de Asistencia.</w:t>
      </w:r>
    </w:p>
    <w:p w:rsidR="00DF15C3" w:rsidRPr="002B1610" w:rsidRDefault="00DF15C3" w:rsidP="003F26FD">
      <w:pPr>
        <w:spacing w:after="0" w:line="216" w:lineRule="auto"/>
        <w:ind w:left="-142" w:right="-174"/>
        <w:rPr>
          <w:rFonts w:ascii="Verdana" w:hAnsi="Verdana"/>
          <w:b/>
          <w:w w:val="95"/>
          <w:sz w:val="20"/>
          <w:szCs w:val="20"/>
          <w:lang w:val="es-CR"/>
        </w:rPr>
      </w:pPr>
    </w:p>
    <w:p w:rsidR="00DF15C3" w:rsidRPr="002B1610" w:rsidRDefault="00DF15C3" w:rsidP="003F26FD">
      <w:pPr>
        <w:pStyle w:val="Ttulo1"/>
        <w:spacing w:before="0" w:after="0" w:line="216" w:lineRule="auto"/>
        <w:ind w:right="-174"/>
        <w:rPr>
          <w:w w:val="95"/>
          <w:szCs w:val="20"/>
          <w:lang w:val="es-ES"/>
        </w:rPr>
      </w:pPr>
      <w:bookmarkStart w:id="15" w:name="_Toc384711938"/>
      <w:bookmarkStart w:id="16" w:name="_Toc384720260"/>
      <w:bookmarkStart w:id="17" w:name="_Toc384720409"/>
      <w:bookmarkStart w:id="18" w:name="_Toc392856486"/>
      <w:bookmarkStart w:id="19" w:name="_Toc393726203"/>
      <w:bookmarkStart w:id="20" w:name="_Toc393726423"/>
      <w:bookmarkStart w:id="21" w:name="_Toc393728145"/>
      <w:bookmarkStart w:id="22" w:name="_Toc394313631"/>
      <w:r w:rsidRPr="002B1610">
        <w:rPr>
          <w:w w:val="95"/>
          <w:szCs w:val="20"/>
          <w:lang w:val="es-ES"/>
        </w:rPr>
        <w:t>III</w:t>
      </w:r>
      <w:bookmarkEnd w:id="15"/>
      <w:bookmarkEnd w:id="16"/>
      <w:bookmarkEnd w:id="17"/>
      <w:bookmarkEnd w:id="18"/>
      <w:bookmarkEnd w:id="19"/>
      <w:bookmarkEnd w:id="20"/>
      <w:bookmarkEnd w:id="21"/>
      <w:bookmarkEnd w:id="22"/>
    </w:p>
    <w:p w:rsidR="00DF15C3" w:rsidRPr="002B1610" w:rsidRDefault="00DF15C3" w:rsidP="003F26FD">
      <w:pPr>
        <w:pStyle w:val="Ttulo1"/>
        <w:spacing w:before="0" w:after="0" w:line="216" w:lineRule="auto"/>
        <w:ind w:right="-174"/>
        <w:rPr>
          <w:w w:val="95"/>
          <w:szCs w:val="20"/>
          <w:lang w:val="es-ES"/>
        </w:rPr>
      </w:pPr>
      <w:bookmarkStart w:id="23" w:name="_Toc394313632"/>
      <w:r w:rsidRPr="002B1610">
        <w:rPr>
          <w:w w:val="95"/>
          <w:szCs w:val="20"/>
          <w:lang w:val="es-ES"/>
        </w:rPr>
        <w:t>CONSIDERACIONES PREVIAS</w:t>
      </w:r>
      <w:bookmarkEnd w:id="23"/>
    </w:p>
    <w:p w:rsidR="00DF15C3" w:rsidRPr="002B1610" w:rsidRDefault="00DF15C3" w:rsidP="003F26FD">
      <w:pPr>
        <w:pStyle w:val="Prrafodelista"/>
        <w:spacing w:after="0" w:line="216" w:lineRule="auto"/>
        <w:ind w:left="-142" w:right="-174"/>
        <w:jc w:val="center"/>
        <w:rPr>
          <w:rFonts w:ascii="Verdana" w:hAnsi="Verdana"/>
          <w:b/>
          <w:w w:val="95"/>
          <w:sz w:val="20"/>
          <w:szCs w:val="20"/>
          <w:lang w:val="es-ES"/>
        </w:rPr>
      </w:pPr>
    </w:p>
    <w:p w:rsidR="00DF15C3" w:rsidRPr="002B1610" w:rsidRDefault="00DF15C3" w:rsidP="003F26FD">
      <w:pPr>
        <w:pStyle w:val="Prrafodelista"/>
        <w:numPr>
          <w:ilvl w:val="0"/>
          <w:numId w:val="3"/>
        </w:numPr>
        <w:spacing w:after="0" w:line="216" w:lineRule="auto"/>
        <w:ind w:left="284" w:right="-174" w:firstLine="0"/>
        <w:jc w:val="both"/>
        <w:outlineLvl w:val="1"/>
        <w:rPr>
          <w:rFonts w:ascii="Verdana" w:hAnsi="Verdana"/>
          <w:b/>
          <w:w w:val="95"/>
          <w:sz w:val="20"/>
          <w:szCs w:val="20"/>
          <w:lang w:val="es-CR"/>
        </w:rPr>
      </w:pPr>
      <w:r w:rsidRPr="002B1610">
        <w:rPr>
          <w:rFonts w:ascii="Verdana" w:hAnsi="Verdana"/>
          <w:b/>
          <w:w w:val="95"/>
          <w:sz w:val="20"/>
          <w:szCs w:val="20"/>
          <w:lang w:val="es-CR"/>
        </w:rPr>
        <w:t xml:space="preserve"> </w:t>
      </w:r>
      <w:bookmarkStart w:id="24" w:name="_Toc394313633"/>
      <w:r w:rsidRPr="002B1610">
        <w:rPr>
          <w:rFonts w:ascii="Verdana" w:hAnsi="Verdana"/>
          <w:b/>
          <w:w w:val="95"/>
          <w:sz w:val="20"/>
          <w:szCs w:val="20"/>
          <w:lang w:val="es-CR"/>
        </w:rPr>
        <w:t>Aceptación de hechos del Estado en el trámite ante la Comisión</w:t>
      </w:r>
      <w:bookmarkEnd w:id="24"/>
    </w:p>
    <w:p w:rsidR="00DF15C3" w:rsidRPr="002B1610" w:rsidRDefault="00DF15C3" w:rsidP="003F26FD">
      <w:pPr>
        <w:spacing w:after="0" w:line="216" w:lineRule="auto"/>
        <w:ind w:left="-142" w:right="-174"/>
        <w:jc w:val="both"/>
        <w:rPr>
          <w:rFonts w:ascii="Verdana" w:hAnsi="Verdana"/>
          <w:i/>
          <w:w w:val="95"/>
          <w:sz w:val="20"/>
          <w:szCs w:val="20"/>
          <w:lang w:val="es-CR"/>
        </w:rPr>
      </w:pPr>
    </w:p>
    <w:p w:rsidR="00DF15C3" w:rsidRPr="002B1610" w:rsidRDefault="00DF15C3" w:rsidP="003F26FD">
      <w:pPr>
        <w:pStyle w:val="Ttulo3"/>
        <w:spacing w:before="0" w:line="216" w:lineRule="auto"/>
        <w:ind w:left="567" w:right="-174"/>
        <w:rPr>
          <w:rFonts w:ascii="Verdana" w:hAnsi="Verdana"/>
          <w:i/>
          <w:color w:val="auto"/>
          <w:w w:val="95"/>
          <w:sz w:val="20"/>
          <w:lang w:val="es-CR"/>
        </w:rPr>
      </w:pPr>
      <w:bookmarkStart w:id="25" w:name="_Toc394313634"/>
      <w:r>
        <w:rPr>
          <w:rFonts w:ascii="Verdana" w:hAnsi="Verdana"/>
          <w:i/>
          <w:color w:val="auto"/>
          <w:w w:val="95"/>
          <w:sz w:val="20"/>
          <w:lang w:val="es-CR"/>
        </w:rPr>
        <w:t xml:space="preserve">A.1) Argumentos </w:t>
      </w:r>
      <w:r w:rsidRPr="002B1610">
        <w:rPr>
          <w:rFonts w:ascii="Verdana" w:hAnsi="Verdana"/>
          <w:i/>
          <w:color w:val="auto"/>
          <w:w w:val="95"/>
          <w:sz w:val="20"/>
          <w:lang w:val="es-CR"/>
        </w:rPr>
        <w:t>de las partes</w:t>
      </w:r>
      <w:r>
        <w:rPr>
          <w:rFonts w:ascii="Verdana" w:hAnsi="Verdana"/>
          <w:i/>
          <w:color w:val="auto"/>
          <w:w w:val="95"/>
          <w:sz w:val="20"/>
          <w:lang w:val="es-CR"/>
        </w:rPr>
        <w:t xml:space="preserve"> y la Comisión</w:t>
      </w:r>
      <w:bookmarkEnd w:id="25"/>
    </w:p>
    <w:p w:rsidR="00DF15C3" w:rsidRDefault="00DF15C3" w:rsidP="003F26FD">
      <w:pPr>
        <w:spacing w:after="0" w:line="216" w:lineRule="auto"/>
        <w:ind w:right="-174"/>
        <w:jc w:val="both"/>
        <w:rPr>
          <w:rFonts w:ascii="Verdana" w:hAnsi="Verdana"/>
          <w:w w:val="95"/>
          <w:sz w:val="20"/>
          <w:szCs w:val="20"/>
          <w:lang w:val="es-CR"/>
        </w:rPr>
      </w:pPr>
    </w:p>
    <w:p w:rsidR="00DF15C3" w:rsidRPr="003733C0" w:rsidRDefault="00DF15C3" w:rsidP="003F26FD">
      <w:pPr>
        <w:pStyle w:val="ListParagraph1"/>
        <w:numPr>
          <w:ilvl w:val="0"/>
          <w:numId w:val="17"/>
        </w:numPr>
        <w:autoSpaceDE w:val="0"/>
        <w:autoSpaceDN w:val="0"/>
        <w:adjustRightInd w:val="0"/>
        <w:spacing w:line="216" w:lineRule="auto"/>
        <w:ind w:left="-142" w:right="-174" w:firstLine="0"/>
        <w:rPr>
          <w:rFonts w:ascii="Verdana" w:hAnsi="Verdana"/>
          <w:w w:val="95"/>
          <w:sz w:val="20"/>
          <w:szCs w:val="20"/>
          <w:lang w:val="es-CR" w:eastAsia="es-ES"/>
        </w:rPr>
      </w:pPr>
      <w:r w:rsidRPr="002B1610">
        <w:rPr>
          <w:rFonts w:ascii="Verdana" w:hAnsi="Verdana"/>
          <w:w w:val="95"/>
          <w:sz w:val="20"/>
          <w:szCs w:val="20"/>
          <w:lang w:val="es-CR"/>
        </w:rPr>
        <w:t>Durante la audiencia pública que tuvo lugar ante la Comisión Interamericana el 20 de marzo de 2009</w:t>
      </w:r>
      <w:r w:rsidRPr="002B1610">
        <w:rPr>
          <w:rStyle w:val="Refdenotaalpie"/>
          <w:rFonts w:ascii="Verdana" w:hAnsi="Verdana"/>
          <w:w w:val="95"/>
          <w:sz w:val="20"/>
        </w:rPr>
        <w:footnoteReference w:id="9"/>
      </w:r>
      <w:r w:rsidRPr="002B1610">
        <w:rPr>
          <w:rFonts w:ascii="Verdana" w:hAnsi="Verdana"/>
          <w:w w:val="95"/>
          <w:sz w:val="20"/>
          <w:szCs w:val="20"/>
          <w:lang w:val="es-CR"/>
        </w:rPr>
        <w:t xml:space="preserve">, el </w:t>
      </w:r>
      <w:r w:rsidRPr="00C5284E">
        <w:rPr>
          <w:rFonts w:ascii="Verdana" w:hAnsi="Verdana"/>
          <w:b/>
          <w:i/>
          <w:w w:val="95"/>
          <w:sz w:val="20"/>
          <w:szCs w:val="20"/>
          <w:lang w:val="es-CR"/>
        </w:rPr>
        <w:t>Estado</w:t>
      </w:r>
      <w:r w:rsidRPr="002B1610">
        <w:rPr>
          <w:rFonts w:ascii="Verdana" w:hAnsi="Verdana"/>
          <w:w w:val="95"/>
          <w:sz w:val="20"/>
          <w:szCs w:val="20"/>
          <w:lang w:val="es-CR"/>
        </w:rPr>
        <w:t xml:space="preserve"> “reconoc[ió…] diferentes falencias y debilidades en [el] proceso de investigación [que] correspond[ían] a problemas estructurales del Estado guatemalteco”. En la misma oportunidad, Guatemala expresó que</w:t>
      </w:r>
      <w:r w:rsidRPr="002B1610">
        <w:rPr>
          <w:rFonts w:ascii="Verdana" w:hAnsi="Verdana"/>
          <w:w w:val="95"/>
          <w:szCs w:val="24"/>
          <w:lang w:val="es-CR"/>
        </w:rPr>
        <w:t xml:space="preserve"> </w:t>
      </w:r>
    </w:p>
    <w:p w:rsidR="00DF15C3" w:rsidRPr="00FC4036" w:rsidRDefault="00DF15C3" w:rsidP="003F26FD">
      <w:pPr>
        <w:spacing w:after="0" w:line="216" w:lineRule="auto"/>
        <w:ind w:right="-174"/>
        <w:jc w:val="both"/>
        <w:rPr>
          <w:rFonts w:ascii="Verdana" w:hAnsi="Verdana"/>
          <w:w w:val="95"/>
          <w:sz w:val="20"/>
          <w:szCs w:val="20"/>
          <w:lang w:val="es-CR"/>
        </w:rPr>
      </w:pPr>
    </w:p>
    <w:p w:rsidR="00DF15C3" w:rsidRDefault="00DF15C3" w:rsidP="00121AD9">
      <w:pPr>
        <w:pStyle w:val="Prrafodelista"/>
        <w:spacing w:after="0" w:line="216" w:lineRule="auto"/>
        <w:ind w:left="284" w:right="186"/>
        <w:jc w:val="both"/>
        <w:rPr>
          <w:rFonts w:ascii="Verdana" w:hAnsi="Verdana"/>
          <w:w w:val="95"/>
          <w:sz w:val="16"/>
          <w:szCs w:val="16"/>
          <w:lang w:val="es-CR"/>
        </w:rPr>
      </w:pPr>
      <w:r w:rsidRPr="002B1610">
        <w:rPr>
          <w:rFonts w:ascii="Verdana" w:hAnsi="Verdana"/>
          <w:w w:val="95"/>
          <w:sz w:val="16"/>
          <w:szCs w:val="16"/>
          <w:lang w:val="es-CR"/>
        </w:rPr>
        <w:t xml:space="preserve">[e]n el momento en que se dieron los hechos en […] 2001 [...] no existían lineamientos para la investigación y la persecución penal, [los mismos] fueron establecidos en febrero de […] 2006 por parte del Ministerio Público. […I]ndependientemente de las razones por las que no se hicieron, o no se hicieron correctamente, de acuerdo a los estándares internacionales los propios exámenes y la propia necropsia, […] esos lineamientos que se han establecido a partir de 2006 son los que están dando la orientación para el establecimiento del plan de investigación y las hipótesis con las que </w:t>
      </w:r>
      <w:r>
        <w:rPr>
          <w:rFonts w:ascii="Verdana" w:hAnsi="Verdana"/>
          <w:w w:val="95"/>
          <w:sz w:val="16"/>
          <w:szCs w:val="16"/>
          <w:lang w:val="es-CR"/>
        </w:rPr>
        <w:t xml:space="preserve">ya </w:t>
      </w:r>
      <w:r w:rsidRPr="002B1610">
        <w:rPr>
          <w:rFonts w:ascii="Verdana" w:hAnsi="Verdana"/>
          <w:w w:val="95"/>
          <w:sz w:val="16"/>
          <w:szCs w:val="16"/>
          <w:lang w:val="es-CR"/>
        </w:rPr>
        <w:t>está trabajando el Ministerio Público.</w:t>
      </w:r>
    </w:p>
    <w:p w:rsidR="00DF15C3" w:rsidRPr="002B1610" w:rsidRDefault="00DF15C3" w:rsidP="003F26FD">
      <w:pPr>
        <w:pStyle w:val="Prrafodelista"/>
        <w:spacing w:after="0" w:line="216" w:lineRule="auto"/>
        <w:ind w:left="284" w:right="-174"/>
        <w:jc w:val="both"/>
        <w:rPr>
          <w:rFonts w:ascii="Verdana" w:hAnsi="Verdana"/>
          <w:w w:val="95"/>
          <w:sz w:val="16"/>
          <w:szCs w:val="16"/>
          <w:lang w:val="es-CR"/>
        </w:rPr>
      </w:pPr>
    </w:p>
    <w:p w:rsidR="00DF15C3" w:rsidRPr="002B1610" w:rsidRDefault="00DF15C3" w:rsidP="003F26FD">
      <w:pPr>
        <w:pStyle w:val="Prrafodelista"/>
        <w:numPr>
          <w:ilvl w:val="0"/>
          <w:numId w:val="17"/>
        </w:numPr>
        <w:spacing w:after="0" w:line="216" w:lineRule="auto"/>
        <w:ind w:left="0" w:right="-174" w:firstLine="0"/>
        <w:jc w:val="both"/>
        <w:rPr>
          <w:rFonts w:ascii="Verdana" w:hAnsi="Verdana"/>
          <w:w w:val="95"/>
          <w:sz w:val="20"/>
          <w:szCs w:val="20"/>
        </w:rPr>
      </w:pPr>
      <w:r>
        <w:rPr>
          <w:rFonts w:ascii="Verdana" w:hAnsi="Verdana"/>
          <w:w w:val="95"/>
          <w:sz w:val="20"/>
          <w:szCs w:val="20"/>
          <w:lang w:val="es-CR"/>
        </w:rPr>
        <w:t>Durante esa audiencia</w:t>
      </w:r>
      <w:r w:rsidR="009E2AD7">
        <w:rPr>
          <w:rFonts w:ascii="Verdana" w:hAnsi="Verdana"/>
          <w:w w:val="95"/>
          <w:sz w:val="20"/>
          <w:szCs w:val="20"/>
          <w:lang w:val="es-CR"/>
        </w:rPr>
        <w:t>,</w:t>
      </w:r>
      <w:r>
        <w:rPr>
          <w:rFonts w:ascii="Verdana" w:hAnsi="Verdana"/>
          <w:w w:val="95"/>
          <w:sz w:val="20"/>
          <w:szCs w:val="20"/>
          <w:lang w:val="es-CR"/>
        </w:rPr>
        <w:t xml:space="preserve"> e</w:t>
      </w:r>
      <w:r w:rsidRPr="002B1610">
        <w:rPr>
          <w:rFonts w:ascii="Verdana" w:hAnsi="Verdana"/>
          <w:w w:val="95"/>
          <w:sz w:val="20"/>
          <w:szCs w:val="20"/>
          <w:lang w:val="es-CR"/>
        </w:rPr>
        <w:t xml:space="preserve">l Estado agregó que había en 2001 una “situación […] estructural prevaleciente de impunidad y temor dentro de la propia población guatemalteca </w:t>
      </w:r>
      <w:r w:rsidRPr="002B1610">
        <w:rPr>
          <w:rFonts w:ascii="Verdana" w:hAnsi="Verdana"/>
          <w:w w:val="95"/>
          <w:sz w:val="20"/>
          <w:szCs w:val="20"/>
          <w:lang w:val="es-CR"/>
        </w:rPr>
        <w:lastRenderedPageBreak/>
        <w:t>y [de] aumento de las […] muertes violentas”. Por otro lado, en un escrito de 12 de agosto de 2009 presentado ante la Comisión</w:t>
      </w:r>
      <w:r w:rsidRPr="002B1610">
        <w:rPr>
          <w:rStyle w:val="Refdenotaalpie"/>
          <w:rFonts w:ascii="Verdana" w:hAnsi="Verdana"/>
          <w:w w:val="95"/>
          <w:sz w:val="20"/>
        </w:rPr>
        <w:footnoteReference w:id="10"/>
      </w:r>
      <w:r w:rsidRPr="002B1610">
        <w:rPr>
          <w:rFonts w:ascii="Verdana" w:hAnsi="Verdana"/>
          <w:w w:val="95"/>
          <w:sz w:val="20"/>
          <w:szCs w:val="20"/>
          <w:lang w:val="es-CR"/>
        </w:rPr>
        <w:t xml:space="preserve">, el Estado afirmó </w:t>
      </w:r>
      <w:r w:rsidRPr="002B1610">
        <w:rPr>
          <w:rFonts w:ascii="Verdana" w:hAnsi="Verdana"/>
          <w:w w:val="95"/>
          <w:sz w:val="20"/>
          <w:szCs w:val="20"/>
        </w:rPr>
        <w:t xml:space="preserve">que </w:t>
      </w:r>
    </w:p>
    <w:p w:rsidR="00DF15C3" w:rsidRDefault="00DF15C3" w:rsidP="003F26FD">
      <w:pPr>
        <w:spacing w:after="0" w:line="216" w:lineRule="auto"/>
        <w:ind w:right="-174"/>
        <w:jc w:val="both"/>
        <w:rPr>
          <w:rFonts w:ascii="Verdana" w:hAnsi="Verdana"/>
          <w:w w:val="95"/>
          <w:sz w:val="20"/>
          <w:szCs w:val="20"/>
        </w:rPr>
      </w:pPr>
    </w:p>
    <w:p w:rsidR="00DF15C3" w:rsidRPr="002B1610" w:rsidRDefault="00DF15C3" w:rsidP="00121AD9">
      <w:pPr>
        <w:pStyle w:val="Prrafodelista"/>
        <w:spacing w:after="0" w:line="216" w:lineRule="auto"/>
        <w:ind w:left="284" w:right="366"/>
        <w:jc w:val="both"/>
        <w:rPr>
          <w:rFonts w:ascii="Verdana" w:hAnsi="Verdana"/>
          <w:w w:val="95"/>
          <w:sz w:val="16"/>
          <w:szCs w:val="16"/>
          <w:lang w:val="es-CR"/>
        </w:rPr>
      </w:pPr>
      <w:r w:rsidRPr="002B1610">
        <w:rPr>
          <w:rFonts w:ascii="Verdana" w:hAnsi="Verdana"/>
          <w:w w:val="95"/>
          <w:sz w:val="16"/>
          <w:szCs w:val="16"/>
          <w:lang w:val="es-CR"/>
        </w:rPr>
        <w:t xml:space="preserve">ha aceptado su responsabilidad por falta de debida diligencia en el proceso de investigación, llevad[o] a cabo por la muerte de María Isabel </w:t>
      </w:r>
      <w:r w:rsidR="0050766B" w:rsidRPr="002B1610">
        <w:rPr>
          <w:rFonts w:ascii="Verdana" w:hAnsi="Verdana"/>
          <w:w w:val="95"/>
          <w:sz w:val="16"/>
          <w:szCs w:val="16"/>
          <w:lang w:val="es-CR"/>
        </w:rPr>
        <w:t>V</w:t>
      </w:r>
      <w:r w:rsidR="0050766B">
        <w:rPr>
          <w:rFonts w:ascii="Verdana" w:hAnsi="Verdana"/>
          <w:w w:val="95"/>
          <w:sz w:val="16"/>
          <w:szCs w:val="16"/>
          <w:lang w:val="es-CR"/>
        </w:rPr>
        <w:t>e</w:t>
      </w:r>
      <w:r w:rsidR="0050766B" w:rsidRPr="002B1610">
        <w:rPr>
          <w:rFonts w:ascii="Verdana" w:hAnsi="Verdana"/>
          <w:w w:val="95"/>
          <w:sz w:val="16"/>
          <w:szCs w:val="16"/>
          <w:lang w:val="es-CR"/>
        </w:rPr>
        <w:t xml:space="preserve">liz </w:t>
      </w:r>
      <w:r w:rsidRPr="002B1610">
        <w:rPr>
          <w:rFonts w:ascii="Verdana" w:hAnsi="Verdana"/>
          <w:w w:val="95"/>
          <w:sz w:val="16"/>
          <w:szCs w:val="16"/>
          <w:lang w:val="es-CR"/>
        </w:rPr>
        <w:t xml:space="preserve">Franco, esto por la omisión de practicar algunas pruebas forenses sobre el cadáver. Asimismo, por el atraso que hubo en la investigación causado por un conflicto de competencia territorial y por no haber establecido una medida cautelar efectiva para asegurar la presencia de [una persona identificada como] sospechos[a] del asesinato. </w:t>
      </w:r>
      <w:r w:rsidRPr="002B1610">
        <w:rPr>
          <w:rFonts w:ascii="Verdana" w:hAnsi="Verdana"/>
          <w:b/>
          <w:w w:val="95"/>
          <w:sz w:val="16"/>
          <w:szCs w:val="16"/>
          <w:lang w:val="es-CR"/>
        </w:rPr>
        <w:t xml:space="preserve"> </w:t>
      </w:r>
      <w:r w:rsidRPr="002B1610">
        <w:rPr>
          <w:rFonts w:ascii="Verdana" w:hAnsi="Verdana"/>
          <w:w w:val="95"/>
          <w:sz w:val="16"/>
          <w:szCs w:val="16"/>
          <w:lang w:val="es-CR"/>
        </w:rPr>
        <w:t xml:space="preserve"> </w:t>
      </w:r>
    </w:p>
    <w:p w:rsidR="00DF15C3" w:rsidRPr="008223C4" w:rsidRDefault="00DF15C3" w:rsidP="003F26FD">
      <w:pPr>
        <w:spacing w:after="0" w:line="216" w:lineRule="auto"/>
        <w:ind w:right="-174"/>
        <w:jc w:val="both"/>
        <w:rPr>
          <w:rFonts w:ascii="Verdana" w:hAnsi="Verdana"/>
          <w:w w:val="95"/>
          <w:sz w:val="20"/>
          <w:szCs w:val="20"/>
          <w:lang w:val="es-CR"/>
        </w:rPr>
      </w:pPr>
    </w:p>
    <w:p w:rsidR="00DF15C3" w:rsidRPr="00EB187F" w:rsidRDefault="00DF15C3" w:rsidP="003F26FD">
      <w:pPr>
        <w:pStyle w:val="Prrafodelista"/>
        <w:numPr>
          <w:ilvl w:val="0"/>
          <w:numId w:val="17"/>
        </w:numPr>
        <w:spacing w:after="0" w:line="216" w:lineRule="auto"/>
        <w:ind w:left="-90" w:right="-174" w:firstLine="0"/>
        <w:jc w:val="both"/>
        <w:rPr>
          <w:rFonts w:ascii="Verdana" w:hAnsi="Verdana"/>
          <w:w w:val="95"/>
          <w:sz w:val="20"/>
          <w:szCs w:val="20"/>
          <w:lang w:val="es-CR"/>
        </w:rPr>
      </w:pPr>
      <w:r w:rsidRPr="00EB187F">
        <w:rPr>
          <w:rFonts w:ascii="Verdana" w:hAnsi="Verdana"/>
          <w:w w:val="95"/>
          <w:sz w:val="20"/>
          <w:szCs w:val="20"/>
          <w:lang w:val="es-CR"/>
        </w:rPr>
        <w:t xml:space="preserve">El </w:t>
      </w:r>
      <w:r w:rsidRPr="00EB187F">
        <w:rPr>
          <w:rFonts w:ascii="Verdana" w:hAnsi="Verdana"/>
          <w:b/>
          <w:i/>
          <w:w w:val="95"/>
          <w:sz w:val="20"/>
          <w:szCs w:val="20"/>
          <w:lang w:val="es-CR"/>
        </w:rPr>
        <w:t>Estado</w:t>
      </w:r>
      <w:r w:rsidRPr="00EB187F">
        <w:rPr>
          <w:rFonts w:ascii="Verdana" w:hAnsi="Verdana"/>
          <w:w w:val="95"/>
          <w:sz w:val="20"/>
          <w:szCs w:val="20"/>
          <w:lang w:val="es-CR"/>
        </w:rPr>
        <w:t xml:space="preserve">, en el proceso ante la Corte, afirmó que durante el trámite del caso </w:t>
      </w:r>
      <w:r>
        <w:rPr>
          <w:rFonts w:ascii="Verdana" w:hAnsi="Verdana"/>
          <w:w w:val="95"/>
          <w:sz w:val="20"/>
          <w:szCs w:val="20"/>
          <w:lang w:val="es-CR"/>
        </w:rPr>
        <w:t xml:space="preserve">ante </w:t>
      </w:r>
      <w:r w:rsidRPr="00EB187F">
        <w:rPr>
          <w:rFonts w:ascii="Verdana" w:hAnsi="Verdana"/>
          <w:w w:val="95"/>
          <w:sz w:val="20"/>
          <w:szCs w:val="20"/>
          <w:lang w:val="es-CR"/>
        </w:rPr>
        <w:t>la Comisión, “aceptó su responsabilidad” por tres “circunstancia[s]”. La primera, “por la omisión de practicar algunas pr</w:t>
      </w:r>
      <w:r w:rsidR="00045490">
        <w:rPr>
          <w:rFonts w:ascii="Verdana" w:hAnsi="Verdana"/>
          <w:w w:val="95"/>
          <w:sz w:val="20"/>
          <w:szCs w:val="20"/>
          <w:lang w:val="es-CR"/>
        </w:rPr>
        <w:t>uebas forenses sobre el cadáver</w:t>
      </w:r>
      <w:r w:rsidRPr="00EB187F">
        <w:rPr>
          <w:rFonts w:ascii="Verdana" w:hAnsi="Verdana"/>
          <w:w w:val="95"/>
          <w:sz w:val="20"/>
          <w:szCs w:val="20"/>
          <w:lang w:val="es-CR"/>
        </w:rPr>
        <w:t>”</w:t>
      </w:r>
      <w:r w:rsidRPr="008D111B">
        <w:rPr>
          <w:rStyle w:val="Refdenotaalpie"/>
          <w:w w:val="95"/>
          <w:sz w:val="20"/>
        </w:rPr>
        <w:footnoteReference w:id="11"/>
      </w:r>
      <w:r w:rsidRPr="00EB187F">
        <w:rPr>
          <w:rFonts w:ascii="Verdana" w:hAnsi="Verdana"/>
          <w:w w:val="95"/>
          <w:sz w:val="20"/>
          <w:szCs w:val="20"/>
          <w:lang w:val="es-CR"/>
        </w:rPr>
        <w:t>; “la segunda[,…]</w:t>
      </w:r>
      <w:r w:rsidR="00045490">
        <w:rPr>
          <w:rFonts w:ascii="Verdana" w:hAnsi="Verdana"/>
          <w:w w:val="95"/>
          <w:sz w:val="20"/>
          <w:szCs w:val="20"/>
          <w:lang w:val="es-CR"/>
        </w:rPr>
        <w:t xml:space="preserve"> </w:t>
      </w:r>
      <w:r w:rsidR="00F15CBE" w:rsidRPr="00B47773">
        <w:rPr>
          <w:rFonts w:ascii="Verdana" w:hAnsi="Verdana"/>
          <w:w w:val="95"/>
          <w:sz w:val="20"/>
          <w:szCs w:val="20"/>
          <w:lang w:val="es-CR"/>
        </w:rPr>
        <w:t>‘</w:t>
      </w:r>
      <w:r w:rsidRPr="00B47773">
        <w:rPr>
          <w:rFonts w:ascii="Verdana" w:hAnsi="Verdana"/>
          <w:w w:val="95"/>
          <w:sz w:val="20"/>
          <w:szCs w:val="20"/>
          <w:lang w:val="es-CR"/>
        </w:rPr>
        <w:t>por</w:t>
      </w:r>
      <w:r w:rsidRPr="00EB187F">
        <w:rPr>
          <w:rFonts w:ascii="Verdana" w:hAnsi="Verdana"/>
          <w:w w:val="95"/>
          <w:sz w:val="20"/>
          <w:szCs w:val="20"/>
          <w:lang w:val="es-CR"/>
        </w:rPr>
        <w:t xml:space="preserve"> el atraso que hubo en la investigación causado por un confl</w:t>
      </w:r>
      <w:r w:rsidR="00045490">
        <w:rPr>
          <w:rFonts w:ascii="Verdana" w:hAnsi="Verdana"/>
          <w:w w:val="95"/>
          <w:sz w:val="20"/>
          <w:szCs w:val="20"/>
          <w:lang w:val="es-CR"/>
        </w:rPr>
        <w:t>icto de competencia territorial[</w:t>
      </w:r>
      <w:r w:rsidR="00611EF6" w:rsidRPr="00EB187F">
        <w:rPr>
          <w:rFonts w:ascii="Verdana" w:hAnsi="Verdana"/>
          <w:w w:val="95"/>
          <w:sz w:val="20"/>
          <w:szCs w:val="20"/>
          <w:lang w:val="es-CR"/>
        </w:rPr>
        <w:t>’</w:t>
      </w:r>
      <w:r w:rsidRPr="00EB187F">
        <w:rPr>
          <w:rFonts w:ascii="Verdana" w:hAnsi="Verdana"/>
          <w:w w:val="95"/>
          <w:sz w:val="20"/>
          <w:szCs w:val="20"/>
          <w:lang w:val="es-CR"/>
        </w:rPr>
        <w:t>”,</w:t>
      </w:r>
      <w:r w:rsidRPr="00EB187F">
        <w:rPr>
          <w:rFonts w:ascii="Verdana" w:hAnsi="Verdana"/>
          <w:b/>
          <w:w w:val="95"/>
          <w:sz w:val="20"/>
          <w:szCs w:val="20"/>
          <w:lang w:val="es-CR"/>
        </w:rPr>
        <w:t xml:space="preserve"> </w:t>
      </w:r>
      <w:r w:rsidR="00F15CBE" w:rsidRPr="00B47773">
        <w:rPr>
          <w:rFonts w:ascii="Verdana" w:hAnsi="Verdana"/>
          <w:w w:val="95"/>
          <w:sz w:val="20"/>
          <w:szCs w:val="20"/>
          <w:lang w:val="es-CR"/>
        </w:rPr>
        <w:t>]</w:t>
      </w:r>
      <w:r w:rsidR="00045490">
        <w:rPr>
          <w:rFonts w:ascii="Verdana" w:hAnsi="Verdana"/>
          <w:w w:val="95"/>
          <w:sz w:val="20"/>
          <w:szCs w:val="20"/>
          <w:lang w:val="es-CR"/>
        </w:rPr>
        <w:t xml:space="preserve"> </w:t>
      </w:r>
      <w:r w:rsidRPr="00EB187F">
        <w:rPr>
          <w:rFonts w:ascii="Verdana" w:hAnsi="Verdana"/>
          <w:w w:val="95"/>
          <w:sz w:val="20"/>
          <w:szCs w:val="20"/>
          <w:lang w:val="es-CR"/>
        </w:rPr>
        <w:t>y “la tercera[,…] ‘por no haber establecido una medida cautelar efectiva para asegurar la presencia de [un] sospechoso del asesinato’”.</w:t>
      </w:r>
      <w:r w:rsidRPr="00EB187F">
        <w:rPr>
          <w:rFonts w:ascii="Verdana" w:hAnsi="Verdana"/>
          <w:b/>
          <w:w w:val="95"/>
          <w:sz w:val="20"/>
          <w:szCs w:val="20"/>
          <w:lang w:val="es-CR"/>
        </w:rPr>
        <w:t xml:space="preserve"> </w:t>
      </w:r>
      <w:r w:rsidRPr="00EB187F">
        <w:rPr>
          <w:rFonts w:ascii="Verdana" w:hAnsi="Verdana"/>
          <w:w w:val="95"/>
          <w:sz w:val="20"/>
          <w:szCs w:val="20"/>
          <w:lang w:val="es-CR"/>
        </w:rPr>
        <w:t>Sobre lo primero, explicó que al momento de los hechos “las pruebas que se realizaban a los cadáveres” se hacían de acuerdo a los “procedimientos” y las “posibilidades del Estado en dicha época”. En cuanto al conflicto de competencia, dijo que “aceptó su responsabilidad por el atraso producido, pero sólo en cuanto a algunas pruebas que requieren de la autorización de un juez”. Sin embargo, enunció que se realizaron otras diligencias “durante el lapso que duró la cuestión incidental”.</w:t>
      </w:r>
      <w:r w:rsidRPr="00EB187F">
        <w:rPr>
          <w:rFonts w:ascii="Verdana" w:hAnsi="Verdana"/>
          <w:b/>
          <w:w w:val="95"/>
          <w:sz w:val="20"/>
          <w:szCs w:val="20"/>
          <w:lang w:val="es-CR"/>
        </w:rPr>
        <w:t xml:space="preserve"> </w:t>
      </w:r>
      <w:r w:rsidRPr="00EB187F">
        <w:rPr>
          <w:rFonts w:ascii="Verdana" w:hAnsi="Verdana"/>
          <w:w w:val="95"/>
          <w:sz w:val="20"/>
          <w:szCs w:val="20"/>
          <w:lang w:val="es-CR"/>
        </w:rPr>
        <w:t>Finalmente, en cuanto a la tercera circunstancia indicada, afirmó que</w:t>
      </w:r>
      <w:r w:rsidRPr="003622B1">
        <w:rPr>
          <w:rFonts w:ascii="Verdana" w:hAnsi="Verdana"/>
          <w:w w:val="95"/>
          <w:sz w:val="20"/>
          <w:szCs w:val="20"/>
          <w:lang w:val="es-CR"/>
        </w:rPr>
        <w:t xml:space="preserve"> “</w:t>
      </w:r>
      <w:r w:rsidRPr="00EB187F">
        <w:rPr>
          <w:rFonts w:ascii="Verdana" w:hAnsi="Verdana"/>
          <w:w w:val="95"/>
          <w:sz w:val="20"/>
          <w:szCs w:val="20"/>
          <w:lang w:val="es-CR"/>
        </w:rPr>
        <w:t xml:space="preserve">aceptó su responsabilidad […] toda vez que no habían indicios fácticos para ligar a [la persona aludida] con la muerte de María Isabel”, y que “sin pruebas, no puede privar de la libertad a nadie”. </w:t>
      </w:r>
    </w:p>
    <w:p w:rsidR="00DF15C3" w:rsidRPr="00B00CBC" w:rsidRDefault="00DF15C3" w:rsidP="003F26FD">
      <w:pPr>
        <w:pStyle w:val="Prrafodelista"/>
        <w:spacing w:after="0" w:line="216" w:lineRule="auto"/>
        <w:ind w:left="-142" w:right="-174"/>
        <w:jc w:val="both"/>
        <w:rPr>
          <w:rFonts w:ascii="Verdana" w:hAnsi="Verdana"/>
          <w:w w:val="95"/>
          <w:sz w:val="20"/>
          <w:szCs w:val="20"/>
          <w:lang w:val="es-CR"/>
        </w:rPr>
      </w:pPr>
    </w:p>
    <w:p w:rsidR="00DF15C3" w:rsidRPr="002B1610" w:rsidRDefault="00DF15C3" w:rsidP="003F26FD">
      <w:pPr>
        <w:pStyle w:val="Prrafodelista"/>
        <w:numPr>
          <w:ilvl w:val="0"/>
          <w:numId w:val="17"/>
        </w:numPr>
        <w:spacing w:after="0" w:line="216" w:lineRule="auto"/>
        <w:ind w:left="-142" w:right="-174" w:firstLine="0"/>
        <w:jc w:val="both"/>
        <w:rPr>
          <w:rFonts w:ascii="Verdana" w:hAnsi="Verdana"/>
          <w:w w:val="95"/>
          <w:sz w:val="20"/>
          <w:szCs w:val="20"/>
          <w:lang w:val="es-CR"/>
        </w:rPr>
      </w:pPr>
      <w:r w:rsidRPr="002B1610">
        <w:rPr>
          <w:rFonts w:ascii="Verdana" w:hAnsi="Verdana"/>
          <w:w w:val="95"/>
          <w:sz w:val="20"/>
          <w:szCs w:val="20"/>
          <w:lang w:val="es-CR"/>
        </w:rPr>
        <w:t xml:space="preserve">La </w:t>
      </w:r>
      <w:r w:rsidRPr="002B1610">
        <w:rPr>
          <w:rFonts w:ascii="Verdana" w:hAnsi="Verdana"/>
          <w:b/>
          <w:i/>
          <w:w w:val="95"/>
          <w:sz w:val="20"/>
          <w:szCs w:val="20"/>
          <w:lang w:val="es-CR"/>
        </w:rPr>
        <w:t>Comisión</w:t>
      </w:r>
      <w:r w:rsidRPr="002B1610">
        <w:rPr>
          <w:rFonts w:ascii="Verdana" w:hAnsi="Verdana"/>
          <w:i/>
          <w:w w:val="95"/>
          <w:sz w:val="20"/>
          <w:szCs w:val="20"/>
          <w:lang w:val="es-CR"/>
        </w:rPr>
        <w:t xml:space="preserve"> </w:t>
      </w:r>
      <w:r w:rsidRPr="002B1610">
        <w:rPr>
          <w:rFonts w:ascii="Verdana" w:hAnsi="Verdana"/>
          <w:w w:val="95"/>
          <w:sz w:val="20"/>
          <w:szCs w:val="20"/>
          <w:lang w:val="es-CR"/>
        </w:rPr>
        <w:t xml:space="preserve">y </w:t>
      </w:r>
      <w:r w:rsidRPr="003622B1">
        <w:rPr>
          <w:rFonts w:ascii="Verdana" w:hAnsi="Verdana"/>
          <w:w w:val="95"/>
          <w:sz w:val="20"/>
          <w:szCs w:val="20"/>
          <w:lang w:val="es-CR"/>
        </w:rPr>
        <w:t>la</w:t>
      </w:r>
      <w:r w:rsidRPr="00B21EC2">
        <w:rPr>
          <w:rFonts w:ascii="Verdana" w:hAnsi="Verdana"/>
          <w:b/>
          <w:i/>
          <w:w w:val="95"/>
          <w:sz w:val="20"/>
          <w:szCs w:val="20"/>
          <w:lang w:val="es-CR"/>
        </w:rPr>
        <w:t xml:space="preserve"> representante</w:t>
      </w:r>
      <w:r w:rsidRPr="002B1610">
        <w:rPr>
          <w:rFonts w:ascii="Verdana" w:hAnsi="Verdana"/>
          <w:w w:val="95"/>
          <w:sz w:val="20"/>
          <w:szCs w:val="20"/>
          <w:lang w:val="es-CR"/>
        </w:rPr>
        <w:t xml:space="preserve"> señalaron que el Estado, en el trámite del caso ante la Comisión, </w:t>
      </w:r>
      <w:r w:rsidR="009E2AD7" w:rsidRPr="002B1610">
        <w:rPr>
          <w:rFonts w:ascii="Verdana" w:hAnsi="Verdana"/>
          <w:w w:val="95"/>
          <w:sz w:val="20"/>
          <w:szCs w:val="20"/>
          <w:lang w:val="es-CR"/>
        </w:rPr>
        <w:t xml:space="preserve">admitió su responsabilidad </w:t>
      </w:r>
      <w:r w:rsidRPr="002B1610">
        <w:rPr>
          <w:rFonts w:ascii="Verdana" w:hAnsi="Verdana"/>
          <w:w w:val="95"/>
          <w:sz w:val="20"/>
          <w:szCs w:val="20"/>
          <w:lang w:val="es-CR"/>
        </w:rPr>
        <w:t xml:space="preserve">por falencias en el proceso de investigación. Expresaron que tal admisión incluyó la demora causada en la investigación por un conflicto de competencias. La Comisión precisó que también incluyó “la omisión de practicar algunas pruebas forenses sobre el cadáver” y </w:t>
      </w:r>
      <w:r w:rsidRPr="00EA3C22">
        <w:rPr>
          <w:rFonts w:ascii="Verdana" w:hAnsi="Verdana"/>
          <w:w w:val="95"/>
          <w:sz w:val="20"/>
          <w:szCs w:val="20"/>
          <w:lang w:val="es-CR"/>
        </w:rPr>
        <w:t>“no haber establecido una medida cautelar efectiva para asegurar la presencia de un sospechoso del asesinato”</w:t>
      </w:r>
      <w:r w:rsidR="00F15CBE" w:rsidRPr="00B47773">
        <w:rPr>
          <w:rStyle w:val="Refdenotaalpie"/>
          <w:rFonts w:ascii="Verdana" w:hAnsi="Verdana"/>
          <w:w w:val="95"/>
          <w:sz w:val="20"/>
          <w:szCs w:val="20"/>
        </w:rPr>
        <w:footnoteReference w:id="12"/>
      </w:r>
      <w:r w:rsidRPr="002B1610">
        <w:rPr>
          <w:rFonts w:ascii="Verdana" w:hAnsi="Verdana"/>
          <w:w w:val="95"/>
          <w:sz w:val="16"/>
          <w:szCs w:val="16"/>
          <w:lang w:val="es-CR"/>
        </w:rPr>
        <w:t xml:space="preserve">. </w:t>
      </w:r>
      <w:r>
        <w:rPr>
          <w:rFonts w:ascii="Verdana" w:hAnsi="Verdana"/>
          <w:w w:val="95"/>
          <w:sz w:val="20"/>
          <w:szCs w:val="20"/>
          <w:lang w:val="es-CR"/>
        </w:rPr>
        <w:t>La representante agregó</w:t>
      </w:r>
      <w:r w:rsidRPr="002B1610">
        <w:rPr>
          <w:rFonts w:ascii="Verdana" w:hAnsi="Verdana"/>
          <w:w w:val="95"/>
          <w:sz w:val="20"/>
          <w:szCs w:val="20"/>
          <w:lang w:val="es-CR"/>
        </w:rPr>
        <w:t xml:space="preserve"> que el reconocimiento abarcó “la inexistencia en […] 2001 de lineamientos para investigación y la persecución penal”, y </w:t>
      </w:r>
    </w:p>
    <w:p w:rsidR="00DF15C3" w:rsidRPr="002B1610" w:rsidRDefault="00DF15C3" w:rsidP="003F26FD">
      <w:pPr>
        <w:spacing w:after="0" w:line="216" w:lineRule="auto"/>
        <w:ind w:right="-174"/>
        <w:jc w:val="both"/>
        <w:rPr>
          <w:rFonts w:ascii="Verdana" w:hAnsi="Verdana"/>
          <w:w w:val="95"/>
          <w:sz w:val="16"/>
          <w:szCs w:val="16"/>
          <w:lang w:val="es-CR"/>
        </w:rPr>
      </w:pPr>
    </w:p>
    <w:p w:rsidR="00DF15C3" w:rsidRPr="002B1610" w:rsidRDefault="00DF15C3" w:rsidP="00121AD9">
      <w:pPr>
        <w:spacing w:after="0" w:line="216" w:lineRule="auto"/>
        <w:ind w:left="180" w:right="276"/>
        <w:jc w:val="both"/>
        <w:rPr>
          <w:rFonts w:ascii="Verdana" w:hAnsi="Verdana"/>
          <w:b/>
          <w:w w:val="95"/>
          <w:sz w:val="16"/>
          <w:szCs w:val="16"/>
          <w:lang w:val="es-CR"/>
        </w:rPr>
      </w:pPr>
      <w:r w:rsidRPr="002B1610">
        <w:rPr>
          <w:rFonts w:ascii="Verdana" w:hAnsi="Verdana"/>
          <w:w w:val="95"/>
          <w:sz w:val="16"/>
          <w:szCs w:val="16"/>
          <w:lang w:val="es-CR"/>
        </w:rPr>
        <w:t xml:space="preserve">también […] que no había […] al momento de ocurrido los hechos, disposiciones de derecho interno específicas de género, ni legislación o directrices para la realización del levantamiento del cadáver, la preservación de la escena del crimen, [y] la recolección de evidencias[,] y que a la fecha no existe legislación diseñada específicamente para la búsqueda de mujeres desaparecidas.  </w:t>
      </w:r>
    </w:p>
    <w:p w:rsidR="00DF15C3" w:rsidRPr="002B1610" w:rsidRDefault="00DF15C3" w:rsidP="003F26FD">
      <w:pPr>
        <w:pStyle w:val="Prrafodelista"/>
        <w:spacing w:after="0" w:line="216" w:lineRule="auto"/>
        <w:ind w:left="-142" w:right="-174"/>
        <w:jc w:val="both"/>
        <w:rPr>
          <w:rFonts w:ascii="Verdana" w:hAnsi="Verdana"/>
          <w:w w:val="95"/>
          <w:sz w:val="20"/>
          <w:szCs w:val="20"/>
          <w:lang w:val="es-CR"/>
        </w:rPr>
      </w:pPr>
    </w:p>
    <w:p w:rsidR="00DF15C3" w:rsidRPr="002B1610" w:rsidRDefault="00DF15C3" w:rsidP="003F26FD">
      <w:pPr>
        <w:pStyle w:val="Prrafodelista"/>
        <w:numPr>
          <w:ilvl w:val="0"/>
          <w:numId w:val="17"/>
        </w:numPr>
        <w:spacing w:after="0" w:line="216" w:lineRule="auto"/>
        <w:ind w:left="-142" w:right="-174" w:firstLine="0"/>
        <w:jc w:val="both"/>
        <w:rPr>
          <w:rFonts w:ascii="Verdana" w:hAnsi="Verdana"/>
          <w:w w:val="95"/>
          <w:sz w:val="20"/>
          <w:szCs w:val="20"/>
          <w:lang w:val="es-CR"/>
        </w:rPr>
      </w:pPr>
      <w:r w:rsidRPr="002B1610">
        <w:rPr>
          <w:rFonts w:ascii="Verdana" w:hAnsi="Verdana"/>
          <w:w w:val="95"/>
          <w:sz w:val="20"/>
          <w:szCs w:val="20"/>
          <w:lang w:val="es-CR"/>
        </w:rPr>
        <w:t xml:space="preserve">Tanto la Comisión como </w:t>
      </w:r>
      <w:r>
        <w:rPr>
          <w:rFonts w:ascii="Verdana" w:hAnsi="Verdana"/>
          <w:w w:val="95"/>
          <w:sz w:val="20"/>
          <w:szCs w:val="20"/>
          <w:lang w:val="es-CR"/>
        </w:rPr>
        <w:t>la representante</w:t>
      </w:r>
      <w:r w:rsidRPr="002B1610">
        <w:rPr>
          <w:rFonts w:ascii="Verdana" w:hAnsi="Verdana"/>
          <w:w w:val="95"/>
          <w:sz w:val="20"/>
          <w:szCs w:val="20"/>
          <w:lang w:val="es-CR"/>
        </w:rPr>
        <w:t xml:space="preserve"> invocaron el principio de </w:t>
      </w:r>
      <w:r w:rsidRPr="002B1610">
        <w:rPr>
          <w:rFonts w:ascii="Verdana" w:hAnsi="Verdana"/>
          <w:i/>
          <w:w w:val="95"/>
          <w:sz w:val="20"/>
          <w:szCs w:val="20"/>
          <w:lang w:val="es-CR"/>
        </w:rPr>
        <w:t xml:space="preserve">estoppel. </w:t>
      </w:r>
      <w:r w:rsidRPr="002B1610">
        <w:rPr>
          <w:rFonts w:ascii="Verdana" w:hAnsi="Verdana"/>
          <w:w w:val="95"/>
          <w:sz w:val="20"/>
          <w:szCs w:val="20"/>
          <w:lang w:val="es-CR"/>
        </w:rPr>
        <w:t>Al respecto, la Comisión afirmó que lo dicho por el Estado ante la Comisión</w:t>
      </w:r>
      <w:r w:rsidRPr="002B1610">
        <w:rPr>
          <w:rFonts w:ascii="Verdana" w:hAnsi="Verdana"/>
          <w:i/>
          <w:w w:val="95"/>
          <w:sz w:val="20"/>
          <w:szCs w:val="20"/>
          <w:lang w:val="es-CR"/>
        </w:rPr>
        <w:t xml:space="preserve"> “</w:t>
      </w:r>
      <w:r w:rsidRPr="002B1610">
        <w:rPr>
          <w:rFonts w:ascii="Verdana" w:hAnsi="Verdana"/>
          <w:w w:val="95"/>
          <w:sz w:val="20"/>
          <w:szCs w:val="20"/>
          <w:lang w:val="es-CR"/>
        </w:rPr>
        <w:t>tiene efectos en el procedimiento ante la Corte”.</w:t>
      </w:r>
      <w:r w:rsidRPr="002B1610">
        <w:rPr>
          <w:rFonts w:ascii="Verdana" w:hAnsi="Verdana"/>
          <w:b/>
          <w:w w:val="95"/>
          <w:sz w:val="20"/>
          <w:szCs w:val="20"/>
          <w:lang w:val="es-CR"/>
        </w:rPr>
        <w:t xml:space="preserve"> </w:t>
      </w:r>
      <w:r w:rsidRPr="002B1610">
        <w:rPr>
          <w:rFonts w:ascii="Verdana" w:hAnsi="Verdana"/>
          <w:w w:val="95"/>
          <w:sz w:val="20"/>
          <w:szCs w:val="20"/>
          <w:lang w:val="es-CR"/>
        </w:rPr>
        <w:t xml:space="preserve">Por su parte, </w:t>
      </w:r>
      <w:r>
        <w:rPr>
          <w:rFonts w:ascii="Verdana" w:hAnsi="Verdana"/>
          <w:w w:val="95"/>
          <w:sz w:val="20"/>
          <w:szCs w:val="20"/>
          <w:lang w:val="es-CR"/>
        </w:rPr>
        <w:t>la representante</w:t>
      </w:r>
      <w:r w:rsidRPr="002B1610">
        <w:rPr>
          <w:rFonts w:ascii="Verdana" w:hAnsi="Verdana"/>
          <w:w w:val="95"/>
          <w:sz w:val="20"/>
          <w:szCs w:val="20"/>
          <w:lang w:val="es-CR"/>
        </w:rPr>
        <w:t xml:space="preserve"> señal</w:t>
      </w:r>
      <w:r w:rsidR="00A83CB5">
        <w:rPr>
          <w:rFonts w:ascii="Verdana" w:hAnsi="Verdana"/>
          <w:w w:val="95"/>
          <w:sz w:val="20"/>
          <w:szCs w:val="20"/>
          <w:lang w:val="es-CR"/>
        </w:rPr>
        <w:t>ó</w:t>
      </w:r>
      <w:r w:rsidRPr="002B1610">
        <w:rPr>
          <w:rFonts w:ascii="Verdana" w:hAnsi="Verdana"/>
          <w:w w:val="95"/>
          <w:sz w:val="20"/>
          <w:szCs w:val="20"/>
          <w:lang w:val="es-CR"/>
        </w:rPr>
        <w:t xml:space="preserve"> que “Guatemala no puede [ante la Corte] asumir otra conducta que sea contradictoria con lo anterior”. </w:t>
      </w:r>
    </w:p>
    <w:p w:rsidR="00DF15C3" w:rsidRPr="002B1610" w:rsidRDefault="00DF15C3" w:rsidP="003F26FD">
      <w:pPr>
        <w:spacing w:after="0" w:line="216" w:lineRule="auto"/>
        <w:ind w:right="-174"/>
        <w:jc w:val="both"/>
        <w:rPr>
          <w:rFonts w:ascii="Verdana" w:hAnsi="Verdana"/>
          <w:b/>
          <w:i/>
          <w:w w:val="95"/>
          <w:sz w:val="20"/>
          <w:szCs w:val="20"/>
          <w:lang w:val="es-CR"/>
        </w:rPr>
      </w:pPr>
    </w:p>
    <w:p w:rsidR="00DF15C3" w:rsidRPr="002B1610" w:rsidRDefault="00DF15C3" w:rsidP="003F26FD">
      <w:pPr>
        <w:pStyle w:val="Ttulo3"/>
        <w:spacing w:before="0" w:line="216" w:lineRule="auto"/>
        <w:ind w:left="567" w:right="-174"/>
        <w:rPr>
          <w:rFonts w:ascii="Verdana" w:hAnsi="Verdana"/>
          <w:i/>
          <w:color w:val="auto"/>
          <w:w w:val="95"/>
          <w:sz w:val="20"/>
          <w:lang w:val="es-CR"/>
        </w:rPr>
      </w:pPr>
      <w:bookmarkStart w:id="26" w:name="_Toc394313635"/>
      <w:r w:rsidRPr="002B1610">
        <w:rPr>
          <w:rFonts w:ascii="Verdana" w:hAnsi="Verdana"/>
          <w:i/>
          <w:color w:val="auto"/>
          <w:w w:val="95"/>
          <w:sz w:val="20"/>
          <w:lang w:val="es-CR"/>
        </w:rPr>
        <w:t>A.2) Consideraciones de la Corte</w:t>
      </w:r>
      <w:bookmarkEnd w:id="26"/>
    </w:p>
    <w:p w:rsidR="00DF15C3" w:rsidRPr="002B1610" w:rsidRDefault="00DF15C3" w:rsidP="003F26FD">
      <w:pPr>
        <w:spacing w:after="0" w:line="216" w:lineRule="auto"/>
        <w:ind w:left="-142" w:right="-174"/>
        <w:jc w:val="both"/>
        <w:rPr>
          <w:rFonts w:ascii="Verdana" w:hAnsi="Verdana"/>
          <w:i/>
          <w:w w:val="95"/>
          <w:sz w:val="20"/>
          <w:szCs w:val="20"/>
          <w:lang w:val="es-CR"/>
        </w:rPr>
      </w:pPr>
    </w:p>
    <w:p w:rsidR="00DF15C3" w:rsidRPr="002B1610" w:rsidRDefault="00DF15C3" w:rsidP="003F26FD">
      <w:pPr>
        <w:pStyle w:val="Prrafodelista"/>
        <w:numPr>
          <w:ilvl w:val="0"/>
          <w:numId w:val="17"/>
        </w:numPr>
        <w:spacing w:after="0" w:line="216" w:lineRule="auto"/>
        <w:ind w:left="-142" w:right="-174" w:firstLine="0"/>
        <w:jc w:val="both"/>
        <w:rPr>
          <w:rFonts w:ascii="Verdana" w:hAnsi="Verdana"/>
          <w:w w:val="95"/>
          <w:sz w:val="20"/>
          <w:szCs w:val="20"/>
          <w:lang w:val="es-CR"/>
        </w:rPr>
      </w:pPr>
      <w:r w:rsidRPr="002B1610">
        <w:rPr>
          <w:rFonts w:ascii="Verdana" w:hAnsi="Verdana"/>
          <w:w w:val="95"/>
          <w:sz w:val="20"/>
          <w:szCs w:val="20"/>
          <w:lang w:val="es-CR"/>
        </w:rPr>
        <w:t>Los argumentos reseñados refieren a manifestaciones estatales efectuadas en el marco del trámite del caso ante la Comisión. Al respecto</w:t>
      </w:r>
      <w:r w:rsidRPr="00250E08">
        <w:rPr>
          <w:rFonts w:ascii="Verdana" w:hAnsi="Verdana"/>
          <w:w w:val="95"/>
          <w:sz w:val="20"/>
          <w:szCs w:val="20"/>
          <w:lang w:val="es-CR"/>
        </w:rPr>
        <w:t>, si bien se trata de aseveraciones del Estado durante esa etapa procedimental,</w:t>
      </w:r>
      <w:r w:rsidRPr="00250E08">
        <w:rPr>
          <w:rFonts w:ascii="Verdana" w:hAnsi="Verdana"/>
          <w:w w:val="95"/>
          <w:sz w:val="16"/>
          <w:szCs w:val="16"/>
          <w:lang w:val="es-CL"/>
        </w:rPr>
        <w:t xml:space="preserve"> </w:t>
      </w:r>
      <w:r w:rsidRPr="00250E08">
        <w:rPr>
          <w:rFonts w:ascii="Verdana" w:hAnsi="Verdana"/>
          <w:w w:val="95"/>
          <w:sz w:val="20"/>
          <w:szCs w:val="20"/>
          <w:lang w:val="es-CL"/>
        </w:rPr>
        <w:t>la Corte considera que Guatemala las realizó en el marco d</w:t>
      </w:r>
      <w:r w:rsidRPr="00250E08">
        <w:rPr>
          <w:rFonts w:ascii="Verdana" w:hAnsi="Verdana"/>
          <w:w w:val="95"/>
          <w:sz w:val="20"/>
          <w:szCs w:val="20"/>
          <w:lang w:val="es-CR"/>
        </w:rPr>
        <w:t>el trámite internacional de un caso contencioso,</w:t>
      </w:r>
      <w:r w:rsidRPr="00250E08">
        <w:rPr>
          <w:rFonts w:ascii="Verdana" w:hAnsi="Verdana"/>
          <w:w w:val="95"/>
          <w:sz w:val="20"/>
          <w:szCs w:val="20"/>
          <w:lang w:val="es-CL"/>
        </w:rPr>
        <w:t xml:space="preserve"> por lo que tienen implicaciones </w:t>
      </w:r>
      <w:r w:rsidRPr="002B1610">
        <w:rPr>
          <w:rFonts w:ascii="Verdana" w:hAnsi="Verdana"/>
          <w:w w:val="95"/>
          <w:sz w:val="20"/>
          <w:szCs w:val="20"/>
          <w:lang w:val="es-CL"/>
        </w:rPr>
        <w:t xml:space="preserve">en el </w:t>
      </w:r>
      <w:r w:rsidRPr="002B1610">
        <w:rPr>
          <w:rFonts w:ascii="Verdana" w:hAnsi="Verdana"/>
          <w:w w:val="95"/>
          <w:sz w:val="20"/>
          <w:szCs w:val="20"/>
          <w:lang w:val="es-CL"/>
        </w:rPr>
        <w:lastRenderedPageBreak/>
        <w:t>proceso ante la Corte</w:t>
      </w:r>
      <w:r>
        <w:rPr>
          <w:rFonts w:ascii="Verdana" w:hAnsi="Verdana"/>
          <w:w w:val="95"/>
          <w:sz w:val="20"/>
          <w:szCs w:val="20"/>
          <w:lang w:val="es-CL"/>
        </w:rPr>
        <w:t xml:space="preserve"> y</w:t>
      </w:r>
      <w:r w:rsidRPr="002B1610">
        <w:rPr>
          <w:rFonts w:ascii="Verdana" w:hAnsi="Verdana"/>
          <w:w w:val="95"/>
          <w:sz w:val="20"/>
          <w:szCs w:val="20"/>
          <w:lang w:val="es-CL"/>
        </w:rPr>
        <w:t xml:space="preserve"> no pueden ser considerada</w:t>
      </w:r>
      <w:r w:rsidRPr="003622B1">
        <w:rPr>
          <w:rFonts w:ascii="Verdana" w:hAnsi="Verdana"/>
          <w:w w:val="95"/>
          <w:sz w:val="20"/>
          <w:szCs w:val="20"/>
          <w:lang w:val="es-CL"/>
        </w:rPr>
        <w:t>s</w:t>
      </w:r>
      <w:r w:rsidRPr="00FE79C4">
        <w:rPr>
          <w:rFonts w:ascii="Verdana" w:hAnsi="Verdana"/>
          <w:w w:val="95"/>
          <w:sz w:val="20"/>
          <w:szCs w:val="20"/>
          <w:lang w:val="es-CL"/>
        </w:rPr>
        <w:t xml:space="preserve"> </w:t>
      </w:r>
      <w:r w:rsidRPr="002B1610">
        <w:rPr>
          <w:rFonts w:ascii="Verdana" w:hAnsi="Verdana"/>
          <w:w w:val="95"/>
          <w:sz w:val="20"/>
          <w:szCs w:val="20"/>
          <w:lang w:val="es-CL"/>
        </w:rPr>
        <w:t>de efectos reservados al ámbito interno</w:t>
      </w:r>
      <w:r>
        <w:rPr>
          <w:rFonts w:ascii="Verdana" w:hAnsi="Verdana"/>
          <w:w w:val="95"/>
          <w:sz w:val="20"/>
          <w:szCs w:val="20"/>
          <w:lang w:val="es-CL"/>
        </w:rPr>
        <w:t xml:space="preserve"> o administrativo.</w:t>
      </w:r>
      <w:r w:rsidRPr="002B1610">
        <w:rPr>
          <w:rFonts w:ascii="Verdana" w:hAnsi="Verdana"/>
          <w:w w:val="95"/>
          <w:sz w:val="20"/>
          <w:szCs w:val="20"/>
          <w:lang w:val="es-CL"/>
        </w:rPr>
        <w:t xml:space="preserve"> </w:t>
      </w:r>
    </w:p>
    <w:p w:rsidR="00DF15C3" w:rsidRPr="002B1610" w:rsidRDefault="00DF15C3" w:rsidP="003F26FD">
      <w:pPr>
        <w:pStyle w:val="Prrafodelista"/>
        <w:spacing w:after="0" w:line="216" w:lineRule="auto"/>
        <w:ind w:left="-142" w:right="-174"/>
        <w:rPr>
          <w:rFonts w:ascii="Verdana" w:hAnsi="Verdana"/>
          <w:w w:val="95"/>
          <w:sz w:val="20"/>
          <w:szCs w:val="20"/>
          <w:lang w:val="es-CR"/>
        </w:rPr>
      </w:pPr>
    </w:p>
    <w:p w:rsidR="00DF15C3" w:rsidRPr="00EB187F" w:rsidRDefault="00DF15C3" w:rsidP="003F26FD">
      <w:pPr>
        <w:pStyle w:val="Prrafodelista"/>
        <w:numPr>
          <w:ilvl w:val="0"/>
          <w:numId w:val="17"/>
        </w:numPr>
        <w:spacing w:after="0" w:line="216" w:lineRule="auto"/>
        <w:ind w:left="-142" w:right="-174" w:firstLine="0"/>
        <w:jc w:val="both"/>
        <w:rPr>
          <w:rFonts w:ascii="Verdana" w:hAnsi="Verdana"/>
          <w:w w:val="95"/>
          <w:sz w:val="20"/>
          <w:szCs w:val="20"/>
          <w:lang w:val="es-CR"/>
        </w:rPr>
      </w:pPr>
      <w:r w:rsidRPr="00EB187F">
        <w:rPr>
          <w:rFonts w:ascii="Verdana" w:hAnsi="Verdana"/>
          <w:w w:val="95"/>
          <w:sz w:val="20"/>
          <w:szCs w:val="20"/>
          <w:lang w:val="es-CR"/>
        </w:rPr>
        <w:t xml:space="preserve">De lo </w:t>
      </w:r>
      <w:r w:rsidRPr="007741A4">
        <w:rPr>
          <w:rFonts w:ascii="Verdana" w:hAnsi="Verdana"/>
          <w:w w:val="95"/>
          <w:sz w:val="20"/>
          <w:szCs w:val="20"/>
          <w:lang w:val="es-CR"/>
        </w:rPr>
        <w:t>afirmado por el Estado ante la Comisión (</w:t>
      </w:r>
      <w:r w:rsidRPr="003622B1">
        <w:rPr>
          <w:rFonts w:ascii="Verdana" w:hAnsi="Verdana"/>
          <w:i/>
          <w:w w:val="95"/>
          <w:sz w:val="20"/>
          <w:szCs w:val="20"/>
          <w:lang w:val="es-CR"/>
        </w:rPr>
        <w:t xml:space="preserve">supra </w:t>
      </w:r>
      <w:r w:rsidRPr="007741A4">
        <w:rPr>
          <w:rFonts w:ascii="Verdana" w:hAnsi="Verdana"/>
          <w:w w:val="95"/>
          <w:sz w:val="20"/>
          <w:szCs w:val="20"/>
          <w:lang w:val="es-CR"/>
        </w:rPr>
        <w:t>párr</w:t>
      </w:r>
      <w:r w:rsidR="00E53916">
        <w:rPr>
          <w:rFonts w:ascii="Verdana" w:hAnsi="Verdana"/>
          <w:w w:val="95"/>
          <w:sz w:val="20"/>
          <w:szCs w:val="20"/>
          <w:lang w:val="es-CR"/>
        </w:rPr>
        <w:t>s</w:t>
      </w:r>
      <w:r w:rsidRPr="007741A4">
        <w:rPr>
          <w:rFonts w:ascii="Verdana" w:hAnsi="Verdana"/>
          <w:w w:val="95"/>
          <w:sz w:val="20"/>
          <w:szCs w:val="20"/>
          <w:lang w:val="es-CR"/>
        </w:rPr>
        <w:t xml:space="preserve">. </w:t>
      </w:r>
      <w:r w:rsidR="00E53916">
        <w:rPr>
          <w:rFonts w:ascii="Verdana" w:hAnsi="Verdana"/>
          <w:w w:val="95"/>
          <w:sz w:val="20"/>
          <w:szCs w:val="20"/>
          <w:lang w:val="es-CR"/>
        </w:rPr>
        <w:t xml:space="preserve">17, 18 y </w:t>
      </w:r>
      <w:r w:rsidR="00633EA2">
        <w:rPr>
          <w:rFonts w:ascii="Verdana" w:hAnsi="Verdana"/>
          <w:w w:val="95"/>
          <w:sz w:val="20"/>
          <w:szCs w:val="20"/>
          <w:lang w:val="es-CR"/>
        </w:rPr>
        <w:t>19</w:t>
      </w:r>
      <w:r w:rsidRPr="007741A4">
        <w:rPr>
          <w:rFonts w:ascii="Verdana" w:hAnsi="Verdana"/>
          <w:w w:val="95"/>
          <w:sz w:val="20"/>
          <w:szCs w:val="20"/>
          <w:lang w:val="es-CR"/>
        </w:rPr>
        <w:t>)</w:t>
      </w:r>
      <w:r>
        <w:rPr>
          <w:rFonts w:ascii="Verdana" w:hAnsi="Verdana"/>
          <w:w w:val="95"/>
          <w:sz w:val="20"/>
          <w:szCs w:val="20"/>
          <w:lang w:val="es-CR"/>
        </w:rPr>
        <w:t xml:space="preserve"> </w:t>
      </w:r>
      <w:r w:rsidRPr="00EB187F">
        <w:rPr>
          <w:rFonts w:ascii="Verdana" w:hAnsi="Verdana"/>
          <w:w w:val="95"/>
          <w:sz w:val="20"/>
          <w:szCs w:val="20"/>
          <w:lang w:val="es-CR"/>
        </w:rPr>
        <w:t xml:space="preserve">se desprende que </w:t>
      </w:r>
      <w:r w:rsidRPr="007741A4">
        <w:rPr>
          <w:rFonts w:ascii="Verdana" w:hAnsi="Verdana"/>
          <w:w w:val="95"/>
          <w:sz w:val="20"/>
          <w:szCs w:val="20"/>
          <w:lang w:val="es-CR"/>
        </w:rPr>
        <w:t>éste</w:t>
      </w:r>
      <w:r>
        <w:rPr>
          <w:rFonts w:ascii="Verdana" w:hAnsi="Verdana"/>
          <w:b/>
          <w:w w:val="95"/>
          <w:sz w:val="20"/>
          <w:szCs w:val="20"/>
          <w:lang w:val="es-CR"/>
        </w:rPr>
        <w:t xml:space="preserve"> </w:t>
      </w:r>
      <w:r w:rsidRPr="00250E08">
        <w:rPr>
          <w:rFonts w:ascii="Verdana" w:hAnsi="Verdana"/>
          <w:w w:val="95"/>
          <w:sz w:val="20"/>
          <w:szCs w:val="20"/>
          <w:lang w:val="es-CR"/>
        </w:rPr>
        <w:t>no ha vinculado su “responsabilidad” a la transgresión de normas específicas, pero es claro que ha</w:t>
      </w:r>
      <w:r w:rsidRPr="00EB187F">
        <w:rPr>
          <w:rFonts w:ascii="Verdana" w:hAnsi="Verdana"/>
          <w:w w:val="95"/>
          <w:sz w:val="20"/>
          <w:szCs w:val="20"/>
          <w:lang w:val="es-CR"/>
        </w:rPr>
        <w:t xml:space="preserve"> aceptado, como aspectos de hecho, lo siguiente: a) “en 2001 […] no existían lineamientos para la investigación y la persecución penal”; b) en ese año existía una “situación […] estructural prevaleciente de impunidad y temor dentro de la propia población guatemalteca”; c) para el mismo año existía una situación de “aumento de las […] muertes violentas”; d) en la investigación de lo sucedido a María Isabel V</w:t>
      </w:r>
      <w:r>
        <w:rPr>
          <w:rFonts w:ascii="Verdana" w:hAnsi="Verdana"/>
          <w:w w:val="95"/>
          <w:sz w:val="20"/>
          <w:szCs w:val="20"/>
          <w:lang w:val="es-CR"/>
        </w:rPr>
        <w:t>e</w:t>
      </w:r>
      <w:r w:rsidRPr="00EB187F">
        <w:rPr>
          <w:rFonts w:ascii="Verdana" w:hAnsi="Verdana"/>
          <w:w w:val="95"/>
          <w:sz w:val="20"/>
          <w:szCs w:val="20"/>
          <w:lang w:val="es-CR"/>
        </w:rPr>
        <w:t xml:space="preserve">liz Franco “no se hicieron, o no se hicieron correctamente, de acuerdo a los estándares internacionales [ciertos exámenes] y la propia necropsia”, y f) hubo “falta de debida diligencia en el proceso de [esa] investigación […] por[: i)] la omisión de practicar algunas pruebas forenses sobre el cadáver[; ii)] el atraso causado por un conflicto de competencia territorial[,] y [iii)] por no haber establecido una medida cautelar efectiva para asegurar la presencia de [una persona identificada como] sospechos[a] del asesinato”. </w:t>
      </w:r>
    </w:p>
    <w:p w:rsidR="00DF15C3" w:rsidRPr="00EB187F" w:rsidRDefault="00DF15C3" w:rsidP="003F26FD">
      <w:pPr>
        <w:pStyle w:val="Prrafodelista"/>
        <w:spacing w:after="0" w:line="216" w:lineRule="auto"/>
        <w:ind w:left="-142" w:right="-174"/>
        <w:jc w:val="both"/>
        <w:rPr>
          <w:rFonts w:ascii="Verdana" w:hAnsi="Verdana"/>
          <w:w w:val="95"/>
          <w:sz w:val="20"/>
          <w:szCs w:val="20"/>
          <w:lang w:val="es-CR"/>
        </w:rPr>
      </w:pPr>
    </w:p>
    <w:p w:rsidR="00DF15C3" w:rsidRPr="00250E08" w:rsidRDefault="00DF15C3" w:rsidP="003F26FD">
      <w:pPr>
        <w:pStyle w:val="Prrafodelista"/>
        <w:numPr>
          <w:ilvl w:val="0"/>
          <w:numId w:val="17"/>
        </w:numPr>
        <w:spacing w:after="0" w:line="216" w:lineRule="auto"/>
        <w:ind w:left="-142" w:right="-174" w:firstLine="0"/>
        <w:jc w:val="both"/>
        <w:rPr>
          <w:rFonts w:ascii="Verdana" w:hAnsi="Verdana"/>
          <w:w w:val="95"/>
          <w:sz w:val="20"/>
          <w:szCs w:val="20"/>
          <w:lang w:val="es-CR"/>
        </w:rPr>
      </w:pPr>
      <w:r w:rsidRPr="002B1610">
        <w:rPr>
          <w:rFonts w:ascii="Verdana" w:hAnsi="Verdana"/>
          <w:w w:val="95"/>
          <w:sz w:val="20"/>
          <w:szCs w:val="20"/>
          <w:lang w:val="es-CR"/>
        </w:rPr>
        <w:t>En consecuencia, este Tribunal tendrá en cuenta los hechos aceptados por el Estado</w:t>
      </w:r>
      <w:r w:rsidR="00F15CBE" w:rsidRPr="00B47773">
        <w:rPr>
          <w:rFonts w:ascii="Verdana" w:hAnsi="Verdana"/>
          <w:w w:val="95"/>
          <w:sz w:val="20"/>
          <w:szCs w:val="20"/>
          <w:lang w:val="es-CR"/>
        </w:rPr>
        <w:t>,</w:t>
      </w:r>
      <w:r w:rsidRPr="002B1610">
        <w:rPr>
          <w:rFonts w:ascii="Verdana" w:hAnsi="Verdana"/>
          <w:w w:val="95"/>
          <w:sz w:val="20"/>
          <w:szCs w:val="20"/>
          <w:lang w:val="es-CR"/>
        </w:rPr>
        <w:t xml:space="preserve"> en lo que correspond</w:t>
      </w:r>
      <w:r w:rsidRPr="003444C6">
        <w:rPr>
          <w:rFonts w:ascii="Verdana" w:hAnsi="Verdana"/>
          <w:w w:val="95"/>
          <w:sz w:val="20"/>
          <w:szCs w:val="20"/>
          <w:lang w:val="es-CR"/>
        </w:rPr>
        <w:t>a,</w:t>
      </w:r>
      <w:r w:rsidRPr="002B1610">
        <w:rPr>
          <w:rFonts w:ascii="Verdana" w:hAnsi="Verdana"/>
          <w:w w:val="95"/>
          <w:sz w:val="20"/>
          <w:szCs w:val="20"/>
          <w:lang w:val="es-CR"/>
        </w:rPr>
        <w:t xml:space="preserve"> al analizar las excepciones preliminares interpuestas, así como</w:t>
      </w:r>
      <w:r w:rsidRPr="00250E08">
        <w:rPr>
          <w:rFonts w:ascii="Verdana" w:hAnsi="Verdana"/>
          <w:w w:val="95"/>
          <w:sz w:val="20"/>
          <w:szCs w:val="20"/>
          <w:lang w:val="es-CR"/>
        </w:rPr>
        <w:t>, siendo el caso, los aspectos sustantivos o de fondo sobre las alegadas violaciones a derechos humanos.</w:t>
      </w:r>
    </w:p>
    <w:p w:rsidR="00DF15C3" w:rsidRPr="007164A0" w:rsidRDefault="00DF15C3" w:rsidP="003F26FD">
      <w:pPr>
        <w:spacing w:after="0" w:line="216" w:lineRule="auto"/>
        <w:ind w:right="-174"/>
        <w:jc w:val="both"/>
        <w:rPr>
          <w:rFonts w:ascii="Verdana" w:hAnsi="Verdana"/>
          <w:b/>
          <w:w w:val="95"/>
          <w:sz w:val="20"/>
          <w:szCs w:val="20"/>
          <w:lang w:val="es-CR"/>
        </w:rPr>
      </w:pPr>
    </w:p>
    <w:p w:rsidR="00DF15C3" w:rsidRPr="002B1610" w:rsidRDefault="00DF15C3" w:rsidP="003F26FD">
      <w:pPr>
        <w:pStyle w:val="ListParagraph1"/>
        <w:autoSpaceDE w:val="0"/>
        <w:autoSpaceDN w:val="0"/>
        <w:adjustRightInd w:val="0"/>
        <w:spacing w:line="216" w:lineRule="auto"/>
        <w:ind w:left="284" w:right="-174"/>
        <w:outlineLvl w:val="1"/>
        <w:rPr>
          <w:rFonts w:ascii="Verdana" w:hAnsi="Verdana" w:cs="Verdana"/>
          <w:b/>
          <w:w w:val="95"/>
          <w:sz w:val="20"/>
          <w:szCs w:val="20"/>
          <w:lang w:val="es-CR"/>
        </w:rPr>
      </w:pPr>
      <w:bookmarkStart w:id="27" w:name="_Toc394313636"/>
      <w:r w:rsidRPr="002B1610">
        <w:rPr>
          <w:rFonts w:ascii="Verdana" w:hAnsi="Verdana" w:cs="Verdana"/>
          <w:b/>
          <w:w w:val="95"/>
          <w:sz w:val="20"/>
          <w:szCs w:val="20"/>
          <w:lang w:val="es-CR"/>
        </w:rPr>
        <w:t>B.</w:t>
      </w:r>
      <w:r w:rsidRPr="002B1610">
        <w:rPr>
          <w:rFonts w:ascii="Verdana" w:hAnsi="Verdana" w:cs="Verdana"/>
          <w:b/>
          <w:w w:val="95"/>
          <w:sz w:val="20"/>
          <w:szCs w:val="20"/>
          <w:lang w:val="es-CR"/>
        </w:rPr>
        <w:tab/>
        <w:t>Respecto del marco fáctico</w:t>
      </w:r>
      <w:bookmarkEnd w:id="27"/>
    </w:p>
    <w:p w:rsidR="00DF15C3" w:rsidRPr="002B1610" w:rsidRDefault="00DF15C3" w:rsidP="003F26FD">
      <w:pPr>
        <w:pStyle w:val="Prrafodelista"/>
        <w:spacing w:after="0" w:line="216" w:lineRule="auto"/>
        <w:ind w:left="-142" w:right="-174"/>
        <w:jc w:val="both"/>
        <w:rPr>
          <w:rFonts w:ascii="Verdana" w:hAnsi="Verdana"/>
          <w:w w:val="95"/>
          <w:sz w:val="20"/>
          <w:szCs w:val="20"/>
          <w:lang w:val="es-CR"/>
        </w:rPr>
      </w:pPr>
    </w:p>
    <w:p w:rsidR="00DF15C3" w:rsidRPr="002B1610" w:rsidRDefault="00DF15C3" w:rsidP="003F26FD">
      <w:pPr>
        <w:pStyle w:val="Prrafodelista"/>
        <w:numPr>
          <w:ilvl w:val="0"/>
          <w:numId w:val="17"/>
        </w:numPr>
        <w:spacing w:after="0" w:line="216" w:lineRule="auto"/>
        <w:ind w:left="-142" w:right="-174" w:firstLine="0"/>
        <w:jc w:val="both"/>
        <w:rPr>
          <w:rFonts w:ascii="Verdana" w:hAnsi="Verdana"/>
          <w:w w:val="95"/>
          <w:sz w:val="20"/>
          <w:szCs w:val="20"/>
          <w:lang w:val="es-CR"/>
        </w:rPr>
      </w:pPr>
      <w:r w:rsidRPr="002B1610">
        <w:rPr>
          <w:rFonts w:ascii="Verdana" w:hAnsi="Verdana"/>
          <w:w w:val="95"/>
          <w:sz w:val="20"/>
          <w:szCs w:val="20"/>
          <w:lang w:val="es-CR"/>
        </w:rPr>
        <w:t xml:space="preserve">Este Tribunal recuerda que el marco fáctico del proceso ante la Corte se encuentra constituido por los hechos contenidos en el Informe de Fondo sometidos a consideración del Tribunal. En consecuencia, no es admisible que las partes aleguen nuevos hechos distintos de los contenidos en dicho informe, sin perjuicio de exponer aquellos que permitan explicar, aclarar o </w:t>
      </w:r>
      <w:r w:rsidRPr="00250E08">
        <w:rPr>
          <w:rFonts w:ascii="Verdana" w:hAnsi="Verdana"/>
          <w:w w:val="95"/>
          <w:sz w:val="20"/>
          <w:szCs w:val="20"/>
          <w:lang w:val="es-CR"/>
        </w:rPr>
        <w:t>desestimar los que hayan sido mencionados en el mismo y sometidos a consideración de la Corte</w:t>
      </w:r>
      <w:r w:rsidR="00EA3D4B">
        <w:rPr>
          <w:rFonts w:ascii="Verdana" w:hAnsi="Verdana"/>
          <w:w w:val="95"/>
          <w:sz w:val="20"/>
          <w:szCs w:val="20"/>
          <w:lang w:val="es-CR"/>
        </w:rPr>
        <w:t xml:space="preserve"> </w:t>
      </w:r>
      <w:r w:rsidR="00EA3D4B" w:rsidRPr="00EA3D4B">
        <w:rPr>
          <w:rFonts w:ascii="Verdana" w:hAnsi="Verdana"/>
          <w:w w:val="95"/>
          <w:sz w:val="20"/>
          <w:szCs w:val="20"/>
          <w:lang w:val="es-CR"/>
        </w:rPr>
        <w:t>(también llamados “hechos complementarios”)</w:t>
      </w:r>
      <w:r w:rsidR="00CC5CED" w:rsidRPr="00EA3D4B">
        <w:rPr>
          <w:vertAlign w:val="superscript"/>
        </w:rPr>
        <w:footnoteReference w:id="13"/>
      </w:r>
      <w:r w:rsidRPr="00250E08">
        <w:rPr>
          <w:rFonts w:ascii="Verdana" w:hAnsi="Verdana"/>
          <w:w w:val="95"/>
          <w:sz w:val="20"/>
          <w:szCs w:val="20"/>
          <w:lang w:val="es-CR"/>
        </w:rPr>
        <w:t>.</w:t>
      </w:r>
      <w:r w:rsidRPr="002B1610">
        <w:rPr>
          <w:rFonts w:ascii="Verdana" w:hAnsi="Verdana"/>
          <w:w w:val="95"/>
          <w:sz w:val="20"/>
          <w:szCs w:val="20"/>
          <w:lang w:val="es-CR"/>
        </w:rPr>
        <w:t xml:space="preserve"> </w:t>
      </w:r>
    </w:p>
    <w:p w:rsidR="00DF15C3" w:rsidRPr="002B1610" w:rsidRDefault="00DF15C3" w:rsidP="003F26FD">
      <w:pPr>
        <w:spacing w:after="0" w:line="216" w:lineRule="auto"/>
        <w:ind w:right="-174"/>
        <w:jc w:val="both"/>
        <w:rPr>
          <w:rFonts w:ascii="Verdana" w:hAnsi="Verdana"/>
          <w:w w:val="95"/>
          <w:sz w:val="20"/>
          <w:szCs w:val="20"/>
          <w:lang w:val="es-CR"/>
        </w:rPr>
      </w:pPr>
    </w:p>
    <w:p w:rsidR="00DF15C3" w:rsidRPr="002B1610" w:rsidRDefault="00C70B86" w:rsidP="003F26FD">
      <w:pPr>
        <w:pStyle w:val="Prrafodelista"/>
        <w:numPr>
          <w:ilvl w:val="0"/>
          <w:numId w:val="17"/>
        </w:numPr>
        <w:spacing w:after="0" w:line="216" w:lineRule="auto"/>
        <w:ind w:left="-142" w:right="-174" w:firstLine="0"/>
        <w:jc w:val="both"/>
        <w:rPr>
          <w:rFonts w:ascii="Verdana" w:hAnsi="Verdana"/>
          <w:w w:val="95"/>
          <w:sz w:val="20"/>
          <w:szCs w:val="20"/>
          <w:lang w:val="es-CR"/>
        </w:rPr>
      </w:pPr>
      <w:r w:rsidRPr="00315B30">
        <w:rPr>
          <w:rFonts w:ascii="Verdana" w:hAnsi="Verdana"/>
          <w:w w:val="95"/>
          <w:sz w:val="20"/>
          <w:szCs w:val="20"/>
          <w:lang w:val="es-CR"/>
        </w:rPr>
        <w:t>A</w:t>
      </w:r>
      <w:r w:rsidR="00DF15C3" w:rsidRPr="00315B30">
        <w:rPr>
          <w:rFonts w:ascii="Verdana" w:hAnsi="Verdana"/>
          <w:w w:val="95"/>
          <w:sz w:val="20"/>
          <w:szCs w:val="20"/>
          <w:lang w:val="es-CR"/>
        </w:rPr>
        <w:t>lgunos de los argumentos de la representante sobre la alegada violación al artículo 5 de la Convención</w:t>
      </w:r>
      <w:r w:rsidR="00DF15C3" w:rsidRPr="002B1610">
        <w:rPr>
          <w:rFonts w:ascii="Verdana" w:hAnsi="Verdana"/>
          <w:w w:val="95"/>
          <w:sz w:val="20"/>
          <w:szCs w:val="20"/>
          <w:lang w:val="es-CR"/>
        </w:rPr>
        <w:t xml:space="preserve"> se refieren a que </w:t>
      </w:r>
      <w:r w:rsidR="00DF15C3" w:rsidRPr="002B1610">
        <w:rPr>
          <w:rFonts w:ascii="Verdana" w:hAnsi="Verdana" w:cs="Arial"/>
          <w:w w:val="95"/>
          <w:sz w:val="20"/>
          <w:szCs w:val="20"/>
          <w:lang w:val="es-CR"/>
        </w:rPr>
        <w:t xml:space="preserve">la señora Rosa Elvira Franco en su empeño por obtener justicia para su hija, </w:t>
      </w:r>
      <w:r w:rsidR="00DF15C3">
        <w:rPr>
          <w:rFonts w:ascii="Verdana" w:hAnsi="Verdana" w:cs="Arial"/>
          <w:w w:val="95"/>
          <w:sz w:val="20"/>
          <w:szCs w:val="20"/>
          <w:lang w:val="es-CR"/>
        </w:rPr>
        <w:t>“</w:t>
      </w:r>
      <w:r w:rsidR="00DF15C3" w:rsidRPr="002B1610">
        <w:rPr>
          <w:rFonts w:ascii="Verdana" w:hAnsi="Verdana" w:cs="Arial"/>
          <w:w w:val="95"/>
          <w:sz w:val="20"/>
          <w:szCs w:val="20"/>
          <w:lang w:val="es-CR"/>
        </w:rPr>
        <w:t>se ha visto expuesta a múltiples amenazas y hostigamientos que han sido motivo de angustia y dolor, no solo para ella, sino para los hermanos y abuelos de María Isabel, frente a la posibilidad de que esta pueda ver afectada su integr</w:t>
      </w:r>
      <w:r w:rsidR="00DF15C3">
        <w:rPr>
          <w:rFonts w:ascii="Verdana" w:hAnsi="Verdana" w:cs="Arial"/>
          <w:w w:val="95"/>
          <w:sz w:val="20"/>
          <w:szCs w:val="20"/>
          <w:lang w:val="es-CR"/>
        </w:rPr>
        <w:t xml:space="preserve">idad personal o incluso su vida </w:t>
      </w:r>
      <w:r w:rsidR="00DF15C3" w:rsidRPr="002B1610">
        <w:rPr>
          <w:rFonts w:ascii="Verdana" w:hAnsi="Verdana" w:cs="Arial"/>
          <w:w w:val="95"/>
          <w:sz w:val="20"/>
          <w:szCs w:val="20"/>
        </w:rPr>
        <w:sym w:font="Symbol" w:char="F05B"/>
      </w:r>
      <w:r w:rsidR="00DF15C3" w:rsidRPr="002B1610">
        <w:rPr>
          <w:rFonts w:ascii="Verdana" w:hAnsi="Verdana" w:cs="Arial"/>
          <w:w w:val="95"/>
          <w:sz w:val="20"/>
          <w:szCs w:val="20"/>
          <w:lang w:val="es-CR"/>
        </w:rPr>
        <w:t>…</w:t>
      </w:r>
      <w:r w:rsidR="00DF15C3" w:rsidRPr="002B1610">
        <w:rPr>
          <w:rFonts w:ascii="Verdana" w:hAnsi="Verdana" w:cs="Arial"/>
          <w:w w:val="95"/>
          <w:sz w:val="20"/>
          <w:szCs w:val="20"/>
        </w:rPr>
        <w:sym w:font="Symbol" w:char="F05D"/>
      </w:r>
      <w:r w:rsidR="00DF15C3" w:rsidRPr="002B1610">
        <w:rPr>
          <w:rFonts w:ascii="Verdana" w:hAnsi="Verdana" w:cs="Arial"/>
          <w:w w:val="95"/>
          <w:sz w:val="20"/>
          <w:szCs w:val="20"/>
          <w:lang w:val="es-CR"/>
        </w:rPr>
        <w:t>”. En el trámite ante la Cor</w:t>
      </w:r>
      <w:r w:rsidR="00DF15C3">
        <w:rPr>
          <w:rFonts w:ascii="Verdana" w:hAnsi="Verdana" w:cs="Arial"/>
          <w:w w:val="95"/>
          <w:sz w:val="20"/>
          <w:szCs w:val="20"/>
          <w:lang w:val="es-CR"/>
        </w:rPr>
        <w:t>te, la representante señaló</w:t>
      </w:r>
      <w:r w:rsidR="00DF15C3" w:rsidRPr="002B1610">
        <w:rPr>
          <w:rFonts w:ascii="Verdana" w:hAnsi="Verdana" w:cs="Arial"/>
          <w:w w:val="95"/>
          <w:sz w:val="20"/>
          <w:szCs w:val="20"/>
          <w:lang w:val="es-CR"/>
        </w:rPr>
        <w:t xml:space="preserve"> que la señora</w:t>
      </w:r>
      <w:r w:rsidR="00DF15C3" w:rsidRPr="002B1610">
        <w:rPr>
          <w:rFonts w:ascii="Verdana" w:hAnsi="Verdana"/>
          <w:w w:val="95"/>
          <w:sz w:val="20"/>
          <w:szCs w:val="20"/>
          <w:lang w:val="es-CR"/>
        </w:rPr>
        <w:t xml:space="preserve"> Franco </w:t>
      </w:r>
      <w:r w:rsidR="00DF15C3" w:rsidRPr="00D3518C">
        <w:rPr>
          <w:rFonts w:ascii="Verdana" w:hAnsi="Verdana"/>
          <w:w w:val="95"/>
          <w:sz w:val="20"/>
          <w:szCs w:val="20"/>
          <w:lang w:val="es-CR"/>
        </w:rPr>
        <w:t xml:space="preserve">Sandoval </w:t>
      </w:r>
      <w:r w:rsidR="00D3518C" w:rsidRPr="00D3518C">
        <w:rPr>
          <w:rFonts w:ascii="Verdana" w:hAnsi="Verdana"/>
          <w:w w:val="95"/>
          <w:sz w:val="20"/>
          <w:szCs w:val="20"/>
          <w:lang w:val="es-CR"/>
        </w:rPr>
        <w:t xml:space="preserve">y </w:t>
      </w:r>
      <w:r w:rsidR="00106C82" w:rsidRPr="00D3518C">
        <w:rPr>
          <w:rFonts w:ascii="Verdana" w:hAnsi="Verdana"/>
          <w:w w:val="95"/>
          <w:sz w:val="20"/>
          <w:szCs w:val="20"/>
          <w:lang w:val="es-CR"/>
        </w:rPr>
        <w:t>sus familiares,</w:t>
      </w:r>
      <w:r w:rsidR="00106C82">
        <w:rPr>
          <w:rFonts w:ascii="Verdana" w:hAnsi="Verdana"/>
          <w:w w:val="95"/>
          <w:sz w:val="20"/>
          <w:szCs w:val="20"/>
          <w:lang w:val="es-CR"/>
        </w:rPr>
        <w:t xml:space="preserve"> </w:t>
      </w:r>
      <w:r w:rsidR="00DF15C3" w:rsidRPr="002B1610">
        <w:rPr>
          <w:rFonts w:ascii="Verdana" w:hAnsi="Verdana"/>
          <w:w w:val="95"/>
          <w:sz w:val="20"/>
          <w:szCs w:val="20"/>
          <w:lang w:val="es-CR"/>
        </w:rPr>
        <w:t>con poste</w:t>
      </w:r>
      <w:r w:rsidR="00106C82">
        <w:rPr>
          <w:rFonts w:ascii="Verdana" w:hAnsi="Verdana"/>
          <w:w w:val="95"/>
          <w:sz w:val="20"/>
          <w:szCs w:val="20"/>
          <w:lang w:val="es-CR"/>
        </w:rPr>
        <w:t>rioridad al homicidio de María Isabel,</w:t>
      </w:r>
      <w:r w:rsidR="00DF15C3" w:rsidRPr="002B1610">
        <w:rPr>
          <w:rFonts w:ascii="Verdana" w:hAnsi="Verdana"/>
          <w:w w:val="95"/>
          <w:sz w:val="20"/>
          <w:szCs w:val="20"/>
          <w:lang w:val="es-CR"/>
        </w:rPr>
        <w:t xml:space="preserve"> ha</w:t>
      </w:r>
      <w:r w:rsidR="00106C82">
        <w:rPr>
          <w:rFonts w:ascii="Verdana" w:hAnsi="Verdana"/>
          <w:w w:val="95"/>
          <w:sz w:val="20"/>
          <w:szCs w:val="20"/>
          <w:lang w:val="es-CR"/>
        </w:rPr>
        <w:t xml:space="preserve">n sido objeto de actos de intimidación </w:t>
      </w:r>
      <w:r w:rsidR="00DF15C3" w:rsidRPr="002B1610">
        <w:rPr>
          <w:rFonts w:ascii="Verdana" w:hAnsi="Verdana"/>
          <w:w w:val="95"/>
          <w:sz w:val="20"/>
          <w:szCs w:val="20"/>
          <w:lang w:val="es-CR"/>
        </w:rPr>
        <w:t xml:space="preserve">y </w:t>
      </w:r>
      <w:r w:rsidR="00A63732">
        <w:rPr>
          <w:rFonts w:ascii="Verdana" w:hAnsi="Verdana"/>
          <w:w w:val="95"/>
          <w:sz w:val="20"/>
          <w:szCs w:val="20"/>
          <w:lang w:val="es-CR"/>
        </w:rPr>
        <w:t xml:space="preserve">hostigamiento, </w:t>
      </w:r>
      <w:r w:rsidR="00A63732" w:rsidRPr="002B1610">
        <w:rPr>
          <w:rFonts w:ascii="Verdana" w:hAnsi="Verdana" w:cs="Arial"/>
          <w:w w:val="95"/>
          <w:sz w:val="20"/>
          <w:szCs w:val="20"/>
          <w:lang w:val="es-CR"/>
        </w:rPr>
        <w:t>los cuales han continu</w:t>
      </w:r>
      <w:r w:rsidR="00106C82">
        <w:rPr>
          <w:rFonts w:ascii="Verdana" w:hAnsi="Verdana" w:cs="Arial"/>
          <w:w w:val="95"/>
          <w:sz w:val="20"/>
          <w:szCs w:val="20"/>
          <w:lang w:val="es-CR"/>
        </w:rPr>
        <w:t>ado</w:t>
      </w:r>
      <w:r w:rsidR="00106C82" w:rsidRPr="002B1610">
        <w:rPr>
          <w:rStyle w:val="Refdenotaalpie"/>
          <w:rFonts w:ascii="Verdana" w:hAnsi="Verdana" w:cs="Arial"/>
          <w:w w:val="95"/>
          <w:sz w:val="20"/>
          <w:szCs w:val="20"/>
        </w:rPr>
        <w:footnoteReference w:id="14"/>
      </w:r>
      <w:r w:rsidR="00DF15C3" w:rsidRPr="002B1610">
        <w:rPr>
          <w:rFonts w:ascii="Verdana" w:hAnsi="Verdana" w:cs="Arial"/>
          <w:w w:val="95"/>
          <w:sz w:val="20"/>
          <w:szCs w:val="20"/>
          <w:lang w:val="es-CR"/>
        </w:rPr>
        <w:t xml:space="preserve">. </w:t>
      </w:r>
    </w:p>
    <w:p w:rsidR="00DF15C3" w:rsidRPr="006B7B23" w:rsidRDefault="00DF15C3" w:rsidP="003F26FD">
      <w:pPr>
        <w:spacing w:after="0" w:line="216" w:lineRule="auto"/>
        <w:ind w:left="-142" w:right="-174"/>
        <w:jc w:val="both"/>
        <w:rPr>
          <w:rFonts w:ascii="Verdana" w:hAnsi="Verdana"/>
          <w:w w:val="95"/>
          <w:sz w:val="20"/>
          <w:szCs w:val="20"/>
          <w:lang w:val="es-CR"/>
        </w:rPr>
      </w:pPr>
    </w:p>
    <w:p w:rsidR="00DF15C3" w:rsidRPr="002B1610" w:rsidRDefault="00DF15C3" w:rsidP="003F26FD">
      <w:pPr>
        <w:pStyle w:val="Prrafodelista"/>
        <w:numPr>
          <w:ilvl w:val="0"/>
          <w:numId w:val="17"/>
        </w:numPr>
        <w:spacing w:after="0" w:line="216" w:lineRule="auto"/>
        <w:ind w:left="-142" w:right="-174" w:firstLine="0"/>
        <w:jc w:val="both"/>
        <w:rPr>
          <w:rFonts w:ascii="Verdana" w:hAnsi="Verdana"/>
          <w:w w:val="95"/>
          <w:sz w:val="20"/>
          <w:szCs w:val="20"/>
          <w:lang w:val="es-CR"/>
        </w:rPr>
      </w:pPr>
      <w:r w:rsidRPr="002B1610">
        <w:rPr>
          <w:rFonts w:ascii="Verdana" w:hAnsi="Verdana"/>
          <w:w w:val="95"/>
          <w:sz w:val="20"/>
          <w:szCs w:val="20"/>
          <w:lang w:val="es-CR"/>
        </w:rPr>
        <w:t>Este Tribunal constata que la Comisión</w:t>
      </w:r>
      <w:r w:rsidR="009E2AD7">
        <w:rPr>
          <w:rFonts w:ascii="Verdana" w:hAnsi="Verdana"/>
          <w:w w:val="95"/>
          <w:sz w:val="20"/>
          <w:szCs w:val="20"/>
          <w:lang w:val="es-CR"/>
        </w:rPr>
        <w:t>,</w:t>
      </w:r>
      <w:r w:rsidRPr="002B1610">
        <w:rPr>
          <w:rFonts w:ascii="Verdana" w:hAnsi="Verdana"/>
          <w:w w:val="95"/>
          <w:sz w:val="20"/>
          <w:szCs w:val="20"/>
          <w:lang w:val="es-CR"/>
        </w:rPr>
        <w:t xml:space="preserve"> en su Informe de Fondo</w:t>
      </w:r>
      <w:r w:rsidR="009E2AD7">
        <w:rPr>
          <w:rFonts w:ascii="Verdana" w:hAnsi="Verdana"/>
          <w:w w:val="95"/>
          <w:sz w:val="20"/>
          <w:szCs w:val="20"/>
          <w:lang w:val="es-CR"/>
        </w:rPr>
        <w:t>,</w:t>
      </w:r>
      <w:r w:rsidRPr="002B1610">
        <w:rPr>
          <w:rFonts w:ascii="Verdana" w:hAnsi="Verdana"/>
          <w:w w:val="95"/>
          <w:sz w:val="20"/>
          <w:szCs w:val="20"/>
          <w:lang w:val="es-CR"/>
        </w:rPr>
        <w:t xml:space="preserve"> indicó que </w:t>
      </w:r>
      <w:r w:rsidRPr="002B1610">
        <w:rPr>
          <w:rFonts w:ascii="Verdana" w:hAnsi="Verdana" w:cs="Arial"/>
          <w:w w:val="95"/>
          <w:sz w:val="20"/>
          <w:szCs w:val="20"/>
          <w:lang w:val="es-CR"/>
        </w:rPr>
        <w:t xml:space="preserve">el 27 de junio de 2005 la señora Rosa </w:t>
      </w:r>
      <w:r>
        <w:rPr>
          <w:rFonts w:ascii="Verdana" w:hAnsi="Verdana" w:cs="Arial"/>
          <w:w w:val="95"/>
          <w:sz w:val="20"/>
          <w:szCs w:val="20"/>
          <w:lang w:val="es-CR"/>
        </w:rPr>
        <w:t xml:space="preserve">Elvira </w:t>
      </w:r>
      <w:r w:rsidRPr="002B1610">
        <w:rPr>
          <w:rFonts w:ascii="Verdana" w:hAnsi="Verdana" w:cs="Arial"/>
          <w:w w:val="95"/>
          <w:sz w:val="20"/>
          <w:szCs w:val="20"/>
          <w:lang w:val="es-CR"/>
        </w:rPr>
        <w:t>Franco solicitó a la Comisión el otorgamiento de medidas cautelares,</w:t>
      </w:r>
      <w:r w:rsidRPr="002B1610">
        <w:rPr>
          <w:rFonts w:ascii="Verdana" w:hAnsi="Verdana"/>
          <w:w w:val="95"/>
          <w:sz w:val="20"/>
          <w:szCs w:val="20"/>
          <w:lang w:val="es-CR"/>
        </w:rPr>
        <w:t xml:space="preserve"> alegando que los miembros de su familia eran víctimas de hostigamiento, persecución y amenazas, y que el 16 de noviembre de 2005 otorgó medidas cautelares a favor de Elvira Franco Sandoval, Leonel Enrique Veliz Franco, José Roberto Franco Sandoval y Cruz Elvira Sandoval Polanco</w:t>
      </w:r>
      <w:r w:rsidRPr="002B1610">
        <w:rPr>
          <w:rStyle w:val="Refdenotaalpie"/>
          <w:rFonts w:ascii="Verdana" w:hAnsi="Verdana"/>
          <w:w w:val="95"/>
          <w:sz w:val="20"/>
          <w:szCs w:val="20"/>
          <w:lang w:val="es-CR"/>
        </w:rPr>
        <w:footnoteReference w:id="15"/>
      </w:r>
      <w:r w:rsidRPr="002B1610">
        <w:rPr>
          <w:rFonts w:ascii="Verdana" w:hAnsi="Verdana"/>
          <w:w w:val="95"/>
          <w:sz w:val="20"/>
          <w:szCs w:val="20"/>
          <w:lang w:val="es-CR"/>
        </w:rPr>
        <w:t xml:space="preserve">. No obstante, se desprende del Informe de Fondo que la mención referida se hizo en un apartado en que se describe el “trámite ante la C[omisión”, y no como parte de los hechos </w:t>
      </w:r>
      <w:r w:rsidRPr="00250E08">
        <w:rPr>
          <w:rFonts w:ascii="Verdana" w:hAnsi="Verdana"/>
          <w:w w:val="95"/>
          <w:sz w:val="20"/>
          <w:szCs w:val="20"/>
          <w:lang w:val="es-CR"/>
        </w:rPr>
        <w:t xml:space="preserve">considerados </w:t>
      </w:r>
      <w:r w:rsidRPr="002B1610">
        <w:rPr>
          <w:rFonts w:ascii="Verdana" w:hAnsi="Verdana"/>
          <w:w w:val="95"/>
          <w:sz w:val="20"/>
          <w:szCs w:val="20"/>
          <w:lang w:val="es-CR"/>
        </w:rPr>
        <w:t xml:space="preserve">pertinentes en cuanto al fondo del asunto. Por ello, el Tribunal considera que las aludidas afirmaciones fácticas de </w:t>
      </w:r>
      <w:r>
        <w:rPr>
          <w:rFonts w:ascii="Verdana" w:hAnsi="Verdana"/>
          <w:w w:val="95"/>
          <w:sz w:val="20"/>
          <w:szCs w:val="20"/>
          <w:lang w:val="es-CR"/>
        </w:rPr>
        <w:t>la representante</w:t>
      </w:r>
      <w:r w:rsidRPr="002B1610">
        <w:rPr>
          <w:rFonts w:ascii="Verdana" w:hAnsi="Verdana"/>
          <w:w w:val="95"/>
          <w:sz w:val="20"/>
          <w:szCs w:val="20"/>
          <w:lang w:val="es-CR"/>
        </w:rPr>
        <w:t xml:space="preserve"> no explican, aclaran o desestiman los hechos presentados por la Comisión Interamericana en su Informe de Fondo, sino que introducen aspectos nuevos que no son parte del marco fáctico del presente caso. La Corte, por ende, no tendrá en consideración tales hechos.</w:t>
      </w:r>
    </w:p>
    <w:p w:rsidR="00DF15C3" w:rsidRPr="002B1610" w:rsidRDefault="00DF15C3" w:rsidP="003F26FD">
      <w:pPr>
        <w:pStyle w:val="Prrafodelista"/>
        <w:spacing w:after="0" w:line="216" w:lineRule="auto"/>
        <w:ind w:left="0" w:right="-174"/>
        <w:jc w:val="both"/>
        <w:rPr>
          <w:rFonts w:ascii="Verdana" w:hAnsi="Verdana"/>
          <w:b/>
          <w:w w:val="95"/>
          <w:sz w:val="20"/>
          <w:szCs w:val="20"/>
          <w:lang w:val="es-CR"/>
        </w:rPr>
      </w:pPr>
    </w:p>
    <w:p w:rsidR="00DF15C3" w:rsidRPr="002B1610" w:rsidRDefault="00DF15C3" w:rsidP="003F26FD">
      <w:pPr>
        <w:pStyle w:val="Prrafodelista"/>
        <w:numPr>
          <w:ilvl w:val="0"/>
          <w:numId w:val="13"/>
        </w:numPr>
        <w:spacing w:after="0" w:line="216" w:lineRule="auto"/>
        <w:ind w:left="284" w:right="-174" w:hanging="11"/>
        <w:jc w:val="both"/>
        <w:outlineLvl w:val="1"/>
        <w:rPr>
          <w:rFonts w:ascii="Verdana" w:hAnsi="Verdana"/>
          <w:b/>
          <w:w w:val="95"/>
          <w:sz w:val="20"/>
          <w:szCs w:val="20"/>
          <w:lang w:val="es-CR"/>
        </w:rPr>
      </w:pPr>
      <w:bookmarkStart w:id="28" w:name="_Toc394313637"/>
      <w:r w:rsidRPr="002B1610">
        <w:rPr>
          <w:rFonts w:ascii="Verdana" w:hAnsi="Verdana"/>
          <w:b/>
          <w:w w:val="95"/>
          <w:sz w:val="20"/>
          <w:szCs w:val="20"/>
          <w:lang w:val="es-CR"/>
        </w:rPr>
        <w:t>Sobre la determinación de las presuntas víctimas</w:t>
      </w:r>
      <w:bookmarkEnd w:id="28"/>
    </w:p>
    <w:p w:rsidR="00DF15C3" w:rsidRPr="002B1610" w:rsidRDefault="00DF15C3" w:rsidP="003F26FD">
      <w:pPr>
        <w:spacing w:after="0" w:line="216" w:lineRule="auto"/>
        <w:ind w:left="-142" w:right="-174"/>
        <w:jc w:val="both"/>
        <w:rPr>
          <w:rFonts w:ascii="Verdana" w:hAnsi="Verdana"/>
          <w:i/>
          <w:w w:val="95"/>
          <w:sz w:val="20"/>
          <w:szCs w:val="20"/>
          <w:lang w:val="es-CR"/>
        </w:rPr>
      </w:pPr>
    </w:p>
    <w:p w:rsidR="00DF15C3" w:rsidRPr="00EB187F" w:rsidRDefault="00DF15C3" w:rsidP="003F26FD">
      <w:pPr>
        <w:pStyle w:val="Prrafodelista"/>
        <w:numPr>
          <w:ilvl w:val="0"/>
          <w:numId w:val="17"/>
        </w:numPr>
        <w:spacing w:after="0" w:line="216" w:lineRule="auto"/>
        <w:ind w:left="-90" w:right="-174" w:firstLine="0"/>
        <w:jc w:val="both"/>
        <w:rPr>
          <w:rFonts w:ascii="Verdana" w:hAnsi="Verdana"/>
          <w:w w:val="95"/>
          <w:sz w:val="20"/>
          <w:szCs w:val="20"/>
          <w:lang w:val="es-CR"/>
        </w:rPr>
      </w:pPr>
      <w:r w:rsidRPr="00EB187F">
        <w:rPr>
          <w:rFonts w:ascii="Verdana" w:hAnsi="Verdana"/>
          <w:w w:val="95"/>
          <w:sz w:val="20"/>
          <w:szCs w:val="20"/>
          <w:lang w:val="es-CR"/>
        </w:rPr>
        <w:t>En el escrito de sometimiento</w:t>
      </w:r>
      <w:r w:rsidR="00606A7F">
        <w:rPr>
          <w:rFonts w:ascii="Verdana" w:hAnsi="Verdana"/>
          <w:w w:val="95"/>
          <w:sz w:val="20"/>
          <w:szCs w:val="20"/>
          <w:lang w:val="es-CR"/>
        </w:rPr>
        <w:t xml:space="preserve"> </w:t>
      </w:r>
      <w:r w:rsidRPr="00EB187F">
        <w:rPr>
          <w:rFonts w:ascii="Verdana" w:hAnsi="Verdana"/>
          <w:w w:val="95"/>
          <w:sz w:val="20"/>
          <w:szCs w:val="20"/>
          <w:lang w:val="es-CR"/>
        </w:rPr>
        <w:t xml:space="preserve">la </w:t>
      </w:r>
      <w:r w:rsidRPr="00EB187F">
        <w:rPr>
          <w:rFonts w:ascii="Verdana" w:hAnsi="Verdana"/>
          <w:b/>
          <w:i/>
          <w:w w:val="95"/>
          <w:sz w:val="20"/>
          <w:szCs w:val="20"/>
          <w:lang w:val="es-CR"/>
        </w:rPr>
        <w:t>Comisión</w:t>
      </w:r>
      <w:r w:rsidRPr="00EB187F">
        <w:rPr>
          <w:rFonts w:ascii="Verdana" w:hAnsi="Verdana"/>
          <w:w w:val="95"/>
          <w:sz w:val="20"/>
          <w:szCs w:val="20"/>
          <w:lang w:val="es-CR"/>
        </w:rPr>
        <w:t xml:space="preserve"> solicitó a la Corte que declare la responsabilidad internacional del Estado por la vulneración de derechos de María Isabel V</w:t>
      </w:r>
      <w:r>
        <w:rPr>
          <w:rFonts w:ascii="Verdana" w:hAnsi="Verdana"/>
          <w:w w:val="95"/>
          <w:sz w:val="20"/>
          <w:szCs w:val="20"/>
          <w:lang w:val="es-CR"/>
        </w:rPr>
        <w:t>e</w:t>
      </w:r>
      <w:r w:rsidRPr="00EB187F">
        <w:rPr>
          <w:rFonts w:ascii="Verdana" w:hAnsi="Verdana"/>
          <w:w w:val="95"/>
          <w:sz w:val="20"/>
          <w:szCs w:val="20"/>
          <w:lang w:val="es-CR"/>
        </w:rPr>
        <w:t>liz Franco; su madre, Rosa Elvira Franco Sandoval; los hermanos de aquella, Leonel Enrique V</w:t>
      </w:r>
      <w:r>
        <w:rPr>
          <w:rFonts w:ascii="Verdana" w:hAnsi="Verdana"/>
          <w:w w:val="95"/>
          <w:sz w:val="20"/>
          <w:szCs w:val="20"/>
          <w:lang w:val="es-CR"/>
        </w:rPr>
        <w:t>e</w:t>
      </w:r>
      <w:r w:rsidRPr="00EB187F">
        <w:rPr>
          <w:rFonts w:ascii="Verdana" w:hAnsi="Verdana"/>
          <w:w w:val="95"/>
          <w:sz w:val="20"/>
          <w:szCs w:val="20"/>
          <w:lang w:val="es-CR"/>
        </w:rPr>
        <w:t xml:space="preserve">liz Franco y José Roberto Franco, y los ya fallecidos abuelos de la primera, Cruz Elvira Sandoval Polanco de Franco y Roberto Franco Pérez. En el Informe de Fondo, la Comisión declaró violaciones a derechos de todas las personas mencionadas. La </w:t>
      </w:r>
      <w:r w:rsidRPr="00EB187F">
        <w:rPr>
          <w:rFonts w:ascii="Verdana" w:hAnsi="Verdana"/>
          <w:b/>
          <w:i/>
          <w:w w:val="95"/>
          <w:sz w:val="20"/>
          <w:szCs w:val="20"/>
          <w:lang w:val="es-CR"/>
        </w:rPr>
        <w:t>representante</w:t>
      </w:r>
      <w:r w:rsidRPr="00EB187F">
        <w:rPr>
          <w:rFonts w:ascii="Verdana" w:hAnsi="Verdana"/>
          <w:w w:val="95"/>
          <w:sz w:val="20"/>
          <w:szCs w:val="20"/>
          <w:lang w:val="es-CR"/>
        </w:rPr>
        <w:t xml:space="preserve"> también pidió a la Corte que determine violaciones a derechos de las seis personas nombradas. El </w:t>
      </w:r>
      <w:r w:rsidRPr="00EB187F">
        <w:rPr>
          <w:rFonts w:ascii="Verdana" w:hAnsi="Verdana"/>
          <w:b/>
          <w:i/>
          <w:w w:val="95"/>
          <w:sz w:val="20"/>
          <w:szCs w:val="20"/>
          <w:lang w:val="es-CR"/>
        </w:rPr>
        <w:t>Estado</w:t>
      </w:r>
      <w:r w:rsidRPr="00EB187F">
        <w:rPr>
          <w:rFonts w:ascii="Verdana" w:hAnsi="Verdana"/>
          <w:w w:val="95"/>
          <w:sz w:val="20"/>
          <w:szCs w:val="20"/>
          <w:lang w:val="es-CR"/>
        </w:rPr>
        <w:t>, en el marco de sus argumentos sobre las violaciones alegadas,</w:t>
      </w:r>
      <w:r w:rsidRPr="00EB187F">
        <w:rPr>
          <w:rFonts w:ascii="Verdana" w:hAnsi="Verdana"/>
          <w:i/>
          <w:w w:val="95"/>
          <w:sz w:val="20"/>
          <w:szCs w:val="20"/>
          <w:lang w:val="es-CR"/>
        </w:rPr>
        <w:t xml:space="preserve"> </w:t>
      </w:r>
      <w:r w:rsidRPr="00EB187F">
        <w:rPr>
          <w:rFonts w:ascii="Verdana" w:hAnsi="Verdana"/>
          <w:w w:val="95"/>
          <w:sz w:val="20"/>
          <w:szCs w:val="20"/>
          <w:lang w:val="es-CR"/>
        </w:rPr>
        <w:t xml:space="preserve">manifestó que </w:t>
      </w:r>
    </w:p>
    <w:p w:rsidR="00DF15C3" w:rsidRPr="002B1610" w:rsidRDefault="00DF15C3" w:rsidP="003F26FD">
      <w:pPr>
        <w:pStyle w:val="Prrafodelista"/>
        <w:spacing w:after="0" w:line="216" w:lineRule="auto"/>
        <w:ind w:left="-142" w:right="-174"/>
        <w:jc w:val="both"/>
        <w:rPr>
          <w:rFonts w:ascii="Verdana" w:hAnsi="Verdana"/>
          <w:w w:val="95"/>
          <w:sz w:val="20"/>
          <w:szCs w:val="20"/>
          <w:lang w:val="es-CR"/>
        </w:rPr>
      </w:pPr>
    </w:p>
    <w:p w:rsidR="00DF15C3" w:rsidRPr="002B1610" w:rsidRDefault="00DF15C3" w:rsidP="00121AD9">
      <w:pPr>
        <w:pStyle w:val="Prrafodelista"/>
        <w:spacing w:after="0" w:line="216" w:lineRule="auto"/>
        <w:ind w:left="284" w:right="186"/>
        <w:jc w:val="both"/>
        <w:rPr>
          <w:rFonts w:ascii="Verdana" w:hAnsi="Verdana"/>
          <w:w w:val="95"/>
          <w:sz w:val="16"/>
          <w:szCs w:val="16"/>
          <w:lang w:val="es-CR"/>
        </w:rPr>
      </w:pPr>
      <w:r w:rsidRPr="002B1610">
        <w:rPr>
          <w:rFonts w:ascii="Verdana" w:hAnsi="Verdana"/>
          <w:w w:val="95"/>
          <w:sz w:val="16"/>
          <w:szCs w:val="16"/>
          <w:lang w:val="es-CR"/>
        </w:rPr>
        <w:t xml:space="preserve">la petición [inicial del caso remitida a la Comisión] refirió y presentó como víctimas a María Isabel </w:t>
      </w:r>
      <w:r w:rsidR="0050766B" w:rsidRPr="002B1610">
        <w:rPr>
          <w:rFonts w:ascii="Verdana" w:hAnsi="Verdana"/>
          <w:w w:val="95"/>
          <w:sz w:val="16"/>
          <w:szCs w:val="16"/>
          <w:lang w:val="es-CR"/>
        </w:rPr>
        <w:t>V</w:t>
      </w:r>
      <w:r w:rsidR="0050766B">
        <w:rPr>
          <w:rFonts w:ascii="Verdana" w:hAnsi="Verdana"/>
          <w:w w:val="95"/>
          <w:sz w:val="16"/>
          <w:szCs w:val="16"/>
          <w:lang w:val="es-CR"/>
        </w:rPr>
        <w:t>e</w:t>
      </w:r>
      <w:r w:rsidR="0050766B" w:rsidRPr="002B1610">
        <w:rPr>
          <w:rFonts w:ascii="Verdana" w:hAnsi="Verdana"/>
          <w:w w:val="95"/>
          <w:sz w:val="16"/>
          <w:szCs w:val="16"/>
          <w:lang w:val="es-CR"/>
        </w:rPr>
        <w:t xml:space="preserve">liz </w:t>
      </w:r>
      <w:r w:rsidRPr="002B1610">
        <w:rPr>
          <w:rFonts w:ascii="Verdana" w:hAnsi="Verdana"/>
          <w:w w:val="95"/>
          <w:sz w:val="16"/>
          <w:szCs w:val="16"/>
          <w:lang w:val="es-CR"/>
        </w:rPr>
        <w:t xml:space="preserve">Franco y a su madre, Rosa Elvira Franco Sandoval; en el [I]nforme de [A]dmisibilidad, la Comisión declaró que conocería el caso por violaciones presuntamente cometidas en perjuicio de ellas[. …] De manera sorprendente […] el Informe de Fondo […] declaró que el Estado había vulnerado […] derechos en contra de [los nombrados familiares de María Isabel </w:t>
      </w:r>
      <w:r w:rsidR="0050766B" w:rsidRPr="002B1610">
        <w:rPr>
          <w:rFonts w:ascii="Verdana" w:hAnsi="Verdana"/>
          <w:w w:val="95"/>
          <w:sz w:val="16"/>
          <w:szCs w:val="16"/>
          <w:lang w:val="es-CR"/>
        </w:rPr>
        <w:t>V</w:t>
      </w:r>
      <w:r w:rsidR="0050766B">
        <w:rPr>
          <w:rFonts w:ascii="Verdana" w:hAnsi="Verdana"/>
          <w:w w:val="95"/>
          <w:sz w:val="16"/>
          <w:szCs w:val="16"/>
          <w:lang w:val="es-CR"/>
        </w:rPr>
        <w:t>e</w:t>
      </w:r>
      <w:r w:rsidR="0050766B" w:rsidRPr="002B1610">
        <w:rPr>
          <w:rFonts w:ascii="Verdana" w:hAnsi="Verdana"/>
          <w:w w:val="95"/>
          <w:sz w:val="16"/>
          <w:szCs w:val="16"/>
          <w:lang w:val="es-CR"/>
        </w:rPr>
        <w:t xml:space="preserve">liz </w:t>
      </w:r>
      <w:r w:rsidRPr="002B1610">
        <w:rPr>
          <w:rFonts w:ascii="Verdana" w:hAnsi="Verdana"/>
          <w:w w:val="95"/>
          <w:sz w:val="16"/>
          <w:szCs w:val="16"/>
          <w:lang w:val="es-CR"/>
        </w:rPr>
        <w:t xml:space="preserve">Franco]. Lo anterior vulnera el derecho de defensa del Estado, porque no conoció desde el inicio cuáles eran las argumentaciones por las que supuestamente existen otras víctimas colaterales. </w:t>
      </w:r>
    </w:p>
    <w:p w:rsidR="00DF15C3" w:rsidRPr="002B1610" w:rsidRDefault="00DF15C3" w:rsidP="003F26FD">
      <w:pPr>
        <w:pStyle w:val="Prrafodelista"/>
        <w:spacing w:after="0" w:line="216" w:lineRule="auto"/>
        <w:ind w:left="-142" w:right="-174"/>
        <w:jc w:val="both"/>
        <w:rPr>
          <w:rFonts w:ascii="Verdana" w:hAnsi="Verdana"/>
          <w:w w:val="95"/>
          <w:sz w:val="20"/>
          <w:szCs w:val="20"/>
          <w:lang w:val="es-CR"/>
        </w:rPr>
      </w:pPr>
    </w:p>
    <w:p w:rsidR="00DF15C3" w:rsidRPr="002B1610" w:rsidRDefault="004360A9" w:rsidP="003F26FD">
      <w:pPr>
        <w:pStyle w:val="Prrafodelista"/>
        <w:numPr>
          <w:ilvl w:val="0"/>
          <w:numId w:val="17"/>
        </w:numPr>
        <w:spacing w:after="0" w:line="216" w:lineRule="auto"/>
        <w:ind w:left="-142" w:right="-174" w:hanging="11"/>
        <w:jc w:val="both"/>
        <w:rPr>
          <w:rFonts w:ascii="Verdana" w:hAnsi="Verdana"/>
          <w:w w:val="95"/>
          <w:sz w:val="20"/>
          <w:szCs w:val="20"/>
          <w:lang w:val="es-CR"/>
        </w:rPr>
      </w:pPr>
      <w:r>
        <w:rPr>
          <w:rFonts w:ascii="Verdana" w:hAnsi="Verdana"/>
          <w:w w:val="95"/>
          <w:sz w:val="20"/>
          <w:szCs w:val="20"/>
          <w:lang w:val="es-CR"/>
        </w:rPr>
        <w:t>L</w:t>
      </w:r>
      <w:r w:rsidR="00DF15C3" w:rsidRPr="002B1610">
        <w:rPr>
          <w:rFonts w:ascii="Verdana" w:hAnsi="Verdana"/>
          <w:w w:val="95"/>
          <w:sz w:val="20"/>
          <w:szCs w:val="20"/>
          <w:lang w:val="es-CR"/>
        </w:rPr>
        <w:t>as presuntas víctimas deben estar señaladas en el Informe de Fondo de la Comisión, emitido según el artículo 50 de la Convención</w:t>
      </w:r>
      <w:r w:rsidR="00DF15C3" w:rsidRPr="002B1610">
        <w:rPr>
          <w:rStyle w:val="Refdenotaalpie"/>
          <w:rFonts w:ascii="Verdana" w:hAnsi="Verdana"/>
          <w:w w:val="95"/>
          <w:sz w:val="20"/>
          <w:szCs w:val="20"/>
        </w:rPr>
        <w:footnoteReference w:id="16"/>
      </w:r>
      <w:r w:rsidR="00DF15C3" w:rsidRPr="002B1610">
        <w:rPr>
          <w:rFonts w:ascii="Verdana" w:hAnsi="Verdana"/>
          <w:w w:val="95"/>
          <w:sz w:val="20"/>
          <w:szCs w:val="20"/>
          <w:lang w:val="es-CR"/>
        </w:rPr>
        <w:t>. El artículo 35.1 del Reglamento de este Tribunal dispone que el caso será sometido a la Corte mediante la presentación de dicho Informe, el cual deberá contener “la identificación de las presuntas víctimas”. De conformidad con dicha norma, corresponde a la Comisión</w:t>
      </w:r>
      <w:r w:rsidR="009E2AD7">
        <w:rPr>
          <w:rFonts w:ascii="Verdana" w:hAnsi="Verdana"/>
          <w:w w:val="95"/>
          <w:sz w:val="20"/>
          <w:szCs w:val="20"/>
          <w:lang w:val="es-CR"/>
        </w:rPr>
        <w:t>,</w:t>
      </w:r>
      <w:r w:rsidR="00DF15C3" w:rsidRPr="002B1610">
        <w:rPr>
          <w:rFonts w:ascii="Verdana" w:hAnsi="Verdana"/>
          <w:w w:val="95"/>
          <w:sz w:val="20"/>
          <w:szCs w:val="20"/>
          <w:lang w:val="es-CR"/>
        </w:rPr>
        <w:t xml:space="preserve"> y no a este Tribunal, identificar con precisión y en la debida oportunidad procesal a las presuntas víctimas en un caso ante la Corte</w:t>
      </w:r>
      <w:r w:rsidR="00DF15C3" w:rsidRPr="002B1610">
        <w:rPr>
          <w:rFonts w:ascii="Verdana" w:hAnsi="Verdana"/>
          <w:w w:val="95"/>
          <w:sz w:val="20"/>
          <w:szCs w:val="20"/>
          <w:vertAlign w:val="superscript"/>
        </w:rPr>
        <w:footnoteReference w:id="17"/>
      </w:r>
      <w:r w:rsidR="00DF15C3" w:rsidRPr="002B1610">
        <w:rPr>
          <w:rFonts w:ascii="Verdana" w:hAnsi="Verdana"/>
          <w:w w:val="95"/>
          <w:sz w:val="20"/>
          <w:szCs w:val="20"/>
          <w:lang w:val="es-CR"/>
        </w:rPr>
        <w:t xml:space="preserve">. </w:t>
      </w:r>
    </w:p>
    <w:p w:rsidR="00DF15C3" w:rsidRPr="002B1610" w:rsidRDefault="00DF15C3" w:rsidP="003F26FD">
      <w:pPr>
        <w:pStyle w:val="Prrafodelista"/>
        <w:spacing w:after="0" w:line="216" w:lineRule="auto"/>
        <w:ind w:left="-142" w:right="-174"/>
        <w:jc w:val="both"/>
        <w:rPr>
          <w:rFonts w:ascii="Verdana" w:hAnsi="Verdana"/>
          <w:b/>
          <w:w w:val="95"/>
          <w:sz w:val="20"/>
          <w:szCs w:val="20"/>
          <w:lang w:val="es-CR"/>
        </w:rPr>
      </w:pPr>
    </w:p>
    <w:p w:rsidR="00633F52" w:rsidRPr="00633F52" w:rsidRDefault="00DF15C3" w:rsidP="003F26FD">
      <w:pPr>
        <w:pStyle w:val="Prrafodelista"/>
        <w:numPr>
          <w:ilvl w:val="0"/>
          <w:numId w:val="17"/>
        </w:numPr>
        <w:spacing w:after="0" w:line="216" w:lineRule="auto"/>
        <w:ind w:left="-142" w:right="-174" w:hanging="11"/>
        <w:jc w:val="both"/>
        <w:rPr>
          <w:rFonts w:ascii="Verdana" w:hAnsi="Verdana"/>
          <w:w w:val="95"/>
          <w:sz w:val="20"/>
          <w:szCs w:val="20"/>
          <w:lang w:val="es-ES"/>
        </w:rPr>
      </w:pPr>
      <w:r w:rsidRPr="002B1610">
        <w:rPr>
          <w:rFonts w:ascii="Verdana" w:hAnsi="Verdana"/>
          <w:w w:val="95"/>
          <w:sz w:val="20"/>
          <w:szCs w:val="20"/>
          <w:lang w:val="es-CR"/>
        </w:rPr>
        <w:t>La Corte constata que los hermanos y abuelos de María Isabel V</w:t>
      </w:r>
      <w:r>
        <w:rPr>
          <w:rFonts w:ascii="Verdana" w:hAnsi="Verdana"/>
          <w:w w:val="95"/>
          <w:sz w:val="20"/>
          <w:szCs w:val="20"/>
          <w:lang w:val="es-CR"/>
        </w:rPr>
        <w:t>e</w:t>
      </w:r>
      <w:r w:rsidRPr="002B1610">
        <w:rPr>
          <w:rFonts w:ascii="Verdana" w:hAnsi="Verdana"/>
          <w:w w:val="95"/>
          <w:sz w:val="20"/>
          <w:szCs w:val="20"/>
          <w:lang w:val="es-CR"/>
        </w:rPr>
        <w:t>liz Franco fueron señalados como víctimas en el Informe de Fondo, de conformidad al citado artículo 35.1 del Reglamento (</w:t>
      </w:r>
      <w:r w:rsidRPr="002B1610">
        <w:rPr>
          <w:rFonts w:ascii="Verdana" w:hAnsi="Verdana"/>
          <w:i/>
          <w:w w:val="95"/>
          <w:sz w:val="20"/>
          <w:szCs w:val="20"/>
          <w:lang w:val="es-CR"/>
        </w:rPr>
        <w:t>supra</w:t>
      </w:r>
      <w:r w:rsidRPr="002B1610">
        <w:rPr>
          <w:rFonts w:ascii="Verdana" w:hAnsi="Verdana"/>
          <w:w w:val="95"/>
          <w:sz w:val="20"/>
          <w:szCs w:val="20"/>
          <w:lang w:val="es-CR"/>
        </w:rPr>
        <w:t xml:space="preserve"> párr.</w:t>
      </w:r>
      <w:r w:rsidR="00045490">
        <w:rPr>
          <w:rFonts w:ascii="Verdana" w:hAnsi="Verdana"/>
          <w:w w:val="95"/>
          <w:sz w:val="20"/>
          <w:szCs w:val="20"/>
          <w:lang w:val="es-CR"/>
        </w:rPr>
        <w:t xml:space="preserve"> </w:t>
      </w:r>
      <w:r w:rsidR="000D3634">
        <w:rPr>
          <w:rFonts w:ascii="Verdana" w:hAnsi="Verdana"/>
          <w:w w:val="95"/>
          <w:sz w:val="20"/>
          <w:szCs w:val="20"/>
          <w:lang w:val="es-CR"/>
        </w:rPr>
        <w:t>2</w:t>
      </w:r>
      <w:r w:rsidR="00633F52">
        <w:rPr>
          <w:rFonts w:ascii="Verdana" w:hAnsi="Verdana"/>
          <w:w w:val="95"/>
          <w:sz w:val="20"/>
          <w:szCs w:val="20"/>
          <w:lang w:val="es-CR"/>
        </w:rPr>
        <w:t>.c.i</w:t>
      </w:r>
      <w:r w:rsidR="000D3634">
        <w:rPr>
          <w:rFonts w:ascii="Verdana" w:hAnsi="Verdana"/>
          <w:w w:val="95"/>
          <w:sz w:val="20"/>
          <w:szCs w:val="20"/>
          <w:lang w:val="es-CR"/>
        </w:rPr>
        <w:t xml:space="preserve">). </w:t>
      </w:r>
      <w:r w:rsidRPr="002B1610">
        <w:rPr>
          <w:rFonts w:ascii="Verdana" w:hAnsi="Verdana"/>
          <w:w w:val="95"/>
          <w:sz w:val="20"/>
          <w:szCs w:val="20"/>
          <w:lang w:val="es-CR"/>
        </w:rPr>
        <w:t>Por ende, resulta improcedente el argumento estatal de la falta de identificación de las víctimas. De modo adicional, cabe señalar que si bien algunos de los familiares de María Isabel no fueron nombrados en la petición inicial ni en el Informe de Admisibilidad</w:t>
      </w:r>
      <w:r w:rsidRPr="002B1610">
        <w:rPr>
          <w:rStyle w:val="Refdenotaalpie"/>
          <w:rFonts w:ascii="Verdana" w:hAnsi="Verdana"/>
          <w:w w:val="95"/>
          <w:sz w:val="20"/>
          <w:szCs w:val="20"/>
        </w:rPr>
        <w:footnoteReference w:id="18"/>
      </w:r>
      <w:r w:rsidRPr="002B1610">
        <w:rPr>
          <w:rFonts w:ascii="Verdana" w:hAnsi="Verdana"/>
          <w:w w:val="95"/>
          <w:sz w:val="20"/>
          <w:szCs w:val="20"/>
          <w:lang w:val="es-CR"/>
        </w:rPr>
        <w:t xml:space="preserve">, en diversos escritos de </w:t>
      </w:r>
      <w:r>
        <w:rPr>
          <w:rFonts w:ascii="Verdana" w:hAnsi="Verdana"/>
          <w:w w:val="95"/>
          <w:sz w:val="20"/>
          <w:szCs w:val="20"/>
          <w:lang w:val="es-CR"/>
        </w:rPr>
        <w:t>la representante</w:t>
      </w:r>
      <w:r w:rsidRPr="002B1610">
        <w:rPr>
          <w:rFonts w:ascii="Verdana" w:hAnsi="Verdana"/>
          <w:w w:val="95"/>
          <w:sz w:val="20"/>
          <w:szCs w:val="20"/>
          <w:lang w:val="es-CR"/>
        </w:rPr>
        <w:t xml:space="preserve">, que fueron trasladados al Estado </w:t>
      </w:r>
      <w:r w:rsidRPr="002B1610">
        <w:rPr>
          <w:rFonts w:ascii="Verdana" w:hAnsi="Verdana"/>
          <w:w w:val="95"/>
          <w:sz w:val="20"/>
          <w:szCs w:val="20"/>
          <w:lang w:val="es-CR"/>
        </w:rPr>
        <w:lastRenderedPageBreak/>
        <w:t>durante el trámite del caso ante la Comisión, se adujeron violaciones en perjuicio de los dos hermanos y abuelos de ella</w:t>
      </w:r>
      <w:r w:rsidRPr="002B1610">
        <w:rPr>
          <w:rStyle w:val="Refdenotaalpie"/>
          <w:rFonts w:ascii="Verdana" w:hAnsi="Verdana"/>
          <w:w w:val="95"/>
          <w:sz w:val="20"/>
          <w:szCs w:val="20"/>
        </w:rPr>
        <w:footnoteReference w:id="19"/>
      </w:r>
      <w:r w:rsidRPr="002B1610">
        <w:rPr>
          <w:rFonts w:ascii="Verdana" w:hAnsi="Verdana"/>
          <w:w w:val="95"/>
          <w:sz w:val="20"/>
          <w:szCs w:val="20"/>
          <w:lang w:val="es-CR"/>
        </w:rPr>
        <w:t xml:space="preserve"> y el Estado tomó conocimiento de ello en dichas oportunidades.</w:t>
      </w:r>
      <w:r w:rsidRPr="00C5284E">
        <w:rPr>
          <w:rFonts w:ascii="Verdana" w:hAnsi="Verdana"/>
          <w:w w:val="95"/>
          <w:sz w:val="20"/>
          <w:szCs w:val="20"/>
          <w:lang w:val="es-CR"/>
        </w:rPr>
        <w:t xml:space="preserve"> El Tribunal constata, además, que tales alegatos se vinculaban a la misma base fáctica considerada en el Informe de Admisibilidad. </w:t>
      </w:r>
      <w:r w:rsidRPr="002B1610">
        <w:rPr>
          <w:rFonts w:ascii="Verdana" w:hAnsi="Verdana"/>
          <w:w w:val="95"/>
          <w:sz w:val="20"/>
          <w:szCs w:val="20"/>
          <w:lang w:val="es-CR"/>
        </w:rPr>
        <w:t>Igualmente, el Estado ante la Corte ha co</w:t>
      </w:r>
      <w:r w:rsidR="00633F52">
        <w:rPr>
          <w:rFonts w:ascii="Verdana" w:hAnsi="Verdana"/>
          <w:w w:val="95"/>
          <w:sz w:val="20"/>
          <w:szCs w:val="20"/>
          <w:lang w:val="es-CR"/>
        </w:rPr>
        <w:t xml:space="preserve">nocido dicha información y </w:t>
      </w:r>
      <w:r w:rsidR="00633F52" w:rsidRPr="00C11F32">
        <w:rPr>
          <w:rFonts w:ascii="Verdana" w:hAnsi="Verdana"/>
          <w:w w:val="95"/>
          <w:sz w:val="20"/>
          <w:szCs w:val="20"/>
          <w:lang w:val="es-CR"/>
        </w:rPr>
        <w:t>contó con</w:t>
      </w:r>
      <w:r w:rsidR="00633F52">
        <w:rPr>
          <w:rFonts w:ascii="Verdana" w:hAnsi="Verdana"/>
          <w:w w:val="95"/>
          <w:sz w:val="20"/>
          <w:szCs w:val="20"/>
          <w:lang w:val="es-CR"/>
        </w:rPr>
        <w:t xml:space="preserve"> </w:t>
      </w:r>
      <w:r w:rsidRPr="002B1610">
        <w:rPr>
          <w:rFonts w:ascii="Verdana" w:hAnsi="Verdana"/>
          <w:w w:val="95"/>
          <w:sz w:val="20"/>
          <w:szCs w:val="20"/>
          <w:lang w:val="es-CR"/>
        </w:rPr>
        <w:t>el derecho de defensa.</w:t>
      </w:r>
    </w:p>
    <w:p w:rsidR="00633F52" w:rsidRPr="00633F52" w:rsidRDefault="00633F52" w:rsidP="003F26FD">
      <w:pPr>
        <w:pStyle w:val="Prrafodelista"/>
        <w:ind w:right="-174"/>
        <w:rPr>
          <w:rFonts w:ascii="Verdana" w:hAnsi="Verdana"/>
          <w:w w:val="95"/>
          <w:sz w:val="20"/>
          <w:szCs w:val="20"/>
          <w:lang w:val="es-CR"/>
        </w:rPr>
      </w:pPr>
    </w:p>
    <w:p w:rsidR="00DF15C3" w:rsidRPr="00EB187F" w:rsidRDefault="00DF15C3" w:rsidP="003F26FD">
      <w:pPr>
        <w:pStyle w:val="Prrafodelista"/>
        <w:numPr>
          <w:ilvl w:val="0"/>
          <w:numId w:val="17"/>
        </w:numPr>
        <w:spacing w:after="0" w:line="216" w:lineRule="auto"/>
        <w:ind w:left="-142" w:right="-174" w:hanging="11"/>
        <w:jc w:val="both"/>
        <w:rPr>
          <w:rFonts w:ascii="Verdana" w:hAnsi="Verdana"/>
          <w:w w:val="95"/>
          <w:sz w:val="20"/>
          <w:szCs w:val="20"/>
          <w:lang w:val="es-ES"/>
        </w:rPr>
      </w:pPr>
      <w:r w:rsidRPr="002B1610">
        <w:rPr>
          <w:rFonts w:ascii="Verdana" w:hAnsi="Verdana"/>
          <w:w w:val="95"/>
          <w:sz w:val="20"/>
          <w:szCs w:val="20"/>
          <w:lang w:val="es-CR"/>
        </w:rPr>
        <w:t xml:space="preserve"> Consecuentemente, </w:t>
      </w:r>
      <w:r w:rsidR="00A83CB5">
        <w:rPr>
          <w:rFonts w:ascii="Verdana" w:hAnsi="Verdana"/>
          <w:w w:val="95"/>
          <w:sz w:val="20"/>
          <w:szCs w:val="20"/>
          <w:lang w:val="es-CR"/>
        </w:rPr>
        <w:t xml:space="preserve">este Tribunal </w:t>
      </w:r>
      <w:r w:rsidR="00633F52">
        <w:rPr>
          <w:rFonts w:ascii="Verdana" w:hAnsi="Verdana"/>
          <w:w w:val="95"/>
          <w:sz w:val="20"/>
          <w:szCs w:val="20"/>
          <w:lang w:val="es-CR"/>
        </w:rPr>
        <w:t>tiene como</w:t>
      </w:r>
      <w:r w:rsidRPr="002B1610">
        <w:rPr>
          <w:rFonts w:ascii="Verdana" w:hAnsi="Verdana"/>
          <w:w w:val="95"/>
          <w:sz w:val="20"/>
          <w:szCs w:val="20"/>
          <w:lang w:val="es-CR"/>
        </w:rPr>
        <w:t xml:space="preserve"> presuntas víctimas del caso a María Isabel V</w:t>
      </w:r>
      <w:r>
        <w:rPr>
          <w:rFonts w:ascii="Verdana" w:hAnsi="Verdana"/>
          <w:w w:val="95"/>
          <w:sz w:val="20"/>
          <w:szCs w:val="20"/>
          <w:lang w:val="es-CR"/>
        </w:rPr>
        <w:t>e</w:t>
      </w:r>
      <w:r w:rsidRPr="002B1610">
        <w:rPr>
          <w:rFonts w:ascii="Verdana" w:hAnsi="Verdana"/>
          <w:w w:val="95"/>
          <w:sz w:val="20"/>
          <w:szCs w:val="20"/>
          <w:lang w:val="es-CR"/>
        </w:rPr>
        <w:t>liz Franco, Rosa Elvira Franco Sandoval, Leonel Enrique V</w:t>
      </w:r>
      <w:r>
        <w:rPr>
          <w:rFonts w:ascii="Verdana" w:hAnsi="Verdana"/>
          <w:w w:val="95"/>
          <w:sz w:val="20"/>
          <w:szCs w:val="20"/>
          <w:lang w:val="es-CR"/>
        </w:rPr>
        <w:t>e</w:t>
      </w:r>
      <w:r w:rsidRPr="002B1610">
        <w:rPr>
          <w:rFonts w:ascii="Verdana" w:hAnsi="Verdana"/>
          <w:w w:val="95"/>
          <w:sz w:val="20"/>
          <w:szCs w:val="20"/>
          <w:lang w:val="es-CR"/>
        </w:rPr>
        <w:t>liz Franco, José Roberto Franco, Cruz Elvira Sandoval Polanco de Franco y Roberto Franco Pérez.</w:t>
      </w:r>
    </w:p>
    <w:p w:rsidR="00DF15C3" w:rsidRDefault="00DF15C3" w:rsidP="003F26FD">
      <w:pPr>
        <w:pStyle w:val="Prrafodelista"/>
        <w:spacing w:after="0" w:line="216" w:lineRule="auto"/>
        <w:ind w:left="-142" w:right="-174"/>
        <w:jc w:val="both"/>
        <w:rPr>
          <w:rFonts w:ascii="Verdana" w:hAnsi="Verdana"/>
          <w:w w:val="95"/>
          <w:sz w:val="20"/>
          <w:szCs w:val="20"/>
          <w:lang w:val="es-CR"/>
        </w:rPr>
      </w:pPr>
    </w:p>
    <w:p w:rsidR="00DF15C3" w:rsidRPr="00FF1F4C" w:rsidRDefault="00DF15C3" w:rsidP="003F26FD">
      <w:pPr>
        <w:pStyle w:val="Prrafodelista"/>
        <w:spacing w:after="0" w:line="216" w:lineRule="auto"/>
        <w:ind w:left="-142" w:right="-174"/>
        <w:jc w:val="center"/>
        <w:outlineLvl w:val="0"/>
        <w:rPr>
          <w:rFonts w:ascii="Verdana" w:hAnsi="Verdana"/>
          <w:b/>
          <w:w w:val="95"/>
          <w:sz w:val="20"/>
          <w:szCs w:val="20"/>
          <w:lang w:val="es-ES"/>
        </w:rPr>
      </w:pPr>
      <w:bookmarkStart w:id="29" w:name="_Toc384711945"/>
      <w:bookmarkStart w:id="30" w:name="_Toc394313638"/>
      <w:r>
        <w:rPr>
          <w:rFonts w:ascii="Verdana" w:hAnsi="Verdana"/>
          <w:b/>
          <w:w w:val="95"/>
          <w:sz w:val="20"/>
          <w:szCs w:val="20"/>
          <w:lang w:val="es-ES"/>
        </w:rPr>
        <w:t>IV</w:t>
      </w:r>
      <w:bookmarkEnd w:id="29"/>
      <w:bookmarkEnd w:id="30"/>
    </w:p>
    <w:p w:rsidR="00DF15C3" w:rsidRDefault="00DF15C3" w:rsidP="003F26FD">
      <w:pPr>
        <w:pStyle w:val="Prrafodelista"/>
        <w:spacing w:after="0" w:line="216" w:lineRule="auto"/>
        <w:ind w:left="-142" w:right="-174"/>
        <w:jc w:val="center"/>
        <w:outlineLvl w:val="0"/>
        <w:rPr>
          <w:rFonts w:ascii="Verdana" w:hAnsi="Verdana"/>
          <w:b/>
          <w:w w:val="95"/>
          <w:sz w:val="20"/>
          <w:szCs w:val="20"/>
          <w:lang w:val="es-ES"/>
        </w:rPr>
      </w:pPr>
      <w:bookmarkStart w:id="31" w:name="_Toc394313639"/>
      <w:r w:rsidRPr="00FF1F4C">
        <w:rPr>
          <w:rFonts w:ascii="Verdana" w:hAnsi="Verdana"/>
          <w:b/>
          <w:w w:val="95"/>
          <w:sz w:val="20"/>
          <w:szCs w:val="20"/>
          <w:lang w:val="es-ES"/>
        </w:rPr>
        <w:t>COMPETENCIA</w:t>
      </w:r>
      <w:bookmarkEnd w:id="31"/>
    </w:p>
    <w:p w:rsidR="00DF15C3" w:rsidRPr="00EB187F" w:rsidRDefault="00DF15C3" w:rsidP="003F26FD">
      <w:pPr>
        <w:pStyle w:val="Prrafodelista"/>
        <w:spacing w:after="0" w:line="216" w:lineRule="auto"/>
        <w:ind w:left="-142" w:right="-174"/>
        <w:jc w:val="both"/>
        <w:rPr>
          <w:rFonts w:ascii="Verdana" w:hAnsi="Verdana"/>
          <w:w w:val="95"/>
          <w:sz w:val="20"/>
          <w:szCs w:val="20"/>
          <w:lang w:val="es-ES"/>
        </w:rPr>
      </w:pPr>
    </w:p>
    <w:p w:rsidR="00DF15C3" w:rsidRPr="00C5284E" w:rsidRDefault="00DF15C3" w:rsidP="003F26FD">
      <w:pPr>
        <w:pStyle w:val="Prrafodelista"/>
        <w:numPr>
          <w:ilvl w:val="0"/>
          <w:numId w:val="17"/>
        </w:numPr>
        <w:spacing w:after="0" w:line="216" w:lineRule="auto"/>
        <w:ind w:left="-142" w:right="-174" w:hanging="11"/>
        <w:jc w:val="both"/>
        <w:rPr>
          <w:rFonts w:ascii="Verdana" w:hAnsi="Verdana"/>
          <w:w w:val="95"/>
          <w:sz w:val="20"/>
          <w:szCs w:val="20"/>
          <w:lang w:val="es-ES"/>
        </w:rPr>
      </w:pPr>
      <w:r w:rsidRPr="00C5284E">
        <w:rPr>
          <w:rFonts w:ascii="Verdana" w:hAnsi="Verdana"/>
          <w:w w:val="95"/>
          <w:sz w:val="20"/>
          <w:szCs w:val="20"/>
          <w:lang w:val="es-CR"/>
        </w:rPr>
        <w:t>La Corte Interamericana es competente, en los términos del artículo 62.3 de la Convención Americana, para conocer el presente caso, debido a que Guatemala es Estado Parte de la Convención Americana desde el 25 de mayo de 1978 y reconoció la competencia contenciosa de la Corte el 9 de marzo de 1987. Además, Guatemala es parte de la Convención de Belém do Pará desde el 4 de abril de 1995. Las objeciones del Estado respecto a la competencia de la Corte relativas a este tratado son analizadas en el siguiente capítulo.</w:t>
      </w:r>
    </w:p>
    <w:p w:rsidR="00DF15C3" w:rsidRPr="00EB187F" w:rsidRDefault="00DF15C3" w:rsidP="003F26FD">
      <w:pPr>
        <w:pStyle w:val="Prrafodelista"/>
        <w:spacing w:after="0" w:line="216" w:lineRule="auto"/>
        <w:ind w:left="-142" w:right="-174"/>
        <w:jc w:val="both"/>
        <w:rPr>
          <w:rFonts w:ascii="Verdana" w:hAnsi="Verdana"/>
          <w:w w:val="95"/>
          <w:sz w:val="20"/>
          <w:szCs w:val="20"/>
          <w:lang w:val="es-ES"/>
        </w:rPr>
      </w:pPr>
    </w:p>
    <w:p w:rsidR="00DF15C3" w:rsidRPr="002B1610" w:rsidRDefault="00DF15C3" w:rsidP="00F17D88">
      <w:pPr>
        <w:pStyle w:val="Prrafodelista"/>
        <w:spacing w:after="0" w:line="216" w:lineRule="auto"/>
        <w:ind w:left="-142" w:right="-174"/>
        <w:jc w:val="center"/>
        <w:outlineLvl w:val="0"/>
        <w:rPr>
          <w:rFonts w:ascii="Verdana" w:hAnsi="Verdana"/>
          <w:b/>
          <w:w w:val="95"/>
          <w:sz w:val="20"/>
          <w:szCs w:val="20"/>
          <w:lang w:val="es-ES"/>
        </w:rPr>
      </w:pPr>
      <w:bookmarkStart w:id="32" w:name="_Toc394313640"/>
      <w:r w:rsidRPr="002B1610">
        <w:rPr>
          <w:rFonts w:ascii="Verdana" w:hAnsi="Verdana"/>
          <w:b/>
          <w:w w:val="95"/>
          <w:sz w:val="20"/>
          <w:szCs w:val="20"/>
          <w:lang w:val="es-ES"/>
        </w:rPr>
        <w:t>V</w:t>
      </w:r>
      <w:bookmarkEnd w:id="32"/>
    </w:p>
    <w:p w:rsidR="00DF15C3" w:rsidRPr="002B1610" w:rsidRDefault="00DF15C3" w:rsidP="00F17D88">
      <w:pPr>
        <w:spacing w:after="0" w:line="216" w:lineRule="auto"/>
        <w:ind w:left="-142" w:right="-174"/>
        <w:jc w:val="center"/>
        <w:outlineLvl w:val="0"/>
        <w:rPr>
          <w:rFonts w:ascii="Verdana" w:hAnsi="Verdana"/>
          <w:b/>
          <w:w w:val="95"/>
          <w:sz w:val="20"/>
          <w:szCs w:val="20"/>
          <w:lang w:val="es-CR"/>
        </w:rPr>
      </w:pPr>
      <w:bookmarkStart w:id="33" w:name="_Toc384711948"/>
      <w:bookmarkStart w:id="34" w:name="_Toc394313641"/>
      <w:r w:rsidRPr="002B1610">
        <w:rPr>
          <w:rFonts w:ascii="Verdana" w:hAnsi="Verdana"/>
          <w:b/>
          <w:w w:val="95"/>
          <w:sz w:val="20"/>
          <w:szCs w:val="20"/>
          <w:lang w:val="es-CR"/>
        </w:rPr>
        <w:t>EXCEPCIONES PRELIMINARES DE FALTA DE COMPETENCIA Y</w:t>
      </w:r>
      <w:bookmarkEnd w:id="33"/>
      <w:bookmarkEnd w:id="34"/>
      <w:r w:rsidRPr="002B1610">
        <w:rPr>
          <w:rFonts w:ascii="Verdana" w:hAnsi="Verdana"/>
          <w:b/>
          <w:w w:val="95"/>
          <w:sz w:val="20"/>
          <w:szCs w:val="20"/>
          <w:lang w:val="es-CR"/>
        </w:rPr>
        <w:t xml:space="preserve"> </w:t>
      </w:r>
    </w:p>
    <w:p w:rsidR="00DF15C3" w:rsidRPr="002B1610" w:rsidRDefault="00DF15C3" w:rsidP="00F17D88">
      <w:pPr>
        <w:spacing w:after="0" w:line="216" w:lineRule="auto"/>
        <w:ind w:left="-142" w:right="-174"/>
        <w:jc w:val="center"/>
        <w:outlineLvl w:val="0"/>
        <w:rPr>
          <w:rFonts w:ascii="Verdana" w:hAnsi="Verdana"/>
          <w:b/>
          <w:w w:val="95"/>
          <w:sz w:val="20"/>
          <w:szCs w:val="20"/>
          <w:lang w:val="es-CR"/>
        </w:rPr>
      </w:pPr>
      <w:bookmarkStart w:id="35" w:name="_Toc394313642"/>
      <w:r w:rsidRPr="002B1610">
        <w:rPr>
          <w:rFonts w:ascii="Verdana" w:hAnsi="Verdana"/>
          <w:b/>
          <w:w w:val="95"/>
          <w:sz w:val="20"/>
          <w:szCs w:val="20"/>
          <w:lang w:val="es-CR"/>
        </w:rPr>
        <w:t>NO AGOTAMIENTO DE LOS RECURSOS INTERNOS</w:t>
      </w:r>
      <w:bookmarkEnd w:id="35"/>
    </w:p>
    <w:p w:rsidR="00DF15C3" w:rsidRPr="007164A0" w:rsidRDefault="00DF15C3" w:rsidP="003F26FD">
      <w:pPr>
        <w:tabs>
          <w:tab w:val="left" w:pos="2358"/>
        </w:tabs>
        <w:spacing w:after="0" w:line="216" w:lineRule="auto"/>
        <w:ind w:left="-142" w:right="-174"/>
        <w:rPr>
          <w:rFonts w:ascii="Verdana" w:hAnsi="Verdana"/>
          <w:b/>
          <w:w w:val="95"/>
          <w:sz w:val="20"/>
          <w:szCs w:val="20"/>
          <w:lang w:val="es-CR"/>
        </w:rPr>
      </w:pPr>
      <w:r w:rsidRPr="002B1610">
        <w:rPr>
          <w:rFonts w:ascii="Verdana" w:hAnsi="Verdana"/>
          <w:b/>
          <w:w w:val="95"/>
          <w:sz w:val="20"/>
          <w:szCs w:val="20"/>
          <w:lang w:val="es-CR"/>
        </w:rPr>
        <w:tab/>
      </w:r>
    </w:p>
    <w:p w:rsidR="00DF15C3" w:rsidRPr="002B1610" w:rsidRDefault="00DF15C3" w:rsidP="003F26FD">
      <w:pPr>
        <w:pStyle w:val="Prrafodelista"/>
        <w:numPr>
          <w:ilvl w:val="0"/>
          <w:numId w:val="4"/>
        </w:numPr>
        <w:spacing w:after="0" w:line="216" w:lineRule="auto"/>
        <w:ind w:left="284" w:right="-174" w:firstLine="0"/>
        <w:jc w:val="both"/>
        <w:outlineLvl w:val="1"/>
        <w:rPr>
          <w:rFonts w:ascii="Verdana" w:hAnsi="Verdana"/>
          <w:b/>
          <w:w w:val="95"/>
          <w:sz w:val="20"/>
          <w:szCs w:val="20"/>
          <w:lang w:val="es-CR"/>
        </w:rPr>
      </w:pPr>
      <w:bookmarkStart w:id="36" w:name="_Toc394313643"/>
      <w:r w:rsidRPr="002B1610">
        <w:rPr>
          <w:rFonts w:ascii="Verdana" w:hAnsi="Verdana"/>
          <w:b/>
          <w:w w:val="95"/>
          <w:sz w:val="20"/>
          <w:szCs w:val="20"/>
          <w:lang w:val="es-CR"/>
        </w:rPr>
        <w:t>Excepción preliminar de falta de competencia material sobre el artículo 7 de la Convención de Belém do Pará</w:t>
      </w:r>
      <w:r w:rsidRPr="006A377C">
        <w:rPr>
          <w:rStyle w:val="Refdenotaalpie"/>
          <w:rFonts w:ascii="Verdana" w:hAnsi="Verdana"/>
          <w:w w:val="95"/>
          <w:sz w:val="20"/>
          <w:szCs w:val="20"/>
          <w:lang w:val="es-CR"/>
        </w:rPr>
        <w:footnoteReference w:id="20"/>
      </w:r>
      <w:bookmarkEnd w:id="36"/>
    </w:p>
    <w:p w:rsidR="00DF15C3" w:rsidRPr="002B1610" w:rsidRDefault="00DF15C3" w:rsidP="003F26FD">
      <w:pPr>
        <w:pStyle w:val="Prrafodelista"/>
        <w:spacing w:after="0" w:line="216" w:lineRule="auto"/>
        <w:ind w:left="-142" w:right="-174"/>
        <w:jc w:val="both"/>
        <w:rPr>
          <w:rFonts w:ascii="Verdana" w:hAnsi="Verdana"/>
          <w:w w:val="95"/>
          <w:sz w:val="20"/>
          <w:szCs w:val="20"/>
          <w:lang w:val="es-CR"/>
        </w:rPr>
      </w:pPr>
    </w:p>
    <w:p w:rsidR="00DF15C3" w:rsidRPr="002B1610" w:rsidRDefault="00DF15C3" w:rsidP="003F26FD">
      <w:pPr>
        <w:pStyle w:val="Prrafodelista"/>
        <w:spacing w:after="0" w:line="216" w:lineRule="auto"/>
        <w:ind w:left="567" w:right="-174"/>
        <w:jc w:val="both"/>
        <w:outlineLvl w:val="2"/>
        <w:rPr>
          <w:rFonts w:ascii="Verdana" w:hAnsi="Verdana"/>
          <w:b/>
          <w:i/>
          <w:w w:val="95"/>
          <w:sz w:val="20"/>
          <w:szCs w:val="20"/>
          <w:lang w:val="es-CR"/>
        </w:rPr>
      </w:pPr>
      <w:bookmarkStart w:id="37" w:name="_Toc394313644"/>
      <w:r>
        <w:rPr>
          <w:rFonts w:ascii="Verdana" w:hAnsi="Verdana"/>
          <w:b/>
          <w:i/>
          <w:w w:val="95"/>
          <w:sz w:val="20"/>
          <w:szCs w:val="20"/>
          <w:lang w:val="es-CR"/>
        </w:rPr>
        <w:t>A</w:t>
      </w:r>
      <w:r w:rsidRPr="002B1610">
        <w:rPr>
          <w:rFonts w:ascii="Verdana" w:hAnsi="Verdana"/>
          <w:b/>
          <w:i/>
          <w:w w:val="95"/>
          <w:sz w:val="20"/>
          <w:szCs w:val="20"/>
          <w:lang w:val="es-CR"/>
        </w:rPr>
        <w:t>.1) Argumentos de las partes y la Comisión</w:t>
      </w:r>
      <w:bookmarkEnd w:id="37"/>
    </w:p>
    <w:p w:rsidR="00DF15C3" w:rsidRPr="002B1610" w:rsidRDefault="00DF15C3" w:rsidP="003F26FD">
      <w:pPr>
        <w:pStyle w:val="Prrafodelista"/>
        <w:spacing w:after="0" w:line="216" w:lineRule="auto"/>
        <w:ind w:left="-142" w:right="-174"/>
        <w:jc w:val="both"/>
        <w:rPr>
          <w:rFonts w:ascii="Verdana" w:hAnsi="Verdana"/>
          <w:w w:val="95"/>
          <w:sz w:val="20"/>
          <w:szCs w:val="20"/>
          <w:lang w:val="es-CR"/>
        </w:rPr>
      </w:pPr>
    </w:p>
    <w:p w:rsidR="00DF15C3" w:rsidRPr="00315B30" w:rsidRDefault="00DF15C3" w:rsidP="003F26FD">
      <w:pPr>
        <w:pStyle w:val="Prrafodelista"/>
        <w:numPr>
          <w:ilvl w:val="0"/>
          <w:numId w:val="17"/>
        </w:numPr>
        <w:spacing w:after="0" w:line="216" w:lineRule="auto"/>
        <w:ind w:left="-180" w:right="-174" w:firstLine="0"/>
        <w:jc w:val="both"/>
        <w:rPr>
          <w:rFonts w:ascii="Verdana" w:hAnsi="Verdana"/>
          <w:w w:val="95"/>
          <w:sz w:val="20"/>
          <w:szCs w:val="20"/>
          <w:lang w:val="es-CR"/>
        </w:rPr>
      </w:pPr>
      <w:r w:rsidRPr="009904B0">
        <w:rPr>
          <w:rFonts w:ascii="Verdana" w:hAnsi="Verdana"/>
          <w:w w:val="95"/>
          <w:sz w:val="20"/>
          <w:szCs w:val="20"/>
          <w:lang w:val="es-CR"/>
        </w:rPr>
        <w:t xml:space="preserve">El </w:t>
      </w:r>
      <w:r w:rsidRPr="009904B0">
        <w:rPr>
          <w:rFonts w:ascii="Verdana" w:hAnsi="Verdana"/>
          <w:b/>
          <w:i/>
          <w:w w:val="95"/>
          <w:sz w:val="20"/>
          <w:szCs w:val="20"/>
          <w:lang w:val="es-CR"/>
        </w:rPr>
        <w:t>Estado</w:t>
      </w:r>
      <w:r w:rsidRPr="009904B0">
        <w:rPr>
          <w:rFonts w:ascii="Verdana" w:hAnsi="Verdana"/>
          <w:w w:val="95"/>
          <w:sz w:val="20"/>
          <w:szCs w:val="20"/>
          <w:lang w:val="es-CR"/>
        </w:rPr>
        <w:t xml:space="preserve"> afirmó que “tomando en consideración las reservas que hizo [Guatemala] al momento de […] acep</w:t>
      </w:r>
      <w:r>
        <w:rPr>
          <w:rFonts w:ascii="Verdana" w:hAnsi="Verdana"/>
          <w:w w:val="95"/>
          <w:sz w:val="20"/>
          <w:szCs w:val="20"/>
          <w:lang w:val="es-CR"/>
        </w:rPr>
        <w:t>[</w:t>
      </w:r>
      <w:r w:rsidRPr="009904B0">
        <w:rPr>
          <w:rFonts w:ascii="Verdana" w:hAnsi="Verdana"/>
          <w:w w:val="95"/>
          <w:sz w:val="20"/>
          <w:szCs w:val="20"/>
          <w:lang w:val="es-CR"/>
        </w:rPr>
        <w:t>tar</w:t>
      </w:r>
      <w:r>
        <w:rPr>
          <w:rFonts w:ascii="Verdana" w:hAnsi="Verdana"/>
          <w:w w:val="95"/>
          <w:sz w:val="20"/>
          <w:szCs w:val="20"/>
          <w:lang w:val="es-CR"/>
        </w:rPr>
        <w:t>]</w:t>
      </w:r>
      <w:r w:rsidRPr="009904B0">
        <w:rPr>
          <w:rFonts w:ascii="Verdana" w:hAnsi="Verdana"/>
          <w:w w:val="95"/>
          <w:sz w:val="20"/>
          <w:szCs w:val="20"/>
          <w:lang w:val="es-CR"/>
        </w:rPr>
        <w:t xml:space="preserve"> […] la jurisdicción contenciosa” de la Corte</w:t>
      </w:r>
      <w:r w:rsidR="00F15CBE" w:rsidRPr="000D3634">
        <w:rPr>
          <w:rStyle w:val="Refdenotaalpie"/>
          <w:rFonts w:ascii="Verdana" w:hAnsi="Verdana"/>
          <w:w w:val="95"/>
          <w:sz w:val="20"/>
        </w:rPr>
        <w:footnoteReference w:id="21"/>
      </w:r>
      <w:r w:rsidRPr="009904B0">
        <w:rPr>
          <w:rFonts w:ascii="Verdana" w:hAnsi="Verdana"/>
          <w:w w:val="95"/>
          <w:sz w:val="20"/>
          <w:szCs w:val="20"/>
          <w:lang w:val="es-CR"/>
        </w:rPr>
        <w:t>, ésta es competente para conocer el caso por las “presuntas violaciones alegadas […] a los derechos protegidos por la Convención Americana”. “Sin embargo […] no reconoce la competencia” del Tribunal “para conocer de la supuesta violación del artículo 7 de la Convención [de] Belém do Pará”. Adujo que el artículo 62 de la Convención Americana “define la competencia de la Corte sobre casos relativos a la interpretación o aplicación de [dicha] Convención”. Además, indicó que “[s]i bien […] el artículo 12 de la ‘Convención [de] Belém do Pará’</w:t>
      </w:r>
      <w:r>
        <w:rPr>
          <w:rFonts w:ascii="Verdana" w:hAnsi="Verdana"/>
          <w:w w:val="95"/>
          <w:sz w:val="20"/>
          <w:szCs w:val="20"/>
          <w:lang w:val="es-CR"/>
        </w:rPr>
        <w:t>”</w:t>
      </w:r>
      <w:r w:rsidRPr="009904B0">
        <w:rPr>
          <w:rFonts w:ascii="Verdana" w:hAnsi="Verdana"/>
          <w:w w:val="95"/>
          <w:sz w:val="20"/>
          <w:szCs w:val="20"/>
          <w:lang w:val="es-CR"/>
        </w:rPr>
        <w:t xml:space="preserve"> señala la posibilidad de que </w:t>
      </w:r>
      <w:r>
        <w:rPr>
          <w:rFonts w:ascii="Verdana" w:hAnsi="Verdana"/>
          <w:w w:val="95"/>
          <w:sz w:val="20"/>
          <w:szCs w:val="20"/>
          <w:lang w:val="es-CR"/>
        </w:rPr>
        <w:t>“</w:t>
      </w:r>
      <w:r w:rsidRPr="009904B0">
        <w:rPr>
          <w:rFonts w:ascii="Verdana" w:hAnsi="Verdana"/>
          <w:w w:val="95"/>
          <w:sz w:val="20"/>
          <w:szCs w:val="20"/>
          <w:lang w:val="es-CR"/>
        </w:rPr>
        <w:t xml:space="preserve">se present[en] a la C[omisión Interamericana] peticiones que contengan denuncias o quejas de violación del artículo 7 de dicha Convención”, ello no implica que la Corte “tenga competencia </w:t>
      </w:r>
      <w:r w:rsidRPr="009904B0">
        <w:rPr>
          <w:rFonts w:ascii="Verdana" w:hAnsi="Verdana"/>
          <w:i/>
          <w:w w:val="95"/>
          <w:sz w:val="20"/>
          <w:szCs w:val="20"/>
          <w:lang w:val="es-CR"/>
        </w:rPr>
        <w:t xml:space="preserve">ratione materiae </w:t>
      </w:r>
      <w:r w:rsidRPr="009904B0">
        <w:rPr>
          <w:rFonts w:ascii="Verdana" w:hAnsi="Verdana"/>
          <w:w w:val="95"/>
          <w:sz w:val="20"/>
          <w:szCs w:val="20"/>
          <w:lang w:val="es-CR"/>
        </w:rPr>
        <w:t xml:space="preserve">para conocer […] denuncias basadas en [ese tratado]” pues “no </w:t>
      </w:r>
      <w:r w:rsidRPr="009904B0">
        <w:rPr>
          <w:rFonts w:ascii="Verdana" w:hAnsi="Verdana"/>
          <w:w w:val="95"/>
          <w:sz w:val="20"/>
          <w:szCs w:val="20"/>
          <w:lang w:val="es-CR"/>
        </w:rPr>
        <w:lastRenderedPageBreak/>
        <w:t xml:space="preserve">basta la buena fe de los Estados, ni el justificable objeto y fin de las </w:t>
      </w:r>
      <w:r w:rsidRPr="00315B30">
        <w:rPr>
          <w:rFonts w:ascii="Verdana" w:hAnsi="Verdana"/>
          <w:w w:val="95"/>
          <w:sz w:val="20"/>
          <w:szCs w:val="20"/>
          <w:lang w:val="es-CR"/>
        </w:rPr>
        <w:t>múltiples Convenciones […] para delegar competencia de manera tácita y automática a la Corte”. Asimismo, el Estado consideró</w:t>
      </w:r>
    </w:p>
    <w:p w:rsidR="00DF15C3" w:rsidRPr="00C71D45" w:rsidRDefault="00DF15C3" w:rsidP="003F26FD">
      <w:pPr>
        <w:pStyle w:val="Prrafodelista"/>
        <w:spacing w:after="0" w:line="216" w:lineRule="auto"/>
        <w:ind w:left="-180" w:right="-174"/>
        <w:jc w:val="both"/>
        <w:rPr>
          <w:rFonts w:ascii="Verdana" w:hAnsi="Verdana"/>
          <w:w w:val="95"/>
          <w:sz w:val="20"/>
          <w:szCs w:val="20"/>
          <w:lang w:val="es-CR"/>
        </w:rPr>
      </w:pPr>
    </w:p>
    <w:p w:rsidR="00DF15C3" w:rsidRPr="002B1610" w:rsidRDefault="00DF15C3" w:rsidP="00121AD9">
      <w:pPr>
        <w:pStyle w:val="Prrafodelista"/>
        <w:spacing w:after="0" w:line="216" w:lineRule="auto"/>
        <w:ind w:left="284" w:right="186"/>
        <w:jc w:val="both"/>
        <w:rPr>
          <w:rFonts w:ascii="Verdana" w:hAnsi="Verdana"/>
          <w:i/>
          <w:w w:val="95"/>
          <w:sz w:val="16"/>
          <w:szCs w:val="16"/>
          <w:lang w:val="es-CR"/>
        </w:rPr>
      </w:pPr>
      <w:r w:rsidRPr="002B1610">
        <w:rPr>
          <w:rFonts w:ascii="Verdana" w:hAnsi="Verdana"/>
          <w:w w:val="95"/>
          <w:sz w:val="16"/>
          <w:szCs w:val="16"/>
          <w:lang w:val="es-CR"/>
        </w:rPr>
        <w:t xml:space="preserve">que es razonable el pronunciamiento de la Corte en su sentencia dictada en el caso </w:t>
      </w:r>
      <w:r w:rsidRPr="002B1610">
        <w:rPr>
          <w:rFonts w:ascii="Verdana" w:hAnsi="Verdana"/>
          <w:i/>
          <w:w w:val="95"/>
          <w:sz w:val="16"/>
          <w:szCs w:val="16"/>
          <w:lang w:val="es-CR"/>
        </w:rPr>
        <w:t xml:space="preserve">González y otras (“Campo Algodonero”) Vs. México, </w:t>
      </w:r>
      <w:r w:rsidRPr="002B1610">
        <w:rPr>
          <w:rFonts w:ascii="Verdana" w:hAnsi="Verdana"/>
          <w:w w:val="95"/>
          <w:sz w:val="16"/>
          <w:szCs w:val="16"/>
          <w:lang w:val="es-CR"/>
        </w:rPr>
        <w:t>sobre la posibilidad de ejercer competencia contenciosa respecto a […] instrumentos […] dist</w:t>
      </w:r>
      <w:r>
        <w:rPr>
          <w:rFonts w:ascii="Verdana" w:hAnsi="Verdana"/>
          <w:w w:val="95"/>
          <w:sz w:val="16"/>
          <w:szCs w:val="16"/>
          <w:lang w:val="es-CR"/>
        </w:rPr>
        <w:t>intos a la Convención Americana</w:t>
      </w:r>
      <w:r w:rsidRPr="002B1610">
        <w:rPr>
          <w:rFonts w:ascii="Verdana" w:hAnsi="Verdana"/>
          <w:w w:val="95"/>
          <w:sz w:val="16"/>
          <w:szCs w:val="16"/>
          <w:lang w:val="es-CR"/>
        </w:rPr>
        <w:t>[</w:t>
      </w:r>
      <w:r>
        <w:rPr>
          <w:rFonts w:ascii="Verdana" w:hAnsi="Verdana"/>
          <w:w w:val="95"/>
          <w:sz w:val="16"/>
          <w:szCs w:val="16"/>
          <w:lang w:val="es-CR"/>
        </w:rPr>
        <w:t>,</w:t>
      </w:r>
      <w:r w:rsidRPr="002B1610">
        <w:rPr>
          <w:rFonts w:ascii="Verdana" w:hAnsi="Verdana"/>
          <w:w w:val="95"/>
          <w:sz w:val="16"/>
          <w:szCs w:val="16"/>
          <w:lang w:val="es-CR"/>
        </w:rPr>
        <w:t xml:space="preserve">…] pero al igual que […] México, señal[ó] que cada tratado interamericano requiere previamente una declaración específica que otorgue competencia a la Corte. </w:t>
      </w:r>
    </w:p>
    <w:p w:rsidR="00DF15C3" w:rsidRPr="002B1610" w:rsidRDefault="00DF15C3" w:rsidP="003F26FD">
      <w:pPr>
        <w:spacing w:after="0" w:line="216" w:lineRule="auto"/>
        <w:ind w:right="-174"/>
        <w:jc w:val="both"/>
        <w:rPr>
          <w:rFonts w:ascii="Verdana" w:hAnsi="Verdana"/>
          <w:w w:val="95"/>
          <w:sz w:val="16"/>
          <w:szCs w:val="16"/>
          <w:lang w:val="es-CR"/>
        </w:rPr>
      </w:pPr>
    </w:p>
    <w:p w:rsidR="00DF15C3" w:rsidRPr="00F35392" w:rsidRDefault="00DF15C3" w:rsidP="003F26FD">
      <w:pPr>
        <w:pStyle w:val="Prrafodelista"/>
        <w:numPr>
          <w:ilvl w:val="0"/>
          <w:numId w:val="17"/>
        </w:numPr>
        <w:spacing w:after="0" w:line="216" w:lineRule="auto"/>
        <w:ind w:left="-142" w:right="-174" w:hanging="11"/>
        <w:jc w:val="both"/>
        <w:rPr>
          <w:rFonts w:ascii="Verdana" w:hAnsi="Verdana"/>
          <w:w w:val="95"/>
          <w:sz w:val="20"/>
          <w:szCs w:val="20"/>
          <w:lang w:val="es-CR"/>
        </w:rPr>
      </w:pPr>
      <w:r w:rsidRPr="00F35392">
        <w:rPr>
          <w:rFonts w:ascii="Verdana" w:hAnsi="Verdana"/>
          <w:w w:val="95"/>
          <w:sz w:val="20"/>
          <w:szCs w:val="20"/>
          <w:lang w:val="es-CR"/>
        </w:rPr>
        <w:t xml:space="preserve">La </w:t>
      </w:r>
      <w:r w:rsidRPr="00F35392">
        <w:rPr>
          <w:rFonts w:ascii="Verdana" w:hAnsi="Verdana"/>
          <w:b/>
          <w:i/>
          <w:w w:val="95"/>
          <w:sz w:val="20"/>
          <w:szCs w:val="20"/>
          <w:lang w:val="es-CR"/>
        </w:rPr>
        <w:t>representante</w:t>
      </w:r>
      <w:r w:rsidRPr="00F35392">
        <w:rPr>
          <w:rFonts w:ascii="Verdana" w:hAnsi="Verdana"/>
          <w:w w:val="95"/>
          <w:sz w:val="20"/>
          <w:szCs w:val="20"/>
          <w:lang w:val="es-CR"/>
        </w:rPr>
        <w:t xml:space="preserve"> aseveró que el planteo estata</w:t>
      </w:r>
      <w:r w:rsidR="00415223">
        <w:rPr>
          <w:rFonts w:ascii="Verdana" w:hAnsi="Verdana"/>
          <w:w w:val="95"/>
          <w:sz w:val="20"/>
          <w:szCs w:val="20"/>
          <w:lang w:val="es-CR"/>
        </w:rPr>
        <w:t>l es “improcedente” y se remitió</w:t>
      </w:r>
      <w:r w:rsidRPr="00F35392">
        <w:rPr>
          <w:rFonts w:ascii="Verdana" w:hAnsi="Verdana"/>
          <w:w w:val="95"/>
          <w:sz w:val="20"/>
          <w:szCs w:val="20"/>
          <w:lang w:val="es-CR"/>
        </w:rPr>
        <w:t xml:space="preserve"> a la jurisprudencia de la Corte. </w:t>
      </w:r>
    </w:p>
    <w:p w:rsidR="00DF15C3" w:rsidRPr="002B1610" w:rsidRDefault="00DF15C3" w:rsidP="003F26FD">
      <w:pPr>
        <w:pStyle w:val="Prrafodelista"/>
        <w:spacing w:after="0" w:line="216" w:lineRule="auto"/>
        <w:ind w:left="-142" w:right="-174"/>
        <w:jc w:val="both"/>
        <w:rPr>
          <w:rFonts w:ascii="Verdana" w:hAnsi="Verdana"/>
          <w:w w:val="95"/>
          <w:sz w:val="20"/>
          <w:szCs w:val="20"/>
          <w:lang w:val="es-CR"/>
        </w:rPr>
      </w:pPr>
    </w:p>
    <w:p w:rsidR="00DF15C3" w:rsidRPr="009003BB" w:rsidRDefault="00DF15C3" w:rsidP="003F26FD">
      <w:pPr>
        <w:pStyle w:val="Prrafodelista"/>
        <w:numPr>
          <w:ilvl w:val="0"/>
          <w:numId w:val="17"/>
        </w:numPr>
        <w:spacing w:after="0" w:line="216" w:lineRule="auto"/>
        <w:ind w:left="-142" w:right="-174" w:hanging="11"/>
        <w:jc w:val="both"/>
        <w:rPr>
          <w:rFonts w:ascii="Verdana" w:hAnsi="Verdana"/>
          <w:w w:val="95"/>
          <w:sz w:val="20"/>
          <w:szCs w:val="20"/>
        </w:rPr>
      </w:pPr>
      <w:r w:rsidRPr="002B1610">
        <w:rPr>
          <w:rFonts w:ascii="Verdana" w:hAnsi="Verdana"/>
          <w:w w:val="95"/>
          <w:sz w:val="20"/>
          <w:szCs w:val="20"/>
          <w:lang w:val="es-CR"/>
        </w:rPr>
        <w:t xml:space="preserve">La </w:t>
      </w:r>
      <w:r w:rsidRPr="002B1610">
        <w:rPr>
          <w:rFonts w:ascii="Verdana" w:hAnsi="Verdana"/>
          <w:b/>
          <w:i/>
          <w:w w:val="95"/>
          <w:sz w:val="20"/>
          <w:szCs w:val="20"/>
          <w:lang w:val="es-CR"/>
        </w:rPr>
        <w:t>Comisión</w:t>
      </w:r>
      <w:r w:rsidRPr="002B1610">
        <w:rPr>
          <w:rFonts w:ascii="Verdana" w:hAnsi="Verdana"/>
          <w:i/>
          <w:w w:val="95"/>
          <w:sz w:val="20"/>
          <w:szCs w:val="20"/>
          <w:lang w:val="es-CR"/>
        </w:rPr>
        <w:t xml:space="preserve"> </w:t>
      </w:r>
      <w:r w:rsidRPr="002B1610">
        <w:rPr>
          <w:rFonts w:ascii="Verdana" w:hAnsi="Verdana"/>
          <w:w w:val="95"/>
          <w:sz w:val="20"/>
          <w:szCs w:val="20"/>
          <w:lang w:val="es-CR"/>
        </w:rPr>
        <w:t xml:space="preserve">expresó que “la Corte ha declarado violaciones a[l artículo 7 de la Convención de Belém do Pará], bajo el entendido que el artículo 12 de tal instrumento incorpora una cláusula general de competencia aceptada por los Estados al momento de ratificar o adherirse a[l mismo]”. “Consider[ó] que no existen motivos para que la Corte se aparte de su criterio reiterado”. </w:t>
      </w:r>
    </w:p>
    <w:p w:rsidR="00DF15C3" w:rsidRPr="009003BB" w:rsidRDefault="00DF15C3" w:rsidP="003F26FD">
      <w:pPr>
        <w:spacing w:after="0" w:line="216" w:lineRule="auto"/>
        <w:ind w:right="-174"/>
        <w:jc w:val="both"/>
        <w:rPr>
          <w:rFonts w:ascii="Verdana" w:hAnsi="Verdana"/>
          <w:w w:val="95"/>
          <w:sz w:val="20"/>
          <w:szCs w:val="20"/>
        </w:rPr>
      </w:pPr>
    </w:p>
    <w:p w:rsidR="00DF15C3" w:rsidRPr="002B1610" w:rsidRDefault="00DF15C3" w:rsidP="003F26FD">
      <w:pPr>
        <w:pStyle w:val="Prrafodelista"/>
        <w:spacing w:after="0" w:line="216" w:lineRule="auto"/>
        <w:ind w:right="-174"/>
        <w:jc w:val="both"/>
        <w:outlineLvl w:val="2"/>
        <w:rPr>
          <w:rFonts w:ascii="Verdana" w:hAnsi="Verdana"/>
          <w:i/>
          <w:w w:val="95"/>
          <w:sz w:val="20"/>
          <w:szCs w:val="20"/>
        </w:rPr>
      </w:pPr>
      <w:bookmarkStart w:id="38" w:name="_Toc394313645"/>
      <w:r>
        <w:rPr>
          <w:rFonts w:ascii="Verdana" w:hAnsi="Verdana"/>
          <w:b/>
          <w:i/>
          <w:w w:val="95"/>
          <w:sz w:val="20"/>
          <w:szCs w:val="20"/>
        </w:rPr>
        <w:t>A</w:t>
      </w:r>
      <w:r w:rsidRPr="002B1610">
        <w:rPr>
          <w:rFonts w:ascii="Verdana" w:hAnsi="Verdana"/>
          <w:b/>
          <w:i/>
          <w:w w:val="95"/>
          <w:sz w:val="20"/>
          <w:szCs w:val="20"/>
        </w:rPr>
        <w:t>.2) Consideraciones de la Corte</w:t>
      </w:r>
      <w:bookmarkEnd w:id="38"/>
    </w:p>
    <w:p w:rsidR="00DF15C3" w:rsidRPr="007164A0" w:rsidRDefault="00DF15C3" w:rsidP="003F26FD">
      <w:pPr>
        <w:pStyle w:val="Prrafodelista"/>
        <w:ind w:right="-174"/>
        <w:rPr>
          <w:rFonts w:ascii="Verdana" w:hAnsi="Verdana"/>
          <w:w w:val="95"/>
          <w:sz w:val="20"/>
          <w:szCs w:val="20"/>
          <w:lang w:val="es-CR"/>
        </w:rPr>
      </w:pPr>
    </w:p>
    <w:p w:rsidR="00DF15C3" w:rsidRPr="009B1137" w:rsidRDefault="00DF15C3" w:rsidP="003F26FD">
      <w:pPr>
        <w:pStyle w:val="Prrafodelista"/>
        <w:numPr>
          <w:ilvl w:val="0"/>
          <w:numId w:val="17"/>
        </w:numPr>
        <w:spacing w:after="0" w:line="216" w:lineRule="auto"/>
        <w:ind w:left="-142" w:right="-174" w:hanging="11"/>
        <w:jc w:val="both"/>
        <w:rPr>
          <w:rFonts w:ascii="Verdana" w:hAnsi="Verdana"/>
          <w:color w:val="7030A0"/>
          <w:w w:val="95"/>
          <w:sz w:val="20"/>
          <w:lang w:val="es-CR"/>
        </w:rPr>
      </w:pPr>
      <w:r w:rsidRPr="009B1137">
        <w:rPr>
          <w:rFonts w:ascii="Verdana" w:hAnsi="Verdana" w:cs="Arial"/>
          <w:color w:val="262626"/>
          <w:w w:val="95"/>
          <w:sz w:val="20"/>
          <w:szCs w:val="20"/>
          <w:lang w:val="es-CR"/>
        </w:rPr>
        <w:t>El Estado ratificó la Convención de Belém do Pará el 4 de abril de 1995 sin reservas o limitaciones (</w:t>
      </w:r>
      <w:r w:rsidRPr="009B1137">
        <w:rPr>
          <w:rFonts w:ascii="Verdana" w:hAnsi="Verdana" w:cs="Arial"/>
          <w:i/>
          <w:color w:val="262626"/>
          <w:w w:val="95"/>
          <w:sz w:val="20"/>
          <w:szCs w:val="20"/>
          <w:lang w:val="es-CR"/>
        </w:rPr>
        <w:t>supra</w:t>
      </w:r>
      <w:r w:rsidRPr="009B1137">
        <w:rPr>
          <w:rFonts w:ascii="Verdana" w:hAnsi="Verdana" w:cs="Arial"/>
          <w:color w:val="262626"/>
          <w:w w:val="95"/>
          <w:sz w:val="20"/>
          <w:szCs w:val="20"/>
          <w:lang w:val="es-CR"/>
        </w:rPr>
        <w:t xml:space="preserve"> párr.</w:t>
      </w:r>
      <w:r w:rsidR="00633F52">
        <w:rPr>
          <w:rFonts w:ascii="Verdana" w:hAnsi="Verdana" w:cs="Arial"/>
          <w:color w:val="262626"/>
          <w:w w:val="95"/>
          <w:sz w:val="20"/>
          <w:szCs w:val="20"/>
          <w:lang w:val="es-CR"/>
        </w:rPr>
        <w:t xml:space="preserve"> 32</w:t>
      </w:r>
      <w:r w:rsidRPr="009B1137">
        <w:rPr>
          <w:rFonts w:ascii="Verdana" w:hAnsi="Verdana" w:cs="Arial"/>
          <w:color w:val="262626"/>
          <w:w w:val="95"/>
          <w:sz w:val="20"/>
          <w:szCs w:val="20"/>
          <w:lang w:val="es-CR"/>
        </w:rPr>
        <w:t>). El artículo 12 de ese tratado indica la posibilidad de l</w:t>
      </w:r>
      <w:r w:rsidR="00373C5F">
        <w:rPr>
          <w:rFonts w:ascii="Verdana" w:hAnsi="Verdana" w:cs="Arial"/>
          <w:color w:val="262626"/>
          <w:w w:val="95"/>
          <w:sz w:val="20"/>
          <w:szCs w:val="20"/>
          <w:lang w:val="es-CR"/>
        </w:rPr>
        <w:t xml:space="preserve">a presentación de “peticiones” </w:t>
      </w:r>
      <w:r w:rsidRPr="009B1137">
        <w:rPr>
          <w:rFonts w:ascii="Verdana" w:hAnsi="Verdana" w:cs="Arial"/>
          <w:color w:val="262626"/>
          <w:w w:val="95"/>
          <w:sz w:val="20"/>
          <w:szCs w:val="20"/>
          <w:lang w:val="es-CR"/>
        </w:rPr>
        <w:t xml:space="preserve"> </w:t>
      </w:r>
      <w:r w:rsidR="00EA31F9">
        <w:rPr>
          <w:rFonts w:ascii="Verdana" w:hAnsi="Verdana" w:cs="Arial"/>
          <w:color w:val="262626"/>
          <w:w w:val="95"/>
          <w:sz w:val="20"/>
          <w:szCs w:val="20"/>
          <w:lang w:val="es-CR"/>
        </w:rPr>
        <w:t xml:space="preserve">ante </w:t>
      </w:r>
      <w:r w:rsidRPr="009B1137">
        <w:rPr>
          <w:rFonts w:ascii="Verdana" w:hAnsi="Verdana" w:cs="Arial"/>
          <w:color w:val="262626"/>
          <w:w w:val="95"/>
          <w:sz w:val="20"/>
          <w:szCs w:val="20"/>
          <w:lang w:val="es-CR"/>
        </w:rPr>
        <w:t>la Comisión referidas a “denuncias o quejas de violación de [su] artículo 7”, normando que “la Comisión las considerará de acuerdo con la normas y los requisitos de procedimiento para la presentación y consideración de peticiones estipulados en la Convención Americana sobre Derechos Humanos y en el Estatuto y el Reglamento de la Comisión”. Como ha indicado e</w:t>
      </w:r>
      <w:r w:rsidR="00EE51E6">
        <w:rPr>
          <w:rFonts w:ascii="Verdana" w:hAnsi="Verdana" w:cs="Arial"/>
          <w:color w:val="262626"/>
          <w:w w:val="95"/>
          <w:sz w:val="20"/>
          <w:szCs w:val="20"/>
          <w:lang w:val="es-CR"/>
        </w:rPr>
        <w:t>ste</w:t>
      </w:r>
      <w:r w:rsidRPr="009B1137">
        <w:rPr>
          <w:rFonts w:ascii="Verdana" w:hAnsi="Verdana" w:cs="Arial"/>
          <w:color w:val="262626"/>
          <w:w w:val="95"/>
          <w:sz w:val="20"/>
          <w:szCs w:val="20"/>
          <w:lang w:val="es-CR"/>
        </w:rPr>
        <w:t xml:space="preserve"> Tribunal en el </w:t>
      </w:r>
      <w:r w:rsidRPr="009B1137">
        <w:rPr>
          <w:rFonts w:ascii="Verdana" w:hAnsi="Verdana"/>
          <w:w w:val="95"/>
          <w:sz w:val="20"/>
          <w:szCs w:val="20"/>
          <w:lang w:val="es-CR"/>
        </w:rPr>
        <w:t xml:space="preserve">caso </w:t>
      </w:r>
      <w:r w:rsidRPr="009B1137">
        <w:rPr>
          <w:rFonts w:ascii="Verdana" w:hAnsi="Verdana"/>
          <w:i/>
          <w:w w:val="95"/>
          <w:sz w:val="20"/>
          <w:szCs w:val="20"/>
          <w:lang w:val="es-CR"/>
        </w:rPr>
        <w:t>González y otras (“Campo Algodonero”) Vs. México</w:t>
      </w:r>
      <w:r w:rsidRPr="009B1137">
        <w:rPr>
          <w:rFonts w:ascii="Verdana" w:hAnsi="Verdana" w:cs="Arial"/>
          <w:color w:val="262626"/>
          <w:w w:val="95"/>
          <w:sz w:val="20"/>
          <w:szCs w:val="20"/>
          <w:lang w:val="es-CR"/>
        </w:rPr>
        <w:t>, “</w:t>
      </w:r>
      <w:r w:rsidRPr="009B1137">
        <w:rPr>
          <w:rFonts w:ascii="Verdana" w:eastAsia="Calibri" w:hAnsi="Verdana" w:cs="Arial"/>
          <w:color w:val="262626"/>
          <w:w w:val="95"/>
          <w:sz w:val="20"/>
          <w:szCs w:val="20"/>
          <w:lang w:val="es-EC"/>
        </w:rPr>
        <w:t xml:space="preserve">parece claro que el tenor literal del artículo 12 de la Convención </w:t>
      </w:r>
      <w:r w:rsidR="00EE51E6">
        <w:rPr>
          <w:rFonts w:ascii="Verdana" w:eastAsia="Calibri" w:hAnsi="Verdana" w:cs="Arial"/>
          <w:color w:val="262626"/>
          <w:w w:val="95"/>
          <w:sz w:val="20"/>
          <w:szCs w:val="20"/>
          <w:lang w:val="es-EC"/>
        </w:rPr>
        <w:t xml:space="preserve">de </w:t>
      </w:r>
      <w:r w:rsidRPr="009B1137">
        <w:rPr>
          <w:rFonts w:ascii="Verdana" w:eastAsia="Calibri" w:hAnsi="Verdana" w:cs="Arial"/>
          <w:color w:val="262626"/>
          <w:w w:val="95"/>
          <w:sz w:val="20"/>
          <w:szCs w:val="20"/>
          <w:lang w:val="es-EC"/>
        </w:rPr>
        <w:t>Belém do Pará concede competencia a la Corte, al no exceptuar de su aplicación ninguna de las normas y requisitos de procedimiento para las comunicaciones individuales</w:t>
      </w:r>
      <w:r w:rsidRPr="009B1137">
        <w:rPr>
          <w:rFonts w:ascii="Verdana" w:hAnsi="Verdana" w:cs="Arial"/>
          <w:color w:val="262626"/>
          <w:w w:val="95"/>
          <w:sz w:val="20"/>
          <w:szCs w:val="20"/>
          <w:lang w:val="es-EC"/>
        </w:rPr>
        <w:t>”</w:t>
      </w:r>
      <w:r w:rsidRPr="009B1137">
        <w:rPr>
          <w:rStyle w:val="Refdenotaalpie"/>
          <w:rFonts w:ascii="Verdana" w:hAnsi="Verdana" w:cs="Arial"/>
          <w:color w:val="262626"/>
          <w:w w:val="95"/>
          <w:sz w:val="20"/>
          <w:szCs w:val="20"/>
          <w:lang w:val="es-EC"/>
        </w:rPr>
        <w:footnoteReference w:id="22"/>
      </w:r>
      <w:r w:rsidRPr="009B1137">
        <w:rPr>
          <w:rFonts w:ascii="Verdana" w:eastAsia="Calibri" w:hAnsi="Verdana" w:cs="Arial"/>
          <w:color w:val="262626"/>
          <w:w w:val="95"/>
          <w:sz w:val="20"/>
          <w:szCs w:val="20"/>
          <w:lang w:val="es-EC"/>
        </w:rPr>
        <w:t xml:space="preserve">. </w:t>
      </w:r>
      <w:r w:rsidRPr="009B1137">
        <w:rPr>
          <w:rFonts w:ascii="Verdana" w:hAnsi="Verdana"/>
          <w:w w:val="95"/>
          <w:sz w:val="20"/>
          <w:szCs w:val="20"/>
          <w:lang w:val="es-CR"/>
        </w:rPr>
        <w:t>Cabe destacar que en otros casos contenciosos contra Guatemala</w:t>
      </w:r>
      <w:r w:rsidRPr="009B1137">
        <w:rPr>
          <w:rStyle w:val="Refdenotaalpie"/>
          <w:rFonts w:ascii="Verdana" w:hAnsi="Verdana"/>
          <w:w w:val="95"/>
          <w:sz w:val="20"/>
          <w:szCs w:val="20"/>
          <w:lang w:val="es-CR"/>
        </w:rPr>
        <w:footnoteReference w:id="23"/>
      </w:r>
      <w:r w:rsidRPr="009B1137">
        <w:rPr>
          <w:rFonts w:ascii="Verdana" w:hAnsi="Verdana"/>
          <w:w w:val="95"/>
          <w:sz w:val="20"/>
          <w:szCs w:val="20"/>
          <w:lang w:val="es-CR"/>
        </w:rPr>
        <w:t xml:space="preserve"> este Tribunal declaró la responsabilidad por la violación del artículo 7 de la Convención de Belém do Pará e incluso el Estado reconoció su responsabilidad por la violación del precepto en cuestión sin que cuestionara la competencia de la Corte sobre este particular.</w:t>
      </w:r>
    </w:p>
    <w:p w:rsidR="00DF15C3" w:rsidRPr="007164A0" w:rsidRDefault="00DF15C3" w:rsidP="003F26FD">
      <w:pPr>
        <w:pStyle w:val="Prrafodelista"/>
        <w:spacing w:after="0" w:line="216" w:lineRule="auto"/>
        <w:ind w:left="-142" w:right="-174"/>
        <w:jc w:val="both"/>
        <w:rPr>
          <w:rFonts w:ascii="Verdana" w:hAnsi="Verdana"/>
          <w:w w:val="95"/>
          <w:sz w:val="20"/>
          <w:szCs w:val="20"/>
          <w:lang w:val="es-CR"/>
        </w:rPr>
      </w:pPr>
    </w:p>
    <w:p w:rsidR="00DF15C3" w:rsidRPr="00390B40" w:rsidRDefault="00DF15C3" w:rsidP="003F26FD">
      <w:pPr>
        <w:pStyle w:val="Prrafodelista"/>
        <w:numPr>
          <w:ilvl w:val="0"/>
          <w:numId w:val="17"/>
        </w:numPr>
        <w:spacing w:after="0" w:line="216" w:lineRule="auto"/>
        <w:ind w:left="-142" w:right="-174" w:hanging="11"/>
        <w:jc w:val="both"/>
        <w:rPr>
          <w:rFonts w:ascii="Verdana" w:hAnsi="Verdana"/>
          <w:w w:val="95"/>
          <w:sz w:val="20"/>
          <w:szCs w:val="20"/>
          <w:lang w:val="es-CR"/>
        </w:rPr>
      </w:pPr>
      <w:r w:rsidRPr="007164A0">
        <w:rPr>
          <w:rFonts w:ascii="Verdana" w:hAnsi="Verdana"/>
          <w:b/>
          <w:w w:val="95"/>
          <w:sz w:val="20"/>
          <w:szCs w:val="20"/>
          <w:lang w:val="es-CR"/>
        </w:rPr>
        <w:t xml:space="preserve"> </w:t>
      </w:r>
      <w:r>
        <w:rPr>
          <w:rFonts w:ascii="Verdana" w:hAnsi="Verdana"/>
          <w:w w:val="95"/>
          <w:sz w:val="20"/>
          <w:szCs w:val="20"/>
          <w:lang w:val="es-CR"/>
        </w:rPr>
        <w:t>Además, se hace</w:t>
      </w:r>
      <w:r w:rsidRPr="00390B40">
        <w:rPr>
          <w:rFonts w:ascii="Verdana" w:hAnsi="Verdana"/>
          <w:w w:val="95"/>
          <w:sz w:val="20"/>
          <w:szCs w:val="20"/>
          <w:lang w:val="es-CR"/>
        </w:rPr>
        <w:t xml:space="preserve"> notar que el artículo 7 de la Convención de Belém do Pará se refiere a medidas</w:t>
      </w:r>
      <w:r w:rsidRPr="00315B30">
        <w:rPr>
          <w:rFonts w:ascii="Verdana" w:hAnsi="Verdana"/>
          <w:w w:val="95"/>
          <w:sz w:val="20"/>
          <w:szCs w:val="20"/>
          <w:lang w:val="es-CR"/>
        </w:rPr>
        <w:t xml:space="preserve"> </w:t>
      </w:r>
      <w:r w:rsidR="00633F52" w:rsidRPr="00315B30">
        <w:rPr>
          <w:rFonts w:ascii="Verdana" w:hAnsi="Verdana"/>
          <w:w w:val="95"/>
          <w:sz w:val="20"/>
          <w:szCs w:val="20"/>
          <w:lang w:val="es-CR"/>
        </w:rPr>
        <w:t>par</w:t>
      </w:r>
      <w:r w:rsidRPr="00315B30">
        <w:rPr>
          <w:rFonts w:ascii="Verdana" w:hAnsi="Verdana"/>
          <w:w w:val="95"/>
          <w:sz w:val="20"/>
          <w:szCs w:val="20"/>
          <w:lang w:val="es-CR"/>
        </w:rPr>
        <w:t>a</w:t>
      </w:r>
      <w:r w:rsidRPr="00390B40">
        <w:rPr>
          <w:rFonts w:ascii="Verdana" w:hAnsi="Verdana"/>
          <w:w w:val="95"/>
          <w:sz w:val="20"/>
          <w:szCs w:val="20"/>
          <w:lang w:val="es-CR"/>
        </w:rPr>
        <w:t xml:space="preserve"> “prevenir, sancionar y erradicar” la violencia contra la mujer y, en ese sentido, presenta una estrecha vinculación con los derechos a la vida y a la integridad personal, plasmados en los artículos 4 y 5 de la Convención Americana. Por ello, coadyuva a lo afirmado sobre la competencia de la Corte, lo referido antes por el Tribunal en relación al principio </w:t>
      </w:r>
      <w:r w:rsidRPr="00390B40">
        <w:rPr>
          <w:rFonts w:ascii="Verdana" w:hAnsi="Verdana"/>
          <w:i/>
          <w:w w:val="95"/>
          <w:sz w:val="20"/>
          <w:szCs w:val="20"/>
          <w:lang w:val="es-CR"/>
        </w:rPr>
        <w:t>pro persona</w:t>
      </w:r>
      <w:r w:rsidRPr="00390B40">
        <w:rPr>
          <w:rFonts w:ascii="Verdana" w:hAnsi="Verdana"/>
          <w:w w:val="95"/>
          <w:sz w:val="20"/>
          <w:szCs w:val="20"/>
          <w:lang w:val="es-CR"/>
        </w:rPr>
        <w:t xml:space="preserve">: </w:t>
      </w:r>
    </w:p>
    <w:p w:rsidR="00DF15C3" w:rsidRPr="00390B40" w:rsidRDefault="00DF15C3" w:rsidP="003F26FD">
      <w:pPr>
        <w:pStyle w:val="Prrafodelista"/>
        <w:spacing w:after="0" w:line="216" w:lineRule="auto"/>
        <w:ind w:left="-142" w:right="-174"/>
        <w:jc w:val="both"/>
        <w:rPr>
          <w:rFonts w:ascii="Verdana" w:hAnsi="Verdana"/>
          <w:w w:val="95"/>
          <w:sz w:val="20"/>
          <w:szCs w:val="20"/>
        </w:rPr>
      </w:pPr>
    </w:p>
    <w:p w:rsidR="00DF15C3" w:rsidRPr="00390B40" w:rsidRDefault="00415223" w:rsidP="00121AD9">
      <w:pPr>
        <w:pStyle w:val="Prrafodelista"/>
        <w:spacing w:after="0" w:line="216" w:lineRule="auto"/>
        <w:ind w:left="284" w:right="186"/>
        <w:jc w:val="both"/>
        <w:rPr>
          <w:rFonts w:ascii="Verdana" w:hAnsi="Verdana"/>
          <w:w w:val="95"/>
          <w:sz w:val="16"/>
          <w:szCs w:val="16"/>
        </w:rPr>
      </w:pPr>
      <w:r>
        <w:rPr>
          <w:rFonts w:ascii="Verdana" w:hAnsi="Verdana"/>
          <w:w w:val="95"/>
          <w:sz w:val="16"/>
          <w:szCs w:val="16"/>
        </w:rPr>
        <w:t xml:space="preserve">el </w:t>
      </w:r>
      <w:r w:rsidR="00DF15C3" w:rsidRPr="00390B40">
        <w:rPr>
          <w:rFonts w:ascii="Verdana" w:hAnsi="Verdana"/>
          <w:w w:val="95"/>
          <w:sz w:val="16"/>
          <w:szCs w:val="16"/>
        </w:rPr>
        <w:t>sistema de </w:t>
      </w:r>
      <w:r w:rsidR="00DF15C3" w:rsidRPr="00390B40">
        <w:rPr>
          <w:rFonts w:ascii="Verdana" w:hAnsi="Verdana"/>
          <w:bCs/>
          <w:iCs/>
          <w:w w:val="95"/>
          <w:sz w:val="16"/>
          <w:szCs w:val="16"/>
        </w:rPr>
        <w:t>pro</w:t>
      </w:r>
      <w:r w:rsidR="00DF15C3" w:rsidRPr="00390B40">
        <w:rPr>
          <w:rFonts w:ascii="Verdana" w:hAnsi="Verdana"/>
          <w:w w:val="95"/>
          <w:sz w:val="16"/>
          <w:szCs w:val="16"/>
        </w:rPr>
        <w:t xml:space="preserve">tección internacional debe ser entendido como una </w:t>
      </w:r>
      <w:r w:rsidR="00DF15C3" w:rsidRPr="000D3634">
        <w:rPr>
          <w:rFonts w:ascii="Verdana" w:hAnsi="Verdana"/>
          <w:w w:val="95"/>
          <w:sz w:val="16"/>
          <w:szCs w:val="16"/>
        </w:rPr>
        <w:t xml:space="preserve">integralidad </w:t>
      </w:r>
      <w:r w:rsidR="00F15CBE" w:rsidRPr="000D3634">
        <w:rPr>
          <w:rFonts w:ascii="Verdana" w:hAnsi="Verdana"/>
          <w:w w:val="95"/>
          <w:sz w:val="16"/>
          <w:szCs w:val="16"/>
        </w:rPr>
        <w:t>[</w:t>
      </w:r>
      <w:r w:rsidR="00DF15C3" w:rsidRPr="000D3634">
        <w:rPr>
          <w:rFonts w:ascii="Verdana" w:hAnsi="Verdana"/>
          <w:w w:val="95"/>
          <w:sz w:val="16"/>
          <w:szCs w:val="16"/>
        </w:rPr>
        <w:t>conforme al] </w:t>
      </w:r>
      <w:r w:rsidR="00DF15C3" w:rsidRPr="000D3634">
        <w:rPr>
          <w:rFonts w:ascii="Verdana" w:hAnsi="Verdana"/>
          <w:bCs/>
          <w:iCs/>
          <w:w w:val="95"/>
          <w:sz w:val="16"/>
          <w:szCs w:val="16"/>
        </w:rPr>
        <w:t>principio</w:t>
      </w:r>
      <w:r w:rsidR="00DF15C3" w:rsidRPr="000D3634">
        <w:rPr>
          <w:rFonts w:ascii="Verdana" w:hAnsi="Verdana"/>
          <w:w w:val="95"/>
          <w:sz w:val="16"/>
          <w:szCs w:val="16"/>
        </w:rPr>
        <w:t> recogido en el artículo 29 de la Convención Americana, el cual impone un marco de </w:t>
      </w:r>
      <w:r w:rsidR="00DF15C3" w:rsidRPr="000D3634">
        <w:rPr>
          <w:rFonts w:ascii="Verdana" w:hAnsi="Verdana"/>
          <w:bCs/>
          <w:iCs/>
          <w:w w:val="95"/>
          <w:sz w:val="16"/>
          <w:szCs w:val="16"/>
        </w:rPr>
        <w:t>pro</w:t>
      </w:r>
      <w:r w:rsidR="00DF15C3" w:rsidRPr="000D3634">
        <w:rPr>
          <w:rFonts w:ascii="Verdana" w:hAnsi="Verdana"/>
          <w:w w:val="95"/>
          <w:sz w:val="16"/>
          <w:szCs w:val="16"/>
        </w:rPr>
        <w:t>tección</w:t>
      </w:r>
      <w:r w:rsidR="00DF15C3" w:rsidRPr="00390B40">
        <w:rPr>
          <w:rFonts w:ascii="Verdana" w:hAnsi="Verdana"/>
          <w:w w:val="95"/>
          <w:sz w:val="16"/>
          <w:szCs w:val="16"/>
        </w:rPr>
        <w:t xml:space="preserve"> que siempre da preferencia a la interpretación o a la norma que más favorezca los derechos de la </w:t>
      </w:r>
      <w:r w:rsidR="00DF15C3" w:rsidRPr="00390B40">
        <w:rPr>
          <w:rFonts w:ascii="Verdana" w:hAnsi="Verdana"/>
          <w:bCs/>
          <w:iCs/>
          <w:w w:val="95"/>
          <w:sz w:val="16"/>
          <w:szCs w:val="16"/>
        </w:rPr>
        <w:t>persona</w:t>
      </w:r>
      <w:r w:rsidR="00DF15C3" w:rsidRPr="00390B40">
        <w:rPr>
          <w:rFonts w:ascii="Verdana" w:hAnsi="Verdana"/>
          <w:w w:val="95"/>
          <w:sz w:val="16"/>
          <w:szCs w:val="16"/>
        </w:rPr>
        <w:t> humana, objetivo angular de </w:t>
      </w:r>
      <w:r w:rsidR="00DF15C3" w:rsidRPr="00390B40">
        <w:rPr>
          <w:rFonts w:ascii="Verdana" w:hAnsi="Verdana"/>
          <w:bCs/>
          <w:iCs/>
          <w:w w:val="95"/>
          <w:sz w:val="16"/>
          <w:szCs w:val="16"/>
        </w:rPr>
        <w:t>pro</w:t>
      </w:r>
      <w:r w:rsidR="00DF15C3" w:rsidRPr="00390B40">
        <w:rPr>
          <w:rFonts w:ascii="Verdana" w:hAnsi="Verdana"/>
          <w:w w:val="95"/>
          <w:sz w:val="16"/>
          <w:szCs w:val="16"/>
        </w:rPr>
        <w:t xml:space="preserve">tección de todo el Sistema Interamericano. En este sentido, la adopción de una interpretación restrictiva en cuanto al alcance de la competencia de este Tribunal no sólo </w:t>
      </w:r>
      <w:r w:rsidR="00DF15C3" w:rsidRPr="00390B40">
        <w:rPr>
          <w:rFonts w:ascii="Verdana" w:hAnsi="Verdana"/>
          <w:w w:val="95"/>
          <w:sz w:val="16"/>
          <w:szCs w:val="16"/>
        </w:rPr>
        <w:lastRenderedPageBreak/>
        <w:t>iría contra el objeto y fin de la Convención [Americana], sino que además afectaría el efecto útil del tratado mismo y de la garantía de </w:t>
      </w:r>
      <w:r w:rsidR="00DF15C3" w:rsidRPr="00390B40">
        <w:rPr>
          <w:rFonts w:ascii="Verdana" w:hAnsi="Verdana"/>
          <w:bCs/>
          <w:iCs/>
          <w:w w:val="95"/>
          <w:sz w:val="16"/>
          <w:szCs w:val="16"/>
        </w:rPr>
        <w:t>pro</w:t>
      </w:r>
      <w:r w:rsidR="00DF15C3" w:rsidRPr="00390B40">
        <w:rPr>
          <w:rFonts w:ascii="Verdana" w:hAnsi="Verdana"/>
          <w:w w:val="95"/>
          <w:sz w:val="16"/>
          <w:szCs w:val="16"/>
        </w:rPr>
        <w:t>tección que establece</w:t>
      </w:r>
      <w:r w:rsidR="00DF15C3" w:rsidRPr="00390B40">
        <w:rPr>
          <w:rStyle w:val="Refdenotaalpie"/>
          <w:rFonts w:ascii="Verdana" w:hAnsi="Verdana"/>
          <w:w w:val="95"/>
          <w:sz w:val="16"/>
          <w:szCs w:val="16"/>
        </w:rPr>
        <w:footnoteReference w:id="24"/>
      </w:r>
      <w:r w:rsidR="00DF15C3" w:rsidRPr="00390B40">
        <w:rPr>
          <w:rFonts w:ascii="Verdana" w:hAnsi="Verdana"/>
          <w:sz w:val="16"/>
          <w:szCs w:val="16"/>
        </w:rPr>
        <w:t>.</w:t>
      </w:r>
      <w:r w:rsidR="00DF15C3" w:rsidRPr="00390B40">
        <w:rPr>
          <w:rFonts w:ascii="Verdana" w:hAnsi="Verdana"/>
          <w:w w:val="95"/>
          <w:sz w:val="16"/>
          <w:szCs w:val="16"/>
        </w:rPr>
        <w:t xml:space="preserve"> </w:t>
      </w:r>
    </w:p>
    <w:p w:rsidR="00DF15C3" w:rsidRPr="00C71D45" w:rsidRDefault="00DF15C3" w:rsidP="003F26FD">
      <w:pPr>
        <w:pStyle w:val="Prrafodelista"/>
        <w:spacing w:after="0" w:line="216" w:lineRule="auto"/>
        <w:ind w:left="284" w:right="-174"/>
        <w:jc w:val="both"/>
        <w:rPr>
          <w:rFonts w:ascii="Verdana" w:hAnsi="Verdana"/>
          <w:b/>
          <w:w w:val="95"/>
          <w:sz w:val="16"/>
          <w:szCs w:val="16"/>
        </w:rPr>
      </w:pPr>
    </w:p>
    <w:p w:rsidR="00DF15C3" w:rsidRPr="007D6B12" w:rsidRDefault="00DF15C3" w:rsidP="003F26FD">
      <w:pPr>
        <w:pStyle w:val="Prrafodelista"/>
        <w:numPr>
          <w:ilvl w:val="0"/>
          <w:numId w:val="17"/>
        </w:numPr>
        <w:spacing w:after="0" w:line="216" w:lineRule="auto"/>
        <w:ind w:left="-180" w:right="-174" w:firstLine="0"/>
        <w:jc w:val="both"/>
        <w:rPr>
          <w:rFonts w:ascii="Verdana" w:hAnsi="Verdana" w:cs="Arial"/>
          <w:color w:val="262626"/>
          <w:w w:val="95"/>
          <w:sz w:val="20"/>
          <w:szCs w:val="20"/>
          <w:lang w:val="es-CR"/>
        </w:rPr>
      </w:pPr>
      <w:r w:rsidRPr="007D6B12">
        <w:rPr>
          <w:rFonts w:ascii="Verdana" w:hAnsi="Verdana"/>
          <w:w w:val="95"/>
          <w:sz w:val="20"/>
          <w:szCs w:val="20"/>
          <w:lang w:val="es-EC"/>
        </w:rPr>
        <w:t xml:space="preserve">Por lo tanto, este Tribunal desestima </w:t>
      </w:r>
      <w:r w:rsidRPr="003622B1">
        <w:rPr>
          <w:rFonts w:ascii="Verdana" w:hAnsi="Verdana"/>
          <w:w w:val="95"/>
          <w:sz w:val="20"/>
          <w:szCs w:val="20"/>
          <w:lang w:val="es-EC"/>
        </w:rPr>
        <w:t>la excepción preliminar</w:t>
      </w:r>
      <w:r w:rsidRPr="007D6B12">
        <w:rPr>
          <w:rFonts w:ascii="Verdana" w:hAnsi="Verdana"/>
          <w:b/>
          <w:w w:val="95"/>
          <w:sz w:val="20"/>
          <w:szCs w:val="20"/>
          <w:lang w:val="es-EC"/>
        </w:rPr>
        <w:t xml:space="preserve"> </w:t>
      </w:r>
      <w:r w:rsidRPr="007D6B12">
        <w:rPr>
          <w:rFonts w:ascii="Verdana" w:hAnsi="Verdana"/>
          <w:w w:val="95"/>
          <w:sz w:val="20"/>
          <w:szCs w:val="20"/>
          <w:lang w:val="es-EC"/>
        </w:rPr>
        <w:t>de falta de competencia de la Corte para conocer sobre el artículo 7 de la Convención de Belém do Pará respecto al presente caso contencioso.</w:t>
      </w:r>
      <w:r>
        <w:rPr>
          <w:rFonts w:ascii="Verdana" w:hAnsi="Verdana"/>
          <w:w w:val="95"/>
          <w:sz w:val="20"/>
          <w:szCs w:val="20"/>
          <w:lang w:val="es-EC"/>
        </w:rPr>
        <w:t xml:space="preserve"> </w:t>
      </w:r>
    </w:p>
    <w:p w:rsidR="00DF15C3" w:rsidRPr="00EF105B" w:rsidRDefault="00DF15C3" w:rsidP="003F26FD">
      <w:pPr>
        <w:pStyle w:val="Prrafodelista"/>
        <w:spacing w:after="0" w:line="216" w:lineRule="auto"/>
        <w:ind w:left="-90" w:right="-174"/>
        <w:jc w:val="both"/>
        <w:rPr>
          <w:rFonts w:ascii="Verdana" w:hAnsi="Verdana" w:cs="Arial"/>
          <w:b/>
          <w:color w:val="262626"/>
          <w:w w:val="95"/>
          <w:sz w:val="20"/>
          <w:szCs w:val="20"/>
          <w:lang w:val="es-CR"/>
        </w:rPr>
      </w:pPr>
    </w:p>
    <w:p w:rsidR="00DF15C3" w:rsidRPr="002B1610" w:rsidRDefault="00DF15C3" w:rsidP="003F26FD">
      <w:pPr>
        <w:pStyle w:val="Prrafodelista"/>
        <w:numPr>
          <w:ilvl w:val="0"/>
          <w:numId w:val="4"/>
        </w:numPr>
        <w:spacing w:after="0" w:line="216" w:lineRule="auto"/>
        <w:ind w:left="284" w:right="-174" w:firstLine="0"/>
        <w:outlineLvl w:val="1"/>
        <w:rPr>
          <w:rFonts w:ascii="Verdana" w:hAnsi="Verdana"/>
          <w:b/>
          <w:w w:val="95"/>
          <w:sz w:val="20"/>
          <w:szCs w:val="20"/>
          <w:lang w:val="es-CR"/>
        </w:rPr>
      </w:pPr>
      <w:bookmarkStart w:id="39" w:name="_Toc394313646"/>
      <w:r w:rsidRPr="002B1610">
        <w:rPr>
          <w:rFonts w:ascii="Verdana" w:hAnsi="Verdana"/>
          <w:b/>
          <w:w w:val="95"/>
          <w:sz w:val="20"/>
          <w:szCs w:val="20"/>
          <w:lang w:val="es-CR"/>
        </w:rPr>
        <w:t>Excepción preliminar de no de agotamiento de recursos internos</w:t>
      </w:r>
      <w:bookmarkEnd w:id="39"/>
    </w:p>
    <w:p w:rsidR="00DF15C3" w:rsidRPr="002B1610" w:rsidRDefault="00DF15C3" w:rsidP="003F26FD">
      <w:pPr>
        <w:pStyle w:val="Prrafodelista"/>
        <w:spacing w:after="0" w:line="216" w:lineRule="auto"/>
        <w:ind w:left="-142" w:right="-174"/>
        <w:rPr>
          <w:rFonts w:ascii="Verdana" w:hAnsi="Verdana"/>
          <w:b/>
          <w:w w:val="95"/>
          <w:sz w:val="20"/>
          <w:szCs w:val="20"/>
          <w:lang w:val="es-CR"/>
        </w:rPr>
      </w:pPr>
    </w:p>
    <w:p w:rsidR="00DF15C3" w:rsidRPr="002B1610" w:rsidRDefault="00DF15C3" w:rsidP="003F26FD">
      <w:pPr>
        <w:pStyle w:val="Ttulo3"/>
        <w:spacing w:before="0" w:line="216" w:lineRule="auto"/>
        <w:ind w:left="567" w:right="-174"/>
        <w:jc w:val="both"/>
        <w:rPr>
          <w:rFonts w:ascii="Verdana" w:hAnsi="Verdana"/>
          <w:i/>
          <w:color w:val="auto"/>
          <w:w w:val="95"/>
          <w:sz w:val="20"/>
          <w:lang w:val="es-CR"/>
        </w:rPr>
      </w:pPr>
      <w:bookmarkStart w:id="40" w:name="_Toc394313647"/>
      <w:r>
        <w:rPr>
          <w:rFonts w:ascii="Verdana" w:hAnsi="Verdana"/>
          <w:i/>
          <w:color w:val="auto"/>
          <w:w w:val="95"/>
          <w:sz w:val="20"/>
          <w:lang w:val="es-CR"/>
        </w:rPr>
        <w:t>B</w:t>
      </w:r>
      <w:r w:rsidRPr="002B1610">
        <w:rPr>
          <w:rFonts w:ascii="Verdana" w:hAnsi="Verdana"/>
          <w:i/>
          <w:color w:val="auto"/>
          <w:w w:val="95"/>
          <w:sz w:val="20"/>
          <w:lang w:val="es-CR"/>
        </w:rPr>
        <w:t>.1) Argumentos de las partes y la Comisión</w:t>
      </w:r>
      <w:bookmarkEnd w:id="40"/>
    </w:p>
    <w:p w:rsidR="00DF15C3" w:rsidRPr="002B1610" w:rsidRDefault="00DF15C3" w:rsidP="003F26FD">
      <w:pPr>
        <w:spacing w:after="0" w:line="216" w:lineRule="auto"/>
        <w:ind w:left="284" w:right="-174"/>
        <w:rPr>
          <w:rFonts w:ascii="Verdana" w:hAnsi="Verdana"/>
          <w:b/>
          <w:i/>
          <w:w w:val="95"/>
          <w:sz w:val="20"/>
          <w:szCs w:val="20"/>
          <w:lang w:val="es-CR"/>
        </w:rPr>
      </w:pPr>
    </w:p>
    <w:p w:rsidR="00DF15C3" w:rsidRPr="009003BB" w:rsidRDefault="00DF15C3" w:rsidP="003F26FD">
      <w:pPr>
        <w:pStyle w:val="Prrafodelista"/>
        <w:numPr>
          <w:ilvl w:val="0"/>
          <w:numId w:val="17"/>
        </w:numPr>
        <w:spacing w:after="0" w:line="216" w:lineRule="auto"/>
        <w:ind w:left="-142" w:right="-174" w:hanging="11"/>
        <w:jc w:val="both"/>
        <w:rPr>
          <w:rFonts w:ascii="Verdana" w:hAnsi="Verdana" w:cs="Arial"/>
          <w:color w:val="262626"/>
          <w:w w:val="95"/>
          <w:sz w:val="20"/>
          <w:szCs w:val="20"/>
        </w:rPr>
      </w:pPr>
      <w:r w:rsidRPr="002B1610">
        <w:rPr>
          <w:rFonts w:ascii="Verdana" w:hAnsi="Verdana"/>
          <w:w w:val="95"/>
          <w:sz w:val="20"/>
          <w:szCs w:val="20"/>
          <w:lang w:val="es-CR"/>
        </w:rPr>
        <w:t xml:space="preserve">El </w:t>
      </w:r>
      <w:r w:rsidRPr="002B1610">
        <w:rPr>
          <w:rFonts w:ascii="Verdana" w:hAnsi="Verdana"/>
          <w:b/>
          <w:i/>
          <w:w w:val="95"/>
          <w:sz w:val="20"/>
          <w:szCs w:val="20"/>
          <w:lang w:val="es-CR"/>
        </w:rPr>
        <w:t>Estado</w:t>
      </w:r>
      <w:r w:rsidRPr="002B1610">
        <w:rPr>
          <w:rFonts w:ascii="Verdana" w:hAnsi="Verdana"/>
          <w:w w:val="95"/>
          <w:sz w:val="20"/>
          <w:szCs w:val="20"/>
          <w:lang w:val="es-CR"/>
        </w:rPr>
        <w:t xml:space="preserve"> indicó que, a su entender, los “recursos internos […] aún no se han agotado”, en tanto que “el proceso penal [No.] 105–2002 […] aun se encuentra activo”. Explicó que “[e]l numeral 2 [del artículo 46 de la Convención] contempla las circunstancias por las cuales e[l] requerimiento [de agotamiento de recursos internos] no se aplica”, y que los supuestos respectivos no se presentan en el caso. En ese sentido afirmó: a) “la situación descrita en el numeral 46.2.a no se da, en el presente caso, toda vez que en Guatemala existen leyes internas por las cuales se contempla el proceso legal para proteger los derechos violados”; b) el “caso contenido en el numeral 46.2.b […] tampoco se da, toda vez que […] en ningún momento se le negó el acceso a los familiares de la víctima para que pudieran accionar ante las instancias internas”, y c) en cuant</w:t>
      </w:r>
      <w:r>
        <w:rPr>
          <w:rFonts w:ascii="Verdana" w:hAnsi="Verdana"/>
          <w:w w:val="95"/>
          <w:sz w:val="20"/>
          <w:szCs w:val="20"/>
          <w:lang w:val="es-CR"/>
        </w:rPr>
        <w:t xml:space="preserve">o al supuesto del artículo </w:t>
      </w:r>
      <w:r w:rsidRPr="003622B1">
        <w:rPr>
          <w:rFonts w:ascii="Verdana" w:hAnsi="Verdana"/>
          <w:w w:val="95"/>
          <w:sz w:val="20"/>
          <w:szCs w:val="20"/>
          <w:lang w:val="es-CR"/>
        </w:rPr>
        <w:t>46.2.c,</w:t>
      </w:r>
      <w:r w:rsidRPr="002B1610">
        <w:rPr>
          <w:rFonts w:ascii="Verdana" w:hAnsi="Verdana"/>
          <w:w w:val="95"/>
          <w:sz w:val="20"/>
          <w:szCs w:val="20"/>
          <w:lang w:val="es-CR"/>
        </w:rPr>
        <w:t xml:space="preserve"> no hubo retardo injustificado, ya que “por no haber prisión preventiva o medidas sustitutivas durante esta etapa de investigación la misma no tiene plazo”. Además, señaló que “se han desarrollado múltiples diligencias en cuanto al esclarecimiento de los hechos”, y que “basta observar y analizar dichas actuaciones  para </w:t>
      </w:r>
      <w:r>
        <w:rPr>
          <w:rFonts w:ascii="Verdana" w:hAnsi="Verdana"/>
          <w:w w:val="95"/>
          <w:sz w:val="20"/>
          <w:szCs w:val="20"/>
          <w:lang w:val="es-CR"/>
        </w:rPr>
        <w:t xml:space="preserve">[…] </w:t>
      </w:r>
      <w:r w:rsidRPr="002B1610">
        <w:rPr>
          <w:rFonts w:ascii="Verdana" w:hAnsi="Verdana"/>
          <w:w w:val="95"/>
          <w:sz w:val="20"/>
          <w:szCs w:val="20"/>
          <w:lang w:val="es-CR"/>
        </w:rPr>
        <w:t>concluir que en ningún momento ha existido […] negligencia, retardo injustificado o falta de diligencia de parte del órgano investigador”.</w:t>
      </w:r>
      <w:r w:rsidRPr="002B1610">
        <w:rPr>
          <w:rFonts w:ascii="Verdana" w:hAnsi="Verdana"/>
          <w:b/>
          <w:w w:val="95"/>
          <w:sz w:val="20"/>
          <w:szCs w:val="20"/>
          <w:lang w:val="es-CR"/>
        </w:rPr>
        <w:t xml:space="preserve"> </w:t>
      </w:r>
      <w:r w:rsidRPr="002B1610">
        <w:rPr>
          <w:rFonts w:ascii="Verdana" w:hAnsi="Verdana"/>
          <w:w w:val="95"/>
          <w:sz w:val="20"/>
          <w:szCs w:val="20"/>
          <w:lang w:val="es-CR"/>
        </w:rPr>
        <w:t>En tal sentido, señaló que “el Ministerio Público ha continuado sus averiguaciones pero de no obtener pruebas o indicios contundentes no puede formular acusación”, he hizo notar que “en distintas oportunidades el juez contralor ha solicitado actos conclusivos de la investigación, y el Ministerio Público ha solicitado que permanezca abierta en aras de obtener resultados positivos”. Indicó que para concluir que no hubo un retardo injustificado resulta pertinente evaluar la investigación con base en criterios seguidos por la Corte para valorar la razonabilidad del plazo seguido por actuaciones internas</w:t>
      </w:r>
      <w:r w:rsidRPr="002B1610">
        <w:rPr>
          <w:rStyle w:val="Refdenotaalpie"/>
          <w:w w:val="95"/>
          <w:sz w:val="20"/>
        </w:rPr>
        <w:footnoteReference w:id="25"/>
      </w:r>
      <w:r w:rsidRPr="002B1610">
        <w:rPr>
          <w:rFonts w:ascii="Verdana" w:hAnsi="Verdana"/>
          <w:w w:val="95"/>
          <w:sz w:val="20"/>
          <w:szCs w:val="20"/>
          <w:lang w:val="es-CR"/>
        </w:rPr>
        <w:t>. Por último, afirmó que de haber retardo injustificado</w:t>
      </w:r>
      <w:r w:rsidR="009E2AD7">
        <w:rPr>
          <w:rFonts w:ascii="Verdana" w:hAnsi="Verdana"/>
          <w:w w:val="95"/>
          <w:sz w:val="20"/>
          <w:szCs w:val="20"/>
          <w:lang w:val="es-CR"/>
        </w:rPr>
        <w:t>,</w:t>
      </w:r>
      <w:r w:rsidRPr="002B1610">
        <w:rPr>
          <w:rFonts w:ascii="Verdana" w:hAnsi="Verdana"/>
          <w:w w:val="95"/>
          <w:sz w:val="20"/>
          <w:szCs w:val="20"/>
          <w:lang w:val="es-CR"/>
        </w:rPr>
        <w:t xml:space="preserve"> existen vías previstas legalmente para que “las víctimas […] ata[quen] dicha circunstancia”, que no fueron utilizadas</w:t>
      </w:r>
      <w:r w:rsidRPr="002B1610">
        <w:rPr>
          <w:rStyle w:val="Refdenotaalpie"/>
          <w:w w:val="95"/>
          <w:sz w:val="20"/>
        </w:rPr>
        <w:footnoteReference w:id="26"/>
      </w:r>
      <w:r w:rsidRPr="002B1610">
        <w:rPr>
          <w:rFonts w:ascii="Verdana" w:hAnsi="Verdana"/>
          <w:w w:val="95"/>
          <w:sz w:val="20"/>
          <w:szCs w:val="20"/>
          <w:lang w:val="es-CR"/>
        </w:rPr>
        <w:t xml:space="preserve">. </w:t>
      </w:r>
    </w:p>
    <w:p w:rsidR="00DF15C3" w:rsidRPr="009003BB" w:rsidRDefault="00DF15C3" w:rsidP="003F26FD">
      <w:pPr>
        <w:pStyle w:val="Prrafodelista"/>
        <w:spacing w:after="0" w:line="216" w:lineRule="auto"/>
        <w:ind w:left="-142" w:right="-174"/>
        <w:jc w:val="both"/>
        <w:rPr>
          <w:rFonts w:ascii="Verdana" w:hAnsi="Verdana" w:cs="Arial"/>
          <w:color w:val="262626"/>
          <w:w w:val="95"/>
          <w:sz w:val="20"/>
          <w:szCs w:val="20"/>
        </w:rPr>
      </w:pPr>
    </w:p>
    <w:p w:rsidR="00DF15C3" w:rsidRPr="009003BB" w:rsidRDefault="00DF15C3" w:rsidP="003F26FD">
      <w:pPr>
        <w:pStyle w:val="Prrafodelista"/>
        <w:numPr>
          <w:ilvl w:val="0"/>
          <w:numId w:val="17"/>
        </w:numPr>
        <w:spacing w:after="0" w:line="216" w:lineRule="auto"/>
        <w:ind w:left="-142" w:right="-174" w:firstLine="0"/>
        <w:jc w:val="both"/>
        <w:rPr>
          <w:rFonts w:ascii="Verdana" w:hAnsi="Verdana"/>
          <w:w w:val="95"/>
          <w:sz w:val="20"/>
          <w:szCs w:val="20"/>
        </w:rPr>
      </w:pPr>
      <w:r w:rsidRPr="002B1610">
        <w:rPr>
          <w:rFonts w:ascii="Verdana" w:hAnsi="Verdana"/>
          <w:w w:val="95"/>
          <w:sz w:val="20"/>
          <w:szCs w:val="20"/>
          <w:lang w:val="es-CR"/>
        </w:rPr>
        <w:t xml:space="preserve">La </w:t>
      </w:r>
      <w:r w:rsidRPr="002B1610">
        <w:rPr>
          <w:rFonts w:ascii="Verdana" w:hAnsi="Verdana"/>
          <w:b/>
          <w:i/>
          <w:w w:val="95"/>
          <w:sz w:val="20"/>
          <w:szCs w:val="20"/>
          <w:lang w:val="es-CR"/>
        </w:rPr>
        <w:t>representante</w:t>
      </w:r>
      <w:r w:rsidRPr="002B1610">
        <w:rPr>
          <w:rFonts w:ascii="Verdana" w:hAnsi="Verdana"/>
          <w:w w:val="95"/>
          <w:sz w:val="20"/>
          <w:szCs w:val="20"/>
          <w:lang w:val="es-CR"/>
        </w:rPr>
        <w:t xml:space="preserve"> indic</w:t>
      </w:r>
      <w:r>
        <w:rPr>
          <w:rFonts w:ascii="Verdana" w:hAnsi="Verdana"/>
          <w:w w:val="95"/>
          <w:sz w:val="20"/>
          <w:szCs w:val="20"/>
          <w:lang w:val="es-CR"/>
        </w:rPr>
        <w:t>ó</w:t>
      </w:r>
      <w:r w:rsidRPr="002B1610">
        <w:rPr>
          <w:rFonts w:ascii="Verdana" w:hAnsi="Verdana"/>
          <w:w w:val="95"/>
          <w:sz w:val="20"/>
          <w:szCs w:val="20"/>
          <w:lang w:val="es-CR"/>
        </w:rPr>
        <w:t xml:space="preserve"> que “la Comisión […] lleg[ó] a la conclusión de que era aplicable la excepción contenida en el artículo 46.2.c de la Convención”,</w:t>
      </w:r>
      <w:r>
        <w:rPr>
          <w:rFonts w:ascii="Verdana" w:hAnsi="Verdana"/>
          <w:w w:val="95"/>
          <w:sz w:val="20"/>
          <w:szCs w:val="20"/>
          <w:lang w:val="es-CR"/>
        </w:rPr>
        <w:t xml:space="preserve"> </w:t>
      </w:r>
      <w:r w:rsidRPr="002B1610">
        <w:rPr>
          <w:rFonts w:ascii="Verdana" w:hAnsi="Verdana"/>
          <w:w w:val="95"/>
          <w:sz w:val="20"/>
          <w:szCs w:val="20"/>
          <w:lang w:val="es-CR"/>
        </w:rPr>
        <w:t>la</w:t>
      </w:r>
      <w:r w:rsidR="00633F52">
        <w:rPr>
          <w:rFonts w:ascii="Verdana" w:hAnsi="Verdana"/>
          <w:w w:val="95"/>
          <w:sz w:val="20"/>
          <w:szCs w:val="20"/>
          <w:lang w:val="es-CR"/>
        </w:rPr>
        <w:t xml:space="preserve"> que, según la representante</w:t>
      </w:r>
      <w:r>
        <w:rPr>
          <w:rFonts w:ascii="Verdana" w:hAnsi="Verdana"/>
          <w:w w:val="95"/>
          <w:sz w:val="20"/>
          <w:szCs w:val="20"/>
          <w:lang w:val="es-CR"/>
        </w:rPr>
        <w:t xml:space="preserve">, </w:t>
      </w:r>
      <w:r w:rsidRPr="002B1610">
        <w:rPr>
          <w:rFonts w:ascii="Verdana" w:hAnsi="Verdana"/>
          <w:w w:val="95"/>
          <w:sz w:val="20"/>
          <w:szCs w:val="20"/>
          <w:lang w:val="es-CR"/>
        </w:rPr>
        <w:t>“guarda estrecha relación con el fondo del asunto”.</w:t>
      </w:r>
      <w:r w:rsidRPr="002B1610">
        <w:rPr>
          <w:rFonts w:ascii="Verdana" w:hAnsi="Verdana"/>
          <w:b/>
          <w:w w:val="95"/>
          <w:sz w:val="20"/>
          <w:szCs w:val="20"/>
          <w:lang w:val="es-CR"/>
        </w:rPr>
        <w:t xml:space="preserve"> </w:t>
      </w:r>
      <w:r w:rsidRPr="002B1610">
        <w:rPr>
          <w:rFonts w:ascii="Verdana" w:hAnsi="Verdana"/>
          <w:w w:val="95"/>
          <w:sz w:val="20"/>
          <w:szCs w:val="20"/>
          <w:lang w:val="es-CR"/>
        </w:rPr>
        <w:t>Consid</w:t>
      </w:r>
      <w:r w:rsidR="00415223">
        <w:rPr>
          <w:rFonts w:ascii="Verdana" w:hAnsi="Verdana"/>
          <w:w w:val="95"/>
          <w:sz w:val="20"/>
          <w:szCs w:val="20"/>
          <w:lang w:val="es-CR"/>
        </w:rPr>
        <w:t>er</w:t>
      </w:r>
      <w:r>
        <w:rPr>
          <w:rFonts w:ascii="Verdana" w:hAnsi="Verdana"/>
          <w:w w:val="95"/>
          <w:sz w:val="20"/>
          <w:szCs w:val="20"/>
          <w:lang w:val="es-CR"/>
        </w:rPr>
        <w:t>ó</w:t>
      </w:r>
      <w:r w:rsidRPr="002B1610">
        <w:rPr>
          <w:rFonts w:ascii="Verdana" w:hAnsi="Verdana"/>
          <w:w w:val="95"/>
          <w:sz w:val="20"/>
          <w:szCs w:val="20"/>
          <w:lang w:val="es-CR"/>
        </w:rPr>
        <w:t xml:space="preserve"> que dado que el planteo estatal “es una cuestión relacionada con la admisibilidad del caso”, la Corte “en respeto a los principios de economía procesal e igualdad de armas” debe “respald</w:t>
      </w:r>
      <w:r>
        <w:rPr>
          <w:rFonts w:ascii="Verdana" w:hAnsi="Verdana"/>
          <w:w w:val="95"/>
          <w:sz w:val="20"/>
          <w:szCs w:val="20"/>
          <w:lang w:val="es-CR"/>
        </w:rPr>
        <w:t>[</w:t>
      </w:r>
      <w:r w:rsidRPr="002B1610">
        <w:rPr>
          <w:rFonts w:ascii="Verdana" w:hAnsi="Verdana"/>
          <w:w w:val="95"/>
          <w:sz w:val="20"/>
          <w:szCs w:val="20"/>
          <w:lang w:val="es-CR"/>
        </w:rPr>
        <w:t>ar</w:t>
      </w:r>
      <w:r>
        <w:rPr>
          <w:rFonts w:ascii="Verdana" w:hAnsi="Verdana"/>
          <w:w w:val="95"/>
          <w:sz w:val="20"/>
          <w:szCs w:val="20"/>
          <w:lang w:val="es-CR"/>
        </w:rPr>
        <w:t>]</w:t>
      </w:r>
      <w:r w:rsidRPr="002B1610">
        <w:rPr>
          <w:rFonts w:ascii="Verdana" w:hAnsi="Verdana"/>
          <w:w w:val="95"/>
          <w:sz w:val="20"/>
          <w:szCs w:val="20"/>
          <w:lang w:val="es-CR"/>
        </w:rPr>
        <w:t xml:space="preserve"> el informe de admisibilidad </w:t>
      </w:r>
      <w:r w:rsidR="00EA3C22">
        <w:rPr>
          <w:rFonts w:ascii="Verdana" w:hAnsi="Verdana"/>
          <w:w w:val="95"/>
          <w:sz w:val="20"/>
          <w:szCs w:val="20"/>
          <w:lang w:val="es-CR"/>
        </w:rPr>
        <w:t xml:space="preserve">[No.] </w:t>
      </w:r>
      <w:r w:rsidRPr="002B1610">
        <w:rPr>
          <w:rFonts w:ascii="Verdana" w:hAnsi="Verdana"/>
          <w:w w:val="95"/>
          <w:sz w:val="20"/>
          <w:szCs w:val="20"/>
          <w:lang w:val="es-CR"/>
        </w:rPr>
        <w:t>92/06 emitido por la […] Comisión”. Agreg</w:t>
      </w:r>
      <w:r>
        <w:rPr>
          <w:rFonts w:ascii="Verdana" w:hAnsi="Verdana"/>
          <w:w w:val="95"/>
          <w:sz w:val="20"/>
          <w:szCs w:val="20"/>
          <w:lang w:val="es-CR"/>
        </w:rPr>
        <w:t>ó</w:t>
      </w:r>
      <w:r w:rsidRPr="002B1610">
        <w:rPr>
          <w:rFonts w:ascii="Verdana" w:hAnsi="Verdana"/>
          <w:w w:val="95"/>
          <w:sz w:val="20"/>
          <w:szCs w:val="20"/>
          <w:lang w:val="es-CR"/>
        </w:rPr>
        <w:t xml:space="preserve"> que ante la Corte “el Estado pretende retrotraer la discusión de admisibilidad […] con lo cual irrespeta el principio de [</w:t>
      </w:r>
      <w:r w:rsidRPr="002B1610">
        <w:rPr>
          <w:rFonts w:ascii="Verdana" w:hAnsi="Verdana"/>
          <w:i/>
          <w:w w:val="95"/>
          <w:sz w:val="20"/>
          <w:szCs w:val="20"/>
          <w:lang w:val="es-CR"/>
        </w:rPr>
        <w:t>e</w:t>
      </w:r>
      <w:r w:rsidRPr="002B1610">
        <w:rPr>
          <w:rFonts w:ascii="Verdana" w:hAnsi="Verdana"/>
          <w:w w:val="95"/>
          <w:sz w:val="20"/>
          <w:szCs w:val="20"/>
          <w:lang w:val="es-CR"/>
        </w:rPr>
        <w:t>]</w:t>
      </w:r>
      <w:r w:rsidRPr="002B1610">
        <w:rPr>
          <w:rFonts w:ascii="Verdana" w:hAnsi="Verdana"/>
          <w:i/>
          <w:w w:val="95"/>
          <w:sz w:val="20"/>
          <w:szCs w:val="20"/>
          <w:lang w:val="es-CR"/>
        </w:rPr>
        <w:t>stoppel</w:t>
      </w:r>
      <w:r w:rsidRPr="002B1610">
        <w:rPr>
          <w:rFonts w:ascii="Verdana" w:hAnsi="Verdana"/>
          <w:w w:val="95"/>
          <w:sz w:val="20"/>
          <w:szCs w:val="20"/>
          <w:lang w:val="es-CR"/>
        </w:rPr>
        <w:t>”. Adicionalmente, explic</w:t>
      </w:r>
      <w:r>
        <w:rPr>
          <w:rFonts w:ascii="Verdana" w:hAnsi="Verdana"/>
          <w:w w:val="95"/>
          <w:sz w:val="20"/>
          <w:szCs w:val="20"/>
          <w:lang w:val="es-CR"/>
        </w:rPr>
        <w:t>ó</w:t>
      </w:r>
      <w:r w:rsidRPr="002B1610">
        <w:rPr>
          <w:rFonts w:ascii="Verdana" w:hAnsi="Verdana"/>
          <w:w w:val="95"/>
          <w:sz w:val="20"/>
          <w:szCs w:val="20"/>
          <w:lang w:val="es-CR"/>
        </w:rPr>
        <w:t xml:space="preserve"> que el argumento estatal “no fue presentad[o…] de manera oportuna” pues de modo previo a la decisión de la Comisión sobre la admisibilidad del caso, “el Estado presentó [… siete] escritos” y “en ninguno […] interpuso expresamente la excepción de falta de agotamiento de recursos internos”. Además expres</w:t>
      </w:r>
      <w:r>
        <w:rPr>
          <w:rFonts w:ascii="Verdana" w:hAnsi="Verdana"/>
          <w:w w:val="95"/>
          <w:sz w:val="20"/>
          <w:szCs w:val="20"/>
          <w:lang w:val="es-CR"/>
        </w:rPr>
        <w:t>ó</w:t>
      </w:r>
      <w:r w:rsidRPr="002B1610">
        <w:rPr>
          <w:rFonts w:ascii="Verdana" w:hAnsi="Verdana"/>
          <w:w w:val="95"/>
          <w:sz w:val="20"/>
          <w:szCs w:val="20"/>
          <w:lang w:val="es-CR"/>
        </w:rPr>
        <w:t xml:space="preserve"> que ante la Comisión “[e]l Estado no identificó los recursos a agotarse ni se re</w:t>
      </w:r>
      <w:r w:rsidR="00415223">
        <w:rPr>
          <w:rFonts w:ascii="Verdana" w:hAnsi="Verdana"/>
          <w:w w:val="95"/>
          <w:sz w:val="20"/>
          <w:szCs w:val="20"/>
          <w:lang w:val="es-CR"/>
        </w:rPr>
        <w:t>firió a su eficacia”. Resaltó</w:t>
      </w:r>
      <w:r w:rsidRPr="002B1610">
        <w:rPr>
          <w:rFonts w:ascii="Verdana" w:hAnsi="Verdana"/>
          <w:w w:val="95"/>
          <w:sz w:val="20"/>
          <w:szCs w:val="20"/>
          <w:lang w:val="es-CR"/>
        </w:rPr>
        <w:t>, al respecto, que “durante el trámite ante la […] Comisión el Estado […] reconoció su responsabilidad por […] el retraso en la investigación”. Por ello, aduj</w:t>
      </w:r>
      <w:r w:rsidR="00503D29">
        <w:rPr>
          <w:rFonts w:ascii="Verdana" w:hAnsi="Verdana"/>
          <w:w w:val="95"/>
          <w:sz w:val="20"/>
          <w:szCs w:val="20"/>
          <w:lang w:val="es-CR"/>
        </w:rPr>
        <w:t>o</w:t>
      </w:r>
      <w:r w:rsidRPr="002B1610">
        <w:rPr>
          <w:rFonts w:ascii="Verdana" w:hAnsi="Verdana"/>
          <w:w w:val="95"/>
          <w:sz w:val="20"/>
          <w:szCs w:val="20"/>
          <w:lang w:val="es-CR"/>
        </w:rPr>
        <w:t xml:space="preserve"> que es procedente “apli[car] el principio [de] </w:t>
      </w:r>
      <w:r w:rsidRPr="002B1610">
        <w:rPr>
          <w:rFonts w:ascii="Verdana" w:hAnsi="Verdana"/>
          <w:i/>
          <w:w w:val="95"/>
          <w:sz w:val="20"/>
          <w:szCs w:val="20"/>
          <w:lang w:val="es-CR"/>
        </w:rPr>
        <w:t>estoppel</w:t>
      </w:r>
      <w:r w:rsidRPr="002B1610">
        <w:rPr>
          <w:rFonts w:ascii="Verdana" w:hAnsi="Verdana"/>
          <w:w w:val="95"/>
          <w:sz w:val="20"/>
          <w:szCs w:val="20"/>
          <w:lang w:val="es-CR"/>
        </w:rPr>
        <w:t>”</w:t>
      </w:r>
      <w:r w:rsidRPr="002B1610">
        <w:rPr>
          <w:rFonts w:ascii="Verdana" w:hAnsi="Verdana"/>
          <w:i/>
          <w:w w:val="95"/>
          <w:sz w:val="20"/>
          <w:szCs w:val="20"/>
          <w:lang w:val="es-CR"/>
        </w:rPr>
        <w:t xml:space="preserve"> </w:t>
      </w:r>
      <w:r w:rsidRPr="002B1610">
        <w:rPr>
          <w:rFonts w:ascii="Verdana" w:hAnsi="Verdana"/>
          <w:w w:val="95"/>
          <w:sz w:val="20"/>
          <w:szCs w:val="20"/>
          <w:lang w:val="es-CR"/>
        </w:rPr>
        <w:t>al “an[á]li[sis] de la excepción preliminar”. Señal</w:t>
      </w:r>
      <w:r>
        <w:rPr>
          <w:rFonts w:ascii="Verdana" w:hAnsi="Verdana"/>
          <w:w w:val="95"/>
          <w:sz w:val="20"/>
          <w:szCs w:val="20"/>
          <w:lang w:val="es-CR"/>
        </w:rPr>
        <w:t>ó</w:t>
      </w:r>
      <w:r w:rsidRPr="002B1610">
        <w:rPr>
          <w:rFonts w:ascii="Verdana" w:hAnsi="Verdana"/>
          <w:w w:val="95"/>
          <w:sz w:val="20"/>
          <w:szCs w:val="20"/>
          <w:lang w:val="es-CR"/>
        </w:rPr>
        <w:t xml:space="preserve"> que “en el caso de que [la] Corte decida revisar la decisión de admisibilidad de la […] Comisión […] solicit</w:t>
      </w:r>
      <w:r>
        <w:rPr>
          <w:rFonts w:ascii="Verdana" w:hAnsi="Verdana"/>
          <w:w w:val="95"/>
          <w:sz w:val="20"/>
          <w:szCs w:val="20"/>
          <w:lang w:val="es-CR"/>
        </w:rPr>
        <w:t>[</w:t>
      </w:r>
      <w:r w:rsidR="00D50260">
        <w:rPr>
          <w:rFonts w:ascii="Verdana" w:hAnsi="Verdana"/>
          <w:w w:val="95"/>
          <w:sz w:val="20"/>
          <w:szCs w:val="20"/>
          <w:lang w:val="es-CR"/>
        </w:rPr>
        <w:t>ó</w:t>
      </w:r>
      <w:r>
        <w:rPr>
          <w:rFonts w:ascii="Verdana" w:hAnsi="Verdana"/>
          <w:w w:val="95"/>
          <w:sz w:val="20"/>
          <w:szCs w:val="20"/>
          <w:lang w:val="es-CR"/>
        </w:rPr>
        <w:t>]</w:t>
      </w:r>
      <w:r w:rsidRPr="002B1610">
        <w:rPr>
          <w:rFonts w:ascii="Verdana" w:hAnsi="Verdana"/>
          <w:w w:val="95"/>
          <w:sz w:val="20"/>
          <w:szCs w:val="20"/>
          <w:lang w:val="es-CR"/>
        </w:rPr>
        <w:t xml:space="preserve"> que […] analice el retardo injustificado en la investigación interna a la luz de las posibles violaciones a los artículos 8 y 25 de la Convención Americana”. Sin perjuicio de lo anterior, expres</w:t>
      </w:r>
      <w:r>
        <w:rPr>
          <w:rFonts w:ascii="Verdana" w:hAnsi="Verdana"/>
          <w:w w:val="95"/>
          <w:sz w:val="20"/>
          <w:szCs w:val="20"/>
          <w:lang w:val="es-CR"/>
        </w:rPr>
        <w:t>ó</w:t>
      </w:r>
      <w:r w:rsidRPr="002B1610">
        <w:rPr>
          <w:rFonts w:ascii="Verdana" w:hAnsi="Verdana"/>
          <w:w w:val="95"/>
          <w:sz w:val="20"/>
          <w:szCs w:val="20"/>
          <w:lang w:val="es-CR"/>
        </w:rPr>
        <w:t xml:space="preserve"> también que “[a]l momento de la emisión del informe de admisibilidad […] habían transcurrido casi [cinco] años desde la desaparición y posterior asesinato de la niña María Isabel V</w:t>
      </w:r>
      <w:r>
        <w:rPr>
          <w:rFonts w:ascii="Verdana" w:hAnsi="Verdana"/>
          <w:w w:val="95"/>
          <w:sz w:val="20"/>
          <w:szCs w:val="20"/>
          <w:lang w:val="es-CR"/>
        </w:rPr>
        <w:t>e</w:t>
      </w:r>
      <w:r w:rsidRPr="002B1610">
        <w:rPr>
          <w:rFonts w:ascii="Verdana" w:hAnsi="Verdana"/>
          <w:w w:val="95"/>
          <w:sz w:val="20"/>
          <w:szCs w:val="20"/>
          <w:lang w:val="es-CR"/>
        </w:rPr>
        <w:t>liz Franco y el […] proceso penal […] aun se encontraba en etapa de investigación”.</w:t>
      </w:r>
      <w:r w:rsidRPr="002B1610">
        <w:rPr>
          <w:rFonts w:ascii="Verdana" w:hAnsi="Verdana"/>
          <w:i/>
          <w:w w:val="95"/>
          <w:sz w:val="20"/>
          <w:szCs w:val="20"/>
          <w:lang w:val="es-CR"/>
        </w:rPr>
        <w:t xml:space="preserve"> </w:t>
      </w:r>
      <w:r w:rsidR="00415223">
        <w:rPr>
          <w:rFonts w:ascii="Verdana" w:hAnsi="Verdana"/>
          <w:w w:val="95"/>
          <w:sz w:val="20"/>
          <w:szCs w:val="20"/>
          <w:lang w:val="es-CR"/>
        </w:rPr>
        <w:t>Aseveró</w:t>
      </w:r>
      <w:r w:rsidRPr="002B1610">
        <w:rPr>
          <w:rFonts w:ascii="Verdana" w:hAnsi="Verdana"/>
          <w:w w:val="95"/>
          <w:sz w:val="20"/>
          <w:szCs w:val="20"/>
          <w:lang w:val="es-CR"/>
        </w:rPr>
        <w:t xml:space="preserve"> que “[l]as múltiples negligencias y omisiones en las que incurrieron las autoridades desde las primeras etapas de la investigación son las verdaderas causas del retraso en la misma”. </w:t>
      </w:r>
    </w:p>
    <w:p w:rsidR="00DF15C3" w:rsidRPr="009003BB" w:rsidRDefault="00DF15C3" w:rsidP="003F26FD">
      <w:pPr>
        <w:pStyle w:val="Prrafodelista"/>
        <w:spacing w:after="0" w:line="216" w:lineRule="auto"/>
        <w:ind w:left="-142" w:right="-174"/>
        <w:jc w:val="both"/>
        <w:rPr>
          <w:rFonts w:ascii="Verdana" w:hAnsi="Verdana"/>
          <w:w w:val="95"/>
          <w:sz w:val="20"/>
          <w:szCs w:val="20"/>
        </w:rPr>
      </w:pPr>
    </w:p>
    <w:p w:rsidR="00DF15C3" w:rsidRPr="002B1610" w:rsidRDefault="00DF15C3" w:rsidP="003F26FD">
      <w:pPr>
        <w:pStyle w:val="Prrafodelista"/>
        <w:numPr>
          <w:ilvl w:val="0"/>
          <w:numId w:val="17"/>
        </w:numPr>
        <w:spacing w:after="0" w:line="216" w:lineRule="auto"/>
        <w:ind w:left="-142" w:right="-174" w:firstLine="0"/>
        <w:jc w:val="both"/>
        <w:rPr>
          <w:rFonts w:ascii="Verdana" w:hAnsi="Verdana"/>
          <w:w w:val="95"/>
          <w:sz w:val="20"/>
          <w:szCs w:val="20"/>
        </w:rPr>
      </w:pPr>
      <w:r w:rsidRPr="002B1610">
        <w:rPr>
          <w:rFonts w:ascii="Verdana" w:hAnsi="Verdana"/>
          <w:w w:val="95"/>
          <w:sz w:val="20"/>
          <w:szCs w:val="20"/>
          <w:lang w:val="es-CR"/>
        </w:rPr>
        <w:t xml:space="preserve">La </w:t>
      </w:r>
      <w:r w:rsidRPr="002B1610">
        <w:rPr>
          <w:rFonts w:ascii="Verdana" w:hAnsi="Verdana"/>
          <w:b/>
          <w:i/>
          <w:w w:val="95"/>
          <w:sz w:val="20"/>
          <w:szCs w:val="20"/>
          <w:lang w:val="es-CR"/>
        </w:rPr>
        <w:t>Comisión</w:t>
      </w:r>
      <w:r w:rsidR="00415223">
        <w:rPr>
          <w:rFonts w:ascii="Verdana" w:hAnsi="Verdana"/>
          <w:w w:val="95"/>
          <w:sz w:val="20"/>
          <w:szCs w:val="20"/>
          <w:lang w:val="es-CR"/>
        </w:rPr>
        <w:t xml:space="preserve"> aduj</w:t>
      </w:r>
      <w:r w:rsidR="00503D29">
        <w:rPr>
          <w:rFonts w:ascii="Verdana" w:hAnsi="Verdana"/>
          <w:w w:val="95"/>
          <w:sz w:val="20"/>
          <w:szCs w:val="20"/>
          <w:lang w:val="es-CR"/>
        </w:rPr>
        <w:t>o</w:t>
      </w:r>
      <w:r w:rsidRPr="002B1610">
        <w:rPr>
          <w:rFonts w:ascii="Verdana" w:hAnsi="Verdana"/>
          <w:w w:val="95"/>
          <w:sz w:val="20"/>
          <w:szCs w:val="20"/>
          <w:lang w:val="es-CR"/>
        </w:rPr>
        <w:t xml:space="preserve"> que “la Convención Americana le atribuye primariamente las decisiones en materia de admisibilidad, las cuales son adoptadas de conformidad con la información disponible al momento de[l] pronunciamiento [respectivo]”. Por ello, consideró que “corresponde a la Corte mantener una cierta deferencia frente a lo decidido por la C[omisión] en esta materia”. Indicó que en “[el I]nforme de [A]dmisibilidad […]observ[ó] preliminarmente que ha habido un retardo injustificado en relación [con un] conflicto de competencia de casi siete meses”. Agregó que “[e]n todo caso […] los indicios tomados en cuenta en la etapa de admisibilidad fueron plenamente confirmados en la etapa de fondo”. </w:t>
      </w:r>
      <w:r w:rsidRPr="002B1610">
        <w:rPr>
          <w:rFonts w:ascii="Verdana" w:hAnsi="Verdana"/>
          <w:w w:val="95"/>
          <w:sz w:val="20"/>
          <w:szCs w:val="20"/>
        </w:rPr>
        <w:t xml:space="preserve">Concluyó que “la excepción preliminar […] es improcedente”. </w:t>
      </w:r>
    </w:p>
    <w:p w:rsidR="00DF15C3" w:rsidRPr="002B1610" w:rsidRDefault="00DF15C3" w:rsidP="003F26FD">
      <w:pPr>
        <w:pStyle w:val="Prrafodelista"/>
        <w:spacing w:after="0" w:line="216" w:lineRule="auto"/>
        <w:ind w:left="-142" w:right="-174"/>
        <w:rPr>
          <w:rFonts w:ascii="Verdana" w:hAnsi="Verdana"/>
          <w:w w:val="95"/>
          <w:sz w:val="20"/>
          <w:szCs w:val="20"/>
        </w:rPr>
      </w:pPr>
    </w:p>
    <w:p w:rsidR="00DF15C3" w:rsidRPr="002B1610" w:rsidRDefault="00DF15C3" w:rsidP="003F26FD">
      <w:pPr>
        <w:pStyle w:val="Ttulo3"/>
        <w:spacing w:before="0" w:line="216" w:lineRule="auto"/>
        <w:ind w:left="567" w:right="-174"/>
        <w:jc w:val="both"/>
        <w:rPr>
          <w:rFonts w:ascii="Verdana" w:hAnsi="Verdana"/>
          <w:i/>
          <w:color w:val="auto"/>
          <w:w w:val="95"/>
          <w:sz w:val="20"/>
        </w:rPr>
      </w:pPr>
      <w:bookmarkStart w:id="41" w:name="_Toc394313648"/>
      <w:r>
        <w:rPr>
          <w:rFonts w:ascii="Verdana" w:hAnsi="Verdana"/>
          <w:i/>
          <w:color w:val="auto"/>
          <w:w w:val="95"/>
          <w:sz w:val="20"/>
        </w:rPr>
        <w:t>B</w:t>
      </w:r>
      <w:r w:rsidRPr="002B1610">
        <w:rPr>
          <w:rFonts w:ascii="Verdana" w:hAnsi="Verdana"/>
          <w:i/>
          <w:color w:val="auto"/>
          <w:w w:val="95"/>
          <w:sz w:val="20"/>
        </w:rPr>
        <w:t>.2) Consideraciones de la Corte</w:t>
      </w:r>
      <w:bookmarkEnd w:id="41"/>
    </w:p>
    <w:p w:rsidR="00DF15C3" w:rsidRPr="00C71D45" w:rsidRDefault="00DF15C3" w:rsidP="003F26FD">
      <w:pPr>
        <w:spacing w:after="0" w:line="216" w:lineRule="auto"/>
        <w:ind w:right="-174"/>
        <w:jc w:val="both"/>
        <w:rPr>
          <w:rFonts w:ascii="Verdana" w:hAnsi="Verdana"/>
          <w:w w:val="95"/>
          <w:sz w:val="20"/>
          <w:szCs w:val="20"/>
          <w:lang w:val="es-CR"/>
        </w:rPr>
      </w:pPr>
    </w:p>
    <w:p w:rsidR="00DF15C3" w:rsidRPr="002B1610" w:rsidRDefault="00DF15C3" w:rsidP="003F26FD">
      <w:pPr>
        <w:pStyle w:val="Prrafodelista"/>
        <w:numPr>
          <w:ilvl w:val="0"/>
          <w:numId w:val="17"/>
        </w:numPr>
        <w:spacing w:after="0" w:line="216" w:lineRule="auto"/>
        <w:ind w:left="-142" w:right="-174" w:hanging="11"/>
        <w:jc w:val="both"/>
        <w:rPr>
          <w:rFonts w:ascii="Verdana" w:hAnsi="Verdana"/>
          <w:w w:val="95"/>
          <w:sz w:val="20"/>
          <w:szCs w:val="20"/>
          <w:lang w:val="es-CR"/>
        </w:rPr>
      </w:pPr>
      <w:r w:rsidRPr="002B1610">
        <w:rPr>
          <w:rFonts w:ascii="Verdana" w:hAnsi="Verdana"/>
          <w:w w:val="95"/>
          <w:sz w:val="20"/>
          <w:szCs w:val="20"/>
          <w:lang w:val="es-CR"/>
        </w:rPr>
        <w:t xml:space="preserve">La Convención Americana prevé en el artículo 46.1.a) uno de los requisitos “[p]ara que una petición o comunicación […] sea admitida por la Comisión”, consistente en que “se hayan interpuesto y agotado los recursos de jurisdicción interna, conforme a los principios del Derecho Internacional generalmente reconocidos”. Una de las excepciones a ese requisito, establecida en el apartado c) del inciso 2 del mismo artículo 46, se presenta cuando “haya retardo injustificado en la decisión sobre los mencionados recursos”. </w:t>
      </w:r>
    </w:p>
    <w:p w:rsidR="00DF15C3" w:rsidRPr="002B1610" w:rsidRDefault="00DF15C3" w:rsidP="003F26FD">
      <w:pPr>
        <w:pStyle w:val="Prrafodelista"/>
        <w:spacing w:after="0" w:line="216" w:lineRule="auto"/>
        <w:ind w:left="-142" w:right="-174"/>
        <w:jc w:val="both"/>
        <w:rPr>
          <w:rFonts w:ascii="Verdana" w:hAnsi="Verdana"/>
          <w:w w:val="95"/>
          <w:sz w:val="20"/>
          <w:szCs w:val="20"/>
          <w:lang w:val="es-CR"/>
        </w:rPr>
      </w:pPr>
    </w:p>
    <w:p w:rsidR="00DF15C3" w:rsidRPr="00CA4C08" w:rsidRDefault="00DF15C3" w:rsidP="003F26FD">
      <w:pPr>
        <w:pStyle w:val="Prrafodelista"/>
        <w:numPr>
          <w:ilvl w:val="0"/>
          <w:numId w:val="17"/>
        </w:numPr>
        <w:spacing w:after="0" w:line="216" w:lineRule="auto"/>
        <w:ind w:left="-142" w:right="-174" w:hanging="11"/>
        <w:jc w:val="both"/>
        <w:rPr>
          <w:rFonts w:ascii="Verdana" w:hAnsi="Verdana"/>
          <w:w w:val="95"/>
          <w:sz w:val="20"/>
          <w:szCs w:val="20"/>
          <w:lang w:val="es-CR"/>
        </w:rPr>
      </w:pPr>
      <w:r w:rsidRPr="002B1610">
        <w:rPr>
          <w:rFonts w:ascii="Verdana" w:hAnsi="Verdana"/>
          <w:w w:val="95"/>
          <w:sz w:val="20"/>
          <w:szCs w:val="20"/>
          <w:lang w:val="es-CR"/>
        </w:rPr>
        <w:t xml:space="preserve">Como surge del Informe de Admisibilidad No. 92/06 de 21 de octubre de 2006, la Comisión recibió el 26 de enero de 2004 una “denuncia en [relación con] la investigación de la muerte de María Isabel </w:t>
      </w:r>
      <w:r w:rsidR="0050766B" w:rsidRPr="002B1610">
        <w:rPr>
          <w:rFonts w:ascii="Verdana" w:hAnsi="Verdana"/>
          <w:w w:val="95"/>
          <w:sz w:val="20"/>
          <w:szCs w:val="20"/>
          <w:lang w:val="es-CR"/>
        </w:rPr>
        <w:t>V</w:t>
      </w:r>
      <w:r w:rsidR="0050766B">
        <w:rPr>
          <w:rFonts w:ascii="Verdana" w:hAnsi="Verdana"/>
          <w:w w:val="95"/>
          <w:sz w:val="20"/>
          <w:szCs w:val="20"/>
          <w:lang w:val="es-CR"/>
        </w:rPr>
        <w:t>e</w:t>
      </w:r>
      <w:r w:rsidR="0050766B" w:rsidRPr="002B1610">
        <w:rPr>
          <w:rFonts w:ascii="Verdana" w:hAnsi="Verdana"/>
          <w:w w:val="95"/>
          <w:sz w:val="20"/>
          <w:szCs w:val="20"/>
          <w:lang w:val="es-CR"/>
        </w:rPr>
        <w:t xml:space="preserve">liz </w:t>
      </w:r>
      <w:r w:rsidRPr="002B1610">
        <w:rPr>
          <w:rFonts w:ascii="Verdana" w:hAnsi="Verdana"/>
          <w:w w:val="95"/>
          <w:sz w:val="20"/>
          <w:szCs w:val="20"/>
          <w:lang w:val="es-CR"/>
        </w:rPr>
        <w:t>Franco[,…] quien desapareció el 17 de diciembre de 2001”, y la “transmitió […] al Estado el 24 de septiembre de 2004”</w:t>
      </w:r>
      <w:r w:rsidR="00F15CBE" w:rsidRPr="000D3634">
        <w:rPr>
          <w:rStyle w:val="Refdenotaalpie"/>
          <w:rFonts w:ascii="Verdana" w:hAnsi="Verdana"/>
          <w:w w:val="95"/>
          <w:sz w:val="20"/>
        </w:rPr>
        <w:footnoteReference w:id="27"/>
      </w:r>
      <w:r w:rsidRPr="002B1610">
        <w:rPr>
          <w:rFonts w:ascii="Verdana" w:hAnsi="Verdana"/>
          <w:w w:val="95"/>
          <w:sz w:val="20"/>
          <w:szCs w:val="20"/>
          <w:lang w:val="es-CR"/>
        </w:rPr>
        <w:t>. La Corte constata que entre el 24 de septiembre de 2004 y el 21 de octubre de 2006, el Estado remitió a la Comisión, además de solicitudes de prórroga, un total de seis comunicaciones sobre el caso</w:t>
      </w:r>
      <w:r w:rsidR="00F15CBE" w:rsidRPr="000D3634">
        <w:rPr>
          <w:rStyle w:val="Refdenotaalpie"/>
          <w:rFonts w:ascii="Verdana" w:hAnsi="Verdana"/>
          <w:w w:val="95"/>
          <w:sz w:val="20"/>
        </w:rPr>
        <w:footnoteReference w:id="28"/>
      </w:r>
      <w:r w:rsidRPr="002B1610">
        <w:rPr>
          <w:rFonts w:ascii="Verdana" w:hAnsi="Verdana"/>
          <w:w w:val="95"/>
          <w:sz w:val="20"/>
          <w:szCs w:val="20"/>
          <w:lang w:val="es-CR"/>
        </w:rPr>
        <w:t xml:space="preserve">. </w:t>
      </w:r>
      <w:r w:rsidRPr="00CA4C08">
        <w:rPr>
          <w:rFonts w:ascii="Verdana" w:hAnsi="Verdana"/>
          <w:w w:val="95"/>
          <w:sz w:val="20"/>
          <w:szCs w:val="20"/>
          <w:lang w:val="es-CR"/>
        </w:rPr>
        <w:t xml:space="preserve">En el primer escrito, presentado a la Comisión el 16 de diciembre de 2004, el Estado describió acciones correspondientes a la investigación que llevaba a cabo el Ministerio Público a fin de “iniciar un </w:t>
      </w:r>
      <w:r w:rsidRPr="00CA4C08">
        <w:rPr>
          <w:rFonts w:ascii="Verdana" w:hAnsi="Verdana"/>
          <w:w w:val="95"/>
          <w:sz w:val="20"/>
          <w:szCs w:val="20"/>
          <w:lang w:val="es-CR"/>
        </w:rPr>
        <w:lastRenderedPageBreak/>
        <w:t>proceso penal en contra de los culpables”, y observó que “[e]l caso de M[aría] I[sabel] V[</w:t>
      </w:r>
      <w:r>
        <w:rPr>
          <w:rFonts w:ascii="Verdana" w:hAnsi="Verdana"/>
          <w:w w:val="95"/>
          <w:sz w:val="20"/>
          <w:szCs w:val="20"/>
          <w:lang w:val="es-CR"/>
        </w:rPr>
        <w:t>e</w:t>
      </w:r>
      <w:r w:rsidRPr="00CA4C08">
        <w:rPr>
          <w:rFonts w:ascii="Verdana" w:hAnsi="Verdana"/>
          <w:w w:val="95"/>
          <w:sz w:val="20"/>
          <w:szCs w:val="20"/>
          <w:lang w:val="es-CR"/>
        </w:rPr>
        <w:t>liz] F[ranco] aún est[aba] en [la] fase de investigación”. Al admitir el caso, la Comisión concluyó</w:t>
      </w:r>
      <w:r w:rsidRPr="00CA4C08">
        <w:rPr>
          <w:rFonts w:ascii="Verdana" w:hAnsi="Verdana" w:cs="Arial"/>
          <w:w w:val="95"/>
          <w:sz w:val="20"/>
          <w:szCs w:val="20"/>
          <w:lang w:val="es-CO" w:eastAsia="es-CR"/>
        </w:rPr>
        <w:t>, en los términos del artículo 46.2.c) de la Convención,</w:t>
      </w:r>
      <w:r w:rsidRPr="00CA4C08">
        <w:rPr>
          <w:rFonts w:ascii="Verdana" w:hAnsi="Verdana"/>
          <w:w w:val="95"/>
          <w:sz w:val="20"/>
          <w:szCs w:val="20"/>
          <w:lang w:val="es-CO" w:eastAsia="de-DE"/>
        </w:rPr>
        <w:t xml:space="preserve"> la existencia de </w:t>
      </w:r>
      <w:r w:rsidRPr="00CA4C08">
        <w:rPr>
          <w:rFonts w:ascii="Verdana" w:hAnsi="Verdana" w:cs="Arial"/>
          <w:w w:val="95"/>
          <w:sz w:val="20"/>
          <w:szCs w:val="20"/>
          <w:lang w:val="es-CO" w:eastAsia="es-CR"/>
        </w:rPr>
        <w:t>un retardo injustificado</w:t>
      </w:r>
      <w:r w:rsidRPr="00CA4C08">
        <w:rPr>
          <w:rStyle w:val="Refdenotaalpie"/>
          <w:rFonts w:ascii="Verdana" w:hAnsi="Verdana" w:cs="Arial"/>
          <w:w w:val="95"/>
          <w:sz w:val="20"/>
          <w:szCs w:val="20"/>
          <w:lang w:val="es-CO" w:eastAsia="es-CR"/>
        </w:rPr>
        <w:footnoteReference w:id="29"/>
      </w:r>
      <w:r w:rsidRPr="00CA4C08">
        <w:rPr>
          <w:rFonts w:ascii="Verdana" w:hAnsi="Verdana" w:cs="Arial"/>
          <w:w w:val="95"/>
          <w:sz w:val="20"/>
          <w:szCs w:val="20"/>
          <w:lang w:val="es-CO" w:eastAsia="es-CR"/>
        </w:rPr>
        <w:t>.</w:t>
      </w:r>
      <w:r w:rsidRPr="00CA4C08">
        <w:rPr>
          <w:lang w:val="es-CR"/>
        </w:rPr>
        <w:t xml:space="preserve"> </w:t>
      </w:r>
      <w:r w:rsidRPr="00CA4C08">
        <w:rPr>
          <w:rFonts w:ascii="Verdana" w:hAnsi="Verdana"/>
          <w:sz w:val="20"/>
          <w:szCs w:val="20"/>
          <w:lang w:val="es-CR"/>
        </w:rPr>
        <w:t xml:space="preserve">Al hacerlo, tuvo en cuenta </w:t>
      </w:r>
      <w:r w:rsidRPr="00CA4C08">
        <w:rPr>
          <w:rFonts w:ascii="Verdana" w:hAnsi="Verdana"/>
          <w:w w:val="95"/>
          <w:sz w:val="20"/>
          <w:szCs w:val="20"/>
          <w:lang w:val="es-CR"/>
        </w:rPr>
        <w:t>un “conflicto de competencia de casi siete meses</w:t>
      </w:r>
      <w:r>
        <w:rPr>
          <w:rFonts w:ascii="Verdana" w:hAnsi="Verdana"/>
          <w:w w:val="95"/>
          <w:sz w:val="20"/>
          <w:szCs w:val="20"/>
          <w:lang w:val="es-CR"/>
        </w:rPr>
        <w:t xml:space="preserve"> [que]</w:t>
      </w:r>
      <w:r w:rsidRPr="00CA4C08">
        <w:rPr>
          <w:rFonts w:ascii="Verdana" w:hAnsi="Verdana"/>
          <w:w w:val="95"/>
          <w:sz w:val="20"/>
          <w:szCs w:val="20"/>
          <w:lang w:val="es-CR"/>
        </w:rPr>
        <w:t xml:space="preserve"> constituy[ó] un factor contribuyente al retardo injustificado”</w:t>
      </w:r>
      <w:r w:rsidRPr="00CA4C08">
        <w:rPr>
          <w:rStyle w:val="Refdenotaalpie"/>
          <w:rFonts w:ascii="Verdana" w:hAnsi="Verdana"/>
          <w:w w:val="95"/>
          <w:sz w:val="20"/>
          <w:szCs w:val="20"/>
          <w:lang w:val="es-CR"/>
        </w:rPr>
        <w:footnoteReference w:id="30"/>
      </w:r>
      <w:r w:rsidRPr="00CA4C08">
        <w:rPr>
          <w:rFonts w:ascii="Verdana" w:hAnsi="Verdana"/>
          <w:w w:val="95"/>
          <w:sz w:val="20"/>
          <w:szCs w:val="20"/>
          <w:lang w:val="es-CR"/>
        </w:rPr>
        <w:t>.</w:t>
      </w:r>
      <w:r w:rsidRPr="00CA4C08">
        <w:rPr>
          <w:lang w:val="es-CR"/>
        </w:rPr>
        <w:t xml:space="preserve"> </w:t>
      </w:r>
    </w:p>
    <w:p w:rsidR="00DF15C3" w:rsidRPr="00CA4C08" w:rsidRDefault="00DF15C3" w:rsidP="003F26FD">
      <w:pPr>
        <w:pStyle w:val="Prrafodelista"/>
        <w:spacing w:after="0" w:line="216" w:lineRule="auto"/>
        <w:ind w:left="-142" w:right="-174"/>
        <w:jc w:val="both"/>
        <w:rPr>
          <w:rFonts w:ascii="Verdana" w:hAnsi="Verdana"/>
          <w:w w:val="95"/>
          <w:sz w:val="20"/>
          <w:szCs w:val="20"/>
          <w:lang w:val="es-CR"/>
        </w:rPr>
      </w:pPr>
    </w:p>
    <w:p w:rsidR="00DB664C" w:rsidRPr="00DB664C" w:rsidRDefault="00DF15C3" w:rsidP="003F26FD">
      <w:pPr>
        <w:pStyle w:val="Prrafodelista"/>
        <w:numPr>
          <w:ilvl w:val="0"/>
          <w:numId w:val="17"/>
        </w:numPr>
        <w:spacing w:after="0" w:line="216" w:lineRule="auto"/>
        <w:ind w:left="-142" w:right="-174" w:hanging="11"/>
        <w:jc w:val="both"/>
        <w:rPr>
          <w:rFonts w:ascii="Verdana" w:hAnsi="Verdana"/>
          <w:w w:val="95"/>
          <w:sz w:val="20"/>
          <w:szCs w:val="20"/>
          <w:lang w:val="es-CR"/>
        </w:rPr>
      </w:pPr>
      <w:r w:rsidRPr="00CA4C08">
        <w:rPr>
          <w:rFonts w:ascii="Verdana" w:hAnsi="Verdana" w:cs="Arial"/>
          <w:w w:val="95"/>
          <w:sz w:val="20"/>
          <w:szCs w:val="20"/>
          <w:lang w:val="es-CO" w:eastAsia="es-CR"/>
        </w:rPr>
        <w:t>Ya se ha indicado que el Estado aceptó el atraso ocasionado por el conflicto de competencia, que se produjo entre el 11 de marzo y el 21 de noviembre de 2002 (</w:t>
      </w:r>
      <w:r w:rsidR="00F15CBE" w:rsidRPr="000D3634">
        <w:rPr>
          <w:rFonts w:ascii="Verdana" w:hAnsi="Verdana" w:cs="Arial"/>
          <w:i/>
          <w:w w:val="95"/>
          <w:sz w:val="20"/>
          <w:szCs w:val="20"/>
          <w:lang w:val="es-CO" w:eastAsia="es-CR"/>
        </w:rPr>
        <w:t xml:space="preserve">supra </w:t>
      </w:r>
      <w:r w:rsidR="00415223">
        <w:rPr>
          <w:rFonts w:ascii="Verdana" w:hAnsi="Verdana" w:cs="Arial"/>
          <w:w w:val="95"/>
          <w:sz w:val="20"/>
          <w:szCs w:val="20"/>
          <w:lang w:val="es-CO" w:eastAsia="es-CR"/>
        </w:rPr>
        <w:t xml:space="preserve">párr. </w:t>
      </w:r>
      <w:r w:rsidR="00633EA2">
        <w:rPr>
          <w:rFonts w:ascii="Verdana" w:hAnsi="Verdana" w:cs="Arial"/>
          <w:w w:val="95"/>
          <w:sz w:val="20"/>
          <w:szCs w:val="20"/>
          <w:lang w:val="es-CO" w:eastAsia="es-CR"/>
        </w:rPr>
        <w:t xml:space="preserve">19 </w:t>
      </w:r>
      <w:r w:rsidR="00415223">
        <w:rPr>
          <w:rFonts w:ascii="Verdana" w:hAnsi="Verdana" w:cs="Arial"/>
          <w:w w:val="95"/>
          <w:sz w:val="20"/>
          <w:szCs w:val="20"/>
          <w:lang w:val="es-CO" w:eastAsia="es-CR"/>
        </w:rPr>
        <w:t xml:space="preserve">e </w:t>
      </w:r>
      <w:r w:rsidRPr="00CA4C08">
        <w:rPr>
          <w:rFonts w:ascii="Verdana" w:hAnsi="Verdana" w:cs="Arial"/>
          <w:i/>
          <w:w w:val="95"/>
          <w:sz w:val="20"/>
          <w:szCs w:val="20"/>
          <w:lang w:val="es-CO" w:eastAsia="es-CR"/>
        </w:rPr>
        <w:t>infra</w:t>
      </w:r>
      <w:r w:rsidRPr="00CA4C08">
        <w:rPr>
          <w:rFonts w:ascii="Verdana" w:hAnsi="Verdana" w:cs="Arial"/>
          <w:w w:val="95"/>
          <w:sz w:val="20"/>
          <w:szCs w:val="20"/>
          <w:lang w:val="es-CO" w:eastAsia="es-CR"/>
        </w:rPr>
        <w:t xml:space="preserve"> párr. </w:t>
      </w:r>
      <w:r w:rsidR="00DB664C">
        <w:rPr>
          <w:rFonts w:ascii="Verdana" w:hAnsi="Verdana" w:cs="Arial"/>
          <w:w w:val="95"/>
          <w:sz w:val="20"/>
          <w:szCs w:val="20"/>
          <w:lang w:val="es-CO" w:eastAsia="es-CR"/>
        </w:rPr>
        <w:t>107</w:t>
      </w:r>
      <w:r w:rsidR="00633EA2" w:rsidRPr="00CA4C08">
        <w:rPr>
          <w:rFonts w:ascii="Verdana" w:hAnsi="Verdana" w:cs="Arial"/>
          <w:w w:val="95"/>
          <w:sz w:val="20"/>
          <w:szCs w:val="20"/>
          <w:lang w:val="es-CO" w:eastAsia="es-CR"/>
        </w:rPr>
        <w:t xml:space="preserve">); </w:t>
      </w:r>
      <w:r w:rsidRPr="00CA4C08">
        <w:rPr>
          <w:rFonts w:ascii="Verdana" w:hAnsi="Verdana" w:cs="Arial"/>
          <w:w w:val="95"/>
          <w:sz w:val="20"/>
          <w:szCs w:val="20"/>
          <w:lang w:val="es-CO" w:eastAsia="es-CR"/>
        </w:rPr>
        <w:t xml:space="preserve">es decir, antes de la presentación de la petición inicial. Dado lo expuesto y considerando que en esas fechas, así como al presentarse la petición inicial y al dictarse el Informe de Admisibilidad, la investigación de los hechos permanecía en su fase inicial, no </w:t>
      </w:r>
      <w:r w:rsidRPr="007741A4">
        <w:rPr>
          <w:rFonts w:ascii="Verdana" w:hAnsi="Verdana" w:cs="Arial"/>
          <w:w w:val="95"/>
          <w:sz w:val="20"/>
          <w:szCs w:val="20"/>
          <w:lang w:val="es-CO" w:eastAsia="es-CR"/>
        </w:rPr>
        <w:t>se hace evidente un error en</w:t>
      </w:r>
      <w:r>
        <w:rPr>
          <w:rFonts w:ascii="Verdana" w:hAnsi="Verdana" w:cs="Arial"/>
          <w:b/>
          <w:w w:val="95"/>
          <w:sz w:val="20"/>
          <w:szCs w:val="20"/>
          <w:lang w:val="es-CO" w:eastAsia="es-CR"/>
        </w:rPr>
        <w:t xml:space="preserve"> </w:t>
      </w:r>
      <w:r w:rsidRPr="00CA4C08">
        <w:rPr>
          <w:rFonts w:ascii="Verdana" w:hAnsi="Verdana" w:cs="Arial"/>
          <w:w w:val="95"/>
          <w:sz w:val="20"/>
          <w:szCs w:val="20"/>
          <w:lang w:val="es-CO" w:eastAsia="es-CR"/>
        </w:rPr>
        <w:t>lo determinado por la Comisión. Lo anterior además se vincula con los derechos consagrados en los artículos 8 y 25 de la Convención, que establecen que los procesos y recursos se substancien “en un plazo razonable” y con “r[a]pid[ez]”, según el caso. Por ende, el retardo en su desarrollo podría constituir una violación a las garantías judiciales</w:t>
      </w:r>
      <w:r w:rsidR="00633EA2" w:rsidRPr="00CA4C08">
        <w:rPr>
          <w:rFonts w:ascii="Verdana" w:hAnsi="Verdana" w:cs="Arial"/>
          <w:w w:val="95"/>
          <w:sz w:val="20"/>
          <w:szCs w:val="20"/>
          <w:lang w:val="es-CO" w:eastAsia="es-CR"/>
        </w:rPr>
        <w:t xml:space="preserve">. </w:t>
      </w:r>
    </w:p>
    <w:p w:rsidR="00DB664C" w:rsidRPr="00DB664C" w:rsidRDefault="00DB664C" w:rsidP="003F26FD">
      <w:pPr>
        <w:pStyle w:val="Prrafodelista"/>
        <w:ind w:right="-174"/>
        <w:rPr>
          <w:rFonts w:ascii="Verdana" w:hAnsi="Verdana" w:cs="Arial"/>
          <w:w w:val="95"/>
          <w:sz w:val="20"/>
          <w:szCs w:val="20"/>
          <w:lang w:val="es-CO" w:eastAsia="es-CR"/>
        </w:rPr>
      </w:pPr>
    </w:p>
    <w:p w:rsidR="00DF15C3" w:rsidRPr="002B0D23" w:rsidRDefault="00DF15C3" w:rsidP="003F26FD">
      <w:pPr>
        <w:pStyle w:val="Prrafodelista"/>
        <w:numPr>
          <w:ilvl w:val="0"/>
          <w:numId w:val="17"/>
        </w:numPr>
        <w:spacing w:after="0" w:line="216" w:lineRule="auto"/>
        <w:ind w:left="-142" w:right="-174" w:hanging="11"/>
        <w:jc w:val="both"/>
        <w:rPr>
          <w:rFonts w:ascii="Verdana" w:hAnsi="Verdana"/>
          <w:w w:val="95"/>
          <w:sz w:val="20"/>
          <w:szCs w:val="20"/>
          <w:lang w:val="es-CR"/>
        </w:rPr>
      </w:pPr>
      <w:r w:rsidRPr="00CA4C08">
        <w:rPr>
          <w:rFonts w:ascii="Verdana" w:hAnsi="Verdana" w:cs="Arial"/>
          <w:w w:val="95"/>
          <w:sz w:val="20"/>
          <w:szCs w:val="20"/>
          <w:lang w:val="es-CO" w:eastAsia="es-CR"/>
        </w:rPr>
        <w:t xml:space="preserve">En consecuencia, se desestima la excepción preliminar de falta de agotamiento de recursos internos interpuesta por Guatemala. </w:t>
      </w:r>
    </w:p>
    <w:p w:rsidR="00F04D11" w:rsidRPr="00D23FEF" w:rsidRDefault="00F04D11" w:rsidP="003F26FD">
      <w:pPr>
        <w:spacing w:after="0" w:line="216" w:lineRule="auto"/>
        <w:ind w:right="-174"/>
        <w:jc w:val="both"/>
        <w:rPr>
          <w:rFonts w:ascii="Verdana" w:hAnsi="Verdana"/>
          <w:w w:val="95"/>
          <w:sz w:val="20"/>
          <w:szCs w:val="20"/>
          <w:lang w:val="es-CR"/>
        </w:rPr>
      </w:pPr>
    </w:p>
    <w:p w:rsidR="00DF15C3" w:rsidRPr="002B1610" w:rsidRDefault="00DF15C3" w:rsidP="003F26FD">
      <w:pPr>
        <w:pStyle w:val="Ttulo1"/>
        <w:spacing w:before="0" w:after="0" w:line="216" w:lineRule="auto"/>
        <w:ind w:right="-174"/>
        <w:rPr>
          <w:w w:val="95"/>
          <w:szCs w:val="20"/>
          <w:lang w:val="es-CO" w:eastAsia="es-CO"/>
        </w:rPr>
      </w:pPr>
      <w:bookmarkStart w:id="42" w:name="_Toc384711956"/>
      <w:bookmarkStart w:id="43" w:name="_Toc394313649"/>
      <w:r w:rsidRPr="002B1610">
        <w:rPr>
          <w:w w:val="95"/>
          <w:szCs w:val="20"/>
          <w:lang w:val="es-CO" w:eastAsia="es-CO"/>
        </w:rPr>
        <w:t>V</w:t>
      </w:r>
      <w:r>
        <w:rPr>
          <w:w w:val="95"/>
          <w:szCs w:val="20"/>
          <w:lang w:val="es-CO" w:eastAsia="es-CO"/>
        </w:rPr>
        <w:t>I</w:t>
      </w:r>
      <w:bookmarkEnd w:id="42"/>
      <w:bookmarkEnd w:id="43"/>
    </w:p>
    <w:p w:rsidR="00DF15C3" w:rsidRPr="002B1610" w:rsidRDefault="00DF15C3" w:rsidP="003F26FD">
      <w:pPr>
        <w:pStyle w:val="Ttulo1"/>
        <w:spacing w:before="0" w:after="0" w:line="216" w:lineRule="auto"/>
        <w:ind w:right="-174"/>
        <w:rPr>
          <w:w w:val="95"/>
          <w:szCs w:val="20"/>
          <w:lang w:val="es-CO" w:eastAsia="es-CO"/>
        </w:rPr>
      </w:pPr>
      <w:bookmarkStart w:id="44" w:name="_Toc394313650"/>
      <w:r w:rsidRPr="002B1610">
        <w:rPr>
          <w:w w:val="95"/>
          <w:szCs w:val="20"/>
          <w:lang w:val="es-CO" w:eastAsia="es-CO"/>
        </w:rPr>
        <w:t>PRUEBA</w:t>
      </w:r>
      <w:bookmarkEnd w:id="44"/>
    </w:p>
    <w:p w:rsidR="00DF15C3" w:rsidRPr="002B1610" w:rsidRDefault="00DF15C3" w:rsidP="003F26FD">
      <w:pPr>
        <w:pStyle w:val="Prrafodelista"/>
        <w:spacing w:after="0" w:line="216" w:lineRule="auto"/>
        <w:ind w:left="4260" w:right="-174"/>
        <w:rPr>
          <w:rFonts w:ascii="Verdana" w:hAnsi="Verdana"/>
          <w:b/>
          <w:w w:val="95"/>
          <w:sz w:val="20"/>
          <w:szCs w:val="20"/>
          <w:lang w:val="es-CO" w:eastAsia="es-CO"/>
        </w:rPr>
      </w:pPr>
    </w:p>
    <w:p w:rsidR="00DF15C3" w:rsidRPr="002B1610" w:rsidRDefault="00DF15C3" w:rsidP="003F26FD">
      <w:pPr>
        <w:pStyle w:val="Prrafodelista"/>
        <w:numPr>
          <w:ilvl w:val="0"/>
          <w:numId w:val="17"/>
        </w:numPr>
        <w:spacing w:after="0" w:line="216" w:lineRule="auto"/>
        <w:ind w:left="-142" w:right="-174" w:hanging="11"/>
        <w:jc w:val="both"/>
        <w:rPr>
          <w:rFonts w:ascii="Verdana" w:hAnsi="Verdana"/>
          <w:w w:val="95"/>
          <w:sz w:val="20"/>
          <w:szCs w:val="20"/>
          <w:lang w:val="es-CO" w:eastAsia="es-ES"/>
        </w:rPr>
      </w:pPr>
      <w:r w:rsidRPr="002B1610">
        <w:rPr>
          <w:rFonts w:ascii="Verdana" w:hAnsi="Verdana"/>
          <w:w w:val="95"/>
          <w:sz w:val="20"/>
          <w:szCs w:val="20"/>
          <w:lang w:val="es-CO" w:eastAsia="es-CO"/>
        </w:rPr>
        <w:t>Conforme a las normas reglamentarias pertinentes</w:t>
      </w:r>
      <w:r w:rsidRPr="002B1610">
        <w:rPr>
          <w:rStyle w:val="Refdenotaalpie"/>
          <w:rFonts w:ascii="Verdana" w:hAnsi="Verdana"/>
          <w:w w:val="95"/>
          <w:sz w:val="20"/>
          <w:szCs w:val="20"/>
          <w:lang w:val="es-CO" w:eastAsia="es-CO"/>
        </w:rPr>
        <w:footnoteReference w:id="31"/>
      </w:r>
      <w:r w:rsidRPr="002B1610">
        <w:rPr>
          <w:rFonts w:ascii="Verdana" w:hAnsi="Verdana"/>
          <w:w w:val="95"/>
          <w:sz w:val="20"/>
          <w:szCs w:val="20"/>
          <w:lang w:val="es-CO" w:eastAsia="es-CO"/>
        </w:rPr>
        <w:t xml:space="preserve"> y a su jurisprudencia constante</w:t>
      </w:r>
      <w:r w:rsidRPr="002B1610">
        <w:rPr>
          <w:rStyle w:val="Refdenotaalpie"/>
          <w:rFonts w:ascii="Verdana" w:hAnsi="Verdana"/>
          <w:w w:val="95"/>
          <w:sz w:val="20"/>
          <w:szCs w:val="20"/>
          <w:lang w:val="es-CO" w:eastAsia="es-CO"/>
        </w:rPr>
        <w:footnoteReference w:id="32"/>
      </w:r>
      <w:r w:rsidRPr="002B1610">
        <w:rPr>
          <w:rFonts w:ascii="Verdana" w:hAnsi="Verdana"/>
          <w:w w:val="95"/>
          <w:sz w:val="20"/>
          <w:szCs w:val="20"/>
          <w:lang w:val="es-CO" w:eastAsia="es-CO"/>
        </w:rPr>
        <w:t>, la Corte examinará y valorará los elementos probatorios aportados en autos, sean documentales, declaraciones o dictámenes pe</w:t>
      </w:r>
      <w:r w:rsidRPr="002B1610">
        <w:rPr>
          <w:rFonts w:ascii="Verdana" w:hAnsi="Verdana"/>
          <w:w w:val="95"/>
          <w:sz w:val="20"/>
          <w:szCs w:val="20"/>
          <w:lang w:val="es-CO"/>
        </w:rPr>
        <w:t xml:space="preserve">riciales, atendiéndose a los principios de la sana crítica y teniendo en cuenta el conjunto </w:t>
      </w:r>
      <w:r w:rsidRPr="002B1610">
        <w:rPr>
          <w:rFonts w:ascii="Verdana" w:hAnsi="Verdana"/>
          <w:w w:val="95"/>
          <w:sz w:val="20"/>
          <w:szCs w:val="20"/>
          <w:lang w:val="es-CO" w:eastAsia="es-ES"/>
        </w:rPr>
        <w:t>del acervo probatorio y lo alegado en la causa.</w:t>
      </w:r>
    </w:p>
    <w:p w:rsidR="00DF15C3" w:rsidRPr="002B1610" w:rsidRDefault="00DF15C3" w:rsidP="003F26FD">
      <w:pPr>
        <w:spacing w:after="0" w:line="216" w:lineRule="auto"/>
        <w:ind w:left="-142" w:right="-174"/>
        <w:jc w:val="both"/>
        <w:rPr>
          <w:rFonts w:ascii="Verdana" w:hAnsi="Verdana"/>
          <w:b/>
          <w:w w:val="95"/>
          <w:sz w:val="20"/>
          <w:szCs w:val="20"/>
          <w:lang w:val="es-CO" w:eastAsia="es-ES"/>
        </w:rPr>
      </w:pPr>
    </w:p>
    <w:p w:rsidR="00DF15C3" w:rsidRPr="002B1610" w:rsidRDefault="00DF15C3" w:rsidP="003F26FD">
      <w:pPr>
        <w:pStyle w:val="Prrafodelista"/>
        <w:numPr>
          <w:ilvl w:val="0"/>
          <w:numId w:val="2"/>
        </w:numPr>
        <w:spacing w:after="0" w:line="216" w:lineRule="auto"/>
        <w:ind w:left="284" w:right="-174" w:firstLine="0"/>
        <w:jc w:val="both"/>
        <w:outlineLvl w:val="1"/>
        <w:rPr>
          <w:rStyle w:val="Estilo1Car"/>
          <w:rFonts w:cs="Arial"/>
          <w:b/>
          <w:w w:val="95"/>
          <w:sz w:val="20"/>
          <w:szCs w:val="20"/>
          <w:lang w:val="es-CO" w:eastAsia="es-CR"/>
        </w:rPr>
      </w:pPr>
      <w:bookmarkStart w:id="45" w:name="_Toc359314425"/>
      <w:bookmarkStart w:id="46" w:name="_Toc394313651"/>
      <w:r w:rsidRPr="002B1610">
        <w:rPr>
          <w:rStyle w:val="Estilo1Car"/>
          <w:b/>
          <w:w w:val="95"/>
          <w:sz w:val="20"/>
          <w:szCs w:val="20"/>
          <w:lang w:val="es-CO" w:eastAsia="es-ES"/>
        </w:rPr>
        <w:t>Prueba documental, decla</w:t>
      </w:r>
      <w:r w:rsidRPr="002B1610">
        <w:rPr>
          <w:rStyle w:val="Estilo1Car"/>
          <w:b/>
          <w:w w:val="95"/>
          <w:sz w:val="20"/>
          <w:szCs w:val="20"/>
          <w:lang w:val="es-CO"/>
        </w:rPr>
        <w:t>ra</w:t>
      </w:r>
      <w:r w:rsidRPr="002B1610">
        <w:rPr>
          <w:rStyle w:val="Estilo1Car"/>
          <w:b/>
          <w:w w:val="95"/>
          <w:sz w:val="20"/>
          <w:szCs w:val="20"/>
          <w:lang w:val="es-CO" w:eastAsia="es-CO"/>
        </w:rPr>
        <w:t>ciones de las presunta</w:t>
      </w:r>
      <w:r w:rsidRPr="002B1610">
        <w:rPr>
          <w:rStyle w:val="Estilo1Car"/>
          <w:rFonts w:cs="Arial"/>
          <w:b/>
          <w:w w:val="95"/>
          <w:sz w:val="20"/>
          <w:szCs w:val="20"/>
          <w:lang w:val="es-CO" w:eastAsia="es-CR"/>
        </w:rPr>
        <w:t>s ví</w:t>
      </w:r>
      <w:r w:rsidRPr="002B1610">
        <w:rPr>
          <w:rStyle w:val="Estilo1Car"/>
          <w:b/>
          <w:w w:val="95"/>
          <w:sz w:val="20"/>
          <w:szCs w:val="20"/>
          <w:lang w:val="es-CO"/>
        </w:rPr>
        <w:t>cti</w:t>
      </w:r>
      <w:r w:rsidRPr="002B1610">
        <w:rPr>
          <w:rStyle w:val="Estilo1Car"/>
          <w:rFonts w:cs="Arial"/>
          <w:b/>
          <w:w w:val="95"/>
          <w:sz w:val="20"/>
          <w:szCs w:val="20"/>
          <w:lang w:val="es-CO" w:eastAsia="es-CR"/>
        </w:rPr>
        <w:t>mas, testimonial y pericial</w:t>
      </w:r>
      <w:bookmarkEnd w:id="45"/>
      <w:bookmarkEnd w:id="46"/>
    </w:p>
    <w:p w:rsidR="00DF15C3" w:rsidRPr="002B1610" w:rsidRDefault="00DF15C3" w:rsidP="003F26FD">
      <w:pPr>
        <w:pStyle w:val="Prrafodelista"/>
        <w:spacing w:after="0" w:line="216" w:lineRule="auto"/>
        <w:ind w:left="-142" w:right="-174"/>
        <w:jc w:val="both"/>
        <w:rPr>
          <w:rStyle w:val="Estilo1Car"/>
          <w:rFonts w:cs="Arial"/>
          <w:b/>
          <w:w w:val="95"/>
          <w:sz w:val="20"/>
          <w:szCs w:val="20"/>
          <w:lang w:val="es-CO" w:eastAsia="es-CR"/>
        </w:rPr>
      </w:pPr>
    </w:p>
    <w:p w:rsidR="00DF15C3" w:rsidRPr="00F62505" w:rsidRDefault="00DF15C3" w:rsidP="003F26FD">
      <w:pPr>
        <w:pStyle w:val="Prrafodelista"/>
        <w:numPr>
          <w:ilvl w:val="0"/>
          <w:numId w:val="17"/>
        </w:numPr>
        <w:spacing w:after="0" w:line="216" w:lineRule="auto"/>
        <w:ind w:left="-142" w:right="-174" w:firstLine="0"/>
        <w:jc w:val="both"/>
        <w:rPr>
          <w:rFonts w:ascii="Verdana" w:hAnsi="Verdana"/>
          <w:i/>
          <w:w w:val="95"/>
          <w:sz w:val="20"/>
          <w:szCs w:val="20"/>
          <w:u w:val="single"/>
          <w:lang w:val="es-CR"/>
        </w:rPr>
      </w:pPr>
      <w:r w:rsidRPr="006B7B23">
        <w:rPr>
          <w:rFonts w:ascii="Verdana" w:hAnsi="Verdana" w:cs="Arial"/>
          <w:w w:val="95"/>
          <w:sz w:val="20"/>
          <w:szCs w:val="20"/>
          <w:lang w:val="es-CO" w:eastAsia="es-CR"/>
        </w:rPr>
        <w:t>La Corte recibió diversos documentos presentados como prueba por la Comisión Interamericana, la representante</w:t>
      </w:r>
      <w:r w:rsidRPr="006B7B23">
        <w:rPr>
          <w:rFonts w:ascii="Verdana" w:hAnsi="Verdana"/>
          <w:w w:val="95"/>
          <w:sz w:val="20"/>
          <w:szCs w:val="20"/>
          <w:lang w:val="es-CO" w:eastAsia="de-DE"/>
        </w:rPr>
        <w:t xml:space="preserve"> y el Estad</w:t>
      </w:r>
      <w:r w:rsidRPr="006B7B23">
        <w:rPr>
          <w:rFonts w:ascii="Verdana" w:hAnsi="Verdana" w:cs="Arial"/>
          <w:w w:val="95"/>
          <w:sz w:val="20"/>
          <w:szCs w:val="20"/>
          <w:lang w:val="es-CO" w:eastAsia="es-CR"/>
        </w:rPr>
        <w:t>o. Asimismo, recibió las declaraciones de</w:t>
      </w:r>
      <w:r w:rsidRPr="006B7B23">
        <w:rPr>
          <w:rFonts w:ascii="Verdana" w:hAnsi="Verdana"/>
          <w:w w:val="95"/>
          <w:sz w:val="20"/>
          <w:szCs w:val="20"/>
          <w:lang w:val="es-ES"/>
        </w:rPr>
        <w:t xml:space="preserve"> </w:t>
      </w:r>
      <w:r w:rsidRPr="006B7B23">
        <w:rPr>
          <w:rFonts w:ascii="Verdana" w:hAnsi="Verdana" w:cs="Arial"/>
          <w:w w:val="95"/>
          <w:sz w:val="20"/>
          <w:szCs w:val="20"/>
          <w:lang w:val="es-CR" w:eastAsia="es-CR"/>
        </w:rPr>
        <w:t>la</w:t>
      </w:r>
      <w:r w:rsidRPr="006B7B23">
        <w:rPr>
          <w:rFonts w:ascii="Verdana" w:hAnsi="Verdana"/>
          <w:w w:val="95"/>
          <w:sz w:val="20"/>
          <w:szCs w:val="20"/>
          <w:lang w:val="es-CR"/>
        </w:rPr>
        <w:t>s presuntas víctimas propuestas por la representante, a saber: Rosa Elvira Franco, Leone</w:t>
      </w:r>
      <w:r w:rsidRPr="006B7B23">
        <w:rPr>
          <w:rFonts w:ascii="Verdana" w:hAnsi="Verdana" w:cs="Arial"/>
          <w:w w:val="95"/>
          <w:sz w:val="20"/>
          <w:szCs w:val="20"/>
          <w:lang w:val="es-CO" w:eastAsia="es-CR"/>
        </w:rPr>
        <w:t xml:space="preserve">l </w:t>
      </w:r>
      <w:r w:rsidRPr="006B7B23">
        <w:rPr>
          <w:rFonts w:ascii="Verdana" w:hAnsi="Verdana"/>
          <w:w w:val="95"/>
          <w:sz w:val="20"/>
          <w:szCs w:val="20"/>
          <w:lang w:val="es-CR"/>
        </w:rPr>
        <w:t xml:space="preserve">Enrique </w:t>
      </w:r>
      <w:r w:rsidR="0050766B" w:rsidRPr="006B7B23">
        <w:rPr>
          <w:rFonts w:ascii="Verdana" w:hAnsi="Verdana"/>
          <w:w w:val="95"/>
          <w:sz w:val="20"/>
          <w:szCs w:val="20"/>
          <w:lang w:val="es-CR"/>
        </w:rPr>
        <w:t>V</w:t>
      </w:r>
      <w:r w:rsidR="0050766B">
        <w:rPr>
          <w:rFonts w:ascii="Verdana" w:hAnsi="Verdana"/>
          <w:w w:val="95"/>
          <w:sz w:val="20"/>
          <w:szCs w:val="20"/>
          <w:lang w:val="es-CR"/>
        </w:rPr>
        <w:t>e</w:t>
      </w:r>
      <w:r w:rsidR="0050766B" w:rsidRPr="006B7B23">
        <w:rPr>
          <w:rFonts w:ascii="Verdana" w:hAnsi="Verdana"/>
          <w:w w:val="95"/>
          <w:sz w:val="20"/>
          <w:szCs w:val="20"/>
          <w:lang w:val="es-CR"/>
        </w:rPr>
        <w:t xml:space="preserve">liz </w:t>
      </w:r>
      <w:r w:rsidRPr="006B7B23">
        <w:rPr>
          <w:rFonts w:ascii="Verdana" w:hAnsi="Verdana"/>
          <w:w w:val="95"/>
          <w:sz w:val="20"/>
          <w:szCs w:val="20"/>
          <w:lang w:val="es-CR"/>
        </w:rPr>
        <w:t>Franco y José Roberto Franco, de la testigo Luisa María de León Sant</w:t>
      </w:r>
      <w:r w:rsidRPr="006B7B23">
        <w:rPr>
          <w:rFonts w:ascii="Verdana" w:hAnsi="Verdana"/>
          <w:w w:val="95"/>
          <w:sz w:val="20"/>
          <w:szCs w:val="20"/>
          <w:lang w:val="es-ES"/>
        </w:rPr>
        <w:t>izo, propuesta por la representante, y de los peritos Ana Carcedo Cabañas, María Eugenia Solís García, Rodolfo Kepfer Rodríguez y José Mario Nájera Ochoa,</w:t>
      </w:r>
      <w:r w:rsidRPr="006B7B23">
        <w:rPr>
          <w:rFonts w:ascii="Verdana" w:hAnsi="Verdana"/>
          <w:w w:val="95"/>
          <w:sz w:val="20"/>
          <w:szCs w:val="20"/>
          <w:lang w:val="es-CR"/>
        </w:rPr>
        <w:t xml:space="preserve"> por parte de la representante. </w:t>
      </w:r>
      <w:r w:rsidRPr="003622B1">
        <w:rPr>
          <w:rFonts w:ascii="Verdana" w:hAnsi="Verdana" w:cs="Arial"/>
          <w:w w:val="95"/>
          <w:sz w:val="20"/>
          <w:szCs w:val="20"/>
          <w:lang w:val="es-CO" w:eastAsia="es-CR"/>
        </w:rPr>
        <w:t>El 15 de abril de 2013 la Comisión informó que desistía de la prueba pericial de la señora Elizabeth Salmón,</w:t>
      </w:r>
      <w:r w:rsidRPr="003622B1">
        <w:rPr>
          <w:rFonts w:ascii="Verdana" w:hAnsi="Verdana"/>
          <w:w w:val="95"/>
          <w:sz w:val="20"/>
          <w:szCs w:val="20"/>
          <w:lang w:val="es-CO" w:eastAsia="de-DE"/>
        </w:rPr>
        <w:t xml:space="preserve"> ya que por</w:t>
      </w:r>
      <w:r w:rsidRPr="003622B1">
        <w:rPr>
          <w:rFonts w:ascii="Verdana" w:hAnsi="Verdana" w:cs="Arial"/>
          <w:w w:val="95"/>
          <w:sz w:val="20"/>
          <w:szCs w:val="20"/>
          <w:lang w:val="es-CO" w:eastAsia="es-CR"/>
        </w:rPr>
        <w:t xml:space="preserve"> compromisos profesionales impostergables</w:t>
      </w:r>
      <w:r w:rsidRPr="003622B1">
        <w:rPr>
          <w:rFonts w:ascii="Verdana" w:hAnsi="Verdana"/>
          <w:w w:val="95"/>
          <w:sz w:val="20"/>
          <w:szCs w:val="20"/>
          <w:lang w:val="es-ES"/>
        </w:rPr>
        <w:t xml:space="preserve"> </w:t>
      </w:r>
      <w:r w:rsidRPr="003622B1">
        <w:rPr>
          <w:rFonts w:ascii="Verdana" w:hAnsi="Verdana" w:cs="Arial"/>
          <w:w w:val="95"/>
          <w:sz w:val="20"/>
          <w:szCs w:val="20"/>
          <w:lang w:val="es-CR" w:eastAsia="es-CR"/>
        </w:rPr>
        <w:t>pr</w:t>
      </w:r>
      <w:r w:rsidRPr="00F62505">
        <w:rPr>
          <w:rFonts w:ascii="Verdana" w:hAnsi="Verdana"/>
          <w:w w:val="95"/>
          <w:sz w:val="20"/>
          <w:szCs w:val="20"/>
          <w:lang w:val="es-CR"/>
        </w:rPr>
        <w:t>eviamente asumidos por ella, no podía comparecer a la audiencia pública</w:t>
      </w:r>
      <w:r w:rsidR="00415223" w:rsidRPr="00415223">
        <w:rPr>
          <w:rFonts w:ascii="Verdana" w:hAnsi="Verdana"/>
          <w:w w:val="95"/>
          <w:sz w:val="20"/>
          <w:szCs w:val="20"/>
          <w:lang w:val="es-CR"/>
        </w:rPr>
        <w:t>.</w:t>
      </w:r>
      <w:r w:rsidRPr="00F62505">
        <w:rPr>
          <w:rFonts w:ascii="Verdana" w:hAnsi="Verdana"/>
          <w:b/>
          <w:w w:val="95"/>
          <w:sz w:val="20"/>
          <w:szCs w:val="20"/>
          <w:lang w:val="es-CR"/>
        </w:rPr>
        <w:t xml:space="preserve"> </w:t>
      </w:r>
    </w:p>
    <w:p w:rsidR="00DF15C3" w:rsidRPr="00F62505" w:rsidRDefault="00DF15C3" w:rsidP="003F26FD">
      <w:pPr>
        <w:spacing w:after="0" w:line="216" w:lineRule="auto"/>
        <w:ind w:right="-174"/>
        <w:jc w:val="both"/>
        <w:rPr>
          <w:rStyle w:val="Estilo1Car"/>
          <w:w w:val="95"/>
          <w:sz w:val="20"/>
          <w:szCs w:val="20"/>
          <w:lang w:val="es-CR"/>
        </w:rPr>
      </w:pPr>
    </w:p>
    <w:p w:rsidR="00DF15C3" w:rsidRPr="00F62505" w:rsidRDefault="00DF15C3" w:rsidP="003F26FD">
      <w:pPr>
        <w:pStyle w:val="Prrafodelista"/>
        <w:numPr>
          <w:ilvl w:val="0"/>
          <w:numId w:val="2"/>
        </w:numPr>
        <w:spacing w:after="0" w:line="216" w:lineRule="auto"/>
        <w:ind w:left="284" w:right="-174" w:firstLine="0"/>
        <w:outlineLvl w:val="1"/>
        <w:rPr>
          <w:rFonts w:ascii="Verdana" w:hAnsi="Verdana"/>
          <w:b/>
          <w:w w:val="95"/>
          <w:sz w:val="20"/>
          <w:szCs w:val="20"/>
          <w:lang w:val="es-CR"/>
        </w:rPr>
      </w:pPr>
      <w:bookmarkStart w:id="47" w:name="_Toc394313652"/>
      <w:r w:rsidRPr="003622B1">
        <w:rPr>
          <w:rFonts w:ascii="Verdana" w:hAnsi="Verdana"/>
          <w:b/>
          <w:w w:val="95"/>
          <w:sz w:val="20"/>
          <w:szCs w:val="20"/>
          <w:lang w:val="es-CR"/>
        </w:rPr>
        <w:t>Admisi</w:t>
      </w:r>
      <w:r w:rsidRPr="003622B1">
        <w:rPr>
          <w:rFonts w:ascii="Verdana" w:hAnsi="Verdana" w:cs="Arial"/>
          <w:b/>
          <w:w w:val="95"/>
          <w:sz w:val="20"/>
          <w:szCs w:val="20"/>
          <w:lang w:val="es-CO" w:eastAsia="es-CR"/>
        </w:rPr>
        <w:t>ón</w:t>
      </w:r>
      <w:r w:rsidRPr="003622B1">
        <w:rPr>
          <w:rFonts w:ascii="Verdana" w:hAnsi="Verdana"/>
          <w:b/>
          <w:w w:val="95"/>
          <w:sz w:val="20"/>
          <w:szCs w:val="20"/>
          <w:lang w:val="es-CR"/>
        </w:rPr>
        <w:t xml:space="preserve"> de la prueba documental</w:t>
      </w:r>
      <w:bookmarkEnd w:id="47"/>
    </w:p>
    <w:p w:rsidR="00DF15C3" w:rsidRPr="00F62505" w:rsidRDefault="00DF15C3" w:rsidP="003F26FD">
      <w:pPr>
        <w:pStyle w:val="Prrafodelista"/>
        <w:spacing w:after="0" w:line="216" w:lineRule="auto"/>
        <w:ind w:left="-142" w:right="-174"/>
        <w:rPr>
          <w:rFonts w:ascii="Verdana" w:hAnsi="Verdana"/>
          <w:b/>
          <w:w w:val="95"/>
          <w:sz w:val="20"/>
          <w:szCs w:val="20"/>
          <w:lang w:val="es-CR"/>
        </w:rPr>
      </w:pPr>
    </w:p>
    <w:p w:rsidR="00DF15C3" w:rsidRPr="002B1610" w:rsidRDefault="00DF15C3" w:rsidP="003F26FD">
      <w:pPr>
        <w:pStyle w:val="Prrafodelista"/>
        <w:numPr>
          <w:ilvl w:val="0"/>
          <w:numId w:val="17"/>
        </w:numPr>
        <w:spacing w:after="0" w:line="216" w:lineRule="auto"/>
        <w:ind w:left="-142" w:right="-174" w:firstLine="0"/>
        <w:jc w:val="both"/>
        <w:rPr>
          <w:rFonts w:ascii="Verdana" w:hAnsi="Verdana"/>
          <w:w w:val="95"/>
          <w:sz w:val="20"/>
          <w:szCs w:val="20"/>
          <w:lang w:val="es-ES"/>
        </w:rPr>
      </w:pPr>
      <w:r w:rsidRPr="003622B1">
        <w:rPr>
          <w:rFonts w:ascii="Verdana" w:hAnsi="Verdana"/>
          <w:w w:val="95"/>
          <w:sz w:val="20"/>
          <w:szCs w:val="20"/>
          <w:lang w:val="es-CR"/>
        </w:rPr>
        <w:t>En el presente caso, como en otros</w:t>
      </w:r>
      <w:r w:rsidRPr="003622B1">
        <w:rPr>
          <w:rStyle w:val="Refdenotaalpie"/>
          <w:rFonts w:ascii="Verdana" w:hAnsi="Verdana"/>
          <w:w w:val="95"/>
          <w:sz w:val="20"/>
          <w:szCs w:val="20"/>
          <w:lang w:val="es-CR"/>
        </w:rPr>
        <w:footnoteReference w:id="33"/>
      </w:r>
      <w:r w:rsidRPr="003622B1">
        <w:rPr>
          <w:rFonts w:ascii="Verdana" w:hAnsi="Verdana"/>
          <w:w w:val="95"/>
          <w:sz w:val="20"/>
          <w:szCs w:val="20"/>
          <w:lang w:val="es-CR"/>
        </w:rPr>
        <w:t xml:space="preserve">, el Tribunal admite </w:t>
      </w:r>
      <w:r w:rsidRPr="00F62505">
        <w:rPr>
          <w:rFonts w:ascii="Verdana" w:hAnsi="Verdana"/>
          <w:w w:val="95"/>
          <w:sz w:val="20"/>
          <w:szCs w:val="20"/>
          <w:lang w:val="es-ES"/>
        </w:rPr>
        <w:t>aquellos documentos remitidos por las partes en la debida oportunidad procesal que no fueron controvertidos ni objetados, ni cuya autenticidad fue puesta</w:t>
      </w:r>
      <w:r w:rsidRPr="003622B1">
        <w:rPr>
          <w:rFonts w:ascii="Verdana" w:hAnsi="Verdana"/>
          <w:w w:val="95"/>
          <w:sz w:val="20"/>
          <w:szCs w:val="20"/>
          <w:lang w:val="es-CR"/>
        </w:rPr>
        <w:t xml:space="preserve"> en duda, exclusivamente en la m</w:t>
      </w:r>
      <w:r w:rsidRPr="002B1610">
        <w:rPr>
          <w:rFonts w:ascii="Verdana" w:hAnsi="Verdana"/>
          <w:w w:val="95"/>
          <w:sz w:val="20"/>
          <w:szCs w:val="20"/>
          <w:lang w:val="es-ES"/>
        </w:rPr>
        <w:t>edida que sean pertinentes y útiles para la determinación de los hechos y sus eventuales consecuencias jurídicas.</w:t>
      </w:r>
    </w:p>
    <w:p w:rsidR="00DF15C3" w:rsidRPr="002B1610" w:rsidRDefault="00DF15C3" w:rsidP="003F26FD">
      <w:pPr>
        <w:pStyle w:val="Prrafodelista"/>
        <w:spacing w:after="0" w:line="216" w:lineRule="auto"/>
        <w:ind w:left="-142" w:right="-174"/>
        <w:jc w:val="both"/>
        <w:rPr>
          <w:rFonts w:ascii="Verdana" w:hAnsi="Verdana"/>
          <w:w w:val="95"/>
          <w:sz w:val="20"/>
          <w:szCs w:val="20"/>
          <w:lang w:val="es-ES"/>
        </w:rPr>
      </w:pPr>
    </w:p>
    <w:p w:rsidR="00DF15C3" w:rsidRPr="002B1610" w:rsidRDefault="00DF15C3" w:rsidP="003F26FD">
      <w:pPr>
        <w:pStyle w:val="Prrafodelista"/>
        <w:numPr>
          <w:ilvl w:val="0"/>
          <w:numId w:val="17"/>
        </w:numPr>
        <w:spacing w:after="0" w:line="216" w:lineRule="auto"/>
        <w:ind w:left="-142" w:right="-174" w:firstLine="0"/>
        <w:jc w:val="both"/>
        <w:rPr>
          <w:rFonts w:ascii="Verdana" w:hAnsi="Verdana"/>
          <w:w w:val="95"/>
          <w:sz w:val="20"/>
          <w:szCs w:val="20"/>
          <w:lang w:val="es-ES"/>
        </w:rPr>
      </w:pPr>
      <w:r w:rsidRPr="002B1610">
        <w:rPr>
          <w:rFonts w:ascii="Verdana" w:hAnsi="Verdana"/>
          <w:w w:val="95"/>
          <w:sz w:val="20"/>
          <w:szCs w:val="20"/>
          <w:lang w:val="es-ES"/>
        </w:rPr>
        <w:lastRenderedPageBreak/>
        <w:t>En cuanto a las notas de prensa este Tribunal ha considerado que podrán ser apreciadas cuando recojan hechos públicos y notorios o declaraciones de funcionarios del Estado, o cuando corroboren aspectos relacionados con el caso, por lo que decide admitir los documentos que se encuentren completos o que, por lo menos, permitan constatar su fuente y fecha de publicación, y los valorará tomando en cuenta el conjunto del acervo probatorio, las  observaciones de las partes y las reglas de la sana crítica</w:t>
      </w:r>
      <w:r w:rsidRPr="002B1610">
        <w:rPr>
          <w:rStyle w:val="Refdenotaalpie"/>
          <w:rFonts w:ascii="Verdana" w:hAnsi="Verdana"/>
          <w:w w:val="95"/>
          <w:sz w:val="20"/>
          <w:lang w:val="es-ES"/>
        </w:rPr>
        <w:footnoteReference w:id="34"/>
      </w:r>
      <w:r w:rsidRPr="002B1610">
        <w:rPr>
          <w:rFonts w:ascii="Verdana" w:hAnsi="Verdana"/>
          <w:w w:val="95"/>
          <w:sz w:val="20"/>
          <w:szCs w:val="20"/>
          <w:lang w:val="es-ES"/>
        </w:rPr>
        <w:t>.</w:t>
      </w:r>
    </w:p>
    <w:p w:rsidR="00DF15C3" w:rsidRPr="002B1610" w:rsidRDefault="00DF15C3" w:rsidP="003F26FD">
      <w:pPr>
        <w:pStyle w:val="Prrafodelista"/>
        <w:spacing w:after="0" w:line="216" w:lineRule="auto"/>
        <w:ind w:left="-142" w:right="-174"/>
        <w:rPr>
          <w:rFonts w:ascii="Verdana" w:hAnsi="Verdana"/>
          <w:w w:val="95"/>
          <w:sz w:val="20"/>
          <w:szCs w:val="20"/>
          <w:lang w:val="es-ES"/>
        </w:rPr>
      </w:pPr>
    </w:p>
    <w:p w:rsidR="00DF15C3" w:rsidRPr="002B1610" w:rsidRDefault="00DF15C3" w:rsidP="003F26FD">
      <w:pPr>
        <w:pStyle w:val="Prrafodelista"/>
        <w:numPr>
          <w:ilvl w:val="0"/>
          <w:numId w:val="17"/>
        </w:numPr>
        <w:spacing w:after="0" w:line="216" w:lineRule="auto"/>
        <w:ind w:left="-142" w:right="-174" w:firstLine="0"/>
        <w:contextualSpacing w:val="0"/>
        <w:jc w:val="both"/>
        <w:rPr>
          <w:rFonts w:ascii="Verdana" w:hAnsi="Verdana"/>
          <w:w w:val="95"/>
          <w:sz w:val="20"/>
          <w:szCs w:val="20"/>
          <w:lang w:val="es-CR"/>
        </w:rPr>
      </w:pPr>
      <w:r w:rsidRPr="002B1610">
        <w:rPr>
          <w:rFonts w:ascii="Verdana" w:hAnsi="Verdana"/>
          <w:w w:val="95"/>
          <w:sz w:val="20"/>
          <w:szCs w:val="20"/>
          <w:lang w:val="es-CR"/>
        </w:rPr>
        <w:t>Con respecto a algunos documentos señalados por las partes por medio de enlaces electrónicos, el Tribunal ha establecido que si una parte proporciona al menos el enlace electrónico directo del documento que cita como prueba y es posible acceder a éste, no se ve afectada la seguridad jurídica ni el equilibrio procesal, porque es inmediatamente localizable por el Tribunal y por las otras partes</w:t>
      </w:r>
      <w:bookmarkStart w:id="48" w:name="_Ref318127123"/>
      <w:r w:rsidRPr="002B1610">
        <w:rPr>
          <w:rFonts w:ascii="Verdana" w:hAnsi="Verdana"/>
          <w:w w:val="95"/>
          <w:sz w:val="20"/>
          <w:szCs w:val="20"/>
          <w:vertAlign w:val="superscript"/>
        </w:rPr>
        <w:footnoteReference w:id="35"/>
      </w:r>
      <w:bookmarkEnd w:id="48"/>
      <w:r w:rsidRPr="002B1610">
        <w:rPr>
          <w:rFonts w:ascii="Verdana" w:hAnsi="Verdana"/>
          <w:w w:val="95"/>
          <w:sz w:val="20"/>
          <w:szCs w:val="20"/>
          <w:lang w:val="es-CR"/>
        </w:rPr>
        <w:t xml:space="preserve">. En este caso no hubo oposición u observaciones de las otras partes sobre el contenido y autenticidad de tales documentos. </w:t>
      </w:r>
    </w:p>
    <w:p w:rsidR="00DF15C3" w:rsidRPr="002B1610" w:rsidRDefault="00DF15C3" w:rsidP="003F26FD">
      <w:pPr>
        <w:pStyle w:val="Prrafodelista"/>
        <w:spacing w:after="0" w:line="216" w:lineRule="auto"/>
        <w:ind w:right="-174"/>
        <w:rPr>
          <w:rFonts w:ascii="Verdana" w:hAnsi="Verdana"/>
          <w:w w:val="95"/>
          <w:sz w:val="20"/>
          <w:szCs w:val="20"/>
          <w:lang w:val="es-CR"/>
        </w:rPr>
      </w:pPr>
    </w:p>
    <w:p w:rsidR="00DF15C3" w:rsidRPr="002B1610" w:rsidRDefault="00DF15C3" w:rsidP="003F26FD">
      <w:pPr>
        <w:pStyle w:val="Prrafodelista"/>
        <w:numPr>
          <w:ilvl w:val="0"/>
          <w:numId w:val="17"/>
        </w:numPr>
        <w:spacing w:after="0" w:line="216" w:lineRule="auto"/>
        <w:ind w:left="-142" w:right="-174" w:firstLine="0"/>
        <w:contextualSpacing w:val="0"/>
        <w:jc w:val="both"/>
        <w:rPr>
          <w:rFonts w:ascii="Verdana" w:hAnsi="Verdana"/>
          <w:w w:val="95"/>
          <w:sz w:val="20"/>
          <w:szCs w:val="20"/>
          <w:lang w:val="es-CR"/>
        </w:rPr>
      </w:pPr>
      <w:r w:rsidRPr="002B1610">
        <w:rPr>
          <w:rFonts w:ascii="Verdana" w:hAnsi="Verdana"/>
          <w:w w:val="95"/>
          <w:sz w:val="20"/>
          <w:szCs w:val="20"/>
          <w:lang w:val="es-CR"/>
        </w:rPr>
        <w:t xml:space="preserve">De otra parte, junto con sus alegatos finales escritos </w:t>
      </w:r>
      <w:r>
        <w:rPr>
          <w:rFonts w:ascii="Verdana" w:hAnsi="Verdana"/>
          <w:w w:val="95"/>
          <w:sz w:val="20"/>
          <w:szCs w:val="20"/>
          <w:lang w:val="es-CR"/>
        </w:rPr>
        <w:t>la representante</w:t>
      </w:r>
      <w:r w:rsidRPr="002B1610">
        <w:rPr>
          <w:rStyle w:val="Refdenotaalpie"/>
          <w:rFonts w:ascii="Verdana" w:hAnsi="Verdana"/>
          <w:w w:val="95"/>
          <w:sz w:val="20"/>
          <w:lang w:val="es-CR"/>
        </w:rPr>
        <w:footnoteReference w:id="36"/>
      </w:r>
      <w:r w:rsidRPr="002B1610">
        <w:rPr>
          <w:rFonts w:ascii="Verdana" w:hAnsi="Verdana"/>
          <w:w w:val="95"/>
          <w:sz w:val="20"/>
          <w:szCs w:val="20"/>
          <w:lang w:val="es-CR"/>
        </w:rPr>
        <w:t xml:space="preserve"> y el Estado</w:t>
      </w:r>
      <w:r w:rsidRPr="002B1610">
        <w:rPr>
          <w:rStyle w:val="Refdenotaalpie"/>
          <w:rFonts w:ascii="Verdana" w:hAnsi="Verdana"/>
          <w:w w:val="95"/>
          <w:sz w:val="20"/>
          <w:lang w:val="es-CR"/>
        </w:rPr>
        <w:footnoteReference w:id="37"/>
      </w:r>
      <w:r w:rsidRPr="002B1610">
        <w:rPr>
          <w:rFonts w:ascii="Verdana" w:hAnsi="Verdana"/>
          <w:w w:val="95"/>
          <w:sz w:val="20"/>
          <w:szCs w:val="20"/>
          <w:lang w:val="es-CR"/>
        </w:rPr>
        <w:t xml:space="preserve"> remitieron diversos documentos como prueba, y respecto a algunos señalaron enlaces electrónicos. Al respecto, se otorgó una oportunidad a las partes y a la Comisión para presentar las observaciones que estimaran pertinentes (</w:t>
      </w:r>
      <w:r w:rsidRPr="002B1610">
        <w:rPr>
          <w:rFonts w:ascii="Verdana" w:hAnsi="Verdana"/>
          <w:i/>
          <w:w w:val="95"/>
          <w:sz w:val="20"/>
          <w:szCs w:val="20"/>
          <w:lang w:val="es-CR"/>
        </w:rPr>
        <w:t>supra</w:t>
      </w:r>
      <w:r w:rsidRPr="002B1610">
        <w:rPr>
          <w:rFonts w:ascii="Verdana" w:hAnsi="Verdana"/>
          <w:w w:val="95"/>
          <w:sz w:val="20"/>
          <w:szCs w:val="20"/>
          <w:lang w:val="es-CR"/>
        </w:rPr>
        <w:t xml:space="preserve"> párr. </w:t>
      </w:r>
      <w:r w:rsidR="00633EA2">
        <w:rPr>
          <w:rFonts w:ascii="Verdana" w:hAnsi="Verdana"/>
          <w:w w:val="95"/>
          <w:sz w:val="20"/>
          <w:szCs w:val="20"/>
          <w:lang w:val="es-CR"/>
        </w:rPr>
        <w:t>14</w:t>
      </w:r>
      <w:r w:rsidR="00633EA2" w:rsidRPr="002B1610">
        <w:rPr>
          <w:rFonts w:ascii="Verdana" w:hAnsi="Verdana"/>
          <w:w w:val="95"/>
          <w:sz w:val="20"/>
          <w:szCs w:val="20"/>
          <w:lang w:val="es-CR"/>
        </w:rPr>
        <w:t xml:space="preserve">). </w:t>
      </w:r>
      <w:r w:rsidRPr="002B1610">
        <w:rPr>
          <w:rFonts w:ascii="Verdana" w:hAnsi="Verdana"/>
          <w:w w:val="95"/>
          <w:sz w:val="20"/>
          <w:szCs w:val="20"/>
          <w:lang w:val="es-CR"/>
        </w:rPr>
        <w:t>La Corte incorpora los documentos indicados en los pie</w:t>
      </w:r>
      <w:r w:rsidR="007C124B">
        <w:rPr>
          <w:rFonts w:ascii="Verdana" w:hAnsi="Verdana"/>
          <w:w w:val="95"/>
          <w:sz w:val="20"/>
          <w:szCs w:val="20"/>
          <w:lang w:val="es-CR"/>
        </w:rPr>
        <w:t>s</w:t>
      </w:r>
      <w:r w:rsidRPr="002B1610">
        <w:rPr>
          <w:rFonts w:ascii="Verdana" w:hAnsi="Verdana"/>
          <w:w w:val="95"/>
          <w:sz w:val="20"/>
          <w:szCs w:val="20"/>
          <w:lang w:val="es-CR"/>
        </w:rPr>
        <w:t xml:space="preserve"> de página como prueba con fundamento en lo dispuesto en el artículo 58.a) del Reglamento de la Corte, por considerarlos útiles para resolver el presente caso</w:t>
      </w:r>
      <w:r w:rsidR="009E2AD7">
        <w:rPr>
          <w:rFonts w:ascii="Verdana" w:hAnsi="Verdana"/>
          <w:w w:val="95"/>
          <w:sz w:val="20"/>
          <w:szCs w:val="20"/>
          <w:lang w:val="es-CR"/>
        </w:rPr>
        <w:t>.</w:t>
      </w:r>
      <w:r w:rsidRPr="002B1610">
        <w:rPr>
          <w:rFonts w:ascii="Verdana" w:hAnsi="Verdana"/>
          <w:w w:val="95"/>
          <w:sz w:val="20"/>
          <w:szCs w:val="20"/>
          <w:lang w:val="es-CR"/>
        </w:rPr>
        <w:t xml:space="preserve"> </w:t>
      </w:r>
      <w:r w:rsidR="009E2AD7">
        <w:rPr>
          <w:rFonts w:ascii="Verdana" w:hAnsi="Verdana"/>
          <w:w w:val="95"/>
          <w:sz w:val="20"/>
          <w:szCs w:val="20"/>
          <w:lang w:val="es-CR"/>
        </w:rPr>
        <w:t>L</w:t>
      </w:r>
      <w:r w:rsidRPr="002B1610">
        <w:rPr>
          <w:rFonts w:ascii="Verdana" w:hAnsi="Verdana"/>
          <w:w w:val="95"/>
          <w:sz w:val="20"/>
          <w:szCs w:val="20"/>
          <w:lang w:val="es-CR"/>
        </w:rPr>
        <w:t xml:space="preserve">a documentación respectiva será valorada en lo pertinente teniendo en cuenta el conjunto del acervo probatorio, las reglas de la sana crítica y las observaciones pertinentes de </w:t>
      </w:r>
      <w:r>
        <w:rPr>
          <w:rFonts w:ascii="Verdana" w:hAnsi="Verdana"/>
          <w:w w:val="95"/>
          <w:sz w:val="20"/>
          <w:szCs w:val="20"/>
          <w:lang w:val="es-CR"/>
        </w:rPr>
        <w:t>la representante</w:t>
      </w:r>
      <w:r w:rsidRPr="002B1610">
        <w:rPr>
          <w:rFonts w:ascii="Verdana" w:hAnsi="Verdana"/>
          <w:w w:val="95"/>
          <w:sz w:val="20"/>
          <w:szCs w:val="20"/>
          <w:lang w:val="es-CR"/>
        </w:rPr>
        <w:t xml:space="preserve"> y la Comisión. </w:t>
      </w:r>
    </w:p>
    <w:p w:rsidR="00DF15C3" w:rsidRPr="002B1610" w:rsidRDefault="00DF15C3" w:rsidP="003F26FD">
      <w:pPr>
        <w:spacing w:after="0" w:line="216" w:lineRule="auto"/>
        <w:ind w:left="-142" w:right="-174"/>
        <w:jc w:val="both"/>
        <w:rPr>
          <w:rFonts w:ascii="Verdana" w:hAnsi="Verdana"/>
          <w:w w:val="95"/>
          <w:sz w:val="20"/>
          <w:szCs w:val="20"/>
          <w:lang w:val="es-ES"/>
        </w:rPr>
      </w:pPr>
    </w:p>
    <w:p w:rsidR="00BD2723" w:rsidRPr="000D3634" w:rsidRDefault="00DF15C3" w:rsidP="003F26FD">
      <w:pPr>
        <w:pStyle w:val="Prrafodelista"/>
        <w:numPr>
          <w:ilvl w:val="0"/>
          <w:numId w:val="17"/>
        </w:numPr>
        <w:spacing w:after="0" w:line="216" w:lineRule="auto"/>
        <w:ind w:left="-142" w:right="-174" w:firstLine="0"/>
        <w:jc w:val="both"/>
        <w:rPr>
          <w:rFonts w:ascii="Verdana" w:hAnsi="Verdana"/>
          <w:w w:val="95"/>
          <w:sz w:val="20"/>
          <w:szCs w:val="20"/>
          <w:lang w:val="es-ES"/>
        </w:rPr>
      </w:pPr>
      <w:r w:rsidRPr="002B1610">
        <w:rPr>
          <w:rFonts w:ascii="Verdana" w:hAnsi="Verdana"/>
          <w:w w:val="95"/>
          <w:sz w:val="20"/>
          <w:szCs w:val="20"/>
          <w:lang w:val="es-CR"/>
        </w:rPr>
        <w:t>Durante la audiencia pública</w:t>
      </w:r>
      <w:r w:rsidR="009E2AD7">
        <w:rPr>
          <w:rFonts w:ascii="Verdana" w:hAnsi="Verdana"/>
          <w:w w:val="95"/>
          <w:sz w:val="20"/>
          <w:szCs w:val="20"/>
          <w:lang w:val="es-CR"/>
        </w:rPr>
        <w:t>,</w:t>
      </w:r>
      <w:r w:rsidRPr="002B1610">
        <w:rPr>
          <w:rFonts w:ascii="Verdana" w:hAnsi="Verdana"/>
          <w:w w:val="95"/>
          <w:sz w:val="20"/>
          <w:szCs w:val="20"/>
          <w:lang w:val="es-CR"/>
        </w:rPr>
        <w:t xml:space="preserve"> la perita María Eugenia Solís </w:t>
      </w:r>
      <w:r w:rsidR="0037370B">
        <w:rPr>
          <w:rFonts w:ascii="Verdana" w:hAnsi="Verdana"/>
          <w:w w:val="95"/>
          <w:sz w:val="20"/>
          <w:szCs w:val="20"/>
          <w:lang w:val="es-CR"/>
        </w:rPr>
        <w:t xml:space="preserve">presentó </w:t>
      </w:r>
      <w:r w:rsidRPr="002B1610">
        <w:rPr>
          <w:rFonts w:ascii="Verdana" w:hAnsi="Verdana"/>
          <w:w w:val="95"/>
          <w:sz w:val="20"/>
          <w:szCs w:val="20"/>
          <w:lang w:val="es-CR"/>
        </w:rPr>
        <w:t>un dictamen escrito, el cual fue entregado a las partes y a la Comisión en la audiencia. El Tribunal lo admite en los mismos términos señalados respecto a su peritaje rendido en la audiencia pública (</w:t>
      </w:r>
      <w:r w:rsidRPr="002B1610">
        <w:rPr>
          <w:rFonts w:ascii="Verdana" w:hAnsi="Verdana"/>
          <w:i/>
          <w:w w:val="95"/>
          <w:sz w:val="20"/>
          <w:szCs w:val="20"/>
          <w:lang w:val="es-CR"/>
        </w:rPr>
        <w:t>infra</w:t>
      </w:r>
      <w:r w:rsidRPr="002B1610">
        <w:rPr>
          <w:rFonts w:ascii="Verdana" w:hAnsi="Verdana"/>
          <w:w w:val="95"/>
          <w:sz w:val="20"/>
          <w:szCs w:val="20"/>
          <w:lang w:val="es-CR"/>
        </w:rPr>
        <w:t xml:space="preserve"> párr. </w:t>
      </w:r>
      <w:r w:rsidR="003C4F36">
        <w:rPr>
          <w:rFonts w:ascii="Verdana" w:hAnsi="Verdana"/>
          <w:w w:val="95"/>
          <w:sz w:val="20"/>
          <w:szCs w:val="20"/>
          <w:lang w:val="es-CR"/>
        </w:rPr>
        <w:t>63</w:t>
      </w:r>
      <w:r w:rsidR="00633EA2" w:rsidRPr="002B1610">
        <w:rPr>
          <w:rFonts w:ascii="Verdana" w:hAnsi="Verdana"/>
          <w:w w:val="95"/>
          <w:sz w:val="20"/>
          <w:szCs w:val="20"/>
          <w:lang w:val="es-CR"/>
        </w:rPr>
        <w:t xml:space="preserve">). </w:t>
      </w:r>
    </w:p>
    <w:p w:rsidR="00697C37" w:rsidRPr="000D3634" w:rsidRDefault="00697C37" w:rsidP="003F26FD">
      <w:pPr>
        <w:pStyle w:val="Prrafodelista"/>
        <w:ind w:right="-174"/>
        <w:rPr>
          <w:rFonts w:ascii="Verdana" w:hAnsi="Verdana"/>
          <w:w w:val="95"/>
          <w:sz w:val="20"/>
          <w:szCs w:val="20"/>
          <w:lang w:val="es-CR"/>
        </w:rPr>
      </w:pPr>
    </w:p>
    <w:p w:rsidR="0043510C" w:rsidRDefault="0043510C" w:rsidP="003F26FD">
      <w:pPr>
        <w:pStyle w:val="Prrafodelista"/>
        <w:numPr>
          <w:ilvl w:val="0"/>
          <w:numId w:val="2"/>
        </w:numPr>
        <w:spacing w:after="0" w:line="216" w:lineRule="auto"/>
        <w:ind w:left="284" w:right="-174" w:firstLine="0"/>
        <w:jc w:val="both"/>
        <w:outlineLvl w:val="1"/>
        <w:rPr>
          <w:rFonts w:ascii="Verdana" w:hAnsi="Verdana"/>
          <w:b/>
          <w:w w:val="95"/>
          <w:sz w:val="20"/>
          <w:szCs w:val="20"/>
          <w:lang w:val="es-ES"/>
        </w:rPr>
      </w:pPr>
      <w:r>
        <w:rPr>
          <w:rFonts w:ascii="Verdana" w:hAnsi="Verdana"/>
          <w:b/>
          <w:w w:val="95"/>
          <w:sz w:val="20"/>
          <w:szCs w:val="20"/>
          <w:lang w:val="es-ES"/>
        </w:rPr>
        <w:t xml:space="preserve"> </w:t>
      </w:r>
      <w:bookmarkStart w:id="49" w:name="_Toc394313653"/>
      <w:r>
        <w:rPr>
          <w:rFonts w:ascii="Verdana" w:hAnsi="Verdana"/>
          <w:b/>
          <w:w w:val="95"/>
          <w:sz w:val="20"/>
          <w:szCs w:val="20"/>
          <w:lang w:val="es-ES"/>
        </w:rPr>
        <w:t>Prueba procurada de oficio por la Corte</w:t>
      </w:r>
      <w:bookmarkEnd w:id="49"/>
    </w:p>
    <w:p w:rsidR="0043510C" w:rsidRPr="002B1610" w:rsidRDefault="0043510C" w:rsidP="003F26FD">
      <w:pPr>
        <w:spacing w:after="0" w:line="216" w:lineRule="auto"/>
        <w:ind w:left="-142" w:right="-174"/>
        <w:jc w:val="both"/>
        <w:rPr>
          <w:rFonts w:ascii="Verdana" w:hAnsi="Verdana"/>
          <w:w w:val="95"/>
          <w:sz w:val="20"/>
          <w:szCs w:val="20"/>
          <w:lang w:val="es-ES"/>
        </w:rPr>
      </w:pPr>
    </w:p>
    <w:p w:rsidR="00660AC3" w:rsidRPr="00315B30" w:rsidRDefault="00660AC3" w:rsidP="003F26FD">
      <w:pPr>
        <w:pStyle w:val="Prrafodelista"/>
        <w:numPr>
          <w:ilvl w:val="0"/>
          <w:numId w:val="17"/>
        </w:numPr>
        <w:spacing w:after="0" w:line="216" w:lineRule="auto"/>
        <w:ind w:left="-142" w:right="-174" w:firstLine="0"/>
        <w:jc w:val="both"/>
        <w:rPr>
          <w:rFonts w:ascii="Verdana" w:hAnsi="Verdana"/>
          <w:w w:val="95"/>
          <w:sz w:val="20"/>
          <w:szCs w:val="20"/>
          <w:lang w:val="es-ES"/>
        </w:rPr>
      </w:pPr>
      <w:r w:rsidRPr="00315B30">
        <w:rPr>
          <w:rFonts w:ascii="Verdana" w:hAnsi="Verdana"/>
          <w:w w:val="95"/>
          <w:sz w:val="20"/>
          <w:szCs w:val="20"/>
          <w:lang w:val="es-CR"/>
        </w:rPr>
        <w:t xml:space="preserve">De conformidad con el artículo 58.a) de su Reglamento, “[e]n cualquier estado de la causa la Corte podrá: a. Procurar de oficio toda prueba que considere útil y necesaria”. </w:t>
      </w:r>
      <w:r w:rsidR="0037370B" w:rsidRPr="00315B30">
        <w:rPr>
          <w:rFonts w:ascii="Verdana" w:hAnsi="Verdana"/>
          <w:w w:val="95"/>
          <w:sz w:val="20"/>
          <w:szCs w:val="20"/>
          <w:lang w:val="es-CR"/>
        </w:rPr>
        <w:t xml:space="preserve">Este Tribunal </w:t>
      </w:r>
      <w:r w:rsidRPr="00315B30">
        <w:rPr>
          <w:rFonts w:ascii="Verdana" w:hAnsi="Verdana"/>
          <w:w w:val="95"/>
          <w:sz w:val="20"/>
          <w:szCs w:val="20"/>
          <w:lang w:val="es-CR"/>
        </w:rPr>
        <w:t xml:space="preserve">estima que los siguientes documentos son útiles o necesarios para el análisis del presente caso, por lo cual los incorpora de oficio al acervo probatorio </w:t>
      </w:r>
      <w:r w:rsidR="0037370B" w:rsidRPr="00315B30">
        <w:rPr>
          <w:rFonts w:ascii="Verdana" w:hAnsi="Verdana"/>
          <w:w w:val="95"/>
          <w:sz w:val="20"/>
          <w:szCs w:val="20"/>
          <w:lang w:val="es-CR"/>
        </w:rPr>
        <w:t xml:space="preserve">de este </w:t>
      </w:r>
      <w:r w:rsidRPr="00315B30">
        <w:rPr>
          <w:rFonts w:ascii="Verdana" w:hAnsi="Verdana"/>
          <w:w w:val="95"/>
          <w:sz w:val="20"/>
          <w:szCs w:val="20"/>
          <w:lang w:val="es-CR"/>
        </w:rPr>
        <w:t>caso en aplicación de la referida disposición reglamentaria: a)</w:t>
      </w:r>
      <w:r w:rsidRPr="00315B30">
        <w:rPr>
          <w:rFonts w:ascii="Verdana" w:hAnsi="Verdana"/>
          <w:sz w:val="20"/>
          <w:szCs w:val="20"/>
          <w:lang w:val="es-CR"/>
        </w:rPr>
        <w:t xml:space="preserve"> Informe “Guatemala: Memoria del </w:t>
      </w:r>
      <w:r w:rsidRPr="00315B30">
        <w:rPr>
          <w:rFonts w:ascii="Verdana" w:hAnsi="Verdana"/>
          <w:sz w:val="20"/>
          <w:szCs w:val="20"/>
          <w:lang w:val="es-CR"/>
        </w:rPr>
        <w:lastRenderedPageBreak/>
        <w:t>Silencio” de la Comisión para el Esclarecimiento Histórico de 1999</w:t>
      </w:r>
      <w:r w:rsidRPr="00315B30">
        <w:rPr>
          <w:rStyle w:val="Refdenotaalpie"/>
          <w:rFonts w:ascii="Verdana" w:hAnsi="Verdana"/>
          <w:sz w:val="20"/>
          <w:lang w:val="es-CR"/>
        </w:rPr>
        <w:footnoteReference w:id="38"/>
      </w:r>
      <w:r w:rsidRPr="00315B30">
        <w:rPr>
          <w:rFonts w:ascii="Verdana" w:hAnsi="Verdana"/>
          <w:sz w:val="20"/>
          <w:szCs w:val="20"/>
          <w:lang w:val="es-CR"/>
        </w:rPr>
        <w:t xml:space="preserve">; b) </w:t>
      </w:r>
      <w:r w:rsidRPr="00315B30">
        <w:rPr>
          <w:rFonts w:ascii="Verdana" w:hAnsi="Verdana"/>
          <w:w w:val="95"/>
          <w:sz w:val="20"/>
          <w:szCs w:val="20"/>
          <w:lang w:val="es-CR"/>
        </w:rPr>
        <w:t xml:space="preserve">Respuestas de Guatemala al cuestionario para la evaluación de la implementación de las disposiciones de la </w:t>
      </w:r>
      <w:r w:rsidR="00B714DA" w:rsidRPr="00315B30">
        <w:rPr>
          <w:rFonts w:ascii="Verdana" w:hAnsi="Verdana"/>
          <w:w w:val="95"/>
          <w:sz w:val="20"/>
          <w:szCs w:val="20"/>
          <w:lang w:val="es-CR"/>
        </w:rPr>
        <w:t>Convención Interamericana para Prevenir, Sancionar y Erradicar la V</w:t>
      </w:r>
      <w:r w:rsidRPr="00315B30">
        <w:rPr>
          <w:rFonts w:ascii="Verdana" w:hAnsi="Verdana"/>
          <w:w w:val="95"/>
          <w:sz w:val="20"/>
          <w:szCs w:val="20"/>
          <w:lang w:val="es-CR"/>
        </w:rPr>
        <w:t>iolencia</w:t>
      </w:r>
      <w:r w:rsidR="00B714DA" w:rsidRPr="00315B30">
        <w:rPr>
          <w:rFonts w:ascii="Verdana" w:hAnsi="Verdana"/>
          <w:w w:val="95"/>
          <w:sz w:val="20"/>
          <w:szCs w:val="20"/>
          <w:lang w:val="es-CR"/>
        </w:rPr>
        <w:t xml:space="preserve"> contra la M</w:t>
      </w:r>
      <w:r w:rsidRPr="00315B30">
        <w:rPr>
          <w:rFonts w:ascii="Verdana" w:hAnsi="Verdana"/>
          <w:w w:val="95"/>
          <w:sz w:val="20"/>
          <w:szCs w:val="20"/>
          <w:lang w:val="es-CR"/>
        </w:rPr>
        <w:t xml:space="preserve">ujer, Convención de Belém do Pará del </w:t>
      </w:r>
      <w:r w:rsidRPr="00315B30">
        <w:rPr>
          <w:rFonts w:ascii="Verdana" w:hAnsi="Verdana"/>
          <w:iCs/>
          <w:w w:val="95"/>
          <w:sz w:val="20"/>
          <w:szCs w:val="20"/>
          <w:lang w:val="es-UY"/>
        </w:rPr>
        <w:t>Mecanismo de Seguimiento de la</w:t>
      </w:r>
      <w:r w:rsidRPr="00315B30">
        <w:rPr>
          <w:rFonts w:ascii="Verdana" w:hAnsi="Verdana"/>
          <w:w w:val="95"/>
          <w:sz w:val="20"/>
          <w:szCs w:val="20"/>
          <w:lang w:val="es-CR"/>
        </w:rPr>
        <w:t xml:space="preserve"> </w:t>
      </w:r>
      <w:r w:rsidRPr="00315B30">
        <w:rPr>
          <w:rFonts w:ascii="Verdana" w:hAnsi="Verdana"/>
          <w:iCs/>
          <w:w w:val="95"/>
          <w:sz w:val="20"/>
          <w:szCs w:val="20"/>
          <w:lang w:val="es-UY"/>
        </w:rPr>
        <w:t>Convención Belém do Pará (MESECVI) del año 2008</w:t>
      </w:r>
      <w:r w:rsidRPr="00315B30">
        <w:rPr>
          <w:rFonts w:ascii="Verdana" w:hAnsi="Verdana"/>
          <w:iCs/>
          <w:w w:val="95"/>
          <w:sz w:val="20"/>
          <w:szCs w:val="20"/>
          <w:vertAlign w:val="superscript"/>
          <w:lang w:val="es-UY"/>
        </w:rPr>
        <w:footnoteReference w:id="39"/>
      </w:r>
      <w:r w:rsidRPr="00315B30">
        <w:rPr>
          <w:rFonts w:ascii="Verdana" w:hAnsi="Verdana"/>
          <w:iCs/>
          <w:w w:val="95"/>
          <w:sz w:val="20"/>
          <w:szCs w:val="20"/>
          <w:lang w:val="es-UY"/>
        </w:rPr>
        <w:t xml:space="preserve">; c) </w:t>
      </w:r>
      <w:r w:rsidRPr="00315B30">
        <w:rPr>
          <w:rFonts w:ascii="Verdana" w:hAnsi="Verdana"/>
          <w:w w:val="95"/>
          <w:sz w:val="20"/>
          <w:szCs w:val="20"/>
          <w:lang w:val="es-CR"/>
        </w:rPr>
        <w:t>Informe estadístico de la violencia en Guatemala del Programa de las Naciones Unidas para el Desarrollo (PNUD) del año 2007</w:t>
      </w:r>
      <w:r w:rsidRPr="00315B30">
        <w:rPr>
          <w:rFonts w:ascii="Verdana" w:hAnsi="Verdana"/>
          <w:w w:val="95"/>
          <w:sz w:val="20"/>
          <w:szCs w:val="20"/>
          <w:vertAlign w:val="superscript"/>
          <w:lang w:val="es-CR"/>
        </w:rPr>
        <w:footnoteReference w:id="40"/>
      </w:r>
      <w:r w:rsidRPr="00315B30">
        <w:rPr>
          <w:rFonts w:ascii="Verdana" w:hAnsi="Verdana"/>
          <w:w w:val="95"/>
          <w:sz w:val="20"/>
          <w:szCs w:val="20"/>
          <w:lang w:val="es-CR"/>
        </w:rPr>
        <w:t xml:space="preserve">; d) </w:t>
      </w:r>
      <w:r w:rsidRPr="00315B30">
        <w:rPr>
          <w:rFonts w:ascii="Verdana" w:hAnsi="Verdana"/>
          <w:bCs/>
          <w:w w:val="95"/>
          <w:sz w:val="20"/>
          <w:szCs w:val="20"/>
        </w:rPr>
        <w:t>Informe Final de la Misión de Verificación de las Naciones Unidas en Guatemala (MINUGUA) de noviembre de 2004</w:t>
      </w:r>
      <w:r w:rsidRPr="00315B30">
        <w:rPr>
          <w:rFonts w:ascii="Verdana" w:hAnsi="Verdana"/>
          <w:bCs/>
          <w:w w:val="95"/>
          <w:sz w:val="20"/>
          <w:szCs w:val="20"/>
          <w:vertAlign w:val="superscript"/>
        </w:rPr>
        <w:footnoteReference w:id="41"/>
      </w:r>
      <w:r w:rsidRPr="00315B30">
        <w:rPr>
          <w:rFonts w:ascii="Verdana" w:hAnsi="Verdana"/>
          <w:bCs/>
          <w:w w:val="95"/>
          <w:sz w:val="20"/>
          <w:szCs w:val="20"/>
        </w:rPr>
        <w:t xml:space="preserve">; e) </w:t>
      </w:r>
      <w:r w:rsidRPr="00315B30">
        <w:rPr>
          <w:rFonts w:ascii="Verdana" w:hAnsi="Verdana"/>
          <w:w w:val="95"/>
          <w:sz w:val="20"/>
          <w:szCs w:val="20"/>
        </w:rPr>
        <w:t>Informe “Tercer año de labores” de la Comisión Internacional contra la Impunidad en Guatemala (CICIG) de Guatemala</w:t>
      </w:r>
      <w:r w:rsidRPr="00315B30">
        <w:rPr>
          <w:rFonts w:ascii="Verdana" w:hAnsi="Verdana"/>
          <w:w w:val="95"/>
          <w:sz w:val="20"/>
          <w:szCs w:val="20"/>
          <w:vertAlign w:val="superscript"/>
        </w:rPr>
        <w:footnoteReference w:id="42"/>
      </w:r>
      <w:r w:rsidRPr="00315B30">
        <w:rPr>
          <w:rFonts w:ascii="Verdana" w:hAnsi="Verdana"/>
          <w:w w:val="95"/>
          <w:sz w:val="20"/>
          <w:szCs w:val="20"/>
        </w:rPr>
        <w:t>; f) Sexto Informe de labores de la Comisión Internacional contra la Impunidad en Guatemala (CICIG)</w:t>
      </w:r>
      <w:r w:rsidRPr="00315B30">
        <w:rPr>
          <w:rFonts w:ascii="Verdana" w:hAnsi="Verdana"/>
          <w:w w:val="95"/>
          <w:sz w:val="20"/>
          <w:szCs w:val="20"/>
          <w:vertAlign w:val="superscript"/>
        </w:rPr>
        <w:footnoteReference w:id="43"/>
      </w:r>
      <w:r w:rsidRPr="00315B30">
        <w:rPr>
          <w:rFonts w:ascii="Verdana" w:hAnsi="Verdana"/>
          <w:w w:val="95"/>
          <w:sz w:val="20"/>
          <w:szCs w:val="20"/>
        </w:rPr>
        <w:t xml:space="preserve">; g) </w:t>
      </w:r>
      <w:r w:rsidRPr="00315B30">
        <w:rPr>
          <w:rFonts w:ascii="Verdana" w:hAnsi="Verdana"/>
          <w:w w:val="95"/>
          <w:sz w:val="20"/>
          <w:szCs w:val="20"/>
          <w:lang w:val="es-CR"/>
        </w:rPr>
        <w:t>Informe “10 años sin guerra… esperando la paz: Estudio de implementación del Acuerdo sobre Fortalecimiento del Poder Civil y Función del Ejército en una Sociedad Democrática” de Brigadas Internacionales de Paz (PBI) de agosto de 2007</w:t>
      </w:r>
      <w:r w:rsidRPr="00315B30">
        <w:rPr>
          <w:rFonts w:ascii="Verdana" w:hAnsi="Verdana"/>
          <w:w w:val="95"/>
          <w:sz w:val="20"/>
          <w:szCs w:val="20"/>
          <w:vertAlign w:val="superscript"/>
          <w:lang w:val="es-CR"/>
        </w:rPr>
        <w:footnoteReference w:id="44"/>
      </w:r>
      <w:r w:rsidRPr="00315B30">
        <w:rPr>
          <w:rFonts w:ascii="Verdana" w:hAnsi="Verdana"/>
          <w:w w:val="95"/>
          <w:sz w:val="20"/>
          <w:szCs w:val="20"/>
          <w:lang w:val="es-CR"/>
        </w:rPr>
        <w:t>; h) Informe “</w:t>
      </w:r>
      <w:r w:rsidRPr="00315B30">
        <w:rPr>
          <w:rFonts w:ascii="Verdana" w:hAnsi="Verdana"/>
          <w:bCs/>
          <w:w w:val="95"/>
          <w:sz w:val="20"/>
          <w:szCs w:val="20"/>
        </w:rPr>
        <w:t xml:space="preserve">Reconociendo el pasado: desafíos para combatir la impunidad en Guatemala” de </w:t>
      </w:r>
      <w:r w:rsidRPr="00315B30">
        <w:rPr>
          <w:rFonts w:ascii="Verdana" w:hAnsi="Verdana"/>
          <w:bCs/>
          <w:i/>
          <w:w w:val="95"/>
          <w:sz w:val="20"/>
          <w:szCs w:val="20"/>
        </w:rPr>
        <w:t>Impunity Watch</w:t>
      </w:r>
      <w:r w:rsidRPr="00315B30">
        <w:rPr>
          <w:rFonts w:ascii="Verdana" w:hAnsi="Verdana"/>
          <w:bCs/>
          <w:w w:val="95"/>
          <w:sz w:val="20"/>
          <w:szCs w:val="20"/>
        </w:rPr>
        <w:t xml:space="preserve"> de 2008</w:t>
      </w:r>
      <w:r w:rsidRPr="00315B30">
        <w:rPr>
          <w:rFonts w:ascii="Verdana" w:hAnsi="Verdana"/>
          <w:bCs/>
          <w:w w:val="95"/>
          <w:sz w:val="20"/>
          <w:szCs w:val="20"/>
          <w:vertAlign w:val="superscript"/>
        </w:rPr>
        <w:footnoteReference w:id="45"/>
      </w:r>
      <w:r w:rsidRPr="00315B30">
        <w:rPr>
          <w:rFonts w:ascii="Verdana" w:hAnsi="Verdana"/>
          <w:bCs/>
          <w:w w:val="95"/>
          <w:sz w:val="20"/>
          <w:szCs w:val="20"/>
        </w:rPr>
        <w:t xml:space="preserve">; </w:t>
      </w:r>
      <w:r w:rsidRPr="00315B30">
        <w:rPr>
          <w:rFonts w:ascii="Verdana" w:hAnsi="Verdana"/>
          <w:bCs/>
          <w:iCs/>
          <w:w w:val="95"/>
          <w:sz w:val="20"/>
          <w:szCs w:val="20"/>
          <w:lang w:val="es-CR"/>
        </w:rPr>
        <w:t xml:space="preserve">i) </w:t>
      </w:r>
      <w:r w:rsidR="00F15CBE" w:rsidRPr="00315B30">
        <w:rPr>
          <w:rFonts w:ascii="Verdana" w:hAnsi="Verdana"/>
          <w:sz w:val="20"/>
          <w:szCs w:val="20"/>
          <w:lang w:val="es-ES"/>
        </w:rPr>
        <w:t>Observaciones finales del Comité para la Eliminación de la Discriminación contra la Mujer respecto a Guatemala del 2 de junio de 2006</w:t>
      </w:r>
      <w:r w:rsidR="00F15CBE" w:rsidRPr="00315B30">
        <w:rPr>
          <w:rFonts w:ascii="Verdana" w:hAnsi="Verdana"/>
          <w:sz w:val="20"/>
          <w:szCs w:val="20"/>
          <w:vertAlign w:val="superscript"/>
          <w:lang w:val="es-ES"/>
        </w:rPr>
        <w:footnoteReference w:id="46"/>
      </w:r>
      <w:r w:rsidR="00F15CBE" w:rsidRPr="00315B30">
        <w:rPr>
          <w:rFonts w:ascii="Verdana" w:hAnsi="Verdana"/>
          <w:sz w:val="20"/>
          <w:szCs w:val="20"/>
          <w:lang w:val="es-ES"/>
        </w:rPr>
        <w:t xml:space="preserve">; j) Decreto </w:t>
      </w:r>
      <w:r w:rsidR="00B714DA" w:rsidRPr="00315B30">
        <w:rPr>
          <w:rFonts w:ascii="Verdana" w:hAnsi="Verdana"/>
          <w:sz w:val="20"/>
          <w:szCs w:val="20"/>
          <w:lang w:val="es-ES"/>
        </w:rPr>
        <w:t xml:space="preserve">No. </w:t>
      </w:r>
      <w:r w:rsidR="00F15CBE" w:rsidRPr="00315B30">
        <w:rPr>
          <w:rFonts w:ascii="Verdana" w:hAnsi="Verdana"/>
          <w:sz w:val="20"/>
          <w:szCs w:val="20"/>
          <w:lang w:val="es-ES"/>
        </w:rPr>
        <w:t xml:space="preserve">51-92 Código del Procesal Penal </w:t>
      </w:r>
      <w:r w:rsidR="00C627A1" w:rsidRPr="00315B30">
        <w:rPr>
          <w:rFonts w:ascii="Verdana" w:hAnsi="Verdana"/>
          <w:sz w:val="20"/>
          <w:szCs w:val="20"/>
          <w:lang w:val="es-ES"/>
        </w:rPr>
        <w:t>y sus reformas, emitido el 18 de septiembre de 1992</w:t>
      </w:r>
      <w:r w:rsidR="00622AF9" w:rsidRPr="00315B30">
        <w:rPr>
          <w:rFonts w:ascii="Verdana" w:hAnsi="Verdana"/>
          <w:sz w:val="20"/>
          <w:szCs w:val="20"/>
          <w:vertAlign w:val="superscript"/>
          <w:lang w:val="es-ES"/>
        </w:rPr>
        <w:footnoteReference w:id="47"/>
      </w:r>
      <w:r w:rsidR="00C627A1" w:rsidRPr="00315B30">
        <w:rPr>
          <w:rFonts w:ascii="Verdana" w:hAnsi="Verdana"/>
          <w:sz w:val="20"/>
          <w:szCs w:val="20"/>
          <w:lang w:val="es-ES"/>
        </w:rPr>
        <w:t>, y k) Mensaje del señor</w:t>
      </w:r>
      <w:r w:rsidRPr="00315B30">
        <w:rPr>
          <w:rFonts w:ascii="Verdana" w:hAnsi="Verdana"/>
          <w:sz w:val="20"/>
          <w:szCs w:val="20"/>
          <w:lang w:val="es-CR"/>
        </w:rPr>
        <w:t xml:space="preserve"> Presidente Constitucional de la República de Guatemala, Licenciado Ramiro De León Carpio, a la IV Conferencia Mundial sobre la Mujer del 11 de septiembre de 1995</w:t>
      </w:r>
      <w:r w:rsidRPr="00315B30">
        <w:rPr>
          <w:rStyle w:val="Refdenotaalpie"/>
          <w:rFonts w:ascii="Verdana" w:hAnsi="Verdana"/>
          <w:sz w:val="20"/>
        </w:rPr>
        <w:footnoteReference w:id="48"/>
      </w:r>
      <w:r w:rsidRPr="00315B30">
        <w:rPr>
          <w:rFonts w:ascii="Verdana" w:hAnsi="Verdana"/>
          <w:sz w:val="20"/>
          <w:szCs w:val="20"/>
          <w:lang w:val="es-CR"/>
        </w:rPr>
        <w:t>.</w:t>
      </w:r>
      <w:r w:rsidRPr="00315B30">
        <w:rPr>
          <w:rFonts w:ascii="Verdana" w:hAnsi="Verdana"/>
          <w:bCs/>
          <w:iCs/>
          <w:w w:val="95"/>
          <w:sz w:val="20"/>
          <w:szCs w:val="20"/>
          <w:lang w:val="es-CR"/>
        </w:rPr>
        <w:t xml:space="preserve"> </w:t>
      </w:r>
      <w:r w:rsidRPr="00315B30">
        <w:rPr>
          <w:rFonts w:ascii="Verdana" w:hAnsi="Verdana"/>
          <w:w w:val="95"/>
          <w:sz w:val="20"/>
          <w:szCs w:val="20"/>
          <w:lang w:val="es-CR"/>
        </w:rPr>
        <w:t xml:space="preserve">Además, los siguientes dos informes de la </w:t>
      </w:r>
      <w:r w:rsidRPr="00315B30">
        <w:rPr>
          <w:rFonts w:ascii="Verdana" w:hAnsi="Verdana"/>
          <w:sz w:val="20"/>
          <w:szCs w:val="20"/>
          <w:lang w:val="es-ES"/>
        </w:rPr>
        <w:t>Comisión Interamericana de Derechos Humanos</w:t>
      </w:r>
      <w:r w:rsidR="004D30F0">
        <w:rPr>
          <w:rFonts w:ascii="Verdana" w:hAnsi="Verdana"/>
          <w:w w:val="95"/>
          <w:sz w:val="20"/>
          <w:szCs w:val="20"/>
          <w:lang w:val="es-CR"/>
        </w:rPr>
        <w:t>: a</w:t>
      </w:r>
      <w:r w:rsidRPr="00315B30">
        <w:rPr>
          <w:rFonts w:ascii="Verdana" w:hAnsi="Verdana"/>
          <w:w w:val="95"/>
          <w:sz w:val="20"/>
          <w:szCs w:val="20"/>
          <w:lang w:val="es-CR"/>
        </w:rPr>
        <w:t xml:space="preserve">) </w:t>
      </w:r>
      <w:r w:rsidRPr="00315B30">
        <w:rPr>
          <w:rFonts w:ascii="Verdana" w:hAnsi="Verdana"/>
          <w:sz w:val="20"/>
          <w:szCs w:val="20"/>
          <w:lang w:val="es-ES"/>
        </w:rPr>
        <w:t>el “Quinto informe sobre la Situación de los Derechos Humanos en Guatemala” de 2001</w:t>
      </w:r>
      <w:r w:rsidRPr="00315B30">
        <w:rPr>
          <w:rStyle w:val="Refdenotaalpie"/>
          <w:rFonts w:ascii="Verdana" w:hAnsi="Verdana"/>
          <w:w w:val="95"/>
          <w:sz w:val="20"/>
          <w:lang w:val="es-CR"/>
        </w:rPr>
        <w:footnoteReference w:id="49"/>
      </w:r>
      <w:r w:rsidRPr="00315B30">
        <w:rPr>
          <w:rFonts w:ascii="Verdana" w:hAnsi="Verdana"/>
          <w:sz w:val="20"/>
          <w:szCs w:val="20"/>
          <w:lang w:val="es-CR"/>
        </w:rPr>
        <w:t xml:space="preserve">, </w:t>
      </w:r>
      <w:r w:rsidR="004D30F0">
        <w:rPr>
          <w:rFonts w:ascii="Verdana" w:hAnsi="Verdana"/>
          <w:sz w:val="20"/>
          <w:szCs w:val="20"/>
          <w:lang w:val="es-ES"/>
        </w:rPr>
        <w:t>y b</w:t>
      </w:r>
      <w:r w:rsidRPr="00315B30">
        <w:rPr>
          <w:rFonts w:ascii="Verdana" w:hAnsi="Verdana"/>
          <w:sz w:val="20"/>
          <w:szCs w:val="20"/>
          <w:lang w:val="es-ES"/>
        </w:rPr>
        <w:t xml:space="preserve">) “Justicia e </w:t>
      </w:r>
      <w:r w:rsidRPr="00315B30">
        <w:rPr>
          <w:rFonts w:ascii="Verdana" w:hAnsi="Verdana"/>
          <w:sz w:val="20"/>
          <w:szCs w:val="20"/>
          <w:lang w:val="es-ES"/>
        </w:rPr>
        <w:lastRenderedPageBreak/>
        <w:t>inclusión social: los desafíos de la democracia en Guatemala” de 2003</w:t>
      </w:r>
      <w:r w:rsidRPr="00315B30">
        <w:rPr>
          <w:rStyle w:val="Refdenotaalpie"/>
          <w:rFonts w:ascii="Verdana" w:hAnsi="Verdana"/>
          <w:sz w:val="20"/>
          <w:lang w:val="es-ES"/>
        </w:rPr>
        <w:footnoteReference w:id="50"/>
      </w:r>
      <w:r w:rsidRPr="00315B30">
        <w:rPr>
          <w:rFonts w:ascii="Verdana" w:hAnsi="Verdana"/>
          <w:sz w:val="20"/>
          <w:szCs w:val="20"/>
          <w:lang w:val="es-ES"/>
        </w:rPr>
        <w:t xml:space="preserve"> no </w:t>
      </w:r>
      <w:r w:rsidRPr="00315B30">
        <w:rPr>
          <w:rFonts w:ascii="Verdana" w:hAnsi="Verdana"/>
          <w:sz w:val="20"/>
          <w:szCs w:val="20"/>
          <w:lang w:val="es-CR"/>
        </w:rPr>
        <w:t xml:space="preserve">fueron remitidos por la Comisión a la Corte en forma completa. No obstante, dado que se trata de textos publicados, la Corte constató los textos completos mediante el uso de internet, acudiendo al sitio </w:t>
      </w:r>
      <w:r w:rsidRPr="00315B30">
        <w:rPr>
          <w:rFonts w:ascii="Verdana" w:hAnsi="Verdana"/>
          <w:i/>
          <w:sz w:val="20"/>
          <w:szCs w:val="20"/>
          <w:lang w:val="es-CR"/>
        </w:rPr>
        <w:t>web</w:t>
      </w:r>
      <w:r w:rsidRPr="00315B30">
        <w:rPr>
          <w:rFonts w:ascii="Verdana" w:hAnsi="Verdana"/>
          <w:sz w:val="20"/>
          <w:szCs w:val="20"/>
          <w:lang w:val="es-CR"/>
        </w:rPr>
        <w:t xml:space="preserve"> oficial de la Comisión</w:t>
      </w:r>
      <w:r w:rsidRPr="00315B30">
        <w:rPr>
          <w:rFonts w:ascii="Verdana" w:hAnsi="Verdana"/>
          <w:sz w:val="20"/>
          <w:szCs w:val="20"/>
          <w:lang w:val="es-ES"/>
        </w:rPr>
        <w:t>.</w:t>
      </w:r>
      <w:r w:rsidRPr="00315B30">
        <w:rPr>
          <w:rFonts w:ascii="Verdana" w:hAnsi="Verdana"/>
          <w:w w:val="95"/>
          <w:sz w:val="20"/>
          <w:szCs w:val="20"/>
          <w:lang w:val="es-CR"/>
        </w:rPr>
        <w:t xml:space="preserve"> </w:t>
      </w:r>
    </w:p>
    <w:p w:rsidR="00763922" w:rsidRPr="00EB3F5A" w:rsidRDefault="00763922" w:rsidP="003F26FD">
      <w:pPr>
        <w:pStyle w:val="Prrafodelista"/>
        <w:spacing w:after="0" w:line="216" w:lineRule="auto"/>
        <w:ind w:left="-142" w:right="-174"/>
        <w:jc w:val="both"/>
        <w:rPr>
          <w:rFonts w:ascii="Verdana" w:hAnsi="Verdana"/>
          <w:b/>
          <w:w w:val="95"/>
          <w:sz w:val="20"/>
          <w:szCs w:val="20"/>
          <w:lang w:val="es-ES"/>
        </w:rPr>
      </w:pPr>
    </w:p>
    <w:p w:rsidR="00DF15C3" w:rsidRDefault="00DF15C3" w:rsidP="003F26FD">
      <w:pPr>
        <w:pStyle w:val="Prrafodelista"/>
        <w:numPr>
          <w:ilvl w:val="0"/>
          <w:numId w:val="2"/>
        </w:numPr>
        <w:spacing w:after="0" w:line="216" w:lineRule="auto"/>
        <w:ind w:left="284" w:right="-174" w:firstLine="0"/>
        <w:jc w:val="both"/>
        <w:outlineLvl w:val="1"/>
        <w:rPr>
          <w:rFonts w:ascii="Verdana" w:hAnsi="Verdana"/>
          <w:b/>
          <w:w w:val="95"/>
          <w:sz w:val="20"/>
          <w:szCs w:val="20"/>
          <w:lang w:val="es-ES"/>
        </w:rPr>
      </w:pPr>
      <w:bookmarkStart w:id="50" w:name="_Toc394313654"/>
      <w:r w:rsidRPr="002B1610">
        <w:rPr>
          <w:rFonts w:ascii="Verdana" w:hAnsi="Verdana"/>
          <w:b/>
          <w:w w:val="95"/>
          <w:sz w:val="20"/>
          <w:szCs w:val="20"/>
          <w:lang w:val="es-ES"/>
        </w:rPr>
        <w:t>Admisión de la declaración de las presuntas víctimas, prueba testimonial y pericial presentada mediante declaración rendida ante fedatario público</w:t>
      </w:r>
      <w:bookmarkEnd w:id="50"/>
    </w:p>
    <w:p w:rsidR="00DF15C3" w:rsidRPr="00C71D45" w:rsidRDefault="00DF15C3" w:rsidP="003F26FD">
      <w:pPr>
        <w:pStyle w:val="Prrafodelista"/>
        <w:spacing w:after="0" w:line="216" w:lineRule="auto"/>
        <w:ind w:left="284" w:right="-174"/>
        <w:jc w:val="both"/>
        <w:outlineLvl w:val="1"/>
        <w:rPr>
          <w:rFonts w:ascii="Verdana" w:hAnsi="Verdana"/>
          <w:b/>
          <w:w w:val="95"/>
          <w:sz w:val="20"/>
          <w:szCs w:val="20"/>
          <w:lang w:val="es-ES"/>
        </w:rPr>
      </w:pPr>
    </w:p>
    <w:p w:rsidR="00DF15C3" w:rsidRPr="002B1610" w:rsidRDefault="00DF15C3" w:rsidP="003F26FD">
      <w:pPr>
        <w:pStyle w:val="Prrafodelista"/>
        <w:numPr>
          <w:ilvl w:val="0"/>
          <w:numId w:val="17"/>
        </w:numPr>
        <w:spacing w:after="0" w:line="216" w:lineRule="auto"/>
        <w:ind w:left="-142" w:right="-174" w:firstLine="0"/>
        <w:jc w:val="both"/>
        <w:rPr>
          <w:rFonts w:ascii="Verdana" w:hAnsi="Verdana"/>
          <w:w w:val="95"/>
          <w:sz w:val="20"/>
          <w:szCs w:val="20"/>
          <w:lang w:val="es-ES"/>
        </w:rPr>
      </w:pPr>
      <w:r w:rsidRPr="002B1610">
        <w:rPr>
          <w:rFonts w:ascii="Verdana" w:hAnsi="Verdana"/>
          <w:w w:val="95"/>
          <w:sz w:val="20"/>
          <w:szCs w:val="20"/>
          <w:lang w:val="es-ES"/>
        </w:rPr>
        <w:t xml:space="preserve">En su escrito de alegatos finales, el </w:t>
      </w:r>
      <w:r w:rsidRPr="002B1610">
        <w:rPr>
          <w:rFonts w:ascii="Verdana" w:hAnsi="Verdana"/>
          <w:b/>
          <w:i/>
          <w:w w:val="95"/>
          <w:sz w:val="20"/>
          <w:szCs w:val="20"/>
          <w:lang w:val="es-ES"/>
        </w:rPr>
        <w:t>Estado</w:t>
      </w:r>
      <w:r w:rsidRPr="002B1610">
        <w:rPr>
          <w:rFonts w:ascii="Verdana" w:hAnsi="Verdana"/>
          <w:w w:val="95"/>
          <w:sz w:val="20"/>
          <w:szCs w:val="20"/>
          <w:lang w:val="es-ES"/>
        </w:rPr>
        <w:t xml:space="preserve"> sostuvo que las declaraciones ordenadas</w:t>
      </w:r>
      <w:r w:rsidRPr="00367553">
        <w:rPr>
          <w:rFonts w:ascii="Verdana" w:hAnsi="Verdana"/>
          <w:b/>
          <w:w w:val="95"/>
          <w:sz w:val="20"/>
          <w:szCs w:val="20"/>
          <w:lang w:val="es-ES"/>
        </w:rPr>
        <w:t xml:space="preserve"> </w:t>
      </w:r>
      <w:r w:rsidRPr="003622B1">
        <w:rPr>
          <w:rFonts w:ascii="Verdana" w:hAnsi="Verdana"/>
          <w:w w:val="95"/>
          <w:sz w:val="20"/>
          <w:szCs w:val="20"/>
          <w:lang w:val="es-ES"/>
        </w:rPr>
        <w:t>“</w:t>
      </w:r>
      <w:r w:rsidRPr="002B1610">
        <w:rPr>
          <w:rFonts w:ascii="Verdana" w:hAnsi="Verdana"/>
          <w:w w:val="95"/>
          <w:sz w:val="20"/>
          <w:szCs w:val="20"/>
          <w:lang w:val="es-ES"/>
        </w:rPr>
        <w:t>debieron estar sujetas desde un principio a la Resolución de la Corte de 18 de abril de 2013</w:t>
      </w:r>
      <w:r w:rsidRPr="003622B1">
        <w:rPr>
          <w:rFonts w:ascii="Verdana" w:hAnsi="Verdana"/>
          <w:w w:val="95"/>
          <w:sz w:val="20"/>
          <w:szCs w:val="20"/>
          <w:lang w:val="es-ES"/>
        </w:rPr>
        <w:t>”</w:t>
      </w:r>
      <w:r w:rsidRPr="002B1610">
        <w:rPr>
          <w:rFonts w:ascii="Verdana" w:hAnsi="Verdana"/>
          <w:w w:val="95"/>
          <w:sz w:val="20"/>
          <w:szCs w:val="20"/>
          <w:lang w:val="es-ES"/>
        </w:rPr>
        <w:t xml:space="preserve">, </w:t>
      </w:r>
      <w:r w:rsidRPr="00367553">
        <w:rPr>
          <w:rFonts w:ascii="Verdana" w:hAnsi="Verdana"/>
          <w:w w:val="95"/>
          <w:sz w:val="20"/>
          <w:szCs w:val="20"/>
          <w:lang w:val="es-ES"/>
        </w:rPr>
        <w:t>y que</w:t>
      </w:r>
      <w:r w:rsidRPr="00367553">
        <w:rPr>
          <w:rFonts w:ascii="Verdana" w:hAnsi="Verdana"/>
          <w:b/>
          <w:w w:val="95"/>
          <w:sz w:val="20"/>
          <w:szCs w:val="20"/>
          <w:lang w:val="es-ES"/>
        </w:rPr>
        <w:t xml:space="preserve"> </w:t>
      </w:r>
      <w:r w:rsidRPr="003622B1">
        <w:rPr>
          <w:rFonts w:ascii="Verdana" w:hAnsi="Verdana"/>
          <w:w w:val="95"/>
          <w:sz w:val="20"/>
          <w:szCs w:val="20"/>
          <w:lang w:val="es-ES"/>
        </w:rPr>
        <w:t>“</w:t>
      </w:r>
      <w:r w:rsidRPr="00367553">
        <w:rPr>
          <w:rFonts w:ascii="Verdana" w:hAnsi="Verdana"/>
          <w:w w:val="95"/>
          <w:sz w:val="20"/>
          <w:szCs w:val="20"/>
          <w:lang w:val="es-ES"/>
        </w:rPr>
        <w:t xml:space="preserve">no era opcional responder </w:t>
      </w:r>
      <w:r w:rsidR="000E3A98">
        <w:rPr>
          <w:rFonts w:ascii="Verdana" w:hAnsi="Verdana"/>
          <w:w w:val="95"/>
          <w:sz w:val="20"/>
          <w:szCs w:val="20"/>
          <w:lang w:val="es-ES"/>
        </w:rPr>
        <w:t xml:space="preserve">a </w:t>
      </w:r>
      <w:r w:rsidRPr="00367553">
        <w:rPr>
          <w:rFonts w:ascii="Verdana" w:hAnsi="Verdana"/>
          <w:w w:val="95"/>
          <w:sz w:val="20"/>
          <w:szCs w:val="20"/>
          <w:lang w:val="es-ES"/>
        </w:rPr>
        <w:t>las preguntas formuladas por el Estado</w:t>
      </w:r>
      <w:r w:rsidRPr="000F27B3">
        <w:rPr>
          <w:rFonts w:ascii="Verdana" w:hAnsi="Verdana"/>
          <w:w w:val="95"/>
          <w:sz w:val="20"/>
          <w:szCs w:val="20"/>
          <w:lang w:val="es-ES"/>
        </w:rPr>
        <w:t xml:space="preserve">”. Indicó </w:t>
      </w:r>
      <w:r w:rsidRPr="00315B30">
        <w:rPr>
          <w:rFonts w:ascii="Verdana" w:hAnsi="Verdana"/>
          <w:w w:val="95"/>
          <w:sz w:val="20"/>
          <w:szCs w:val="20"/>
          <w:lang w:val="es-ES"/>
        </w:rPr>
        <w:t xml:space="preserve">que </w:t>
      </w:r>
      <w:r w:rsidR="00F15CBE" w:rsidRPr="00315B30">
        <w:rPr>
          <w:rFonts w:ascii="Verdana" w:hAnsi="Verdana"/>
          <w:w w:val="95"/>
          <w:sz w:val="20"/>
          <w:szCs w:val="20"/>
          <w:lang w:val="es-ES"/>
        </w:rPr>
        <w:t>la representante</w:t>
      </w:r>
      <w:r w:rsidR="00790E04" w:rsidRPr="00315B30">
        <w:rPr>
          <w:rFonts w:ascii="Verdana" w:hAnsi="Verdana"/>
          <w:w w:val="95"/>
          <w:sz w:val="20"/>
          <w:szCs w:val="20"/>
          <w:lang w:val="es-ES"/>
        </w:rPr>
        <w:t xml:space="preserve"> </w:t>
      </w:r>
      <w:r w:rsidRPr="00315B30">
        <w:rPr>
          <w:rFonts w:ascii="Verdana" w:hAnsi="Verdana"/>
          <w:w w:val="95"/>
          <w:sz w:val="20"/>
          <w:szCs w:val="20"/>
          <w:lang w:val="es-ES"/>
        </w:rPr>
        <w:t>al enviar</w:t>
      </w:r>
      <w:r w:rsidR="007C124B" w:rsidRPr="00315B30">
        <w:rPr>
          <w:rFonts w:ascii="Verdana" w:hAnsi="Verdana"/>
          <w:w w:val="95"/>
          <w:sz w:val="20"/>
          <w:szCs w:val="20"/>
          <w:lang w:val="es-ES"/>
        </w:rPr>
        <w:t xml:space="preserve"> los </w:t>
      </w:r>
      <w:r w:rsidR="007C124B" w:rsidRPr="004D30F0">
        <w:rPr>
          <w:rFonts w:ascii="Verdana" w:hAnsi="Verdana"/>
          <w:w w:val="95"/>
          <w:sz w:val="20"/>
          <w:szCs w:val="20"/>
          <w:lang w:val="es-ES"/>
        </w:rPr>
        <w:t>affidávits</w:t>
      </w:r>
      <w:r w:rsidRPr="004D30F0">
        <w:rPr>
          <w:rFonts w:ascii="Verdana" w:hAnsi="Verdana"/>
          <w:w w:val="95"/>
          <w:sz w:val="20"/>
          <w:szCs w:val="20"/>
          <w:lang w:val="es-ES"/>
        </w:rPr>
        <w:t xml:space="preserve"> </w:t>
      </w:r>
      <w:r w:rsidR="00F15CBE" w:rsidRPr="004D30F0">
        <w:rPr>
          <w:rFonts w:ascii="Verdana" w:hAnsi="Verdana"/>
          <w:w w:val="95"/>
          <w:sz w:val="20"/>
          <w:szCs w:val="20"/>
          <w:lang w:val="es-ES"/>
        </w:rPr>
        <w:t>dentro del plazo estipulado para hacerlo</w:t>
      </w:r>
      <w:r w:rsidR="00D1469F" w:rsidRPr="004D30F0">
        <w:rPr>
          <w:rFonts w:ascii="Verdana" w:hAnsi="Verdana"/>
          <w:w w:val="95"/>
          <w:sz w:val="20"/>
          <w:szCs w:val="20"/>
          <w:lang w:val="es-ES"/>
        </w:rPr>
        <w:t xml:space="preserve">, </w:t>
      </w:r>
      <w:r w:rsidR="00F15CBE" w:rsidRPr="004D30F0">
        <w:rPr>
          <w:rFonts w:ascii="Verdana" w:hAnsi="Verdana"/>
          <w:w w:val="95"/>
          <w:sz w:val="20"/>
          <w:szCs w:val="20"/>
          <w:lang w:val="es-ES"/>
        </w:rPr>
        <w:t>más</w:t>
      </w:r>
      <w:r w:rsidRPr="004D30F0">
        <w:rPr>
          <w:rFonts w:ascii="Verdana" w:hAnsi="Verdana"/>
          <w:w w:val="95"/>
          <w:sz w:val="20"/>
          <w:szCs w:val="20"/>
          <w:lang w:val="es-ES"/>
        </w:rPr>
        <w:t xml:space="preserve"> de la mitad de las preguntas </w:t>
      </w:r>
      <w:r w:rsidR="00F15CBE" w:rsidRPr="004D30F0">
        <w:rPr>
          <w:rFonts w:ascii="Verdana" w:hAnsi="Verdana"/>
          <w:w w:val="95"/>
          <w:sz w:val="20"/>
          <w:szCs w:val="20"/>
          <w:lang w:val="es-ES"/>
        </w:rPr>
        <w:t>remit</w:t>
      </w:r>
      <w:r w:rsidR="00F15CBE" w:rsidRPr="00315B30">
        <w:rPr>
          <w:rFonts w:ascii="Verdana" w:hAnsi="Verdana"/>
          <w:w w:val="95"/>
          <w:sz w:val="20"/>
          <w:szCs w:val="20"/>
          <w:lang w:val="es-ES"/>
        </w:rPr>
        <w:t>idas por el Estado</w:t>
      </w:r>
      <w:r w:rsidRPr="00315B30">
        <w:rPr>
          <w:rFonts w:ascii="Verdana" w:hAnsi="Verdana"/>
          <w:w w:val="95"/>
          <w:sz w:val="20"/>
          <w:szCs w:val="20"/>
          <w:lang w:val="es-ES"/>
        </w:rPr>
        <w:t xml:space="preserve"> fueron omitidas</w:t>
      </w:r>
      <w:r w:rsidR="00D1469F" w:rsidRPr="00315B30">
        <w:rPr>
          <w:rFonts w:ascii="Verdana" w:hAnsi="Verdana"/>
          <w:w w:val="95"/>
          <w:sz w:val="20"/>
          <w:szCs w:val="20"/>
          <w:lang w:val="es-ES"/>
        </w:rPr>
        <w:t xml:space="preserve"> </w:t>
      </w:r>
      <w:r w:rsidR="00F15CBE" w:rsidRPr="00315B30">
        <w:rPr>
          <w:rFonts w:ascii="Verdana" w:hAnsi="Verdana"/>
          <w:w w:val="95"/>
          <w:sz w:val="20"/>
          <w:szCs w:val="20"/>
          <w:lang w:val="es-ES"/>
        </w:rPr>
        <w:t>por los declarantes</w:t>
      </w:r>
      <w:r w:rsidR="00D1469F" w:rsidRPr="00315B30">
        <w:rPr>
          <w:rFonts w:ascii="Verdana" w:hAnsi="Verdana"/>
          <w:w w:val="95"/>
          <w:sz w:val="20"/>
          <w:szCs w:val="20"/>
          <w:lang w:val="es-ES"/>
        </w:rPr>
        <w:t>,</w:t>
      </w:r>
      <w:r w:rsidRPr="000F27B3">
        <w:rPr>
          <w:rFonts w:ascii="Verdana" w:hAnsi="Verdana"/>
          <w:w w:val="95"/>
          <w:sz w:val="20"/>
          <w:szCs w:val="20"/>
          <w:lang w:val="es-ES"/>
        </w:rPr>
        <w:t xml:space="preserve"> </w:t>
      </w:r>
      <w:r w:rsidR="006136D5">
        <w:rPr>
          <w:rFonts w:ascii="Verdana" w:hAnsi="Verdana"/>
          <w:w w:val="95"/>
          <w:sz w:val="20"/>
          <w:szCs w:val="20"/>
          <w:lang w:val="es-ES"/>
        </w:rPr>
        <w:t>“</w:t>
      </w:r>
      <w:r w:rsidRPr="000F27B3">
        <w:rPr>
          <w:rFonts w:ascii="Verdana" w:hAnsi="Verdana"/>
          <w:w w:val="95"/>
          <w:sz w:val="20"/>
          <w:szCs w:val="20"/>
          <w:lang w:val="es-ES"/>
        </w:rPr>
        <w:t>por</w:t>
      </w:r>
      <w:r w:rsidRPr="002B1610">
        <w:rPr>
          <w:rFonts w:ascii="Verdana" w:hAnsi="Verdana"/>
          <w:w w:val="95"/>
          <w:sz w:val="20"/>
          <w:szCs w:val="20"/>
          <w:lang w:val="es-ES"/>
        </w:rPr>
        <w:t xml:space="preserve"> lo que se requirió por parte de la Corte que se ampliaran las declaraciones, respondiéndolas extemporáneamente en documento separad</w:t>
      </w:r>
      <w:r w:rsidRPr="000D3634">
        <w:rPr>
          <w:rFonts w:ascii="Verdana" w:hAnsi="Verdana"/>
          <w:w w:val="95"/>
          <w:sz w:val="20"/>
          <w:szCs w:val="20"/>
          <w:lang w:val="es-ES"/>
        </w:rPr>
        <w:t>o</w:t>
      </w:r>
      <w:r w:rsidR="00F15CBE" w:rsidRPr="000D3634">
        <w:rPr>
          <w:rFonts w:ascii="Verdana" w:hAnsi="Verdana"/>
          <w:w w:val="95"/>
          <w:sz w:val="20"/>
          <w:szCs w:val="20"/>
          <w:lang w:val="es-ES"/>
        </w:rPr>
        <w:t>”</w:t>
      </w:r>
      <w:r w:rsidRPr="000D3634">
        <w:rPr>
          <w:rFonts w:ascii="Verdana" w:hAnsi="Verdana"/>
          <w:w w:val="95"/>
          <w:sz w:val="20"/>
          <w:szCs w:val="20"/>
          <w:lang w:val="es-ES"/>
        </w:rPr>
        <w:t>.</w:t>
      </w:r>
      <w:r w:rsidRPr="002B1610">
        <w:rPr>
          <w:rFonts w:ascii="Verdana" w:hAnsi="Verdana"/>
          <w:w w:val="95"/>
          <w:sz w:val="20"/>
          <w:szCs w:val="20"/>
          <w:lang w:val="es-ES"/>
        </w:rPr>
        <w:t xml:space="preserve"> Agregó que no es la primera vez que la representación de las víctimas “comete errores aparentemente materiales en la entrega de documentos a la […] Corte, no obstante</w:t>
      </w:r>
      <w:r>
        <w:rPr>
          <w:rFonts w:ascii="Verdana" w:hAnsi="Verdana"/>
          <w:w w:val="95"/>
          <w:sz w:val="20"/>
          <w:szCs w:val="20"/>
          <w:lang w:val="es-ES"/>
        </w:rPr>
        <w:t>,</w:t>
      </w:r>
      <w:r w:rsidRPr="002B1610">
        <w:rPr>
          <w:rFonts w:ascii="Verdana" w:hAnsi="Verdana"/>
          <w:w w:val="95"/>
          <w:sz w:val="20"/>
          <w:szCs w:val="20"/>
          <w:lang w:val="es-ES"/>
        </w:rPr>
        <w:t xml:space="preserve"> esta situación particular perjudicó el derecho de defensa e igualdad procesal del Estado al momento de la audiencia pública […], en virtud que no se tuvo el tiempo previsto para analizar y cotejar dichos documentos, mientras que </w:t>
      </w:r>
      <w:r>
        <w:rPr>
          <w:rFonts w:ascii="Verdana" w:hAnsi="Verdana"/>
          <w:w w:val="95"/>
          <w:sz w:val="20"/>
          <w:szCs w:val="20"/>
          <w:lang w:val="es-ES"/>
        </w:rPr>
        <w:t>la representante</w:t>
      </w:r>
      <w:r w:rsidRPr="002B1610">
        <w:rPr>
          <w:rFonts w:ascii="Verdana" w:hAnsi="Verdana"/>
          <w:w w:val="95"/>
          <w:sz w:val="20"/>
          <w:szCs w:val="20"/>
          <w:lang w:val="es-ES"/>
        </w:rPr>
        <w:t xml:space="preserve"> ha tenido claro y dentro de los plazos estipulados todos los documentos e información requerida al Estado”. En consecuencia, solicitó a la Corte que </w:t>
      </w:r>
      <w:r w:rsidRPr="00315B30">
        <w:rPr>
          <w:rFonts w:ascii="Verdana" w:hAnsi="Verdana"/>
          <w:w w:val="95"/>
          <w:sz w:val="20"/>
          <w:szCs w:val="20"/>
          <w:lang w:val="es-ES"/>
        </w:rPr>
        <w:t>sus argumentos sean tomados en cuenta, ya que situación descrita implica una desventaja para el Estado y es aún más desfavorable debido a las inconsistencias y contradicciones que</w:t>
      </w:r>
      <w:r w:rsidRPr="002B1610">
        <w:rPr>
          <w:rFonts w:ascii="Verdana" w:hAnsi="Verdana"/>
          <w:w w:val="95"/>
          <w:sz w:val="20"/>
          <w:szCs w:val="20"/>
          <w:lang w:val="es-ES"/>
        </w:rPr>
        <w:t xml:space="preserve"> presentan los documentos en cuestión. </w:t>
      </w:r>
    </w:p>
    <w:p w:rsidR="00DF15C3" w:rsidRPr="002B1610" w:rsidRDefault="00DF15C3" w:rsidP="003F26FD">
      <w:pPr>
        <w:pStyle w:val="Prrafodelista"/>
        <w:spacing w:after="0" w:line="216" w:lineRule="auto"/>
        <w:ind w:left="-142" w:right="-174"/>
        <w:jc w:val="both"/>
        <w:rPr>
          <w:rFonts w:ascii="Verdana" w:hAnsi="Verdana"/>
          <w:w w:val="95"/>
          <w:sz w:val="20"/>
          <w:szCs w:val="20"/>
          <w:lang w:val="es-ES"/>
        </w:rPr>
      </w:pPr>
    </w:p>
    <w:p w:rsidR="00DF15C3" w:rsidRPr="002B1610" w:rsidRDefault="00DF15C3" w:rsidP="003F26FD">
      <w:pPr>
        <w:pStyle w:val="Prrafodelista"/>
        <w:numPr>
          <w:ilvl w:val="0"/>
          <w:numId w:val="17"/>
        </w:numPr>
        <w:spacing w:after="0" w:line="216" w:lineRule="auto"/>
        <w:ind w:left="-142" w:right="-174" w:firstLine="0"/>
        <w:jc w:val="both"/>
        <w:rPr>
          <w:rFonts w:ascii="Verdana" w:hAnsi="Verdana"/>
          <w:w w:val="95"/>
          <w:sz w:val="20"/>
          <w:szCs w:val="20"/>
          <w:lang w:val="es-ES"/>
        </w:rPr>
      </w:pPr>
      <w:r>
        <w:rPr>
          <w:rFonts w:ascii="Verdana" w:hAnsi="Verdana"/>
          <w:w w:val="95"/>
          <w:sz w:val="20"/>
          <w:szCs w:val="20"/>
          <w:lang w:val="es-ES"/>
        </w:rPr>
        <w:t>La</w:t>
      </w:r>
      <w:r w:rsidRPr="002B1610">
        <w:rPr>
          <w:rFonts w:ascii="Verdana" w:hAnsi="Verdana"/>
          <w:w w:val="95"/>
          <w:sz w:val="20"/>
          <w:szCs w:val="20"/>
          <w:lang w:val="es-ES"/>
        </w:rPr>
        <w:t xml:space="preserve"> </w:t>
      </w:r>
      <w:r w:rsidRPr="002B1610">
        <w:rPr>
          <w:rFonts w:ascii="Verdana" w:hAnsi="Verdana"/>
          <w:b/>
          <w:i/>
          <w:w w:val="95"/>
          <w:sz w:val="20"/>
          <w:szCs w:val="20"/>
          <w:lang w:val="es-ES"/>
        </w:rPr>
        <w:t>representante</w:t>
      </w:r>
      <w:r w:rsidRPr="002B1610">
        <w:rPr>
          <w:rFonts w:ascii="Verdana" w:hAnsi="Verdana"/>
          <w:w w:val="95"/>
          <w:sz w:val="20"/>
          <w:szCs w:val="20"/>
          <w:lang w:val="es-ES"/>
        </w:rPr>
        <w:t xml:space="preserve"> </w:t>
      </w:r>
      <w:r>
        <w:rPr>
          <w:rFonts w:ascii="Verdana" w:hAnsi="Verdana"/>
          <w:w w:val="95"/>
          <w:sz w:val="20"/>
          <w:szCs w:val="20"/>
          <w:lang w:val="es-ES"/>
        </w:rPr>
        <w:t>presentó</w:t>
      </w:r>
      <w:r w:rsidRPr="002B1610">
        <w:rPr>
          <w:rFonts w:ascii="Verdana" w:hAnsi="Verdana"/>
          <w:w w:val="95"/>
          <w:sz w:val="20"/>
          <w:szCs w:val="20"/>
          <w:lang w:val="es-ES"/>
        </w:rPr>
        <w:t xml:space="preserve"> el 29 de abril de 2013, como fue ordenado </w:t>
      </w:r>
      <w:r>
        <w:rPr>
          <w:rFonts w:ascii="Verdana" w:hAnsi="Verdana"/>
          <w:w w:val="95"/>
          <w:sz w:val="20"/>
          <w:szCs w:val="20"/>
          <w:lang w:val="es-ES"/>
        </w:rPr>
        <w:t>en</w:t>
      </w:r>
      <w:r w:rsidRPr="002B1610">
        <w:rPr>
          <w:rFonts w:ascii="Verdana" w:hAnsi="Verdana"/>
          <w:w w:val="95"/>
          <w:sz w:val="20"/>
          <w:szCs w:val="20"/>
          <w:lang w:val="es-ES"/>
        </w:rPr>
        <w:t xml:space="preserve"> la Resolución del </w:t>
      </w:r>
      <w:r>
        <w:rPr>
          <w:rFonts w:ascii="Verdana" w:hAnsi="Verdana"/>
          <w:w w:val="95"/>
          <w:sz w:val="20"/>
          <w:szCs w:val="20"/>
          <w:lang w:val="es-ES"/>
        </w:rPr>
        <w:t>Presidente</w:t>
      </w:r>
      <w:r w:rsidRPr="002B1610">
        <w:rPr>
          <w:rFonts w:ascii="Verdana" w:hAnsi="Verdana"/>
          <w:w w:val="95"/>
          <w:sz w:val="20"/>
          <w:szCs w:val="20"/>
          <w:lang w:val="es-ES"/>
        </w:rPr>
        <w:t xml:space="preserve"> de 10 de abril de 2013, los </w:t>
      </w:r>
      <w:r w:rsidRPr="004D30F0">
        <w:rPr>
          <w:rFonts w:ascii="Verdana" w:hAnsi="Verdana"/>
          <w:w w:val="95"/>
          <w:sz w:val="20"/>
          <w:szCs w:val="20"/>
          <w:lang w:val="es-ES"/>
        </w:rPr>
        <w:t>affidávits</w:t>
      </w:r>
      <w:r w:rsidR="009E2AD7">
        <w:rPr>
          <w:rFonts w:ascii="Verdana" w:hAnsi="Verdana"/>
          <w:i/>
          <w:w w:val="95"/>
          <w:sz w:val="20"/>
          <w:szCs w:val="20"/>
          <w:lang w:val="es-ES"/>
        </w:rPr>
        <w:t>.</w:t>
      </w:r>
      <w:r w:rsidRPr="002B1610">
        <w:rPr>
          <w:rFonts w:ascii="Verdana" w:hAnsi="Verdana"/>
          <w:w w:val="95"/>
          <w:sz w:val="20"/>
          <w:szCs w:val="20"/>
          <w:lang w:val="es-ES"/>
        </w:rPr>
        <w:t xml:space="preserve"> </w:t>
      </w:r>
      <w:r w:rsidR="009E2AD7">
        <w:rPr>
          <w:rFonts w:ascii="Verdana" w:hAnsi="Verdana"/>
          <w:w w:val="95"/>
          <w:sz w:val="20"/>
          <w:szCs w:val="20"/>
          <w:lang w:val="es-ES"/>
        </w:rPr>
        <w:t>N</w:t>
      </w:r>
      <w:r w:rsidRPr="002B1610">
        <w:rPr>
          <w:rFonts w:ascii="Verdana" w:hAnsi="Verdana"/>
          <w:w w:val="95"/>
          <w:sz w:val="20"/>
          <w:szCs w:val="20"/>
          <w:lang w:val="es-ES"/>
        </w:rPr>
        <w:t>o obstante, debido a que los declarantes omitieron responder determinadas preguntas formuladas por el Estado, se concedió un plazo para la presentación de las ampliaciones de las mismas, las cuales fueron presentadas dentro del plazo fijado</w:t>
      </w:r>
      <w:r w:rsidRPr="002B1610">
        <w:rPr>
          <w:rStyle w:val="Refdenotaalpie"/>
          <w:rFonts w:ascii="Verdana" w:hAnsi="Verdana"/>
          <w:w w:val="95"/>
          <w:sz w:val="20"/>
          <w:lang w:val="es-ES"/>
        </w:rPr>
        <w:footnoteReference w:id="51"/>
      </w:r>
      <w:r w:rsidR="009E2AD7">
        <w:rPr>
          <w:rFonts w:ascii="Verdana" w:hAnsi="Verdana"/>
          <w:w w:val="95"/>
          <w:sz w:val="20"/>
          <w:szCs w:val="20"/>
          <w:lang w:val="es-ES"/>
        </w:rPr>
        <w:t>.</w:t>
      </w:r>
      <w:r w:rsidRPr="002B1610">
        <w:rPr>
          <w:rFonts w:ascii="Verdana" w:hAnsi="Verdana"/>
          <w:w w:val="95"/>
          <w:sz w:val="20"/>
          <w:szCs w:val="20"/>
          <w:lang w:val="es-ES"/>
        </w:rPr>
        <w:t xml:space="preserve"> </w:t>
      </w:r>
      <w:r w:rsidR="009E2AD7">
        <w:rPr>
          <w:rFonts w:ascii="Verdana" w:hAnsi="Verdana"/>
          <w:w w:val="95"/>
          <w:sz w:val="20"/>
          <w:szCs w:val="20"/>
          <w:lang w:val="es-ES"/>
        </w:rPr>
        <w:t>C</w:t>
      </w:r>
      <w:r w:rsidRPr="002B1610">
        <w:rPr>
          <w:rFonts w:ascii="Verdana" w:hAnsi="Verdana"/>
          <w:w w:val="95"/>
          <w:sz w:val="20"/>
          <w:szCs w:val="20"/>
          <w:lang w:val="es-ES"/>
        </w:rPr>
        <w:t xml:space="preserve">omo la misma Resolución de 10 de abril de 2013 lo indica, se dio la oportunidad procesal al Estado para presentar sus observaciones a los </w:t>
      </w:r>
      <w:r w:rsidRPr="002B1610">
        <w:rPr>
          <w:rFonts w:ascii="Verdana" w:hAnsi="Verdana"/>
          <w:i/>
          <w:w w:val="95"/>
          <w:sz w:val="20"/>
          <w:szCs w:val="20"/>
          <w:lang w:val="es-ES"/>
        </w:rPr>
        <w:t>affidávits</w:t>
      </w:r>
      <w:r w:rsidRPr="002B1610">
        <w:rPr>
          <w:rFonts w:ascii="Verdana" w:hAnsi="Verdana"/>
          <w:w w:val="95"/>
          <w:sz w:val="20"/>
          <w:szCs w:val="20"/>
          <w:lang w:val="es-ES"/>
        </w:rPr>
        <w:t xml:space="preserve">, y de hecho en sus alegatos finales escritos las presentó. En razón de lo anterior, la Corte considera que las referidas declaraciones no fueron presentadas extemporáneamente ni se vulneró el derecho de defensa del Estado como lo alegó Guatemala. </w:t>
      </w:r>
    </w:p>
    <w:p w:rsidR="00DF15C3" w:rsidRPr="002B1610" w:rsidRDefault="00DF15C3" w:rsidP="003F26FD">
      <w:pPr>
        <w:spacing w:after="0" w:line="216" w:lineRule="auto"/>
        <w:ind w:left="-142" w:right="-174"/>
        <w:rPr>
          <w:rFonts w:ascii="Verdana" w:eastAsia="Batang" w:hAnsi="Verdana" w:cs="Verdana"/>
          <w:w w:val="95"/>
          <w:sz w:val="20"/>
          <w:szCs w:val="20"/>
          <w:lang w:val="es-ES"/>
        </w:rPr>
      </w:pPr>
    </w:p>
    <w:p w:rsidR="00DF15C3" w:rsidRPr="002B1610" w:rsidRDefault="00DF15C3" w:rsidP="003F26FD">
      <w:pPr>
        <w:pStyle w:val="Prrafodelista"/>
        <w:numPr>
          <w:ilvl w:val="0"/>
          <w:numId w:val="17"/>
        </w:numPr>
        <w:spacing w:after="0" w:line="216" w:lineRule="auto"/>
        <w:ind w:left="-142" w:right="-174" w:firstLine="0"/>
        <w:jc w:val="both"/>
        <w:rPr>
          <w:rFonts w:ascii="Verdana" w:hAnsi="Verdana"/>
          <w:w w:val="95"/>
          <w:sz w:val="20"/>
          <w:szCs w:val="20"/>
          <w:lang w:val="es-ES"/>
        </w:rPr>
      </w:pPr>
      <w:r w:rsidRPr="002B1610">
        <w:rPr>
          <w:rFonts w:ascii="Verdana" w:eastAsia="Batang" w:hAnsi="Verdana" w:cs="Verdana"/>
          <w:w w:val="95"/>
          <w:sz w:val="20"/>
          <w:szCs w:val="20"/>
          <w:lang w:val="es-CR"/>
        </w:rPr>
        <w:t xml:space="preserve">Respecto al alegato del Estado de que </w:t>
      </w:r>
      <w:r w:rsidRPr="002B1610">
        <w:rPr>
          <w:rFonts w:ascii="Verdana" w:hAnsi="Verdana" w:cs="Verdana"/>
          <w:w w:val="95"/>
          <w:sz w:val="20"/>
          <w:szCs w:val="20"/>
          <w:lang w:val="es-CR"/>
        </w:rPr>
        <w:t>los declarantes omitieron referirse a las preguntas planteadas por el Estado</w:t>
      </w:r>
      <w:r w:rsidRPr="002B1610">
        <w:rPr>
          <w:rStyle w:val="Refdenotaalpie"/>
          <w:rFonts w:ascii="Verdana" w:hAnsi="Verdana" w:cs="Verdana"/>
          <w:w w:val="95"/>
          <w:sz w:val="20"/>
          <w:lang w:val="es-CR"/>
        </w:rPr>
        <w:footnoteReference w:id="52"/>
      </w:r>
      <w:r w:rsidRPr="002B1610">
        <w:rPr>
          <w:rFonts w:ascii="Verdana" w:hAnsi="Verdana" w:cs="Verdana"/>
          <w:w w:val="95"/>
          <w:sz w:val="20"/>
          <w:szCs w:val="20"/>
          <w:lang w:val="es-CR"/>
        </w:rPr>
        <w:t>, l</w:t>
      </w:r>
      <w:r w:rsidRPr="002B1610">
        <w:rPr>
          <w:rFonts w:ascii="Verdana" w:hAnsi="Verdana"/>
          <w:w w:val="95"/>
          <w:sz w:val="20"/>
          <w:szCs w:val="20"/>
          <w:lang w:val="es-CR"/>
        </w:rPr>
        <w:t xml:space="preserve">a Corte reitera que el hecho de que se encuentre contemplado en el Reglamento la posibilidad de que las partes puedan formular preguntas por escrito a los declarantes ofrecidos por la contraparte y, en su caso, por la Comisión, impone el deber correlativo de la parte que ofreció la declaración de coordinar y realizar las diligencias necesarias para que se trasladen las preguntas a los declarantes y se incluyan las repuestas respectivas. En ciertas circunstancias, el no contestar diversas preguntas puede resultar incompatible con el deber de cooperación procesal y con el principio de buena fe que rige en </w:t>
      </w:r>
      <w:r w:rsidRPr="002B1610">
        <w:rPr>
          <w:rFonts w:ascii="Verdana" w:hAnsi="Verdana"/>
          <w:w w:val="95"/>
          <w:sz w:val="20"/>
          <w:szCs w:val="20"/>
          <w:lang w:val="es-CR"/>
        </w:rPr>
        <w:lastRenderedPageBreak/>
        <w:t>el procedimiento internacional</w:t>
      </w:r>
      <w:r w:rsidRPr="002B1610">
        <w:rPr>
          <w:rStyle w:val="Refdenotaalpie"/>
          <w:rFonts w:ascii="Verdana" w:hAnsi="Verdana"/>
          <w:w w:val="95"/>
          <w:sz w:val="20"/>
        </w:rPr>
        <w:footnoteReference w:id="53"/>
      </w:r>
      <w:r w:rsidRPr="002B1610">
        <w:rPr>
          <w:rFonts w:ascii="Verdana" w:hAnsi="Verdana"/>
          <w:w w:val="95"/>
          <w:sz w:val="20"/>
          <w:szCs w:val="20"/>
          <w:lang w:val="es-CR"/>
        </w:rPr>
        <w:t>. Sin perjuicio de ello, el Tribunal considera que la no presentación de respuestas a las preguntas de la contraparte no afecta la admisibilidad de una declaración y es un aspecto que, según los alcances de los silencios de un declarante, podría llegar a impactar en el peso probatorio que puede alcanzar una declaración o un peritaje, aspecto que corresponde valorar en el fondo del caso</w:t>
      </w:r>
      <w:r w:rsidRPr="002B1610">
        <w:rPr>
          <w:rStyle w:val="Refdenotaalpie"/>
          <w:rFonts w:ascii="Verdana" w:hAnsi="Verdana"/>
          <w:w w:val="95"/>
          <w:sz w:val="20"/>
          <w:lang w:val="es-CR"/>
        </w:rPr>
        <w:footnoteReference w:id="54"/>
      </w:r>
      <w:r w:rsidRPr="002B1610">
        <w:rPr>
          <w:rFonts w:ascii="Verdana" w:hAnsi="Verdana"/>
          <w:w w:val="95"/>
          <w:sz w:val="20"/>
          <w:szCs w:val="20"/>
          <w:lang w:val="es-CR"/>
        </w:rPr>
        <w:t xml:space="preserve">. </w:t>
      </w:r>
    </w:p>
    <w:p w:rsidR="00DF15C3" w:rsidRPr="002B1610" w:rsidRDefault="00DF15C3" w:rsidP="003F26FD">
      <w:pPr>
        <w:pStyle w:val="Prrafodelista"/>
        <w:spacing w:after="0" w:line="216" w:lineRule="auto"/>
        <w:ind w:left="-142" w:right="-174"/>
        <w:rPr>
          <w:rFonts w:ascii="Verdana" w:hAnsi="Verdana"/>
          <w:w w:val="95"/>
          <w:sz w:val="20"/>
          <w:szCs w:val="20"/>
          <w:lang w:val="es-ES"/>
        </w:rPr>
      </w:pPr>
    </w:p>
    <w:p w:rsidR="00DF15C3" w:rsidRPr="00641ABB" w:rsidRDefault="00DF15C3" w:rsidP="003F26FD">
      <w:pPr>
        <w:pStyle w:val="Prrafodelista"/>
        <w:numPr>
          <w:ilvl w:val="0"/>
          <w:numId w:val="17"/>
        </w:numPr>
        <w:spacing w:after="0" w:line="216" w:lineRule="auto"/>
        <w:ind w:left="-142" w:right="-174" w:firstLine="0"/>
        <w:jc w:val="both"/>
        <w:rPr>
          <w:rFonts w:ascii="Verdana" w:hAnsi="Verdana"/>
          <w:b/>
          <w:w w:val="95"/>
          <w:sz w:val="20"/>
          <w:szCs w:val="20"/>
          <w:lang w:val="es-ES"/>
        </w:rPr>
      </w:pPr>
      <w:r w:rsidRPr="00641ABB">
        <w:rPr>
          <w:rFonts w:ascii="Verdana" w:hAnsi="Verdana"/>
          <w:w w:val="95"/>
          <w:sz w:val="20"/>
          <w:szCs w:val="20"/>
          <w:lang w:val="es-ES"/>
        </w:rPr>
        <w:t>Por otra parte, respecto a la declaración de Leonel Enrique Veliz Franco, el Estado consideró que “al testigo no le consta ninguna de las gestiones realizadas por su madre, sino qu</w:t>
      </w:r>
      <w:r w:rsidR="00F77273">
        <w:rPr>
          <w:rFonts w:ascii="Verdana" w:hAnsi="Verdana"/>
          <w:w w:val="95"/>
          <w:sz w:val="20"/>
          <w:szCs w:val="20"/>
          <w:lang w:val="es-ES"/>
        </w:rPr>
        <w:t>e más bien tiene conocimiento de ellas por lo que ésta ha expresado”, cuestionó en cuáles “gestiones acompañó a su madre”, así como algunas de las manifestaciones relacionadas con la investigación y los hechos del caso, y la contradicción de las respuestas a las preguntas del Estado. Agregó sobre la declaración de José Roberto Franco que “el Estado se pronuncia en el mismo sentido que respecto a su hermano Leonel Enrique Veliz Franco en cuanto a los aspectos generales de la misma”, e hizo notar algunas contradicciones entre su declaración y la de su madre, y</w:t>
      </w:r>
      <w:r w:rsidR="00F77273">
        <w:rPr>
          <w:rFonts w:ascii="Verdana" w:hAnsi="Verdana"/>
          <w:b/>
          <w:w w:val="95"/>
          <w:sz w:val="20"/>
          <w:szCs w:val="20"/>
          <w:lang w:val="es-ES"/>
        </w:rPr>
        <w:t xml:space="preserve"> </w:t>
      </w:r>
      <w:r w:rsidR="00F77273">
        <w:rPr>
          <w:rFonts w:ascii="Verdana" w:hAnsi="Verdana"/>
          <w:w w:val="95"/>
          <w:sz w:val="20"/>
          <w:szCs w:val="20"/>
          <w:lang w:val="es-ES"/>
        </w:rPr>
        <w:t>su propia declaración con sus respuestas a las preguntas formuladas por el Estado.</w:t>
      </w:r>
      <w:r w:rsidR="00F77273">
        <w:rPr>
          <w:rFonts w:ascii="Verdana" w:hAnsi="Verdana"/>
          <w:b/>
          <w:w w:val="95"/>
          <w:sz w:val="20"/>
          <w:szCs w:val="20"/>
          <w:lang w:val="es-ES"/>
        </w:rPr>
        <w:t xml:space="preserve"> </w:t>
      </w:r>
      <w:r w:rsidR="00F77273">
        <w:rPr>
          <w:rFonts w:ascii="Verdana" w:hAnsi="Verdana"/>
          <w:w w:val="95"/>
          <w:sz w:val="20"/>
          <w:szCs w:val="20"/>
          <w:lang w:val="es-ES"/>
        </w:rPr>
        <w:t>Aseveró que las “declaraciones testimoniales, como su propio nombre lo indica, son un medio probatorio en lo que las personas que han presenciado algún hecho dan testimonio del mismo porque les consta”. Afirmó que en el presente caso “se evidencia la preparación de los testigos, que los mismos en lugar de expresar únicamente hechos que les constan, emiten apreciaciones personales que favorecen a la parte que los ha propuesto sin que las mismas tengan fundamento”. Al respecto, este Tribunal, entiende que ambas personas rindieron su declaración en su condición de presuntas víctimas. En ese sentido, la jurisprudencia de esta Corte ha establecido que las declaraciones de las presuntas víctimas no pueden ser valoradas aisladamente sino dentro del conjunto de las pruebas del proceso, ya que son útiles en la medida que pueden proporcionar mayor información sobre las alegadas violaciones y sus consecuencias</w:t>
      </w:r>
      <w:r w:rsidR="00F77273">
        <w:rPr>
          <w:rStyle w:val="Refdenotaalpie"/>
          <w:rFonts w:ascii="Verdana" w:hAnsi="Verdana"/>
          <w:w w:val="95"/>
          <w:sz w:val="20"/>
          <w:lang w:val="es-ES"/>
        </w:rPr>
        <w:footnoteReference w:id="55"/>
      </w:r>
      <w:r w:rsidR="00F77273" w:rsidRPr="00F77273">
        <w:rPr>
          <w:rFonts w:ascii="Verdana" w:hAnsi="Verdana"/>
          <w:w w:val="95"/>
          <w:sz w:val="20"/>
          <w:szCs w:val="20"/>
          <w:lang w:val="es-ES"/>
        </w:rPr>
        <w:t xml:space="preserve">. Las demás observaciones del Estado versan sobre el contenido de las declaraciones, por lo que </w:t>
      </w:r>
      <w:r w:rsidR="00F77273" w:rsidRPr="00F77273">
        <w:rPr>
          <w:rFonts w:ascii="Verdana" w:hAnsi="Verdana"/>
          <w:w w:val="95"/>
          <w:sz w:val="20"/>
          <w:szCs w:val="20"/>
          <w:lang w:val="es-CR"/>
        </w:rPr>
        <w:t>no se genera problema en su admisibilidad,</w:t>
      </w:r>
      <w:r w:rsidR="00F77273" w:rsidRPr="00F77273">
        <w:rPr>
          <w:rFonts w:ascii="Verdana" w:hAnsi="Verdana"/>
          <w:w w:val="95"/>
          <w:sz w:val="20"/>
          <w:szCs w:val="20"/>
          <w:lang w:val="es-ES"/>
        </w:rPr>
        <w:t xml:space="preserve"> las cuales se </w:t>
      </w:r>
      <w:r w:rsidR="0063373E" w:rsidRPr="0063373E">
        <w:rPr>
          <w:rFonts w:ascii="Verdana" w:hAnsi="Verdana"/>
          <w:w w:val="95"/>
          <w:sz w:val="20"/>
          <w:szCs w:val="20"/>
          <w:lang w:val="es-ES"/>
        </w:rPr>
        <w:t>considerarán al valorar la declaración junto con el acervo probatorio y conforme a las reglas de la sana crítica.</w:t>
      </w:r>
    </w:p>
    <w:p w:rsidR="00DF15C3" w:rsidRPr="002B1610" w:rsidRDefault="00DF15C3" w:rsidP="003F26FD">
      <w:pPr>
        <w:pStyle w:val="Prrafodelista"/>
        <w:spacing w:after="0" w:line="216" w:lineRule="auto"/>
        <w:ind w:left="-142" w:right="-174"/>
        <w:jc w:val="both"/>
        <w:rPr>
          <w:rFonts w:ascii="Verdana" w:hAnsi="Verdana"/>
          <w:w w:val="95"/>
          <w:sz w:val="20"/>
          <w:szCs w:val="20"/>
          <w:lang w:val="es-ES"/>
        </w:rPr>
      </w:pPr>
    </w:p>
    <w:p w:rsidR="00DF15C3" w:rsidRPr="002B1610" w:rsidRDefault="00DF15C3" w:rsidP="003F26FD">
      <w:pPr>
        <w:pStyle w:val="Prrafodelista"/>
        <w:numPr>
          <w:ilvl w:val="0"/>
          <w:numId w:val="17"/>
        </w:numPr>
        <w:spacing w:after="0" w:line="216" w:lineRule="auto"/>
        <w:ind w:left="-142" w:right="-174" w:firstLine="0"/>
        <w:jc w:val="both"/>
        <w:rPr>
          <w:rFonts w:ascii="Verdana" w:hAnsi="Verdana"/>
          <w:b/>
          <w:w w:val="95"/>
          <w:sz w:val="20"/>
          <w:szCs w:val="20"/>
          <w:lang w:val="es-ES"/>
        </w:rPr>
      </w:pPr>
      <w:r w:rsidRPr="002B1610">
        <w:rPr>
          <w:rFonts w:ascii="Verdana" w:hAnsi="Verdana"/>
          <w:w w:val="95"/>
          <w:sz w:val="20"/>
          <w:szCs w:val="20"/>
          <w:lang w:val="es-ES"/>
        </w:rPr>
        <w:t xml:space="preserve">En cuanto a la declaración mediante </w:t>
      </w:r>
      <w:r w:rsidRPr="004D30F0">
        <w:rPr>
          <w:rFonts w:ascii="Verdana" w:hAnsi="Verdana"/>
          <w:w w:val="95"/>
          <w:sz w:val="20"/>
          <w:szCs w:val="20"/>
          <w:lang w:val="es-ES"/>
        </w:rPr>
        <w:t xml:space="preserve">affidávit </w:t>
      </w:r>
      <w:r w:rsidRPr="002B1610">
        <w:rPr>
          <w:rFonts w:ascii="Verdana" w:hAnsi="Verdana"/>
          <w:w w:val="95"/>
          <w:sz w:val="20"/>
          <w:szCs w:val="20"/>
          <w:lang w:val="es-ES"/>
        </w:rPr>
        <w:t xml:space="preserve">de la testigo Luisa María de León, el Estado reiteró algunas de las observaciones presentadas a la lista definitiva de declarantes para la audiencia pública, porque fue presentada como testigo y no como </w:t>
      </w:r>
      <w:r w:rsidRPr="00FC71E6">
        <w:rPr>
          <w:rFonts w:ascii="Verdana" w:hAnsi="Verdana"/>
          <w:w w:val="95"/>
          <w:sz w:val="20"/>
          <w:szCs w:val="20"/>
          <w:lang w:val="es-ES"/>
        </w:rPr>
        <w:t xml:space="preserve">perita. Sobre este punto el Tribunal se remite a la Resolución de 10 de abril de 2013 del </w:t>
      </w:r>
      <w:r>
        <w:rPr>
          <w:rFonts w:ascii="Verdana" w:hAnsi="Verdana"/>
          <w:w w:val="95"/>
          <w:sz w:val="20"/>
          <w:szCs w:val="20"/>
          <w:lang w:val="es-ES"/>
        </w:rPr>
        <w:t>Presidente</w:t>
      </w:r>
      <w:r w:rsidRPr="00FC71E6">
        <w:rPr>
          <w:rFonts w:ascii="Verdana" w:hAnsi="Verdana"/>
          <w:w w:val="95"/>
          <w:sz w:val="20"/>
          <w:szCs w:val="20"/>
          <w:lang w:val="es-ES"/>
        </w:rPr>
        <w:t xml:space="preserve"> de la Corte. Asimismo, se remite a lo señalado en la presente Sentencia sobre la omisión de la testigo de contestar determinadas preguntas formuladas por el Estado (</w:t>
      </w:r>
      <w:r w:rsidRPr="00FC71E6">
        <w:rPr>
          <w:rFonts w:ascii="Verdana" w:hAnsi="Verdana"/>
          <w:i/>
          <w:w w:val="95"/>
          <w:sz w:val="20"/>
          <w:szCs w:val="20"/>
          <w:lang w:val="es-ES"/>
        </w:rPr>
        <w:t>supra</w:t>
      </w:r>
      <w:r w:rsidRPr="00FC71E6">
        <w:rPr>
          <w:rFonts w:ascii="Verdana" w:hAnsi="Verdana"/>
          <w:w w:val="95"/>
          <w:sz w:val="20"/>
          <w:szCs w:val="20"/>
          <w:lang w:val="es-ES"/>
        </w:rPr>
        <w:t xml:space="preserve"> párr.</w:t>
      </w:r>
      <w:r w:rsidR="000D3634">
        <w:rPr>
          <w:rFonts w:ascii="Verdana" w:hAnsi="Verdana"/>
          <w:w w:val="95"/>
          <w:sz w:val="20"/>
          <w:szCs w:val="20"/>
          <w:lang w:val="es-ES"/>
        </w:rPr>
        <w:t xml:space="preserve"> </w:t>
      </w:r>
      <w:r w:rsidR="00C11F32">
        <w:rPr>
          <w:rFonts w:ascii="Verdana" w:hAnsi="Verdana"/>
          <w:w w:val="95"/>
          <w:sz w:val="20"/>
          <w:szCs w:val="20"/>
          <w:lang w:val="es-ES"/>
        </w:rPr>
        <w:t>56</w:t>
      </w:r>
      <w:r w:rsidRPr="00FC71E6">
        <w:rPr>
          <w:rFonts w:ascii="Verdana" w:hAnsi="Verdana"/>
          <w:w w:val="95"/>
          <w:sz w:val="20"/>
          <w:szCs w:val="20"/>
          <w:lang w:val="es-ES"/>
        </w:rPr>
        <w:t>). En lo que se refiere propiamente a su declaración, el Estado cuestionó el análisis jurídico efectuado por ella. La Corte considera que las observaciones del Estado se refieren al contenido de la declaración, por lo que no</w:t>
      </w:r>
      <w:r w:rsidRPr="002B1610">
        <w:rPr>
          <w:rFonts w:ascii="Verdana" w:hAnsi="Verdana"/>
          <w:w w:val="95"/>
          <w:sz w:val="20"/>
          <w:szCs w:val="20"/>
          <w:lang w:val="es-ES"/>
        </w:rPr>
        <w:t xml:space="preserve"> afecta su admisibilidad, y </w:t>
      </w:r>
      <w:r w:rsidR="00C627A1" w:rsidRPr="00012C1D">
        <w:rPr>
          <w:rFonts w:ascii="Verdana" w:hAnsi="Verdana"/>
          <w:w w:val="95"/>
          <w:sz w:val="20"/>
          <w:szCs w:val="20"/>
          <w:lang w:val="es-ES"/>
        </w:rPr>
        <w:t>en todo caso, las mismas serán tomadas en cuenta al valorar la declaración junto con el acervo probatorio y conforme a las reglas de la sana crítica.</w:t>
      </w:r>
    </w:p>
    <w:p w:rsidR="00DF15C3" w:rsidRPr="002B1610" w:rsidRDefault="00DF15C3" w:rsidP="003F26FD">
      <w:pPr>
        <w:pStyle w:val="Prrafodelista"/>
        <w:tabs>
          <w:tab w:val="left" w:pos="4150"/>
        </w:tabs>
        <w:spacing w:after="0" w:line="216" w:lineRule="auto"/>
        <w:ind w:left="-142" w:right="-174"/>
        <w:jc w:val="both"/>
        <w:rPr>
          <w:rFonts w:ascii="Verdana" w:hAnsi="Verdana"/>
          <w:b/>
          <w:w w:val="95"/>
          <w:sz w:val="20"/>
          <w:szCs w:val="20"/>
          <w:lang w:val="es-ES"/>
        </w:rPr>
      </w:pPr>
      <w:r w:rsidRPr="002B1610">
        <w:rPr>
          <w:rFonts w:ascii="Verdana" w:hAnsi="Verdana"/>
          <w:b/>
          <w:w w:val="95"/>
          <w:sz w:val="20"/>
          <w:szCs w:val="20"/>
          <w:lang w:val="es-ES"/>
        </w:rPr>
        <w:tab/>
      </w:r>
      <w:r w:rsidRPr="002B1610">
        <w:rPr>
          <w:rFonts w:ascii="Verdana" w:hAnsi="Verdana"/>
          <w:b/>
          <w:w w:val="95"/>
          <w:sz w:val="20"/>
          <w:szCs w:val="20"/>
          <w:lang w:val="es-ES"/>
        </w:rPr>
        <w:tab/>
      </w:r>
    </w:p>
    <w:p w:rsidR="00DF15C3" w:rsidRPr="002B1610" w:rsidRDefault="00DF15C3" w:rsidP="003F26FD">
      <w:pPr>
        <w:pStyle w:val="Prrafodelista"/>
        <w:numPr>
          <w:ilvl w:val="0"/>
          <w:numId w:val="17"/>
        </w:numPr>
        <w:spacing w:after="0" w:line="216" w:lineRule="auto"/>
        <w:ind w:left="-142" w:right="-174" w:firstLine="0"/>
        <w:jc w:val="both"/>
        <w:rPr>
          <w:rFonts w:ascii="Verdana" w:hAnsi="Verdana"/>
          <w:w w:val="95"/>
          <w:sz w:val="20"/>
          <w:szCs w:val="20"/>
          <w:lang w:val="es-ES"/>
        </w:rPr>
      </w:pPr>
      <w:r w:rsidRPr="002B1610">
        <w:rPr>
          <w:rFonts w:ascii="Verdana" w:hAnsi="Verdana"/>
          <w:w w:val="95"/>
          <w:sz w:val="20"/>
          <w:szCs w:val="20"/>
          <w:lang w:val="es-ES"/>
        </w:rPr>
        <w:t xml:space="preserve"> En lo que se refiere a los peritajes presentados mediante</w:t>
      </w:r>
      <w:r w:rsidRPr="002B1610">
        <w:rPr>
          <w:rFonts w:ascii="Verdana" w:hAnsi="Verdana"/>
          <w:i/>
          <w:w w:val="95"/>
          <w:sz w:val="20"/>
          <w:szCs w:val="20"/>
          <w:lang w:val="es-ES"/>
        </w:rPr>
        <w:t xml:space="preserve"> </w:t>
      </w:r>
      <w:r w:rsidRPr="004D30F0">
        <w:rPr>
          <w:rFonts w:ascii="Verdana" w:hAnsi="Verdana"/>
          <w:w w:val="95"/>
          <w:sz w:val="20"/>
          <w:szCs w:val="20"/>
          <w:lang w:val="es-ES"/>
        </w:rPr>
        <w:t>affidávit,</w:t>
      </w:r>
      <w:r w:rsidRPr="002B1610">
        <w:rPr>
          <w:rFonts w:ascii="Verdana" w:hAnsi="Verdana"/>
          <w:w w:val="95"/>
          <w:sz w:val="20"/>
          <w:szCs w:val="20"/>
          <w:lang w:val="es-ES"/>
        </w:rPr>
        <w:t xml:space="preserve"> el Estado, en forma general, manifestó que “la mayoría de peritos no rindió su peritaje de conformidad con el juramento establecido en el artículo 51.4 del Reglamento de la Corte”, a</w:t>
      </w:r>
      <w:r w:rsidR="002440D3">
        <w:rPr>
          <w:rFonts w:ascii="Verdana" w:hAnsi="Verdana"/>
          <w:w w:val="95"/>
          <w:sz w:val="20"/>
          <w:szCs w:val="20"/>
          <w:lang w:val="es-ES"/>
        </w:rPr>
        <w:t>sí como que “ni se pronunciaron</w:t>
      </w:r>
      <w:r w:rsidR="0037370B">
        <w:rPr>
          <w:rFonts w:ascii="Verdana" w:hAnsi="Verdana"/>
          <w:w w:val="95"/>
          <w:sz w:val="20"/>
          <w:szCs w:val="20"/>
          <w:lang w:val="es-ES"/>
        </w:rPr>
        <w:t xml:space="preserve"> </w:t>
      </w:r>
      <w:r w:rsidRPr="002B1610">
        <w:rPr>
          <w:rFonts w:ascii="Verdana" w:hAnsi="Verdana"/>
          <w:w w:val="95"/>
          <w:sz w:val="20"/>
          <w:szCs w:val="20"/>
          <w:lang w:val="es-ES"/>
        </w:rPr>
        <w:t xml:space="preserve">al objeto que les asignó la […] Corte en la resolución correspondiente, sino de acuerdo al objeto con que sus peritajes fueron ofrecidos”. Consideró que a los peritos lo que les interesa es “hacer conocer sus opiniones y difundir la información que les interesa, sea en lo personal, profesional o peor aún, con carencia de objetividad, sino con tal de favorecer a </w:t>
      </w:r>
      <w:r w:rsidRPr="002B1610">
        <w:rPr>
          <w:rFonts w:ascii="Verdana" w:hAnsi="Verdana"/>
          <w:w w:val="95"/>
          <w:sz w:val="20"/>
          <w:szCs w:val="20"/>
          <w:lang w:val="es-ES"/>
        </w:rPr>
        <w:lastRenderedPageBreak/>
        <w:t>quienes los han propuesto”.</w:t>
      </w:r>
      <w:r w:rsidRPr="002B1610">
        <w:rPr>
          <w:rFonts w:ascii="Verdana" w:hAnsi="Verdana"/>
          <w:w w:val="95"/>
          <w:sz w:val="20"/>
          <w:szCs w:val="20"/>
          <w:lang w:val="es-CR"/>
        </w:rPr>
        <w:t xml:space="preserve"> En el presente caso, el Tribunal no encuentra fundamento para considerar que la admisión de los peritajes afecte la seguridad jurídica o el equilibrio procesal de las partes por la falta del juramento en los términos del artículo 51.4 del Reglamento de la Corte. Los declarantes en cada dictamen incorporaron un juramento y a través de su firma certificada ante un fedatario público se asegura que efectivamente son los autores de tal declaración, asumiendo las consecuencias legales de dicho acto. </w:t>
      </w:r>
      <w:r w:rsidRPr="002B1610">
        <w:rPr>
          <w:rFonts w:ascii="Verdana" w:hAnsi="Verdana"/>
          <w:w w:val="95"/>
          <w:sz w:val="20"/>
          <w:szCs w:val="20"/>
          <w:lang w:val="es-ES"/>
        </w:rPr>
        <w:t xml:space="preserve">En razón de lo anterior, este Tribunal considera que dicha observación no constituye una falta que impida la admisibilidad de los peritajes. </w:t>
      </w:r>
    </w:p>
    <w:p w:rsidR="00DF15C3" w:rsidRPr="002B1610" w:rsidRDefault="00DF15C3" w:rsidP="003F26FD">
      <w:pPr>
        <w:pStyle w:val="Prrafodelista"/>
        <w:spacing w:after="0" w:line="216" w:lineRule="auto"/>
        <w:ind w:left="-142" w:right="-174"/>
        <w:jc w:val="both"/>
        <w:rPr>
          <w:rFonts w:ascii="Verdana" w:hAnsi="Verdana"/>
          <w:w w:val="95"/>
          <w:sz w:val="20"/>
          <w:szCs w:val="20"/>
          <w:lang w:val="es-ES"/>
        </w:rPr>
      </w:pPr>
    </w:p>
    <w:p w:rsidR="00DF15C3" w:rsidRDefault="00DF15C3" w:rsidP="003F26FD">
      <w:pPr>
        <w:pStyle w:val="Prrafodelista"/>
        <w:numPr>
          <w:ilvl w:val="0"/>
          <w:numId w:val="17"/>
        </w:numPr>
        <w:spacing w:after="0" w:line="216" w:lineRule="auto"/>
        <w:ind w:left="-142" w:right="-174" w:firstLine="0"/>
        <w:jc w:val="both"/>
        <w:rPr>
          <w:rFonts w:ascii="Verdana" w:hAnsi="Verdana"/>
          <w:w w:val="95"/>
          <w:sz w:val="20"/>
          <w:szCs w:val="20"/>
          <w:lang w:val="es-ES"/>
        </w:rPr>
      </w:pPr>
      <w:r w:rsidRPr="002B1610">
        <w:rPr>
          <w:rFonts w:ascii="Verdana" w:hAnsi="Verdana"/>
          <w:w w:val="95"/>
          <w:sz w:val="20"/>
          <w:szCs w:val="20"/>
          <w:lang w:val="es-ES"/>
        </w:rPr>
        <w:t xml:space="preserve"> </w:t>
      </w:r>
      <w:r w:rsidRPr="002B1610">
        <w:rPr>
          <w:rFonts w:ascii="Verdana" w:hAnsi="Verdana" w:cs="Verdana"/>
          <w:w w:val="95"/>
          <w:sz w:val="20"/>
          <w:szCs w:val="20"/>
          <w:lang w:val="es-ES"/>
        </w:rPr>
        <w:t xml:space="preserve">En cuanto a las observaciones del Estado sobre el objeto de los peritajes de </w:t>
      </w:r>
      <w:r w:rsidRPr="002B1610">
        <w:rPr>
          <w:rFonts w:ascii="Verdana" w:hAnsi="Verdana"/>
          <w:w w:val="95"/>
          <w:sz w:val="20"/>
          <w:szCs w:val="20"/>
          <w:lang w:val="es-ES"/>
        </w:rPr>
        <w:t>Ana Carcedo Cabañas</w:t>
      </w:r>
      <w:r w:rsidRPr="002B1610">
        <w:rPr>
          <w:rStyle w:val="Refdenotaalpie"/>
          <w:rFonts w:ascii="Verdana" w:hAnsi="Verdana"/>
          <w:w w:val="95"/>
          <w:sz w:val="20"/>
          <w:lang w:val="es-ES"/>
        </w:rPr>
        <w:footnoteReference w:id="56"/>
      </w:r>
      <w:r w:rsidRPr="002B1610">
        <w:rPr>
          <w:rFonts w:ascii="Verdana" w:hAnsi="Verdana"/>
          <w:w w:val="95"/>
          <w:sz w:val="20"/>
          <w:szCs w:val="20"/>
          <w:lang w:val="es-ES"/>
        </w:rPr>
        <w:t>, Rodolfo Kepfer Rodríguez y José Nájera Ochoa</w:t>
      </w:r>
      <w:r w:rsidRPr="002B1610">
        <w:rPr>
          <w:rFonts w:ascii="Verdana" w:hAnsi="Verdana"/>
          <w:w w:val="95"/>
          <w:sz w:val="20"/>
          <w:szCs w:val="20"/>
          <w:lang w:val="es-CR"/>
        </w:rPr>
        <w:t xml:space="preserve">, el Tribunal entiende que éstas no impugnan la admisibilidad de las declaraciones indicadas, sino que apuntan a cuestionar su peso probatorio. En cuanto a la alegación del Estado de </w:t>
      </w:r>
      <w:r w:rsidRPr="002B1610">
        <w:rPr>
          <w:rFonts w:ascii="Verdana" w:hAnsi="Verdana"/>
          <w:w w:val="95"/>
          <w:sz w:val="20"/>
          <w:szCs w:val="20"/>
          <w:lang w:val="es-ES"/>
        </w:rPr>
        <w:t xml:space="preserve">que los peritos no rindieron su dictamen pericial de acuerdo al objeto fijado en la Resolución del </w:t>
      </w:r>
      <w:r>
        <w:rPr>
          <w:rFonts w:ascii="Verdana" w:hAnsi="Verdana"/>
          <w:w w:val="95"/>
          <w:sz w:val="20"/>
          <w:szCs w:val="20"/>
          <w:lang w:val="es-ES"/>
        </w:rPr>
        <w:t>Presidente</w:t>
      </w:r>
      <w:r w:rsidRPr="002B1610">
        <w:rPr>
          <w:rFonts w:ascii="Verdana" w:hAnsi="Verdana"/>
          <w:w w:val="95"/>
          <w:sz w:val="20"/>
          <w:szCs w:val="20"/>
          <w:lang w:val="es-ES"/>
        </w:rPr>
        <w:t xml:space="preserve">, </w:t>
      </w:r>
      <w:r w:rsidRPr="002B1610">
        <w:rPr>
          <w:rFonts w:ascii="Verdana" w:hAnsi="Verdana"/>
          <w:w w:val="95"/>
          <w:sz w:val="20"/>
          <w:szCs w:val="20"/>
          <w:lang w:val="es-CR"/>
        </w:rPr>
        <w:t xml:space="preserve">la Corte </w:t>
      </w:r>
      <w:r w:rsidRPr="002B1610">
        <w:rPr>
          <w:rFonts w:ascii="Verdana" w:hAnsi="Verdana"/>
          <w:w w:val="95"/>
          <w:sz w:val="20"/>
          <w:szCs w:val="20"/>
          <w:lang w:val="es-ES"/>
        </w:rPr>
        <w:t>considerará</w:t>
      </w:r>
      <w:r w:rsidRPr="002B1610">
        <w:rPr>
          <w:rFonts w:ascii="Verdana" w:hAnsi="Verdana"/>
          <w:w w:val="95"/>
          <w:sz w:val="20"/>
          <w:szCs w:val="20"/>
          <w:lang w:val="es-CR"/>
        </w:rPr>
        <w:t xml:space="preserve"> el contenido de estos peritajes en la medida que se ajusten al objeto para el cual fueron convocados</w:t>
      </w:r>
      <w:r w:rsidR="0037370B" w:rsidRPr="002B1610">
        <w:rPr>
          <w:rStyle w:val="Refdenotaalpie"/>
          <w:rFonts w:ascii="Verdana" w:hAnsi="Verdana"/>
          <w:w w:val="95"/>
          <w:sz w:val="20"/>
          <w:lang w:val="es-ES"/>
        </w:rPr>
        <w:footnoteReference w:id="57"/>
      </w:r>
      <w:r w:rsidRPr="002B1610">
        <w:rPr>
          <w:rFonts w:ascii="Verdana" w:hAnsi="Verdana"/>
          <w:w w:val="95"/>
          <w:sz w:val="20"/>
          <w:szCs w:val="20"/>
          <w:lang w:val="es-CR"/>
        </w:rPr>
        <w:t xml:space="preserve"> (</w:t>
      </w:r>
      <w:r w:rsidRPr="002B1610">
        <w:rPr>
          <w:rFonts w:ascii="Verdana" w:hAnsi="Verdana"/>
          <w:i/>
          <w:w w:val="95"/>
          <w:sz w:val="20"/>
          <w:szCs w:val="20"/>
          <w:lang w:val="es-CR"/>
        </w:rPr>
        <w:t>supra</w:t>
      </w:r>
      <w:r w:rsidRPr="002B1610">
        <w:rPr>
          <w:rFonts w:ascii="Verdana" w:hAnsi="Verdana"/>
          <w:w w:val="95"/>
          <w:sz w:val="20"/>
          <w:szCs w:val="20"/>
          <w:lang w:val="es-CR"/>
        </w:rPr>
        <w:t xml:space="preserve"> párr.</w:t>
      </w:r>
      <w:r w:rsidR="00034FBC">
        <w:rPr>
          <w:rFonts w:ascii="Verdana" w:hAnsi="Verdana"/>
          <w:w w:val="95"/>
          <w:sz w:val="20"/>
          <w:szCs w:val="20"/>
          <w:lang w:val="es-CR"/>
        </w:rPr>
        <w:t xml:space="preserve">  </w:t>
      </w:r>
      <w:r w:rsidR="0037370B">
        <w:rPr>
          <w:rFonts w:ascii="Verdana" w:hAnsi="Verdana"/>
          <w:w w:val="95"/>
          <w:sz w:val="20"/>
          <w:szCs w:val="20"/>
          <w:lang w:val="es-CR"/>
        </w:rPr>
        <w:t>11</w:t>
      </w:r>
      <w:r w:rsidRPr="002B1610">
        <w:rPr>
          <w:rFonts w:ascii="Verdana" w:hAnsi="Verdana"/>
          <w:w w:val="95"/>
          <w:sz w:val="20"/>
          <w:szCs w:val="20"/>
          <w:lang w:val="es-CR"/>
        </w:rPr>
        <w:t>)</w:t>
      </w:r>
      <w:r w:rsidRPr="002B1610">
        <w:rPr>
          <w:rFonts w:ascii="Verdana" w:hAnsi="Verdana"/>
          <w:w w:val="95"/>
          <w:sz w:val="20"/>
          <w:szCs w:val="20"/>
          <w:lang w:val="es-ES"/>
        </w:rPr>
        <w:t xml:space="preserve">. </w:t>
      </w:r>
    </w:p>
    <w:p w:rsidR="00DF15C3" w:rsidRPr="00830540" w:rsidRDefault="00DF15C3" w:rsidP="003F26FD">
      <w:pPr>
        <w:pStyle w:val="Prrafodelista"/>
        <w:spacing w:after="0"/>
        <w:ind w:right="-174"/>
        <w:rPr>
          <w:rFonts w:ascii="Verdana" w:hAnsi="Verdana"/>
          <w:w w:val="95"/>
          <w:sz w:val="20"/>
          <w:szCs w:val="20"/>
          <w:lang w:val="es-ES"/>
        </w:rPr>
      </w:pPr>
    </w:p>
    <w:p w:rsidR="00DF15C3" w:rsidRPr="002B1610" w:rsidRDefault="00DF15C3" w:rsidP="003F26FD">
      <w:pPr>
        <w:pStyle w:val="Prrafodelista"/>
        <w:numPr>
          <w:ilvl w:val="0"/>
          <w:numId w:val="17"/>
        </w:numPr>
        <w:spacing w:after="0" w:line="216" w:lineRule="auto"/>
        <w:ind w:left="-142" w:right="-174" w:firstLine="0"/>
        <w:jc w:val="both"/>
        <w:rPr>
          <w:rFonts w:ascii="Verdana" w:hAnsi="Verdana"/>
          <w:w w:val="95"/>
          <w:sz w:val="20"/>
          <w:szCs w:val="20"/>
          <w:lang w:val="es-ES"/>
        </w:rPr>
      </w:pPr>
      <w:r w:rsidRPr="002B1610">
        <w:rPr>
          <w:rFonts w:ascii="Verdana" w:hAnsi="Verdana"/>
          <w:w w:val="95"/>
          <w:sz w:val="20"/>
          <w:szCs w:val="20"/>
          <w:lang w:val="es-CR"/>
        </w:rPr>
        <w:t xml:space="preserve">Con base en lo antes expuesto, el Tribunal admite los peritajes señalados y los valorará conjuntamente </w:t>
      </w:r>
      <w:r w:rsidR="00C627A1" w:rsidRPr="00012C1D">
        <w:rPr>
          <w:rFonts w:ascii="Verdana" w:hAnsi="Verdana"/>
          <w:w w:val="95"/>
          <w:sz w:val="20"/>
          <w:szCs w:val="20"/>
          <w:lang w:val="es-CR"/>
        </w:rPr>
        <w:t>con el resto del acervo probatorio, teniendo en cuenta las observaciones del Estado y de conformidad con las reglas de la sana crítica.</w:t>
      </w:r>
      <w:r w:rsidRPr="002B1610">
        <w:rPr>
          <w:rFonts w:ascii="Verdana" w:eastAsia="Batang" w:hAnsi="Verdana" w:cs="Verdana"/>
          <w:w w:val="95"/>
          <w:sz w:val="20"/>
          <w:szCs w:val="20"/>
          <w:lang w:val="es-CR"/>
        </w:rPr>
        <w:t xml:space="preserve"> </w:t>
      </w:r>
    </w:p>
    <w:p w:rsidR="00DF15C3" w:rsidRPr="002B1610" w:rsidRDefault="00DF15C3" w:rsidP="003F26FD">
      <w:pPr>
        <w:pStyle w:val="Prrafodelista"/>
        <w:spacing w:after="0" w:line="216" w:lineRule="auto"/>
        <w:ind w:left="-142" w:right="-174"/>
        <w:jc w:val="both"/>
        <w:rPr>
          <w:rFonts w:ascii="Verdana" w:hAnsi="Verdana"/>
          <w:w w:val="95"/>
          <w:sz w:val="20"/>
          <w:szCs w:val="20"/>
          <w:lang w:val="es-ES"/>
        </w:rPr>
      </w:pPr>
    </w:p>
    <w:p w:rsidR="00DF15C3" w:rsidRPr="002B1610" w:rsidRDefault="00DF15C3" w:rsidP="003F26FD">
      <w:pPr>
        <w:pStyle w:val="Prrafodelista"/>
        <w:numPr>
          <w:ilvl w:val="0"/>
          <w:numId w:val="2"/>
        </w:numPr>
        <w:spacing w:after="0" w:line="216" w:lineRule="auto"/>
        <w:ind w:left="284" w:right="-174" w:firstLine="0"/>
        <w:jc w:val="both"/>
        <w:outlineLvl w:val="1"/>
        <w:rPr>
          <w:rFonts w:ascii="Verdana" w:hAnsi="Verdana"/>
          <w:b/>
          <w:w w:val="95"/>
          <w:sz w:val="20"/>
          <w:szCs w:val="20"/>
          <w:lang w:val="es-ES"/>
        </w:rPr>
      </w:pPr>
      <w:bookmarkStart w:id="51" w:name="_Toc394313655"/>
      <w:r w:rsidRPr="002B1610">
        <w:rPr>
          <w:rFonts w:ascii="Verdana" w:hAnsi="Verdana"/>
          <w:b/>
          <w:w w:val="95"/>
          <w:sz w:val="20"/>
          <w:szCs w:val="20"/>
          <w:lang w:val="es-ES"/>
        </w:rPr>
        <w:t>Admisión de la declaración de la presunta víctima y prueba pericial rendida en audiencia pública</w:t>
      </w:r>
      <w:bookmarkEnd w:id="51"/>
    </w:p>
    <w:p w:rsidR="00DF15C3" w:rsidRPr="00315B30" w:rsidRDefault="00DF15C3" w:rsidP="003F26FD">
      <w:pPr>
        <w:pStyle w:val="Prrafodelista"/>
        <w:spacing w:after="0" w:line="216" w:lineRule="auto"/>
        <w:ind w:left="-142" w:right="-174"/>
        <w:jc w:val="both"/>
        <w:rPr>
          <w:rFonts w:ascii="Verdana" w:hAnsi="Verdana"/>
          <w:w w:val="95"/>
          <w:sz w:val="20"/>
          <w:szCs w:val="20"/>
          <w:lang w:val="es-ES"/>
        </w:rPr>
      </w:pPr>
    </w:p>
    <w:p w:rsidR="00DF15C3" w:rsidRPr="002B1610" w:rsidRDefault="00DF15C3" w:rsidP="003F26FD">
      <w:pPr>
        <w:numPr>
          <w:ilvl w:val="0"/>
          <w:numId w:val="17"/>
        </w:numPr>
        <w:spacing w:after="0" w:line="216" w:lineRule="auto"/>
        <w:ind w:left="-142" w:right="-174" w:firstLine="0"/>
        <w:jc w:val="both"/>
        <w:rPr>
          <w:rFonts w:ascii="Verdana" w:hAnsi="Verdana"/>
          <w:w w:val="95"/>
          <w:sz w:val="20"/>
          <w:szCs w:val="20"/>
        </w:rPr>
      </w:pPr>
      <w:r w:rsidRPr="00315B30">
        <w:rPr>
          <w:rFonts w:ascii="Verdana" w:hAnsi="Verdana"/>
          <w:w w:val="95"/>
          <w:sz w:val="20"/>
          <w:szCs w:val="20"/>
          <w:lang w:val="es-EC"/>
        </w:rPr>
        <w:t xml:space="preserve"> En cuanto a la declaración rendida por la señora Rosa Elvira Franco Sandoval, </w:t>
      </w:r>
      <w:r w:rsidRPr="00315B30">
        <w:rPr>
          <w:rFonts w:ascii="Verdana" w:hAnsi="Verdana"/>
          <w:w w:val="95"/>
          <w:sz w:val="20"/>
          <w:szCs w:val="20"/>
          <w:lang w:val="es-ES"/>
        </w:rPr>
        <w:t>el</w:t>
      </w:r>
      <w:r w:rsidRPr="00364937">
        <w:rPr>
          <w:rFonts w:ascii="Verdana" w:hAnsi="Verdana"/>
          <w:b/>
          <w:i/>
          <w:w w:val="95"/>
          <w:sz w:val="20"/>
          <w:szCs w:val="20"/>
          <w:lang w:val="es-ES"/>
        </w:rPr>
        <w:t xml:space="preserve"> Estado </w:t>
      </w:r>
      <w:r w:rsidRPr="00BA711F">
        <w:rPr>
          <w:rFonts w:ascii="Verdana" w:hAnsi="Verdana"/>
          <w:w w:val="95"/>
          <w:sz w:val="20"/>
          <w:szCs w:val="20"/>
          <w:lang w:val="es-ES"/>
        </w:rPr>
        <w:t>en sus observaciones</w:t>
      </w:r>
      <w:r w:rsidRPr="002B1610">
        <w:rPr>
          <w:rFonts w:ascii="Verdana" w:hAnsi="Verdana"/>
          <w:w w:val="95"/>
          <w:sz w:val="20"/>
          <w:szCs w:val="20"/>
          <w:lang w:val="es-ES"/>
        </w:rPr>
        <w:t xml:space="preserve"> hizo notar algunas inconsistencias </w:t>
      </w:r>
      <w:r w:rsidR="007C124B" w:rsidRPr="002B1610">
        <w:rPr>
          <w:rFonts w:ascii="Verdana" w:hAnsi="Verdana"/>
          <w:w w:val="95"/>
          <w:sz w:val="20"/>
          <w:szCs w:val="20"/>
          <w:lang w:val="es-ES"/>
        </w:rPr>
        <w:t xml:space="preserve">dirigidas a cuestionar </w:t>
      </w:r>
      <w:r w:rsidR="007C124B">
        <w:rPr>
          <w:rFonts w:ascii="Verdana" w:hAnsi="Verdana"/>
          <w:w w:val="95"/>
          <w:sz w:val="20"/>
          <w:szCs w:val="20"/>
          <w:lang w:val="es-ES"/>
        </w:rPr>
        <w:t>el</w:t>
      </w:r>
      <w:r w:rsidR="007C124B" w:rsidRPr="002B1610">
        <w:rPr>
          <w:rFonts w:ascii="Verdana" w:hAnsi="Verdana"/>
          <w:w w:val="95"/>
          <w:sz w:val="20"/>
          <w:szCs w:val="20"/>
          <w:lang w:val="es-ES"/>
        </w:rPr>
        <w:t xml:space="preserve"> peso probatorio </w:t>
      </w:r>
      <w:r w:rsidRPr="002B1610">
        <w:rPr>
          <w:rFonts w:ascii="Verdana" w:hAnsi="Verdana"/>
          <w:w w:val="95"/>
          <w:sz w:val="20"/>
          <w:szCs w:val="20"/>
          <w:lang w:val="es-ES"/>
        </w:rPr>
        <w:t>de su declaración al relatar los hechos del presente caso, pero no objetó su declaración ni solicitó su inadmisibilidad</w:t>
      </w:r>
      <w:r>
        <w:rPr>
          <w:rStyle w:val="Refdenotaalpie"/>
          <w:rFonts w:ascii="Verdana" w:hAnsi="Verdana"/>
          <w:w w:val="95"/>
          <w:sz w:val="20"/>
          <w:szCs w:val="20"/>
          <w:lang w:val="es-ES"/>
        </w:rPr>
        <w:footnoteReference w:id="58"/>
      </w:r>
      <w:r w:rsidRPr="002B1610">
        <w:rPr>
          <w:rFonts w:ascii="Verdana" w:hAnsi="Verdana"/>
          <w:w w:val="95"/>
          <w:sz w:val="20"/>
          <w:szCs w:val="20"/>
          <w:lang w:val="es-ES"/>
        </w:rPr>
        <w:t xml:space="preserve">. </w:t>
      </w:r>
      <w:r w:rsidRPr="002B1610">
        <w:rPr>
          <w:rFonts w:ascii="Verdana" w:hAnsi="Verdana"/>
          <w:w w:val="95"/>
          <w:sz w:val="20"/>
          <w:szCs w:val="20"/>
          <w:lang w:val="es-CR"/>
        </w:rPr>
        <w:t>Este</w:t>
      </w:r>
      <w:r w:rsidRPr="002B1610">
        <w:rPr>
          <w:rFonts w:ascii="Verdana" w:hAnsi="Verdana"/>
          <w:w w:val="95"/>
          <w:szCs w:val="24"/>
          <w:lang w:val="es-CR"/>
        </w:rPr>
        <w:t xml:space="preserve"> </w:t>
      </w:r>
      <w:r w:rsidRPr="002B1610">
        <w:rPr>
          <w:rFonts w:ascii="Verdana" w:hAnsi="Verdana"/>
          <w:w w:val="95"/>
          <w:sz w:val="20"/>
          <w:szCs w:val="20"/>
          <w:lang w:val="es-EC"/>
        </w:rPr>
        <w:t xml:space="preserve">Tribunal estima pertinente admitir la declaración de la presunta víctima en cuanto se ajuste el objeto definido por el </w:t>
      </w:r>
      <w:r>
        <w:rPr>
          <w:rFonts w:ascii="Verdana" w:hAnsi="Verdana"/>
          <w:w w:val="95"/>
          <w:sz w:val="20"/>
          <w:szCs w:val="20"/>
          <w:lang w:val="es-EC"/>
        </w:rPr>
        <w:t>Presidente</w:t>
      </w:r>
      <w:r w:rsidRPr="002B1610">
        <w:rPr>
          <w:rFonts w:ascii="Verdana" w:hAnsi="Verdana"/>
          <w:w w:val="95"/>
          <w:sz w:val="20"/>
          <w:szCs w:val="20"/>
          <w:lang w:val="es-EC"/>
        </w:rPr>
        <w:t xml:space="preserve"> en la Resolución que ordenó recibirla y tomará en cuenta las observaciones del Estado</w:t>
      </w:r>
      <w:r w:rsidR="00EA31F9">
        <w:rPr>
          <w:rFonts w:ascii="Verdana" w:hAnsi="Verdana"/>
          <w:w w:val="95"/>
          <w:sz w:val="20"/>
          <w:szCs w:val="20"/>
          <w:lang w:val="es-EC"/>
        </w:rPr>
        <w:t xml:space="preserve"> (</w:t>
      </w:r>
      <w:r w:rsidR="00EA31F9">
        <w:rPr>
          <w:rFonts w:ascii="Verdana" w:hAnsi="Verdana"/>
          <w:i/>
          <w:w w:val="95"/>
          <w:sz w:val="20"/>
          <w:szCs w:val="20"/>
          <w:lang w:val="es-EC"/>
        </w:rPr>
        <w:t xml:space="preserve">supra </w:t>
      </w:r>
      <w:r w:rsidR="004D30F0">
        <w:rPr>
          <w:rFonts w:ascii="Verdana" w:hAnsi="Verdana"/>
          <w:w w:val="95"/>
          <w:sz w:val="20"/>
          <w:szCs w:val="20"/>
          <w:lang w:val="es-EC"/>
        </w:rPr>
        <w:t xml:space="preserve">párr. </w:t>
      </w:r>
      <w:r w:rsidR="00EA31F9">
        <w:rPr>
          <w:rFonts w:ascii="Verdana" w:hAnsi="Verdana"/>
          <w:w w:val="95"/>
          <w:sz w:val="20"/>
          <w:szCs w:val="20"/>
          <w:lang w:val="es-EC"/>
        </w:rPr>
        <w:t>11)</w:t>
      </w:r>
      <w:r w:rsidRPr="002B1610">
        <w:rPr>
          <w:rFonts w:ascii="Verdana" w:hAnsi="Verdana"/>
          <w:w w:val="95"/>
          <w:sz w:val="20"/>
          <w:szCs w:val="20"/>
          <w:lang w:val="es-EC"/>
        </w:rPr>
        <w:t>. Asimismo, reitera lo señalado por la Corte respecto a la valoración de su declaración por tratarse de una presunta víctima (</w:t>
      </w:r>
      <w:r w:rsidRPr="002B1610">
        <w:rPr>
          <w:rFonts w:ascii="Verdana" w:hAnsi="Verdana"/>
          <w:i/>
          <w:w w:val="95"/>
          <w:sz w:val="20"/>
          <w:szCs w:val="20"/>
          <w:lang w:val="es-EC"/>
        </w:rPr>
        <w:t>supra</w:t>
      </w:r>
      <w:r w:rsidRPr="002B1610">
        <w:rPr>
          <w:rFonts w:ascii="Verdana" w:hAnsi="Verdana"/>
          <w:w w:val="95"/>
          <w:sz w:val="20"/>
          <w:szCs w:val="20"/>
          <w:lang w:val="es-EC"/>
        </w:rPr>
        <w:t xml:space="preserve"> párr. </w:t>
      </w:r>
      <w:r w:rsidR="0037370B">
        <w:rPr>
          <w:rFonts w:ascii="Verdana" w:hAnsi="Verdana"/>
          <w:w w:val="95"/>
          <w:sz w:val="20"/>
          <w:szCs w:val="20"/>
          <w:lang w:val="es-EC"/>
        </w:rPr>
        <w:t>57</w:t>
      </w:r>
      <w:r w:rsidR="00633EA2" w:rsidRPr="002B1610">
        <w:rPr>
          <w:rFonts w:ascii="Verdana" w:hAnsi="Verdana"/>
          <w:w w:val="95"/>
          <w:sz w:val="20"/>
          <w:szCs w:val="20"/>
          <w:lang w:val="es-EC"/>
        </w:rPr>
        <w:t>)</w:t>
      </w:r>
      <w:r w:rsidR="00633EA2">
        <w:rPr>
          <w:rFonts w:ascii="Verdana" w:hAnsi="Verdana"/>
          <w:w w:val="95"/>
          <w:sz w:val="20"/>
          <w:szCs w:val="20"/>
          <w:lang w:val="es-EC"/>
        </w:rPr>
        <w:t>.</w:t>
      </w:r>
      <w:r w:rsidR="00633EA2" w:rsidRPr="002B1610">
        <w:rPr>
          <w:rFonts w:ascii="Verdana" w:hAnsi="Verdana"/>
          <w:w w:val="95"/>
          <w:sz w:val="20"/>
          <w:szCs w:val="20"/>
          <w:lang w:val="es-EC"/>
        </w:rPr>
        <w:t xml:space="preserve"> </w:t>
      </w:r>
    </w:p>
    <w:p w:rsidR="00DF15C3" w:rsidRPr="002B1610" w:rsidRDefault="00DF15C3" w:rsidP="003F26FD">
      <w:pPr>
        <w:spacing w:after="0" w:line="216" w:lineRule="auto"/>
        <w:ind w:left="-142" w:right="-174"/>
        <w:jc w:val="both"/>
        <w:rPr>
          <w:rFonts w:ascii="Verdana" w:hAnsi="Verdana"/>
          <w:w w:val="95"/>
          <w:sz w:val="20"/>
          <w:szCs w:val="20"/>
        </w:rPr>
      </w:pPr>
    </w:p>
    <w:p w:rsidR="00DF15C3" w:rsidRPr="002B1610" w:rsidRDefault="00DF15C3" w:rsidP="003F26FD">
      <w:pPr>
        <w:pStyle w:val="Prrafodelista"/>
        <w:numPr>
          <w:ilvl w:val="0"/>
          <w:numId w:val="17"/>
        </w:numPr>
        <w:tabs>
          <w:tab w:val="left" w:pos="720"/>
          <w:tab w:val="left" w:pos="851"/>
        </w:tabs>
        <w:autoSpaceDE w:val="0"/>
        <w:autoSpaceDN w:val="0"/>
        <w:adjustRightInd w:val="0"/>
        <w:spacing w:after="0" w:line="216" w:lineRule="auto"/>
        <w:ind w:left="-142" w:right="-174" w:firstLine="0"/>
        <w:jc w:val="both"/>
        <w:rPr>
          <w:rFonts w:ascii="Verdana" w:eastAsia="Batang" w:hAnsi="Verdana" w:cs="Verdana"/>
          <w:b/>
          <w:w w:val="95"/>
          <w:lang w:val="es-CR"/>
        </w:rPr>
      </w:pPr>
      <w:r w:rsidRPr="002B1610">
        <w:rPr>
          <w:rFonts w:ascii="Verdana" w:hAnsi="Verdana"/>
          <w:w w:val="95"/>
          <w:sz w:val="20"/>
          <w:szCs w:val="20"/>
          <w:lang w:val="es-ES"/>
        </w:rPr>
        <w:t>En cuanto al peritaje rendido por María Eugenia Solís, el Estado se refirió al contenido de la declaración así como de su peritaje escrito para desvirtuar su peso probatorio, pero no impugnó su admisibilidad. La señora Solís</w:t>
      </w:r>
      <w:r w:rsidRPr="002B1610">
        <w:rPr>
          <w:rFonts w:ascii="Verdana" w:hAnsi="Verdana"/>
          <w:w w:val="95"/>
          <w:sz w:val="20"/>
          <w:szCs w:val="20"/>
          <w:lang w:val="es-CR"/>
        </w:rPr>
        <w:t xml:space="preserve"> en su peritaje no identificó a qué información estadística, bibliografía, expedientes, fiscalías, casos, sentencias y personas aludió, ni aclaró la cantidad de casos que consultó. </w:t>
      </w:r>
      <w:r w:rsidRPr="002B1610">
        <w:rPr>
          <w:rFonts w:ascii="Verdana" w:hAnsi="Verdana"/>
          <w:w w:val="95"/>
          <w:sz w:val="20"/>
          <w:szCs w:val="20"/>
          <w:lang w:val="es-ES"/>
        </w:rPr>
        <w:t xml:space="preserve">La Corte admite y </w:t>
      </w:r>
      <w:r w:rsidRPr="002B1610">
        <w:rPr>
          <w:rFonts w:ascii="Verdana" w:hAnsi="Verdana"/>
          <w:w w:val="95"/>
          <w:sz w:val="20"/>
          <w:szCs w:val="20"/>
          <w:lang w:val="es-CR"/>
        </w:rPr>
        <w:t>valora el peritaje conjuntamente con el resto del acervo probatorio, en la medida en que aporte información o explicaciones concordantes y complementarias a las que surgen de otros medios de prueba allegados al Tribunal, teniendo en cuenta las observaciones del Estado y de conformidad con las reglas de la sana crítica.</w:t>
      </w:r>
    </w:p>
    <w:p w:rsidR="00DF15C3" w:rsidRPr="00B42D02" w:rsidRDefault="00DF15C3" w:rsidP="003F26FD">
      <w:pPr>
        <w:spacing w:after="0" w:line="216" w:lineRule="auto"/>
        <w:ind w:left="-142" w:right="-174"/>
        <w:jc w:val="both"/>
        <w:rPr>
          <w:rFonts w:ascii="Verdana" w:hAnsi="Verdana"/>
          <w:w w:val="95"/>
          <w:sz w:val="20"/>
          <w:szCs w:val="20"/>
          <w:lang w:val="es-ES"/>
        </w:rPr>
      </w:pPr>
    </w:p>
    <w:p w:rsidR="00DF15C3" w:rsidRDefault="00DF15C3" w:rsidP="003F26FD">
      <w:pPr>
        <w:pStyle w:val="Prrafodelista"/>
        <w:spacing w:after="0" w:line="216" w:lineRule="auto"/>
        <w:ind w:left="-142" w:right="-174" w:hanging="11"/>
        <w:jc w:val="center"/>
        <w:rPr>
          <w:rFonts w:ascii="Verdana" w:hAnsi="Verdana"/>
          <w:w w:val="95"/>
          <w:sz w:val="20"/>
          <w:szCs w:val="20"/>
          <w:lang w:val="es-ES"/>
        </w:rPr>
      </w:pPr>
      <w:r w:rsidRPr="002B1610">
        <w:rPr>
          <w:rFonts w:ascii="Verdana" w:hAnsi="Verdana"/>
          <w:w w:val="95"/>
          <w:sz w:val="20"/>
          <w:szCs w:val="20"/>
          <w:lang w:val="es-ES"/>
        </w:rPr>
        <w:t>*</w:t>
      </w:r>
    </w:p>
    <w:p w:rsidR="00BA6DE7" w:rsidRPr="002B1610" w:rsidRDefault="00BA6DE7" w:rsidP="003F26FD">
      <w:pPr>
        <w:pStyle w:val="Prrafodelista"/>
        <w:spacing w:after="0" w:line="216" w:lineRule="auto"/>
        <w:ind w:left="-142" w:right="-174" w:hanging="11"/>
        <w:jc w:val="center"/>
        <w:rPr>
          <w:rFonts w:ascii="Verdana" w:hAnsi="Verdana"/>
          <w:w w:val="95"/>
          <w:sz w:val="20"/>
          <w:szCs w:val="20"/>
          <w:lang w:val="es-ES"/>
        </w:rPr>
      </w:pPr>
    </w:p>
    <w:p w:rsidR="00DF15C3" w:rsidRPr="006779CB" w:rsidRDefault="00DF15C3" w:rsidP="003F26FD">
      <w:pPr>
        <w:pStyle w:val="Prrafodelista"/>
        <w:numPr>
          <w:ilvl w:val="0"/>
          <w:numId w:val="17"/>
        </w:numPr>
        <w:spacing w:after="0" w:line="216" w:lineRule="auto"/>
        <w:ind w:left="-142" w:right="-174" w:firstLine="0"/>
        <w:jc w:val="both"/>
        <w:rPr>
          <w:rFonts w:ascii="Verdana" w:hAnsi="Verdana"/>
          <w:w w:val="95"/>
          <w:szCs w:val="20"/>
          <w:lang w:val="es-CR"/>
        </w:rPr>
      </w:pPr>
      <w:r w:rsidRPr="002B1610">
        <w:rPr>
          <w:rFonts w:ascii="Verdana" w:hAnsi="Verdana" w:cs="Verdana"/>
          <w:w w:val="95"/>
          <w:sz w:val="20"/>
          <w:szCs w:val="20"/>
          <w:lang w:val="es-CR" w:eastAsia="es-ES"/>
        </w:rPr>
        <w:t>En cuanto a los</w:t>
      </w:r>
      <w:r w:rsidRPr="002B1610">
        <w:rPr>
          <w:rFonts w:ascii="Verdana" w:hAnsi="Verdana" w:cs="Verdana"/>
          <w:w w:val="95"/>
          <w:sz w:val="20"/>
          <w:szCs w:val="20"/>
          <w:lang w:val="es-ES" w:eastAsia="es-ES"/>
        </w:rPr>
        <w:t xml:space="preserve"> </w:t>
      </w:r>
      <w:r w:rsidRPr="002B1610">
        <w:rPr>
          <w:rFonts w:ascii="Verdana" w:hAnsi="Verdana" w:cs="Verdana"/>
          <w:i/>
          <w:w w:val="95"/>
          <w:sz w:val="20"/>
          <w:szCs w:val="20"/>
          <w:lang w:val="es-ES" w:eastAsia="es-ES"/>
        </w:rPr>
        <w:t>amici curiae</w:t>
      </w:r>
      <w:r w:rsidRPr="002B1610">
        <w:rPr>
          <w:rFonts w:ascii="Verdana" w:hAnsi="Verdana" w:cs="Verdana"/>
          <w:w w:val="95"/>
          <w:sz w:val="20"/>
          <w:szCs w:val="20"/>
          <w:lang w:val="es-ES" w:eastAsia="es-ES"/>
        </w:rPr>
        <w:t xml:space="preserve">, éstos fueron presentados el </w:t>
      </w:r>
      <w:r w:rsidR="002D4895" w:rsidRPr="002D4895">
        <w:rPr>
          <w:rFonts w:ascii="Verdana" w:hAnsi="Verdana" w:cs="Verdana"/>
          <w:w w:val="95"/>
          <w:sz w:val="20"/>
          <w:szCs w:val="20"/>
          <w:lang w:val="es-ES" w:eastAsia="es-ES"/>
        </w:rPr>
        <w:t xml:space="preserve">30 </w:t>
      </w:r>
      <w:r w:rsidR="00C627A1" w:rsidRPr="00122C63">
        <w:rPr>
          <w:rFonts w:ascii="Verdana" w:hAnsi="Verdana" w:cs="Verdana"/>
          <w:w w:val="95"/>
          <w:sz w:val="20"/>
          <w:szCs w:val="20"/>
          <w:lang w:val="es-ES" w:eastAsia="es-ES"/>
        </w:rPr>
        <w:t>de mayo de 2013</w:t>
      </w:r>
      <w:r w:rsidRPr="00547BA6">
        <w:rPr>
          <w:rFonts w:ascii="Verdana" w:hAnsi="Verdana" w:cs="Verdana"/>
          <w:w w:val="95"/>
          <w:sz w:val="20"/>
          <w:szCs w:val="20"/>
          <w:lang w:val="es-ES" w:eastAsia="es-ES"/>
        </w:rPr>
        <w:t>,</w:t>
      </w:r>
      <w:r w:rsidRPr="002B1610">
        <w:rPr>
          <w:rFonts w:ascii="Verdana" w:hAnsi="Verdana" w:cs="Verdana"/>
          <w:w w:val="95"/>
          <w:sz w:val="20"/>
          <w:szCs w:val="20"/>
          <w:lang w:val="es-ES" w:eastAsia="es-ES"/>
        </w:rPr>
        <w:t xml:space="preserve"> dentro del plazo establecido en el artículo 44 del Reglamento, pero en un idioma que no </w:t>
      </w:r>
      <w:r w:rsidRPr="002B1610">
        <w:rPr>
          <w:rFonts w:ascii="Verdana" w:hAnsi="Verdana" w:cs="Verdana"/>
          <w:w w:val="95"/>
          <w:sz w:val="20"/>
          <w:szCs w:val="20"/>
          <w:lang w:val="es-ES" w:eastAsia="es-ES"/>
        </w:rPr>
        <w:lastRenderedPageBreak/>
        <w:t xml:space="preserve">correspondía al idioma oficial del presente caso. No fue remitida la traducción al español del escrito de las </w:t>
      </w:r>
      <w:r w:rsidRPr="002B1610">
        <w:rPr>
          <w:rFonts w:ascii="Verdana" w:hAnsi="Verdana"/>
          <w:w w:val="95"/>
          <w:sz w:val="20"/>
          <w:szCs w:val="20"/>
          <w:lang w:val="es-ES"/>
        </w:rPr>
        <w:t xml:space="preserve">señoras Christine M. Venter, Ana-Paolo Calpado </w:t>
      </w:r>
      <w:r w:rsidRPr="002B1610">
        <w:rPr>
          <w:rFonts w:ascii="Verdana" w:hAnsi="Verdana" w:cs="Arial"/>
          <w:w w:val="95"/>
          <w:sz w:val="20"/>
          <w:szCs w:val="20"/>
          <w:lang w:val="es-ES"/>
        </w:rPr>
        <w:t>y Daniella Palmiotto</w:t>
      </w:r>
      <w:r w:rsidRPr="002B1610">
        <w:rPr>
          <w:rFonts w:ascii="Verdana" w:hAnsi="Verdana" w:cs="Verdana"/>
          <w:w w:val="95"/>
          <w:sz w:val="20"/>
          <w:szCs w:val="20"/>
          <w:lang w:val="es-ES" w:eastAsia="es-ES"/>
        </w:rPr>
        <w:t>, por lo que se declara inadmisible</w:t>
      </w:r>
      <w:r>
        <w:rPr>
          <w:rStyle w:val="Refdenotaalpie"/>
          <w:rFonts w:ascii="Verdana" w:hAnsi="Verdana" w:cs="Verdana"/>
          <w:w w:val="95"/>
          <w:sz w:val="20"/>
          <w:szCs w:val="20"/>
          <w:lang w:val="es-ES" w:eastAsia="es-ES"/>
        </w:rPr>
        <w:footnoteReference w:id="59"/>
      </w:r>
      <w:r w:rsidRPr="002B1610">
        <w:rPr>
          <w:rFonts w:ascii="Verdana" w:hAnsi="Verdana" w:cs="Verdana"/>
          <w:w w:val="95"/>
          <w:sz w:val="20"/>
          <w:szCs w:val="20"/>
          <w:lang w:val="es-ES" w:eastAsia="es-ES"/>
        </w:rPr>
        <w:t xml:space="preserve">. En lo </w:t>
      </w:r>
      <w:r w:rsidR="00DD70DA">
        <w:rPr>
          <w:rFonts w:ascii="Verdana" w:hAnsi="Verdana" w:cs="Verdana"/>
          <w:w w:val="95"/>
          <w:sz w:val="20"/>
          <w:szCs w:val="20"/>
          <w:lang w:val="es-ES" w:eastAsia="es-ES"/>
        </w:rPr>
        <w:t xml:space="preserve">que </w:t>
      </w:r>
      <w:r w:rsidRPr="002B1610">
        <w:rPr>
          <w:rFonts w:ascii="Verdana" w:hAnsi="Verdana" w:cs="Verdana"/>
          <w:w w:val="95"/>
          <w:sz w:val="20"/>
          <w:szCs w:val="20"/>
          <w:lang w:val="es-ES" w:eastAsia="es-ES"/>
        </w:rPr>
        <w:t xml:space="preserve">se refiere al escrito de la señora Sorina Macricini y los señores Cristian González Chacó y Bruno Rodríguez Reveggio, la traducción del </w:t>
      </w:r>
      <w:r w:rsidRPr="002B1610">
        <w:rPr>
          <w:rFonts w:ascii="Verdana" w:hAnsi="Verdana" w:cs="Verdana"/>
          <w:i/>
          <w:w w:val="95"/>
          <w:sz w:val="20"/>
          <w:szCs w:val="20"/>
          <w:lang w:val="es-ES" w:eastAsia="es-ES"/>
        </w:rPr>
        <w:t xml:space="preserve">amicus curiae </w:t>
      </w:r>
      <w:r w:rsidRPr="002B1610">
        <w:rPr>
          <w:rFonts w:ascii="Verdana" w:hAnsi="Verdana" w:cs="Verdana"/>
          <w:w w:val="95"/>
          <w:sz w:val="20"/>
          <w:szCs w:val="20"/>
          <w:lang w:val="es-ES" w:eastAsia="es-ES"/>
        </w:rPr>
        <w:t>completa fue remitida el 10 de junio de 2013, es decir, once días después de vencido el plazo para su presentación</w:t>
      </w:r>
      <w:r>
        <w:rPr>
          <w:rFonts w:ascii="Verdana" w:hAnsi="Verdana" w:cs="Verdana"/>
          <w:w w:val="95"/>
          <w:sz w:val="20"/>
          <w:szCs w:val="20"/>
          <w:lang w:val="es-ES" w:eastAsia="es-ES"/>
        </w:rPr>
        <w:t xml:space="preserve"> (</w:t>
      </w:r>
      <w:r w:rsidRPr="003622B1">
        <w:rPr>
          <w:rFonts w:ascii="Verdana" w:hAnsi="Verdana" w:cs="Verdana"/>
          <w:i/>
          <w:w w:val="95"/>
          <w:sz w:val="20"/>
          <w:szCs w:val="20"/>
          <w:lang w:val="es-ES" w:eastAsia="es-ES"/>
        </w:rPr>
        <w:t>supra</w:t>
      </w:r>
      <w:r>
        <w:rPr>
          <w:rFonts w:ascii="Verdana" w:hAnsi="Verdana" w:cs="Verdana"/>
          <w:w w:val="95"/>
          <w:sz w:val="20"/>
          <w:szCs w:val="20"/>
          <w:lang w:val="es-ES" w:eastAsia="es-ES"/>
        </w:rPr>
        <w:t xml:space="preserve"> párr. </w:t>
      </w:r>
      <w:r w:rsidR="00633EA2">
        <w:rPr>
          <w:rFonts w:ascii="Verdana" w:hAnsi="Verdana" w:cs="Verdana"/>
          <w:w w:val="95"/>
          <w:sz w:val="20"/>
          <w:szCs w:val="20"/>
          <w:lang w:val="es-ES" w:eastAsia="es-ES"/>
        </w:rPr>
        <w:t>12)</w:t>
      </w:r>
      <w:r w:rsidR="00633EA2" w:rsidRPr="002B1610">
        <w:rPr>
          <w:rFonts w:ascii="Verdana" w:hAnsi="Verdana" w:cs="Verdana"/>
          <w:w w:val="95"/>
          <w:sz w:val="20"/>
          <w:szCs w:val="20"/>
          <w:lang w:val="es-ES" w:eastAsia="es-ES"/>
        </w:rPr>
        <w:t xml:space="preserve">. </w:t>
      </w:r>
      <w:r w:rsidRPr="002B1610">
        <w:rPr>
          <w:rFonts w:ascii="Verdana" w:hAnsi="Verdana" w:cs="Verdana"/>
          <w:w w:val="95"/>
          <w:sz w:val="20"/>
          <w:szCs w:val="20"/>
          <w:lang w:val="es-ES" w:eastAsia="es-ES"/>
        </w:rPr>
        <w:t xml:space="preserve">Al respecto, el Estado solicitó que se inadmita el escrito y alegó su desacuerdo con la opinión vertida en el escrito. En consideración de lo dispuesto en el artículo 44.3 del Reglamento de la Corte </w:t>
      </w:r>
      <w:r w:rsidR="00787D7C" w:rsidRPr="00315B30">
        <w:rPr>
          <w:rFonts w:ascii="Verdana" w:hAnsi="Verdana" w:cs="Verdana"/>
          <w:w w:val="95"/>
          <w:sz w:val="20"/>
          <w:szCs w:val="20"/>
          <w:lang w:val="es-ES" w:eastAsia="es-ES"/>
        </w:rPr>
        <w:t xml:space="preserve">respecto de </w:t>
      </w:r>
      <w:r w:rsidRPr="00315B30">
        <w:rPr>
          <w:rFonts w:ascii="Verdana" w:hAnsi="Verdana" w:cs="Verdana"/>
          <w:w w:val="95"/>
          <w:sz w:val="20"/>
          <w:szCs w:val="20"/>
          <w:lang w:val="es-ES" w:eastAsia="es-ES"/>
        </w:rPr>
        <w:t xml:space="preserve">que los </w:t>
      </w:r>
      <w:r w:rsidR="00004018" w:rsidRPr="00315B30">
        <w:rPr>
          <w:rFonts w:ascii="Verdana" w:hAnsi="Verdana" w:cs="Verdana"/>
          <w:w w:val="95"/>
          <w:sz w:val="20"/>
          <w:szCs w:val="20"/>
          <w:lang w:val="es-ES" w:eastAsia="es-ES"/>
        </w:rPr>
        <w:t xml:space="preserve">escritos en calidad de </w:t>
      </w:r>
      <w:r w:rsidR="00622AF9" w:rsidRPr="00315B30">
        <w:rPr>
          <w:rFonts w:ascii="Verdana" w:hAnsi="Verdana" w:cs="Verdana"/>
          <w:i/>
          <w:w w:val="95"/>
          <w:sz w:val="20"/>
          <w:szCs w:val="20"/>
          <w:lang w:val="es-ES" w:eastAsia="es-ES"/>
        </w:rPr>
        <w:t>amicus</w:t>
      </w:r>
      <w:r w:rsidR="00622AF9" w:rsidRPr="00622AF9">
        <w:rPr>
          <w:rFonts w:ascii="Verdana" w:hAnsi="Verdana" w:cs="Verdana"/>
          <w:i/>
          <w:w w:val="95"/>
          <w:sz w:val="20"/>
          <w:szCs w:val="20"/>
          <w:lang w:val="es-ES" w:eastAsia="es-ES"/>
        </w:rPr>
        <w:t xml:space="preserve"> curiae</w:t>
      </w:r>
      <w:r w:rsidRPr="002B1610">
        <w:rPr>
          <w:rFonts w:ascii="Verdana" w:hAnsi="Verdana" w:cs="Verdana"/>
          <w:w w:val="95"/>
          <w:sz w:val="20"/>
          <w:szCs w:val="20"/>
          <w:lang w:val="es-ES" w:eastAsia="es-ES"/>
        </w:rPr>
        <w:t xml:space="preserve"> podrán presentarse “en cualquier momento del proceso pero no más allá de los 15 días posteriores a la audiencia pública”, y dado que en el presente caso, la traducción completa del </w:t>
      </w:r>
      <w:r w:rsidRPr="002B1610">
        <w:rPr>
          <w:rFonts w:ascii="Verdana" w:hAnsi="Verdana" w:cs="Verdana"/>
          <w:i/>
          <w:w w:val="95"/>
          <w:sz w:val="20"/>
          <w:szCs w:val="20"/>
          <w:lang w:val="es-ES" w:eastAsia="es-ES"/>
        </w:rPr>
        <w:t>amicus curiae</w:t>
      </w:r>
      <w:r w:rsidRPr="002B1610">
        <w:rPr>
          <w:rFonts w:ascii="Verdana" w:hAnsi="Verdana" w:cs="Verdana"/>
          <w:w w:val="95"/>
          <w:sz w:val="20"/>
          <w:szCs w:val="20"/>
          <w:lang w:val="es-ES" w:eastAsia="es-ES"/>
        </w:rPr>
        <w:t xml:space="preserve"> fue presentada fuera del plazo señalado en dicha norma, este Tribunal sólo admite la parte del escrito que fue presentada dentro del plazo en idioma español </w:t>
      </w:r>
      <w:r w:rsidRPr="00CA4C08">
        <w:rPr>
          <w:rFonts w:ascii="Verdana" w:hAnsi="Verdana" w:cs="Verdana"/>
          <w:w w:val="95"/>
          <w:sz w:val="20"/>
          <w:szCs w:val="20"/>
          <w:lang w:val="es-ES" w:eastAsia="es-ES"/>
        </w:rPr>
        <w:t>la cual resulta comprensible, y no se admite la traducción al español de la parte restante, por su presentación extemporánea.</w:t>
      </w:r>
      <w:bookmarkStart w:id="52" w:name="_Toc360033751"/>
      <w:bookmarkStart w:id="53" w:name="_Toc360200616"/>
      <w:bookmarkStart w:id="54" w:name="_Toc360452337"/>
      <w:bookmarkStart w:id="55" w:name="_Toc360540648"/>
      <w:bookmarkStart w:id="56" w:name="_Toc361078940"/>
      <w:bookmarkStart w:id="57" w:name="_Toc361152106"/>
      <w:bookmarkStart w:id="58" w:name="_Toc368399818"/>
      <w:bookmarkStart w:id="59" w:name="_Toc369869407"/>
    </w:p>
    <w:p w:rsidR="00DF15C3" w:rsidRPr="002B1610" w:rsidRDefault="00DF15C3" w:rsidP="003F26FD">
      <w:pPr>
        <w:pStyle w:val="Prrafodelista"/>
        <w:spacing w:after="0" w:line="216" w:lineRule="auto"/>
        <w:ind w:left="-142" w:right="-174"/>
        <w:jc w:val="both"/>
        <w:rPr>
          <w:rFonts w:ascii="Verdana" w:hAnsi="Verdana"/>
          <w:w w:val="95"/>
          <w:szCs w:val="20"/>
          <w:lang w:val="es-CR"/>
        </w:rPr>
      </w:pPr>
    </w:p>
    <w:p w:rsidR="0020700F" w:rsidRDefault="0020700F" w:rsidP="003F26FD">
      <w:pPr>
        <w:pStyle w:val="Ttulo1"/>
        <w:spacing w:before="0" w:after="0" w:line="216" w:lineRule="auto"/>
        <w:ind w:left="-142" w:right="-174"/>
        <w:rPr>
          <w:w w:val="95"/>
          <w:szCs w:val="20"/>
        </w:rPr>
      </w:pPr>
      <w:bookmarkStart w:id="60" w:name="_Toc384711962"/>
      <w:bookmarkStart w:id="61" w:name="_Toc394313656"/>
      <w:bookmarkEnd w:id="52"/>
      <w:bookmarkEnd w:id="53"/>
      <w:bookmarkEnd w:id="54"/>
      <w:bookmarkEnd w:id="55"/>
      <w:bookmarkEnd w:id="56"/>
      <w:bookmarkEnd w:id="57"/>
      <w:bookmarkEnd w:id="58"/>
      <w:bookmarkEnd w:id="59"/>
    </w:p>
    <w:p w:rsidR="00DF15C3" w:rsidRPr="002B1610" w:rsidRDefault="00DF15C3" w:rsidP="003F26FD">
      <w:pPr>
        <w:pStyle w:val="Ttulo1"/>
        <w:spacing w:before="0" w:after="0" w:line="216" w:lineRule="auto"/>
        <w:ind w:left="-142" w:right="-174"/>
        <w:rPr>
          <w:w w:val="95"/>
          <w:szCs w:val="20"/>
        </w:rPr>
      </w:pPr>
      <w:r w:rsidRPr="002B1610">
        <w:rPr>
          <w:w w:val="95"/>
          <w:szCs w:val="20"/>
        </w:rPr>
        <w:t>VI</w:t>
      </w:r>
      <w:r>
        <w:rPr>
          <w:w w:val="95"/>
          <w:szCs w:val="20"/>
        </w:rPr>
        <w:t>I</w:t>
      </w:r>
      <w:bookmarkEnd w:id="60"/>
      <w:bookmarkEnd w:id="61"/>
    </w:p>
    <w:p w:rsidR="00DF15C3" w:rsidRDefault="00DF15C3" w:rsidP="003F26FD">
      <w:pPr>
        <w:pStyle w:val="Ttulo1"/>
        <w:spacing w:before="0" w:after="0" w:line="216" w:lineRule="auto"/>
        <w:ind w:left="-142" w:right="-174"/>
        <w:rPr>
          <w:w w:val="95"/>
          <w:szCs w:val="20"/>
        </w:rPr>
      </w:pPr>
      <w:bookmarkStart w:id="62" w:name="_Toc360033752"/>
      <w:bookmarkStart w:id="63" w:name="_Toc360200617"/>
      <w:bookmarkStart w:id="64" w:name="_Toc368391330"/>
      <w:bookmarkStart w:id="65" w:name="_Toc369869408"/>
      <w:bookmarkStart w:id="66" w:name="_Toc394313657"/>
      <w:r w:rsidRPr="002B1610">
        <w:rPr>
          <w:w w:val="95"/>
          <w:szCs w:val="20"/>
        </w:rPr>
        <w:t>HECHOS</w:t>
      </w:r>
      <w:bookmarkStart w:id="67" w:name="_Toc360033754"/>
      <w:bookmarkStart w:id="68" w:name="_Toc369869410"/>
      <w:bookmarkEnd w:id="62"/>
      <w:bookmarkEnd w:id="63"/>
      <w:bookmarkEnd w:id="64"/>
      <w:bookmarkEnd w:id="65"/>
      <w:bookmarkEnd w:id="66"/>
    </w:p>
    <w:p w:rsidR="00BA6DE7" w:rsidRPr="00BA6DE7" w:rsidRDefault="00BA6DE7" w:rsidP="00BA6DE7">
      <w:pPr>
        <w:rPr>
          <w:lang w:val="es-ES_tradnl"/>
        </w:rPr>
      </w:pPr>
    </w:p>
    <w:p w:rsidR="00DF15C3" w:rsidRPr="006779CB" w:rsidRDefault="00DF15C3" w:rsidP="003F26FD">
      <w:pPr>
        <w:pStyle w:val="Ttulo2"/>
        <w:numPr>
          <w:ilvl w:val="0"/>
          <w:numId w:val="5"/>
        </w:numPr>
        <w:spacing w:before="0" w:line="216" w:lineRule="auto"/>
        <w:ind w:left="284" w:right="-174" w:firstLine="0"/>
        <w:rPr>
          <w:rFonts w:ascii="Verdana" w:hAnsi="Verdana"/>
          <w:color w:val="auto"/>
          <w:w w:val="95"/>
          <w:sz w:val="20"/>
        </w:rPr>
      </w:pPr>
      <w:bookmarkStart w:id="69" w:name="_Toc394313658"/>
      <w:bookmarkEnd w:id="67"/>
      <w:bookmarkEnd w:id="68"/>
      <w:r w:rsidRPr="006779CB">
        <w:rPr>
          <w:rFonts w:ascii="Verdana" w:hAnsi="Verdana"/>
          <w:color w:val="auto"/>
          <w:w w:val="95"/>
          <w:sz w:val="20"/>
        </w:rPr>
        <w:t>Contexto</w:t>
      </w:r>
      <w:bookmarkEnd w:id="69"/>
      <w:r w:rsidRPr="006779CB">
        <w:rPr>
          <w:rFonts w:ascii="Verdana" w:hAnsi="Verdana"/>
          <w:color w:val="auto"/>
          <w:w w:val="95"/>
          <w:sz w:val="20"/>
        </w:rPr>
        <w:t xml:space="preserve">   </w:t>
      </w:r>
    </w:p>
    <w:p w:rsidR="00DF15C3" w:rsidRPr="00122D8A" w:rsidRDefault="00DF15C3" w:rsidP="003F26FD">
      <w:pPr>
        <w:spacing w:after="0" w:line="216" w:lineRule="auto"/>
        <w:ind w:left="-142" w:right="-174"/>
        <w:jc w:val="both"/>
        <w:rPr>
          <w:rFonts w:ascii="Verdana" w:hAnsi="Verdana" w:cs="Calibri"/>
          <w:b/>
          <w:strike/>
          <w:w w:val="95"/>
          <w:sz w:val="16"/>
          <w:szCs w:val="16"/>
          <w:lang w:val="es-CR"/>
        </w:rPr>
      </w:pPr>
    </w:p>
    <w:p w:rsidR="00DF15C3" w:rsidRPr="006779CB" w:rsidRDefault="00DF15C3" w:rsidP="003F26FD">
      <w:pPr>
        <w:pStyle w:val="Prrafodelista"/>
        <w:spacing w:after="0" w:line="216" w:lineRule="auto"/>
        <w:ind w:left="567" w:right="-174"/>
        <w:jc w:val="both"/>
        <w:outlineLvl w:val="2"/>
        <w:rPr>
          <w:rFonts w:ascii="Verdana" w:hAnsi="Verdana" w:cs="Calibri"/>
          <w:b/>
          <w:i/>
          <w:w w:val="95"/>
          <w:sz w:val="20"/>
          <w:szCs w:val="20"/>
        </w:rPr>
      </w:pPr>
      <w:bookmarkStart w:id="70" w:name="_Toc394313659"/>
      <w:r w:rsidRPr="006779CB">
        <w:rPr>
          <w:rFonts w:ascii="Verdana" w:hAnsi="Verdana" w:cs="Calibri"/>
          <w:b/>
          <w:i/>
          <w:w w:val="95"/>
          <w:sz w:val="20"/>
          <w:szCs w:val="20"/>
        </w:rPr>
        <w:t>A.1) Introducción</w:t>
      </w:r>
      <w:bookmarkEnd w:id="70"/>
    </w:p>
    <w:p w:rsidR="00DF15C3" w:rsidRPr="006779CB" w:rsidRDefault="00DF15C3" w:rsidP="003F26FD">
      <w:pPr>
        <w:pStyle w:val="Prrafodelista"/>
        <w:spacing w:after="0" w:line="216" w:lineRule="auto"/>
        <w:ind w:left="-142" w:right="-174"/>
        <w:jc w:val="both"/>
        <w:rPr>
          <w:rFonts w:ascii="Verdana" w:hAnsi="Verdana" w:cs="Calibri"/>
          <w:b/>
          <w:w w:val="95"/>
          <w:sz w:val="20"/>
          <w:szCs w:val="20"/>
        </w:rPr>
      </w:pPr>
    </w:p>
    <w:p w:rsidR="00DF15C3" w:rsidRPr="006B7B23" w:rsidRDefault="00DF15C3" w:rsidP="003F26FD">
      <w:pPr>
        <w:pStyle w:val="Prrafodelista"/>
        <w:numPr>
          <w:ilvl w:val="0"/>
          <w:numId w:val="17"/>
        </w:numPr>
        <w:spacing w:after="0" w:line="216" w:lineRule="auto"/>
        <w:ind w:left="-180" w:right="-174" w:firstLine="0"/>
        <w:jc w:val="both"/>
        <w:rPr>
          <w:rFonts w:ascii="Verdana" w:hAnsi="Verdana" w:cs="Calibri"/>
          <w:b/>
          <w:w w:val="95"/>
          <w:sz w:val="20"/>
          <w:szCs w:val="20"/>
          <w:lang w:val="es-ES"/>
        </w:rPr>
      </w:pPr>
      <w:r w:rsidRPr="006B7B23">
        <w:rPr>
          <w:rFonts w:ascii="Verdana" w:hAnsi="Verdana" w:cs="Calibri"/>
          <w:w w:val="95"/>
          <w:sz w:val="20"/>
          <w:szCs w:val="20"/>
          <w:lang w:val="es-CR"/>
        </w:rPr>
        <w:t>Como lo ha hecho anteriormente, la Corte recuerda que, e</w:t>
      </w:r>
      <w:r w:rsidRPr="006B7B23">
        <w:rPr>
          <w:rFonts w:ascii="Verdana" w:hAnsi="Verdana" w:cs="Calibri"/>
          <w:bCs/>
          <w:w w:val="95"/>
          <w:sz w:val="20"/>
          <w:szCs w:val="20"/>
          <w:lang w:val="es-AR"/>
        </w:rPr>
        <w:t xml:space="preserve">n el ejercicio de su jurisdicción contenciosa, </w:t>
      </w:r>
      <w:r>
        <w:rPr>
          <w:rFonts w:ascii="Verdana" w:hAnsi="Verdana" w:cs="Calibri"/>
          <w:bCs/>
          <w:w w:val="95"/>
          <w:sz w:val="20"/>
          <w:szCs w:val="20"/>
          <w:lang w:val="es-AR"/>
        </w:rPr>
        <w:t>“</w:t>
      </w:r>
      <w:r w:rsidRPr="006B7B23">
        <w:rPr>
          <w:rFonts w:ascii="Verdana" w:hAnsi="Verdana" w:cs="Calibri"/>
          <w:bCs/>
          <w:w w:val="95"/>
          <w:sz w:val="20"/>
          <w:szCs w:val="20"/>
          <w:lang w:val="es-AR"/>
        </w:rPr>
        <w:t xml:space="preserve">ha conocido de diversos contextos </w:t>
      </w:r>
      <w:r w:rsidRPr="006B7B23">
        <w:rPr>
          <w:rFonts w:ascii="Verdana" w:hAnsi="Verdana" w:cs="Calibri"/>
          <w:w w:val="95"/>
          <w:sz w:val="20"/>
          <w:szCs w:val="20"/>
          <w:lang w:val="es-CR"/>
        </w:rPr>
        <w:t xml:space="preserve">históricos, sociales y políticos </w:t>
      </w:r>
      <w:r w:rsidRPr="006B7B23">
        <w:rPr>
          <w:rFonts w:ascii="Verdana" w:hAnsi="Verdana" w:cs="Calibri"/>
          <w:bCs/>
          <w:w w:val="95"/>
          <w:sz w:val="20"/>
          <w:szCs w:val="20"/>
          <w:lang w:val="es-AR"/>
        </w:rPr>
        <w:t>que permitieron situar los hechos alegados como violatorios de [derechos humanos] en el marco de las circunstancias específicas en que ocurrieron</w:t>
      </w:r>
      <w:r>
        <w:rPr>
          <w:rFonts w:ascii="Verdana" w:hAnsi="Verdana" w:cs="Calibri"/>
          <w:bCs/>
          <w:w w:val="95"/>
          <w:sz w:val="20"/>
          <w:szCs w:val="20"/>
          <w:lang w:val="es-AR"/>
        </w:rPr>
        <w:t>”</w:t>
      </w:r>
      <w:r w:rsidR="00F15CBE" w:rsidRPr="00EB5F1A">
        <w:rPr>
          <w:rStyle w:val="Refdenotaalpie"/>
          <w:rFonts w:ascii="Verdana" w:hAnsi="Verdana" w:cs="Calibri"/>
          <w:w w:val="95"/>
          <w:sz w:val="20"/>
          <w:szCs w:val="20"/>
          <w:lang w:val="es-CR"/>
        </w:rPr>
        <w:footnoteReference w:id="60"/>
      </w:r>
      <w:r w:rsidRPr="006B7B23">
        <w:rPr>
          <w:rFonts w:ascii="Verdana" w:hAnsi="Verdana" w:cs="Calibri"/>
          <w:bCs/>
          <w:w w:val="95"/>
          <w:sz w:val="20"/>
          <w:szCs w:val="20"/>
          <w:lang w:val="es-AR"/>
        </w:rPr>
        <w:t xml:space="preserve">. Además, en algunos casos el contexto posibilitó </w:t>
      </w:r>
      <w:r w:rsidRPr="006B7B23">
        <w:rPr>
          <w:rFonts w:ascii="Verdana" w:hAnsi="Verdana" w:cs="Calibri"/>
          <w:w w:val="95"/>
          <w:sz w:val="20"/>
          <w:szCs w:val="20"/>
          <w:lang w:val="es-CR"/>
        </w:rPr>
        <w:t xml:space="preserve">la caracterización de los hechos como parte de un patrón sistemático de violaciones a los derechos </w:t>
      </w:r>
      <w:r w:rsidRPr="007802D0">
        <w:rPr>
          <w:rFonts w:ascii="Verdana" w:hAnsi="Verdana" w:cs="Calibri"/>
          <w:w w:val="95"/>
          <w:sz w:val="20"/>
          <w:szCs w:val="20"/>
          <w:lang w:val="es-CR"/>
        </w:rPr>
        <w:t>humanos</w:t>
      </w:r>
      <w:r w:rsidRPr="007802D0">
        <w:rPr>
          <w:rFonts w:ascii="Verdana" w:hAnsi="Verdana"/>
          <w:w w:val="95"/>
          <w:sz w:val="20"/>
          <w:szCs w:val="20"/>
          <w:vertAlign w:val="superscript"/>
          <w:lang w:val="es-CR"/>
        </w:rPr>
        <w:footnoteReference w:id="61"/>
      </w:r>
      <w:r w:rsidRPr="007802D0">
        <w:rPr>
          <w:rFonts w:ascii="Verdana" w:hAnsi="Verdana" w:cs="Calibri"/>
          <w:w w:val="95"/>
          <w:sz w:val="20"/>
          <w:szCs w:val="20"/>
          <w:lang w:val="es-CR"/>
        </w:rPr>
        <w:t xml:space="preserve"> y/o se tomó en cuenta para la determinación de la responsabilidad internacional del Estado</w:t>
      </w:r>
      <w:r w:rsidRPr="007802D0">
        <w:rPr>
          <w:rFonts w:ascii="Verdana" w:hAnsi="Verdana"/>
          <w:w w:val="95"/>
          <w:sz w:val="20"/>
          <w:szCs w:val="20"/>
          <w:vertAlign w:val="superscript"/>
          <w:lang w:val="es-CR"/>
        </w:rPr>
        <w:footnoteReference w:id="62"/>
      </w:r>
      <w:r w:rsidRPr="007802D0">
        <w:rPr>
          <w:rFonts w:ascii="Verdana" w:hAnsi="Verdana" w:cs="Calibri"/>
          <w:w w:val="95"/>
          <w:sz w:val="20"/>
          <w:szCs w:val="20"/>
          <w:lang w:val="es-CR"/>
        </w:rPr>
        <w:t>.</w:t>
      </w:r>
      <w:r w:rsidRPr="006B7B23">
        <w:rPr>
          <w:rFonts w:ascii="Verdana" w:hAnsi="Verdana" w:cs="Calibri"/>
          <w:w w:val="95"/>
          <w:sz w:val="20"/>
          <w:szCs w:val="20"/>
          <w:lang w:val="es-CR"/>
        </w:rPr>
        <w:t xml:space="preserve"> De ese modo, en relación con el aducido incumplimiento del Estado en cuanto a la prevención de lo sucedido a María Isabel V</w:t>
      </w:r>
      <w:r>
        <w:rPr>
          <w:rFonts w:ascii="Verdana" w:hAnsi="Verdana" w:cs="Calibri"/>
          <w:w w:val="95"/>
          <w:sz w:val="20"/>
          <w:szCs w:val="20"/>
          <w:lang w:val="es-CR"/>
        </w:rPr>
        <w:t>e</w:t>
      </w:r>
      <w:r w:rsidRPr="006B7B23">
        <w:rPr>
          <w:rFonts w:ascii="Verdana" w:hAnsi="Verdana" w:cs="Calibri"/>
          <w:w w:val="95"/>
          <w:sz w:val="20"/>
          <w:szCs w:val="20"/>
          <w:lang w:val="es-CR"/>
        </w:rPr>
        <w:t>liz Franco (</w:t>
      </w:r>
      <w:r w:rsidR="00952AA1">
        <w:rPr>
          <w:rFonts w:ascii="Verdana" w:hAnsi="Verdana" w:cs="Calibri"/>
          <w:i/>
          <w:w w:val="95"/>
          <w:sz w:val="20"/>
          <w:szCs w:val="20"/>
          <w:lang w:val="es-CR"/>
        </w:rPr>
        <w:t>supra</w:t>
      </w:r>
      <w:r w:rsidR="00952AA1" w:rsidRPr="006B7B23">
        <w:rPr>
          <w:rFonts w:ascii="Verdana" w:hAnsi="Verdana" w:cs="Calibri"/>
          <w:w w:val="95"/>
          <w:sz w:val="20"/>
          <w:szCs w:val="20"/>
          <w:lang w:val="es-CR"/>
        </w:rPr>
        <w:t xml:space="preserve"> </w:t>
      </w:r>
      <w:r w:rsidRPr="006B7B23">
        <w:rPr>
          <w:rFonts w:ascii="Verdana" w:hAnsi="Verdana" w:cs="Calibri"/>
          <w:w w:val="95"/>
          <w:sz w:val="20"/>
          <w:szCs w:val="20"/>
          <w:lang w:val="es-CR"/>
        </w:rPr>
        <w:t xml:space="preserve">párr. </w:t>
      </w:r>
      <w:r w:rsidR="00633EA2">
        <w:rPr>
          <w:rFonts w:ascii="Verdana" w:hAnsi="Verdana" w:cs="Calibri"/>
          <w:w w:val="95"/>
          <w:sz w:val="20"/>
          <w:szCs w:val="20"/>
          <w:lang w:val="es-CR"/>
        </w:rPr>
        <w:t>7</w:t>
      </w:r>
      <w:r w:rsidR="00633EA2" w:rsidRPr="006B7B23">
        <w:rPr>
          <w:rFonts w:ascii="Verdana" w:hAnsi="Verdana" w:cs="Calibri"/>
          <w:w w:val="95"/>
          <w:sz w:val="20"/>
          <w:szCs w:val="20"/>
          <w:lang w:val="es-CR"/>
        </w:rPr>
        <w:t xml:space="preserve">), </w:t>
      </w:r>
      <w:r w:rsidRPr="006B7B23">
        <w:rPr>
          <w:rFonts w:ascii="Verdana" w:hAnsi="Verdana" w:cs="Calibri"/>
          <w:w w:val="95"/>
          <w:sz w:val="20"/>
          <w:szCs w:val="20"/>
          <w:lang w:val="es-CR"/>
        </w:rPr>
        <w:t>la consideración de información contextual coadyuvará (junto con elementos fácticos propios del caso) a la precisión sobre el grado en que era exigible al Estado considerar la existencia de un riesgo para la niña, y actuar en consecuencia</w:t>
      </w:r>
      <w:r w:rsidR="00633EA2" w:rsidRPr="006B7B23">
        <w:rPr>
          <w:rFonts w:ascii="Verdana" w:hAnsi="Verdana" w:cs="Calibri"/>
          <w:w w:val="95"/>
          <w:sz w:val="20"/>
          <w:szCs w:val="20"/>
          <w:lang w:val="es-CR"/>
        </w:rPr>
        <w:t xml:space="preserve">. </w:t>
      </w:r>
      <w:r w:rsidRPr="006B7B23">
        <w:rPr>
          <w:rFonts w:ascii="Verdana" w:hAnsi="Verdana" w:cs="Calibri"/>
          <w:w w:val="95"/>
          <w:sz w:val="20"/>
          <w:szCs w:val="20"/>
          <w:lang w:val="es-CR"/>
        </w:rPr>
        <w:t xml:space="preserve">Asimismo, en el aspecto indicado, como también en relación con la actuación estatal en la investigación de los hechos, permitirá </w:t>
      </w:r>
      <w:r w:rsidRPr="006B7B23">
        <w:rPr>
          <w:rFonts w:ascii="Verdana" w:hAnsi="Verdana" w:cs="Calibri"/>
          <w:bCs/>
          <w:w w:val="95"/>
          <w:sz w:val="20"/>
          <w:szCs w:val="20"/>
          <w:lang w:val="es-AR"/>
        </w:rPr>
        <w:t xml:space="preserve">una mejor comprensión de las aducidas violaciones, como de la procedencia de ciertas medidas de reparación. </w:t>
      </w:r>
    </w:p>
    <w:p w:rsidR="00DF15C3" w:rsidRPr="006779CB" w:rsidRDefault="00DF15C3" w:rsidP="003F26FD">
      <w:pPr>
        <w:pStyle w:val="Prrafodelista"/>
        <w:spacing w:after="0" w:line="216" w:lineRule="auto"/>
        <w:ind w:left="-90" w:right="-174"/>
        <w:jc w:val="both"/>
        <w:rPr>
          <w:rFonts w:ascii="Verdana" w:hAnsi="Verdana" w:cs="Calibri"/>
          <w:b/>
          <w:w w:val="95"/>
          <w:sz w:val="20"/>
          <w:szCs w:val="20"/>
          <w:lang w:val="es-ES"/>
        </w:rPr>
      </w:pPr>
    </w:p>
    <w:p w:rsidR="00DF15C3" w:rsidRPr="006779CB" w:rsidRDefault="00DF15C3" w:rsidP="003F26FD">
      <w:pPr>
        <w:pStyle w:val="Prrafodelista"/>
        <w:numPr>
          <w:ilvl w:val="0"/>
          <w:numId w:val="17"/>
        </w:numPr>
        <w:spacing w:after="0" w:line="216" w:lineRule="auto"/>
        <w:ind w:left="-142" w:right="-174" w:firstLine="0"/>
        <w:jc w:val="both"/>
        <w:rPr>
          <w:rFonts w:ascii="Verdana" w:hAnsi="Verdana"/>
          <w:w w:val="95"/>
          <w:sz w:val="20"/>
          <w:szCs w:val="20"/>
          <w:lang w:val="es-CR"/>
        </w:rPr>
      </w:pPr>
      <w:r w:rsidRPr="006779CB">
        <w:rPr>
          <w:rFonts w:ascii="Verdana" w:hAnsi="Verdana" w:cs="Calibri"/>
          <w:w w:val="95"/>
          <w:sz w:val="20"/>
          <w:szCs w:val="20"/>
          <w:lang w:val="es-CR"/>
        </w:rPr>
        <w:t xml:space="preserve">La </w:t>
      </w:r>
      <w:r w:rsidRPr="006779CB">
        <w:rPr>
          <w:rFonts w:ascii="Verdana" w:hAnsi="Verdana" w:cs="Calibri"/>
          <w:b/>
          <w:i/>
          <w:w w:val="95"/>
          <w:sz w:val="20"/>
          <w:szCs w:val="20"/>
          <w:lang w:val="es-CR"/>
        </w:rPr>
        <w:t>Comisión</w:t>
      </w:r>
      <w:r w:rsidRPr="006779CB">
        <w:rPr>
          <w:rFonts w:ascii="Verdana" w:hAnsi="Verdana" w:cs="Calibri"/>
          <w:w w:val="95"/>
          <w:sz w:val="20"/>
          <w:szCs w:val="20"/>
          <w:lang w:val="es-CR"/>
        </w:rPr>
        <w:t xml:space="preserve"> y la </w:t>
      </w:r>
      <w:r w:rsidRPr="006779CB">
        <w:rPr>
          <w:rFonts w:ascii="Verdana" w:hAnsi="Verdana" w:cs="Calibri"/>
          <w:b/>
          <w:i/>
          <w:w w:val="95"/>
          <w:sz w:val="20"/>
          <w:szCs w:val="20"/>
          <w:lang w:val="es-CR"/>
        </w:rPr>
        <w:t>representante</w:t>
      </w:r>
      <w:r w:rsidRPr="006779CB">
        <w:rPr>
          <w:rFonts w:ascii="Verdana" w:hAnsi="Verdana" w:cs="Calibri"/>
          <w:w w:val="95"/>
          <w:sz w:val="20"/>
          <w:szCs w:val="20"/>
          <w:lang w:val="es-CR"/>
        </w:rPr>
        <w:t xml:space="preserve"> afirmaron que el presente caso se inserta en un contexto de altos niveles de hechos de violencia contra las mujeres y niñas en Guatemala, así como de impunidad generalizada de los mismos. </w:t>
      </w:r>
      <w:r w:rsidRPr="006779CB">
        <w:rPr>
          <w:rFonts w:ascii="Verdana" w:hAnsi="Verdana"/>
          <w:w w:val="95"/>
          <w:sz w:val="20"/>
          <w:lang w:val="es-CR"/>
        </w:rPr>
        <w:t xml:space="preserve">El </w:t>
      </w:r>
      <w:r w:rsidRPr="006779CB">
        <w:rPr>
          <w:rFonts w:ascii="Verdana" w:hAnsi="Verdana"/>
          <w:b/>
          <w:i/>
          <w:w w:val="95"/>
          <w:sz w:val="20"/>
          <w:lang w:val="es-CR"/>
        </w:rPr>
        <w:t>Estado</w:t>
      </w:r>
      <w:r w:rsidRPr="006779CB">
        <w:rPr>
          <w:rFonts w:ascii="Verdana" w:hAnsi="Verdana"/>
          <w:w w:val="95"/>
          <w:sz w:val="20"/>
          <w:lang w:val="es-CR"/>
        </w:rPr>
        <w:t xml:space="preserve"> expresó que es “falso” que “ignor[e]” la “tendencia creciente de violencia contra las mujeres en la región”</w:t>
      </w:r>
      <w:r w:rsidR="00DD70DA">
        <w:rPr>
          <w:rFonts w:ascii="Verdana" w:hAnsi="Verdana"/>
          <w:w w:val="95"/>
          <w:sz w:val="20"/>
          <w:lang w:val="es-CR"/>
        </w:rPr>
        <w:t>, sino</w:t>
      </w:r>
      <w:r w:rsidRPr="006779CB">
        <w:rPr>
          <w:rFonts w:ascii="Verdana" w:hAnsi="Verdana"/>
          <w:w w:val="95"/>
          <w:sz w:val="20"/>
          <w:lang w:val="es-CR"/>
        </w:rPr>
        <w:t xml:space="preserve"> que “ha implementado medidas […] para prevenir[la], sancionar[la] y erradicarla”.</w:t>
      </w:r>
      <w:r w:rsidRPr="006779CB">
        <w:rPr>
          <w:rFonts w:ascii="Verdana" w:hAnsi="Verdana"/>
          <w:b/>
          <w:w w:val="95"/>
          <w:sz w:val="20"/>
          <w:lang w:val="es-CR"/>
        </w:rPr>
        <w:t xml:space="preserve"> </w:t>
      </w:r>
      <w:r w:rsidRPr="006779CB">
        <w:rPr>
          <w:rFonts w:ascii="Verdana" w:hAnsi="Verdana"/>
          <w:w w:val="95"/>
          <w:sz w:val="20"/>
          <w:lang w:val="es-CR"/>
        </w:rPr>
        <w:t xml:space="preserve">Afirmó que “no ha[y] </w:t>
      </w:r>
      <w:r w:rsidRPr="006779CB">
        <w:rPr>
          <w:rFonts w:ascii="Verdana" w:hAnsi="Verdana"/>
          <w:w w:val="95"/>
          <w:sz w:val="20"/>
          <w:szCs w:val="20"/>
          <w:lang w:val="es-CR"/>
        </w:rPr>
        <w:t>prueba que […] confirm[e la] conexión</w:t>
      </w:r>
      <w:r w:rsidRPr="006779CB">
        <w:rPr>
          <w:rFonts w:ascii="Verdana" w:hAnsi="Verdana"/>
          <w:w w:val="95"/>
          <w:sz w:val="20"/>
          <w:lang w:val="es-CR"/>
        </w:rPr>
        <w:t>” del presente caso “con un supuesto patrón sistemático de muertes de mujeres”.</w:t>
      </w:r>
      <w:r w:rsidRPr="006779CB">
        <w:rPr>
          <w:rFonts w:ascii="Verdana" w:hAnsi="Verdana"/>
          <w:b/>
          <w:w w:val="95"/>
          <w:sz w:val="20"/>
          <w:lang w:val="es-CR"/>
        </w:rPr>
        <w:t xml:space="preserve"> </w:t>
      </w:r>
      <w:r w:rsidRPr="006779CB">
        <w:rPr>
          <w:rFonts w:ascii="Verdana" w:hAnsi="Verdana"/>
          <w:w w:val="95"/>
          <w:sz w:val="20"/>
          <w:lang w:val="es-CR"/>
        </w:rPr>
        <w:t xml:space="preserve">Sostuvo además </w:t>
      </w:r>
      <w:r w:rsidRPr="006779CB">
        <w:rPr>
          <w:rFonts w:ascii="Verdana" w:hAnsi="Verdana" w:cs="Times"/>
          <w:w w:val="95"/>
          <w:sz w:val="20"/>
          <w:szCs w:val="20"/>
          <w:lang w:val="es-EC"/>
        </w:rPr>
        <w:t>que “</w:t>
      </w:r>
      <w:r w:rsidRPr="006779CB">
        <w:rPr>
          <w:rFonts w:ascii="Verdana" w:hAnsi="Verdana"/>
          <w:bCs/>
          <w:w w:val="95"/>
          <w:sz w:val="20"/>
          <w:szCs w:val="20"/>
        </w:rPr>
        <w:t xml:space="preserve">no todas las muertes violentas de mujeres se perpetran por razón de género”. </w:t>
      </w:r>
      <w:r w:rsidRPr="0050746C">
        <w:rPr>
          <w:rFonts w:ascii="Verdana" w:hAnsi="Verdana"/>
          <w:bCs/>
          <w:w w:val="95"/>
          <w:sz w:val="20"/>
          <w:szCs w:val="20"/>
        </w:rPr>
        <w:t>Aseveró</w:t>
      </w:r>
      <w:r w:rsidRPr="006779CB">
        <w:rPr>
          <w:rFonts w:ascii="Verdana" w:hAnsi="Verdana"/>
          <w:bCs/>
          <w:w w:val="95"/>
          <w:sz w:val="20"/>
          <w:szCs w:val="20"/>
        </w:rPr>
        <w:t xml:space="preserve"> que existe un “dese[o]” de la representante y la Comisión de “encuadrar el […] presente caso [en] un supuesto contexto de violencia en contra de las mujeres que existe dentro de los patrones socioculturales de la población guatemalteca”, pero que “sin embargo ello nunca ha sido resultado de una política pública del Estado y mucho menos [de su] tolerancia ni aquiescencia”. </w:t>
      </w:r>
    </w:p>
    <w:p w:rsidR="00DF15C3" w:rsidRPr="005C2DA3" w:rsidRDefault="00DF15C3" w:rsidP="003F26FD">
      <w:pPr>
        <w:spacing w:after="0" w:line="216" w:lineRule="auto"/>
        <w:ind w:right="-174"/>
        <w:jc w:val="both"/>
        <w:rPr>
          <w:rFonts w:ascii="Verdana" w:hAnsi="Verdana"/>
          <w:w w:val="95"/>
          <w:sz w:val="20"/>
          <w:szCs w:val="20"/>
          <w:lang w:val="es-AR"/>
        </w:rPr>
      </w:pPr>
    </w:p>
    <w:p w:rsidR="00DF15C3" w:rsidRPr="00584232" w:rsidRDefault="00DF15C3" w:rsidP="003F26FD">
      <w:pPr>
        <w:pStyle w:val="Prrafodelista"/>
        <w:numPr>
          <w:ilvl w:val="0"/>
          <w:numId w:val="17"/>
        </w:numPr>
        <w:spacing w:after="0" w:line="216" w:lineRule="auto"/>
        <w:ind w:left="-142" w:right="-174" w:firstLine="0"/>
        <w:jc w:val="both"/>
        <w:rPr>
          <w:rFonts w:ascii="Verdana" w:hAnsi="Verdana" w:cs="Calibri"/>
          <w:b/>
          <w:w w:val="95"/>
          <w:sz w:val="20"/>
          <w:szCs w:val="20"/>
          <w:lang w:val="es-CR"/>
        </w:rPr>
      </w:pPr>
      <w:r w:rsidRPr="006779CB">
        <w:rPr>
          <w:rFonts w:ascii="Verdana" w:hAnsi="Verdana"/>
          <w:w w:val="95"/>
          <w:sz w:val="20"/>
          <w:szCs w:val="20"/>
          <w:lang w:val="es-CR"/>
        </w:rPr>
        <w:lastRenderedPageBreak/>
        <w:t>C</w:t>
      </w:r>
      <w:r w:rsidRPr="005C2DA3">
        <w:rPr>
          <w:rFonts w:ascii="Verdana" w:hAnsi="Verdana" w:cs="Calibri"/>
          <w:w w:val="95"/>
          <w:sz w:val="20"/>
          <w:szCs w:val="20"/>
          <w:lang w:val="es-CR"/>
        </w:rPr>
        <w:t>on base en lo anterior, la Corte se referirá seguidamente a aspectos relativos a la prueba del contexto y, posteriormente, a la situación en Guatemala relativa a homicidios por razón de género, actos violentos contra mujeres e impunidad en la investigación</w:t>
      </w:r>
      <w:r>
        <w:rPr>
          <w:rFonts w:ascii="Verdana" w:hAnsi="Verdana" w:cs="Calibri"/>
          <w:w w:val="95"/>
          <w:sz w:val="20"/>
          <w:szCs w:val="20"/>
          <w:lang w:val="es-CR"/>
        </w:rPr>
        <w:t>,</w:t>
      </w:r>
      <w:r w:rsidRPr="005C2DA3">
        <w:rPr>
          <w:rFonts w:ascii="Verdana" w:hAnsi="Verdana" w:cs="Calibri"/>
          <w:w w:val="95"/>
          <w:sz w:val="20"/>
          <w:szCs w:val="20"/>
          <w:lang w:val="es-CR"/>
        </w:rPr>
        <w:t xml:space="preserve"> y</w:t>
      </w:r>
      <w:r>
        <w:rPr>
          <w:rFonts w:ascii="Verdana" w:hAnsi="Verdana" w:cs="Calibri"/>
          <w:w w:val="95"/>
          <w:sz w:val="20"/>
          <w:szCs w:val="20"/>
          <w:lang w:val="es-CR"/>
        </w:rPr>
        <w:t xml:space="preserve"> </w:t>
      </w:r>
      <w:r w:rsidRPr="00CA4C08">
        <w:rPr>
          <w:rFonts w:ascii="Verdana" w:hAnsi="Verdana" w:cs="Calibri"/>
          <w:w w:val="95"/>
          <w:sz w:val="20"/>
          <w:szCs w:val="20"/>
          <w:lang w:val="es-CR"/>
        </w:rPr>
        <w:t>la eventual  sanción de los mismos. Sin embargo, previamente a abordar estas materias hará alusión a la invisibilidad de la violencia contra la mujer en el caso de Guatemala</w:t>
      </w:r>
      <w:r>
        <w:rPr>
          <w:rFonts w:ascii="Verdana" w:hAnsi="Verdana" w:cs="Calibri"/>
          <w:w w:val="95"/>
          <w:sz w:val="20"/>
          <w:szCs w:val="20"/>
          <w:lang w:val="es-CR"/>
        </w:rPr>
        <w:t>,</w:t>
      </w:r>
      <w:r w:rsidRPr="00CA4C08">
        <w:rPr>
          <w:rFonts w:ascii="Verdana" w:hAnsi="Verdana" w:cs="Calibri"/>
          <w:w w:val="95"/>
          <w:sz w:val="20"/>
          <w:szCs w:val="20"/>
          <w:lang w:val="es-CR"/>
        </w:rPr>
        <w:t xml:space="preserve"> pues esta situación, por una parte, permite entender la ausencia de datos estadísticos oficiales respecto de los delitos por razón de género, pero además constituye un elemento del contexto de la violencia homicida que afecta de manera específica a las víctimas mujeres.</w:t>
      </w:r>
    </w:p>
    <w:p w:rsidR="00DF15C3" w:rsidRPr="00584232" w:rsidRDefault="00DF15C3" w:rsidP="003F26FD">
      <w:pPr>
        <w:pStyle w:val="Prrafodelista"/>
        <w:spacing w:after="0" w:line="216" w:lineRule="auto"/>
        <w:ind w:left="-142" w:right="-174"/>
        <w:jc w:val="both"/>
        <w:rPr>
          <w:rFonts w:ascii="Verdana" w:hAnsi="Verdana" w:cs="Calibri"/>
          <w:b/>
          <w:w w:val="95"/>
          <w:sz w:val="20"/>
          <w:szCs w:val="20"/>
          <w:lang w:val="es-CR"/>
        </w:rPr>
      </w:pPr>
    </w:p>
    <w:p w:rsidR="00DF15C3" w:rsidRPr="00CA4C08" w:rsidRDefault="00DF15C3" w:rsidP="003F26FD">
      <w:pPr>
        <w:pStyle w:val="Prrafodelista"/>
        <w:numPr>
          <w:ilvl w:val="0"/>
          <w:numId w:val="17"/>
        </w:numPr>
        <w:spacing w:after="0" w:line="216" w:lineRule="auto"/>
        <w:ind w:left="-142" w:right="-174" w:firstLine="0"/>
        <w:jc w:val="both"/>
        <w:rPr>
          <w:rFonts w:ascii="Verdana" w:hAnsi="Verdana" w:cs="Calibri"/>
          <w:w w:val="95"/>
          <w:sz w:val="20"/>
          <w:szCs w:val="20"/>
          <w:lang w:val="es-CR"/>
        </w:rPr>
      </w:pPr>
      <w:r w:rsidRPr="00CA4C08">
        <w:rPr>
          <w:rFonts w:ascii="Verdana" w:hAnsi="Verdana" w:cs="Calibri"/>
          <w:w w:val="95"/>
          <w:sz w:val="20"/>
          <w:szCs w:val="20"/>
          <w:lang w:val="es-CR"/>
        </w:rPr>
        <w:t>El informe “Guatemala</w:t>
      </w:r>
      <w:r w:rsidR="003A0212">
        <w:rPr>
          <w:rFonts w:ascii="Verdana" w:hAnsi="Verdana" w:cs="Calibri"/>
          <w:w w:val="95"/>
          <w:sz w:val="20"/>
          <w:szCs w:val="20"/>
          <w:lang w:val="es-CR"/>
        </w:rPr>
        <w:t>: Memoria del S</w:t>
      </w:r>
      <w:r w:rsidRPr="00CA4C08">
        <w:rPr>
          <w:rFonts w:ascii="Verdana" w:hAnsi="Verdana" w:cs="Calibri"/>
          <w:w w:val="95"/>
          <w:sz w:val="20"/>
          <w:szCs w:val="20"/>
          <w:lang w:val="es-CR"/>
        </w:rPr>
        <w:t>ilencio” señaló que “[l]as mujeres fueron víctimas de todas las formas de violaciones de derechos humanos durante el enfrentamiento armado, pero además sufrieron de formas esp</w:t>
      </w:r>
      <w:r w:rsidR="00547BA6">
        <w:rPr>
          <w:rFonts w:ascii="Verdana" w:hAnsi="Verdana" w:cs="Calibri"/>
          <w:w w:val="95"/>
          <w:sz w:val="20"/>
          <w:szCs w:val="20"/>
          <w:lang w:val="es-CR"/>
        </w:rPr>
        <w:t>ecí</w:t>
      </w:r>
      <w:r w:rsidRPr="00CA4C08">
        <w:rPr>
          <w:rFonts w:ascii="Verdana" w:hAnsi="Verdana" w:cs="Calibri"/>
          <w:w w:val="95"/>
          <w:sz w:val="20"/>
          <w:szCs w:val="20"/>
          <w:lang w:val="es-CR"/>
        </w:rPr>
        <w:t>ficas de violencia de género”</w:t>
      </w:r>
      <w:r w:rsidRPr="00CA4C08">
        <w:rPr>
          <w:rFonts w:ascii="Verdana" w:hAnsi="Verdana" w:cs="Calibri"/>
          <w:w w:val="95"/>
          <w:sz w:val="20"/>
          <w:szCs w:val="20"/>
          <w:vertAlign w:val="superscript"/>
        </w:rPr>
        <w:footnoteReference w:id="63"/>
      </w:r>
      <w:r w:rsidRPr="00CA4C08">
        <w:rPr>
          <w:rFonts w:ascii="Verdana" w:hAnsi="Verdana" w:cs="Calibri"/>
          <w:w w:val="95"/>
          <w:sz w:val="20"/>
          <w:szCs w:val="20"/>
          <w:lang w:val="es-CR"/>
        </w:rPr>
        <w:t>. La Comisión para el Esclarecimiento Histórico llegó a la convicción de que la desvalorización de la cual fueron objeto las mujeres resultó absolut</w:t>
      </w:r>
      <w:r w:rsidR="002440D3">
        <w:rPr>
          <w:rFonts w:ascii="Verdana" w:hAnsi="Verdana" w:cs="Calibri"/>
          <w:w w:val="95"/>
          <w:sz w:val="20"/>
          <w:szCs w:val="20"/>
          <w:lang w:val="es-CR"/>
        </w:rPr>
        <w:t>a y permitió que elementos del e</w:t>
      </w:r>
      <w:r w:rsidRPr="00CA4C08">
        <w:rPr>
          <w:rFonts w:ascii="Verdana" w:hAnsi="Verdana" w:cs="Calibri"/>
          <w:w w:val="95"/>
          <w:sz w:val="20"/>
          <w:szCs w:val="20"/>
          <w:lang w:val="es-CR"/>
        </w:rPr>
        <w:t>jército pudieran agredirlas con total impunidad</w:t>
      </w:r>
      <w:r w:rsidRPr="00CA4C08">
        <w:rPr>
          <w:rFonts w:ascii="Verdana" w:hAnsi="Verdana" w:cs="Calibri"/>
          <w:w w:val="95"/>
          <w:sz w:val="20"/>
          <w:szCs w:val="20"/>
          <w:vertAlign w:val="superscript"/>
        </w:rPr>
        <w:footnoteReference w:id="64"/>
      </w:r>
      <w:r w:rsidRPr="00CA4C08">
        <w:rPr>
          <w:rFonts w:ascii="Verdana" w:hAnsi="Verdana" w:cs="Calibri"/>
          <w:w w:val="95"/>
          <w:sz w:val="20"/>
          <w:szCs w:val="20"/>
          <w:lang w:val="es-CR"/>
        </w:rPr>
        <w:t xml:space="preserve">, y concluyó que durante el enfrentamiento armado interno los tribunales de justicia se mostraron incapaces de investigar, procesar, juzgar y sancionar siquiera a los responsables. </w:t>
      </w:r>
    </w:p>
    <w:p w:rsidR="00DF15C3" w:rsidRPr="00584232" w:rsidRDefault="00DF15C3" w:rsidP="003F26FD">
      <w:pPr>
        <w:pStyle w:val="Prrafodelista"/>
        <w:spacing w:after="0" w:line="216" w:lineRule="auto"/>
        <w:ind w:left="-142" w:right="-174"/>
        <w:jc w:val="both"/>
        <w:rPr>
          <w:rFonts w:ascii="Verdana" w:hAnsi="Verdana" w:cs="Calibri"/>
          <w:b/>
          <w:w w:val="95"/>
          <w:sz w:val="20"/>
          <w:szCs w:val="20"/>
          <w:lang w:val="es-CR"/>
        </w:rPr>
      </w:pPr>
    </w:p>
    <w:p w:rsidR="00DF15C3" w:rsidRPr="00200056" w:rsidRDefault="00DF15C3" w:rsidP="003F26FD">
      <w:pPr>
        <w:pStyle w:val="Prrafodelista"/>
        <w:numPr>
          <w:ilvl w:val="0"/>
          <w:numId w:val="17"/>
        </w:numPr>
        <w:spacing w:after="0" w:line="216" w:lineRule="auto"/>
        <w:ind w:left="-142" w:right="-174" w:firstLine="0"/>
        <w:jc w:val="both"/>
        <w:rPr>
          <w:rFonts w:ascii="Verdana" w:hAnsi="Verdana" w:cs="Calibri"/>
          <w:w w:val="95"/>
          <w:sz w:val="20"/>
          <w:szCs w:val="20"/>
          <w:lang w:val="es-CR"/>
        </w:rPr>
      </w:pPr>
      <w:r w:rsidRPr="00200056">
        <w:rPr>
          <w:rFonts w:ascii="Verdana" w:hAnsi="Verdana" w:cs="Calibri"/>
          <w:w w:val="95"/>
          <w:sz w:val="20"/>
          <w:szCs w:val="20"/>
          <w:lang w:val="es-CR"/>
        </w:rPr>
        <w:t>Esta situación ha persistido con posterioridad a la finalización del conflicto armado, y se ve reflejada actualmente en una cultura de violencia que continúa con los años, dentro de la cual hay un sustrato propio de violencia que afecta especialmente a mujeres. Pese a ello, esta violencia ha pasado desapercibida</w:t>
      </w:r>
      <w:r>
        <w:rPr>
          <w:rFonts w:ascii="Verdana" w:hAnsi="Verdana" w:cs="Calibri"/>
          <w:w w:val="95"/>
          <w:sz w:val="20"/>
          <w:szCs w:val="20"/>
          <w:lang w:val="es-CR"/>
        </w:rPr>
        <w:t>,</w:t>
      </w:r>
      <w:r w:rsidRPr="00200056">
        <w:rPr>
          <w:rFonts w:ascii="Verdana" w:hAnsi="Verdana" w:cs="Calibri"/>
          <w:w w:val="95"/>
          <w:sz w:val="20"/>
          <w:szCs w:val="20"/>
          <w:lang w:val="es-CR"/>
        </w:rPr>
        <w:t xml:space="preserve"> entre otras razones</w:t>
      </w:r>
      <w:r>
        <w:rPr>
          <w:rFonts w:ascii="Verdana" w:hAnsi="Verdana" w:cs="Calibri"/>
          <w:w w:val="95"/>
          <w:sz w:val="20"/>
          <w:szCs w:val="20"/>
          <w:lang w:val="es-CR"/>
        </w:rPr>
        <w:t>,</w:t>
      </w:r>
      <w:r w:rsidRPr="00200056">
        <w:rPr>
          <w:rFonts w:ascii="Verdana" w:hAnsi="Verdana" w:cs="Calibri"/>
          <w:w w:val="95"/>
          <w:sz w:val="20"/>
          <w:szCs w:val="20"/>
          <w:lang w:val="es-CR"/>
        </w:rPr>
        <w:t xml:space="preserve"> por la falta de cuantificación oficial hasta fechas recientes, de manera que resulta particularment</w:t>
      </w:r>
      <w:r w:rsidR="008527AF">
        <w:rPr>
          <w:rFonts w:ascii="Verdana" w:hAnsi="Verdana" w:cs="Calibri"/>
          <w:w w:val="95"/>
          <w:sz w:val="20"/>
          <w:szCs w:val="20"/>
          <w:lang w:val="es-CR"/>
        </w:rPr>
        <w:t>e difícil contar con estadísti</w:t>
      </w:r>
      <w:r w:rsidRPr="00200056">
        <w:rPr>
          <w:rFonts w:ascii="Verdana" w:hAnsi="Verdana" w:cs="Calibri"/>
          <w:w w:val="95"/>
          <w:sz w:val="20"/>
          <w:szCs w:val="20"/>
          <w:lang w:val="es-CR"/>
        </w:rPr>
        <w:t>cas fiables que proporcionen datos ciertos sobre la magnitud de la violencia perpetrada contra las mujeres en Guatemala</w:t>
      </w:r>
      <w:r>
        <w:rPr>
          <w:rFonts w:ascii="Verdana" w:hAnsi="Verdana" w:cs="Calibri"/>
          <w:w w:val="95"/>
          <w:sz w:val="20"/>
          <w:szCs w:val="20"/>
          <w:lang w:val="es-CR"/>
        </w:rPr>
        <w:t>.</w:t>
      </w:r>
      <w:r w:rsidRPr="00200056">
        <w:rPr>
          <w:rFonts w:ascii="Verdana" w:hAnsi="Verdana" w:cs="Calibri"/>
          <w:w w:val="95"/>
          <w:sz w:val="20"/>
          <w:szCs w:val="20"/>
          <w:lang w:val="es-CR"/>
        </w:rPr>
        <w:t xml:space="preserve"> </w:t>
      </w:r>
      <w:r>
        <w:rPr>
          <w:rFonts w:ascii="Verdana" w:hAnsi="Verdana" w:cs="Calibri"/>
          <w:w w:val="95"/>
          <w:sz w:val="20"/>
          <w:szCs w:val="20"/>
          <w:lang w:val="es-CR"/>
        </w:rPr>
        <w:t>E</w:t>
      </w:r>
      <w:r w:rsidRPr="00200056">
        <w:rPr>
          <w:rFonts w:ascii="Verdana" w:hAnsi="Verdana" w:cs="Calibri"/>
          <w:w w:val="95"/>
          <w:sz w:val="20"/>
          <w:szCs w:val="20"/>
          <w:lang w:val="es-CR"/>
        </w:rPr>
        <w:t>n consecuencia</w:t>
      </w:r>
      <w:r>
        <w:rPr>
          <w:rFonts w:ascii="Verdana" w:hAnsi="Verdana" w:cs="Calibri"/>
          <w:w w:val="95"/>
          <w:sz w:val="20"/>
          <w:szCs w:val="20"/>
          <w:lang w:val="es-CR"/>
        </w:rPr>
        <w:t>,</w:t>
      </w:r>
      <w:r w:rsidRPr="00200056">
        <w:rPr>
          <w:rFonts w:ascii="Verdana" w:hAnsi="Verdana" w:cs="Calibri"/>
          <w:w w:val="95"/>
          <w:sz w:val="20"/>
          <w:szCs w:val="20"/>
          <w:lang w:val="es-CR"/>
        </w:rPr>
        <w:t xml:space="preserve"> “[l]a ausencia casi absoluta de datos desglosados por géneros en los documentos oficiales hace que la violencia de género se registre en general en menor proporción de la que representa realmente e incluso que a menudo apenas quede reflejada”</w:t>
      </w:r>
      <w:r w:rsidRPr="00200056">
        <w:rPr>
          <w:rFonts w:ascii="Verdana" w:hAnsi="Verdana" w:cs="Calibri"/>
          <w:w w:val="95"/>
          <w:sz w:val="20"/>
          <w:szCs w:val="20"/>
          <w:vertAlign w:val="superscript"/>
        </w:rPr>
        <w:footnoteReference w:id="65"/>
      </w:r>
      <w:r w:rsidRPr="00200056">
        <w:rPr>
          <w:rFonts w:ascii="Verdana" w:hAnsi="Verdana" w:cs="Calibri"/>
          <w:w w:val="95"/>
          <w:sz w:val="20"/>
          <w:szCs w:val="20"/>
          <w:lang w:val="es-CR"/>
        </w:rPr>
        <w:t xml:space="preserve">. </w:t>
      </w:r>
    </w:p>
    <w:p w:rsidR="00DF15C3" w:rsidRPr="00293A42" w:rsidRDefault="00DF15C3" w:rsidP="003F26FD">
      <w:pPr>
        <w:spacing w:after="0" w:line="216" w:lineRule="auto"/>
        <w:ind w:right="-174"/>
        <w:jc w:val="both"/>
        <w:rPr>
          <w:rFonts w:ascii="Verdana" w:hAnsi="Verdana"/>
          <w:w w:val="95"/>
          <w:sz w:val="20"/>
          <w:szCs w:val="20"/>
          <w:lang w:val="es-CR"/>
        </w:rPr>
      </w:pPr>
    </w:p>
    <w:p w:rsidR="00DF15C3" w:rsidRPr="006779CB" w:rsidRDefault="00DF15C3" w:rsidP="003F26FD">
      <w:pPr>
        <w:pStyle w:val="Prrafodelista"/>
        <w:spacing w:after="0" w:line="216" w:lineRule="auto"/>
        <w:ind w:left="567" w:right="-174"/>
        <w:jc w:val="both"/>
        <w:outlineLvl w:val="2"/>
        <w:rPr>
          <w:rFonts w:ascii="Verdana" w:hAnsi="Verdana"/>
          <w:b/>
          <w:i/>
          <w:w w:val="95"/>
          <w:sz w:val="20"/>
          <w:szCs w:val="20"/>
          <w:lang w:val="es-CR"/>
        </w:rPr>
      </w:pPr>
      <w:bookmarkStart w:id="71" w:name="_Toc394313660"/>
      <w:r w:rsidRPr="006779CB">
        <w:rPr>
          <w:rFonts w:ascii="Verdana" w:hAnsi="Verdana"/>
          <w:b/>
          <w:i/>
          <w:w w:val="95"/>
          <w:sz w:val="20"/>
          <w:szCs w:val="20"/>
          <w:lang w:val="es-CR"/>
        </w:rPr>
        <w:t>A.2) Sobre la prueba de la situación de contexto</w:t>
      </w:r>
      <w:bookmarkEnd w:id="71"/>
    </w:p>
    <w:p w:rsidR="00DF15C3" w:rsidRPr="006779CB" w:rsidRDefault="00DF15C3" w:rsidP="003F26FD">
      <w:pPr>
        <w:pStyle w:val="Prrafodelista"/>
        <w:spacing w:after="0" w:line="216" w:lineRule="auto"/>
        <w:ind w:left="-142" w:right="-174"/>
        <w:jc w:val="both"/>
        <w:rPr>
          <w:rFonts w:ascii="Verdana" w:hAnsi="Verdana"/>
          <w:w w:val="95"/>
          <w:sz w:val="20"/>
          <w:szCs w:val="20"/>
          <w:lang w:val="es-CR"/>
        </w:rPr>
      </w:pPr>
    </w:p>
    <w:p w:rsidR="00DF15C3" w:rsidRPr="00584232" w:rsidRDefault="00DF15C3" w:rsidP="003F26FD">
      <w:pPr>
        <w:pStyle w:val="Prrafodelista"/>
        <w:numPr>
          <w:ilvl w:val="0"/>
          <w:numId w:val="17"/>
        </w:numPr>
        <w:spacing w:after="0" w:line="216" w:lineRule="auto"/>
        <w:ind w:left="-142" w:right="-174" w:firstLine="0"/>
        <w:jc w:val="both"/>
        <w:rPr>
          <w:rFonts w:ascii="Verdana" w:hAnsi="Verdana"/>
          <w:b/>
          <w:w w:val="95"/>
          <w:sz w:val="20"/>
          <w:szCs w:val="20"/>
          <w:lang w:val="es-CR"/>
        </w:rPr>
      </w:pPr>
      <w:r w:rsidRPr="00137E5C">
        <w:rPr>
          <w:rFonts w:ascii="Verdana" w:hAnsi="Verdana" w:cs="Calibri"/>
          <w:w w:val="95"/>
          <w:sz w:val="20"/>
          <w:szCs w:val="20"/>
          <w:lang w:val="es-CR"/>
        </w:rPr>
        <w:t>El Estado, en su escrito de contestación expresó, en forma genérica, que “rechaza varios señalamientos incluidos en el Informe de Fondo […,] pues en el apartado ‘IV. HECHOS PROBADOS’, la C[omisión] enumer[ó] lo que t[uvo] por cierto y a consideraci[ó]n […] del Estado ciertos hechos han sido desvirtuados por los peticionarios, o bien, han sido mal interpretados por</w:t>
      </w:r>
      <w:r w:rsidR="008527AF">
        <w:rPr>
          <w:rFonts w:ascii="Verdana" w:hAnsi="Verdana" w:cs="Calibri"/>
          <w:w w:val="95"/>
          <w:sz w:val="20"/>
          <w:szCs w:val="20"/>
          <w:lang w:val="es-CR"/>
        </w:rPr>
        <w:t xml:space="preserve"> la […] Comisión”. </w:t>
      </w:r>
      <w:r w:rsidRPr="00B42D02">
        <w:rPr>
          <w:rFonts w:ascii="Verdana" w:hAnsi="Verdana" w:cs="Calibri"/>
          <w:w w:val="95"/>
          <w:sz w:val="20"/>
          <w:szCs w:val="20"/>
          <w:lang w:val="es-CR"/>
        </w:rPr>
        <w:t xml:space="preserve">Sin perjuicio de tal aseveración, y si bien el Estado efectuó observaciones y presentó prueba sobre la situación de contexto, </w:t>
      </w:r>
      <w:r w:rsidRPr="00137E5C">
        <w:rPr>
          <w:rFonts w:ascii="Verdana" w:hAnsi="Verdana" w:cs="Calibri"/>
          <w:w w:val="95"/>
          <w:sz w:val="20"/>
          <w:szCs w:val="20"/>
          <w:lang w:val="es-CR"/>
        </w:rPr>
        <w:t>no precisó que ello controvirtiera en forma directa aspectos puntuales de datos y</w:t>
      </w:r>
      <w:r w:rsidRPr="00B42D02">
        <w:rPr>
          <w:rFonts w:ascii="Verdana" w:hAnsi="Verdana"/>
          <w:sz w:val="20"/>
          <w:szCs w:val="20"/>
          <w:lang w:val="es-CR"/>
        </w:rPr>
        <w:t xml:space="preserve"> </w:t>
      </w:r>
      <w:r w:rsidRPr="00B42D02">
        <w:rPr>
          <w:rFonts w:ascii="Verdana" w:hAnsi="Verdana" w:cs="Calibri"/>
          <w:w w:val="95"/>
          <w:sz w:val="20"/>
          <w:szCs w:val="20"/>
          <w:lang w:val="es-CR"/>
        </w:rPr>
        <w:t>expresiones vertidas en el Informe de Fondo y en el escrito de solicitudes y argumentos respecto de la existencia de un contexto de homicidios por razón de género y de impunidad</w:t>
      </w:r>
      <w:r w:rsidRPr="00B42D02">
        <w:rPr>
          <w:rStyle w:val="Refdenotaalpie"/>
          <w:rFonts w:ascii="Verdana" w:hAnsi="Verdana" w:cs="Calibri"/>
          <w:w w:val="95"/>
          <w:sz w:val="20"/>
        </w:rPr>
        <w:footnoteReference w:id="66"/>
      </w:r>
      <w:r w:rsidRPr="00B42D02">
        <w:rPr>
          <w:rFonts w:ascii="Verdana" w:hAnsi="Verdana" w:cs="Calibri"/>
          <w:w w:val="95"/>
          <w:sz w:val="20"/>
          <w:szCs w:val="20"/>
          <w:lang w:val="es-CR"/>
        </w:rPr>
        <w:t>.</w:t>
      </w:r>
      <w:r w:rsidRPr="006779CB">
        <w:rPr>
          <w:rFonts w:ascii="Verdana" w:hAnsi="Verdana" w:cs="Calibri"/>
          <w:w w:val="95"/>
          <w:sz w:val="20"/>
          <w:szCs w:val="20"/>
          <w:lang w:val="es-CR"/>
        </w:rPr>
        <w:t xml:space="preserve"> Por lo expuesto, el Tribunal apreciará las manifestaciones efectuadas por la Comisión y la representante</w:t>
      </w:r>
      <w:r>
        <w:rPr>
          <w:rFonts w:ascii="Verdana" w:hAnsi="Verdana" w:cs="Calibri"/>
          <w:w w:val="95"/>
          <w:sz w:val="20"/>
          <w:szCs w:val="20"/>
          <w:lang w:val="es-CR"/>
        </w:rPr>
        <w:t>,</w:t>
      </w:r>
      <w:r w:rsidRPr="006779CB">
        <w:rPr>
          <w:rFonts w:ascii="Verdana" w:hAnsi="Verdana" w:cs="Calibri"/>
          <w:w w:val="95"/>
          <w:sz w:val="20"/>
          <w:szCs w:val="20"/>
          <w:lang w:val="es-CR"/>
        </w:rPr>
        <w:t xml:space="preserve"> </w:t>
      </w:r>
      <w:r w:rsidR="00A8730F">
        <w:rPr>
          <w:rFonts w:ascii="Verdana" w:hAnsi="Verdana" w:cs="Calibri"/>
          <w:w w:val="95"/>
          <w:sz w:val="20"/>
          <w:szCs w:val="20"/>
          <w:lang w:val="es-CR"/>
        </w:rPr>
        <w:t>así como</w:t>
      </w:r>
      <w:r w:rsidRPr="006779CB">
        <w:rPr>
          <w:rFonts w:ascii="Verdana" w:hAnsi="Verdana" w:cs="Calibri"/>
          <w:w w:val="95"/>
          <w:sz w:val="20"/>
          <w:szCs w:val="20"/>
          <w:lang w:val="es-CR"/>
        </w:rPr>
        <w:t xml:space="preserve"> la prueba aportada por ell</w:t>
      </w:r>
      <w:r>
        <w:rPr>
          <w:rFonts w:ascii="Verdana" w:hAnsi="Verdana" w:cs="Calibri"/>
          <w:w w:val="95"/>
          <w:sz w:val="20"/>
          <w:szCs w:val="20"/>
          <w:lang w:val="es-CR"/>
        </w:rPr>
        <w:t>a</w:t>
      </w:r>
      <w:r w:rsidRPr="006779CB">
        <w:rPr>
          <w:rFonts w:ascii="Verdana" w:hAnsi="Verdana" w:cs="Calibri"/>
          <w:w w:val="95"/>
          <w:sz w:val="20"/>
          <w:szCs w:val="20"/>
          <w:lang w:val="es-CR"/>
        </w:rPr>
        <w:t xml:space="preserve">. Unas y otras aluden, en mayor parte, a aspectos contextuales vinculados a la situación de las mujeres, y sólo en menor grado especifican lo atinente a niñas. </w:t>
      </w:r>
      <w:r w:rsidRPr="007802D0">
        <w:rPr>
          <w:rFonts w:ascii="Verdana" w:hAnsi="Verdana" w:cs="Calibri"/>
          <w:w w:val="95"/>
          <w:sz w:val="20"/>
          <w:szCs w:val="20"/>
          <w:lang w:val="es-CR"/>
        </w:rPr>
        <w:t>De igual modo, tendrá en consideración las observaciones y prueba presentadas por el Estado</w:t>
      </w:r>
      <w:r w:rsidR="00E156D2">
        <w:rPr>
          <w:rFonts w:ascii="Verdana" w:hAnsi="Verdana" w:cs="Calibri"/>
          <w:w w:val="95"/>
          <w:sz w:val="20"/>
          <w:szCs w:val="20"/>
          <w:lang w:val="es-CR"/>
        </w:rPr>
        <w:t>.</w:t>
      </w:r>
    </w:p>
    <w:p w:rsidR="00DF15C3" w:rsidRPr="006779CB" w:rsidRDefault="00DF15C3" w:rsidP="003F26FD">
      <w:pPr>
        <w:pStyle w:val="Prrafodelista"/>
        <w:spacing w:after="0" w:line="216" w:lineRule="auto"/>
        <w:ind w:left="-142" w:right="-174"/>
        <w:jc w:val="both"/>
        <w:rPr>
          <w:rFonts w:ascii="Verdana" w:hAnsi="Verdana"/>
          <w:w w:val="95"/>
          <w:sz w:val="20"/>
          <w:szCs w:val="20"/>
          <w:lang w:val="es-CR"/>
        </w:rPr>
      </w:pPr>
    </w:p>
    <w:p w:rsidR="00DF15C3" w:rsidRPr="0043242C" w:rsidRDefault="00DF15C3" w:rsidP="003F26FD">
      <w:pPr>
        <w:pStyle w:val="Prrafodelista"/>
        <w:numPr>
          <w:ilvl w:val="0"/>
          <w:numId w:val="17"/>
        </w:numPr>
        <w:spacing w:after="0" w:line="216" w:lineRule="auto"/>
        <w:ind w:left="-142" w:right="-174" w:firstLine="0"/>
        <w:jc w:val="both"/>
        <w:rPr>
          <w:rFonts w:ascii="Verdana" w:hAnsi="Verdana"/>
          <w:w w:val="95"/>
          <w:sz w:val="20"/>
          <w:szCs w:val="20"/>
          <w:lang w:val="es-CR"/>
        </w:rPr>
      </w:pPr>
      <w:r w:rsidRPr="006779CB">
        <w:rPr>
          <w:rFonts w:ascii="Verdana" w:hAnsi="Verdana" w:cs="Calibri"/>
          <w:w w:val="95"/>
          <w:sz w:val="20"/>
          <w:szCs w:val="20"/>
          <w:lang w:val="es-CR"/>
        </w:rPr>
        <w:t>Por otra parte, la Cor</w:t>
      </w:r>
      <w:r>
        <w:rPr>
          <w:rFonts w:ascii="Verdana" w:hAnsi="Verdana" w:cs="Calibri"/>
          <w:w w:val="95"/>
          <w:sz w:val="20"/>
          <w:szCs w:val="20"/>
          <w:lang w:val="es-CR"/>
        </w:rPr>
        <w:t xml:space="preserve">te tiene en cuenta que, </w:t>
      </w:r>
      <w:r w:rsidRPr="004F0C25">
        <w:rPr>
          <w:rFonts w:ascii="Verdana" w:hAnsi="Verdana" w:cs="Calibri"/>
          <w:w w:val="95"/>
          <w:sz w:val="20"/>
          <w:szCs w:val="20"/>
          <w:lang w:val="es-CR"/>
        </w:rPr>
        <w:t>si bien algunas agencias estatales han producido alguna información sobre la violencia homicida contra la mujer, en todo caso</w:t>
      </w:r>
      <w:r>
        <w:rPr>
          <w:rFonts w:ascii="Verdana" w:hAnsi="Verdana" w:cs="Calibri"/>
          <w:w w:val="95"/>
          <w:sz w:val="20"/>
          <w:szCs w:val="20"/>
          <w:lang w:val="es-CR"/>
        </w:rPr>
        <w:t>,</w:t>
      </w:r>
      <w:r w:rsidRPr="004F0C25">
        <w:rPr>
          <w:rFonts w:ascii="Verdana" w:hAnsi="Verdana" w:cs="Calibri"/>
          <w:w w:val="95"/>
          <w:sz w:val="20"/>
          <w:szCs w:val="20"/>
          <w:lang w:val="es-CR"/>
        </w:rPr>
        <w:t xml:space="preserve"> no hay cifras oficiales que permitan desagregar, al menos en relación con hechos acaecidos </w:t>
      </w:r>
      <w:r w:rsidRPr="004F0C25">
        <w:rPr>
          <w:rFonts w:ascii="Verdana" w:hAnsi="Verdana" w:cs="Calibri"/>
          <w:w w:val="95"/>
          <w:sz w:val="20"/>
          <w:szCs w:val="20"/>
          <w:lang w:val="es-CR"/>
        </w:rPr>
        <w:lastRenderedPageBreak/>
        <w:t>antes de 2008</w:t>
      </w:r>
      <w:r w:rsidRPr="004F0C25">
        <w:rPr>
          <w:rStyle w:val="Refdenotaalpie"/>
          <w:rFonts w:ascii="Verdana" w:hAnsi="Verdana" w:cs="Calibri"/>
          <w:w w:val="95"/>
          <w:sz w:val="20"/>
        </w:rPr>
        <w:footnoteReference w:id="67"/>
      </w:r>
      <w:r w:rsidRPr="004F0C25">
        <w:rPr>
          <w:rFonts w:ascii="Verdana" w:hAnsi="Verdana" w:cs="Calibri"/>
          <w:w w:val="95"/>
          <w:sz w:val="20"/>
          <w:szCs w:val="20"/>
          <w:lang w:val="es-CR"/>
        </w:rPr>
        <w:t>, de aquellos casos de muertes violentas de mujeres los q</w:t>
      </w:r>
      <w:r w:rsidRPr="006779CB">
        <w:rPr>
          <w:rFonts w:ascii="Verdana" w:hAnsi="Verdana" w:cs="Calibri"/>
          <w:w w:val="95"/>
          <w:sz w:val="20"/>
          <w:szCs w:val="20"/>
          <w:lang w:val="es-CR"/>
        </w:rPr>
        <w:t>ue fueron homicidios cometidos por razones de géner</w:t>
      </w:r>
      <w:r w:rsidRPr="007802D0">
        <w:rPr>
          <w:rFonts w:ascii="Verdana" w:hAnsi="Verdana" w:cs="Calibri"/>
          <w:w w:val="95"/>
          <w:sz w:val="20"/>
          <w:szCs w:val="20"/>
          <w:lang w:val="es-CR"/>
        </w:rPr>
        <w:t>o</w:t>
      </w:r>
      <w:r w:rsidRPr="007802D0">
        <w:rPr>
          <w:rStyle w:val="Refdenotaalpie"/>
          <w:rFonts w:ascii="Verdana" w:hAnsi="Verdana" w:cs="Calibri"/>
          <w:w w:val="95"/>
          <w:sz w:val="20"/>
          <w:szCs w:val="20"/>
          <w:lang w:val="es-CR"/>
        </w:rPr>
        <w:footnoteReference w:id="68"/>
      </w:r>
      <w:r w:rsidRPr="007802D0">
        <w:rPr>
          <w:rFonts w:ascii="Verdana" w:hAnsi="Verdana" w:cs="Calibri"/>
          <w:w w:val="95"/>
          <w:sz w:val="20"/>
          <w:szCs w:val="20"/>
          <w:lang w:val="es-CR"/>
        </w:rPr>
        <w:t>.</w:t>
      </w:r>
      <w:r w:rsidRPr="006779CB">
        <w:rPr>
          <w:rFonts w:ascii="Verdana" w:hAnsi="Verdana"/>
          <w:w w:val="95"/>
          <w:sz w:val="20"/>
          <w:szCs w:val="20"/>
          <w:lang w:val="es-CR"/>
        </w:rPr>
        <w:t xml:space="preserve"> En tal sentido</w:t>
      </w:r>
      <w:r w:rsidRPr="006779CB">
        <w:rPr>
          <w:rFonts w:ascii="Verdana" w:hAnsi="Verdana" w:cs="Calibri"/>
          <w:w w:val="95"/>
          <w:sz w:val="20"/>
          <w:szCs w:val="20"/>
          <w:lang w:val="es-CR"/>
        </w:rPr>
        <w:t>,</w:t>
      </w:r>
      <w:r w:rsidRPr="006779CB">
        <w:rPr>
          <w:rFonts w:ascii="Verdana" w:hAnsi="Verdana" w:cs="Calibri"/>
          <w:w w:val="95"/>
          <w:sz w:val="20"/>
          <w:lang w:val="es-CR"/>
        </w:rPr>
        <w:t xml:space="preserve"> ese mismo año el Estado</w:t>
      </w:r>
      <w:r w:rsidRPr="006779CB">
        <w:rPr>
          <w:rFonts w:ascii="Verdana" w:hAnsi="Verdana" w:cs="Calibri"/>
          <w:w w:val="95"/>
          <w:sz w:val="20"/>
          <w:szCs w:val="20"/>
          <w:lang w:val="es-CR"/>
        </w:rPr>
        <w:t xml:space="preserve"> </w:t>
      </w:r>
      <w:r w:rsidRPr="007802D0">
        <w:rPr>
          <w:rFonts w:ascii="Verdana" w:hAnsi="Verdana" w:cs="Calibri"/>
          <w:w w:val="95"/>
          <w:sz w:val="20"/>
          <w:lang w:val="es-CR"/>
        </w:rPr>
        <w:t>informó al</w:t>
      </w:r>
      <w:r w:rsidRPr="007802D0">
        <w:rPr>
          <w:rFonts w:ascii="Verdana" w:hAnsi="Verdana" w:cs="Calibri"/>
          <w:w w:val="95"/>
          <w:sz w:val="20"/>
          <w:szCs w:val="20"/>
          <w:lang w:val="es-CR"/>
        </w:rPr>
        <w:t xml:space="preserve"> Mecanismo de Seguimiento de la Convención de Belém do Pará (MESECVI), en relación con “los datos estadísticos”, que “[n]o son de acceso fácil y debido a limitantes presupuestarias, hay información recopilada pero no procesada y/o información procesada pero no publicada”</w:t>
      </w:r>
      <w:r w:rsidRPr="007802D0">
        <w:rPr>
          <w:rStyle w:val="Refdenotaalpie"/>
          <w:rFonts w:ascii="Verdana" w:hAnsi="Verdana" w:cs="Calibri"/>
          <w:w w:val="95"/>
          <w:sz w:val="20"/>
          <w:lang w:val="es-CR"/>
        </w:rPr>
        <w:footnoteReference w:id="69"/>
      </w:r>
      <w:r w:rsidRPr="007802D0">
        <w:rPr>
          <w:rFonts w:ascii="Verdana" w:hAnsi="Verdana" w:cs="Calibri"/>
          <w:w w:val="95"/>
          <w:sz w:val="20"/>
          <w:szCs w:val="20"/>
          <w:lang w:val="es-CR"/>
        </w:rPr>
        <w:t>.</w:t>
      </w:r>
      <w:r w:rsidRPr="007802D0">
        <w:rPr>
          <w:rFonts w:ascii="Verdana" w:hAnsi="Verdana" w:cs="Calibri"/>
          <w:w w:val="95"/>
          <w:sz w:val="20"/>
          <w:lang w:val="es-CR"/>
        </w:rPr>
        <w:t xml:space="preserve"> El MESECVI afirmó la insuficiencia de la información estatal </w:t>
      </w:r>
      <w:r w:rsidRPr="00547BA6">
        <w:rPr>
          <w:rFonts w:ascii="Verdana" w:hAnsi="Verdana" w:cs="Calibri"/>
          <w:w w:val="95"/>
          <w:sz w:val="20"/>
          <w:lang w:val="es-CR"/>
        </w:rPr>
        <w:t>(</w:t>
      </w:r>
      <w:r w:rsidR="00F15CBE" w:rsidRPr="00547BA6">
        <w:rPr>
          <w:rFonts w:ascii="Verdana" w:hAnsi="Verdana" w:cs="Calibri"/>
          <w:i/>
          <w:w w:val="95"/>
          <w:sz w:val="20"/>
          <w:lang w:val="es-CR"/>
        </w:rPr>
        <w:t>infra</w:t>
      </w:r>
      <w:r w:rsidR="00F15CBE" w:rsidRPr="00547BA6">
        <w:rPr>
          <w:rFonts w:ascii="Verdana" w:hAnsi="Verdana" w:cs="Calibri"/>
          <w:w w:val="95"/>
          <w:sz w:val="20"/>
          <w:lang w:val="es-CR"/>
        </w:rPr>
        <w:t xml:space="preserve"> nota al pie de página </w:t>
      </w:r>
      <w:r w:rsidR="00CD24B2" w:rsidRPr="00547BA6">
        <w:rPr>
          <w:rFonts w:ascii="Verdana" w:hAnsi="Verdana" w:cs="Calibri"/>
          <w:w w:val="95"/>
          <w:sz w:val="20"/>
          <w:lang w:val="es-CR"/>
        </w:rPr>
        <w:t>2</w:t>
      </w:r>
      <w:r w:rsidR="00DD3394">
        <w:rPr>
          <w:rFonts w:ascii="Verdana" w:hAnsi="Verdana" w:cs="Calibri"/>
          <w:w w:val="95"/>
          <w:sz w:val="20"/>
          <w:lang w:val="es-CR"/>
        </w:rPr>
        <w:t>44</w:t>
      </w:r>
      <w:r w:rsidRPr="00547BA6">
        <w:rPr>
          <w:rFonts w:ascii="Verdana" w:hAnsi="Verdana" w:cs="Calibri"/>
          <w:w w:val="95"/>
          <w:sz w:val="20"/>
          <w:lang w:val="es-CR"/>
        </w:rPr>
        <w:t>)</w:t>
      </w:r>
      <w:r w:rsidRPr="00547BA6">
        <w:rPr>
          <w:rStyle w:val="Refdenotaalpie"/>
          <w:rFonts w:ascii="Verdana" w:hAnsi="Verdana" w:cs="Calibri"/>
          <w:w w:val="95"/>
          <w:sz w:val="20"/>
          <w:lang w:val="es-CR"/>
        </w:rPr>
        <w:footnoteReference w:id="70"/>
      </w:r>
      <w:r w:rsidRPr="00547BA6">
        <w:rPr>
          <w:rFonts w:ascii="Verdana" w:hAnsi="Verdana" w:cs="Calibri"/>
          <w:w w:val="95"/>
          <w:sz w:val="20"/>
          <w:lang w:val="es-CR"/>
        </w:rPr>
        <w:t>.</w:t>
      </w:r>
    </w:p>
    <w:p w:rsidR="0043242C" w:rsidRPr="0043242C" w:rsidRDefault="0043242C" w:rsidP="003F26FD">
      <w:pPr>
        <w:pStyle w:val="Prrafodelista"/>
        <w:ind w:right="-174"/>
        <w:rPr>
          <w:rFonts w:ascii="Verdana" w:hAnsi="Verdana"/>
          <w:w w:val="95"/>
          <w:sz w:val="20"/>
          <w:szCs w:val="20"/>
          <w:lang w:val="es-CR"/>
        </w:rPr>
      </w:pPr>
    </w:p>
    <w:p w:rsidR="00DF15C3" w:rsidRPr="006779CB" w:rsidRDefault="00DF15C3" w:rsidP="003F26FD">
      <w:pPr>
        <w:pStyle w:val="Prrafodelista"/>
        <w:numPr>
          <w:ilvl w:val="0"/>
          <w:numId w:val="17"/>
        </w:numPr>
        <w:spacing w:after="0" w:line="216" w:lineRule="auto"/>
        <w:ind w:left="-142" w:right="-174" w:firstLine="0"/>
        <w:jc w:val="both"/>
        <w:rPr>
          <w:rFonts w:ascii="Verdana" w:hAnsi="Verdana"/>
          <w:w w:val="95"/>
          <w:sz w:val="20"/>
          <w:szCs w:val="20"/>
          <w:lang w:val="es-CR"/>
        </w:rPr>
      </w:pPr>
      <w:r>
        <w:rPr>
          <w:rFonts w:ascii="Verdana" w:hAnsi="Verdana"/>
          <w:w w:val="95"/>
          <w:sz w:val="20"/>
          <w:szCs w:val="20"/>
          <w:lang w:val="es-CR"/>
        </w:rPr>
        <w:t>La Corte analizará</w:t>
      </w:r>
      <w:r w:rsidRPr="006779CB">
        <w:rPr>
          <w:rFonts w:ascii="Verdana" w:hAnsi="Verdana"/>
          <w:w w:val="95"/>
          <w:sz w:val="20"/>
          <w:szCs w:val="20"/>
          <w:lang w:val="es-CR"/>
        </w:rPr>
        <w:t xml:space="preserve"> las aseveraciones de las partes y la Comisión en cuanto al contexto, así como la prueba existente, teniendo en cuenta todo lo expresado. Cabe aclarar que se considerará, además de prueba pericial, prueba documental de los siguientes tipos: a) documentos provenientes de entidades estatales; b) documentos de entidades internacion</w:t>
      </w:r>
      <w:r>
        <w:rPr>
          <w:rFonts w:ascii="Verdana" w:hAnsi="Verdana"/>
          <w:w w:val="95"/>
          <w:sz w:val="20"/>
          <w:szCs w:val="20"/>
          <w:lang w:val="es-CR"/>
        </w:rPr>
        <w:t>al</w:t>
      </w:r>
      <w:r w:rsidRPr="006779CB">
        <w:rPr>
          <w:rFonts w:ascii="Verdana" w:hAnsi="Verdana"/>
          <w:w w:val="95"/>
          <w:sz w:val="20"/>
          <w:szCs w:val="20"/>
          <w:lang w:val="es-CR"/>
        </w:rPr>
        <w:t>es, tanto del sistema de Naciones Unidas como del sistema interamericano; c) documentos elaborados por org</w:t>
      </w:r>
      <w:r>
        <w:rPr>
          <w:rFonts w:ascii="Verdana" w:hAnsi="Verdana"/>
          <w:w w:val="95"/>
          <w:sz w:val="20"/>
          <w:szCs w:val="20"/>
          <w:lang w:val="es-CR"/>
        </w:rPr>
        <w:t xml:space="preserve">anizaciones no </w:t>
      </w:r>
      <w:r w:rsidRPr="004F0C25">
        <w:rPr>
          <w:rFonts w:ascii="Verdana" w:hAnsi="Verdana"/>
          <w:w w:val="95"/>
          <w:sz w:val="20"/>
          <w:szCs w:val="20"/>
          <w:lang w:val="es-CR"/>
        </w:rPr>
        <w:t>gubernamentales, y d) un documento elaborado bajo la coordinación de una de las peritas intervinientes en el caso, distinto de su pericia. Por otra parte, todos</w:t>
      </w:r>
      <w:r w:rsidRPr="006779CB">
        <w:rPr>
          <w:rFonts w:ascii="Verdana" w:hAnsi="Verdana"/>
          <w:w w:val="95"/>
          <w:sz w:val="20"/>
          <w:szCs w:val="20"/>
          <w:lang w:val="es-CR"/>
        </w:rPr>
        <w:t xml:space="preserve"> los textos y dictámenes aludidos fueron producidos tomando en consideración datos provenientes de fuentes estatales de Guatemala.  </w:t>
      </w:r>
    </w:p>
    <w:p w:rsidR="00DF15C3" w:rsidRDefault="00DF15C3" w:rsidP="003F26FD">
      <w:pPr>
        <w:spacing w:after="0" w:line="216" w:lineRule="auto"/>
        <w:ind w:left="-142" w:right="-174"/>
        <w:rPr>
          <w:rFonts w:ascii="Verdana" w:hAnsi="Verdana" w:cs="Calibri"/>
          <w:w w:val="95"/>
          <w:sz w:val="20"/>
          <w:szCs w:val="20"/>
          <w:lang w:val="es-CR"/>
        </w:rPr>
      </w:pPr>
    </w:p>
    <w:p w:rsidR="00BA1E79" w:rsidRDefault="00BA1E79" w:rsidP="003F26FD">
      <w:pPr>
        <w:spacing w:after="0" w:line="216" w:lineRule="auto"/>
        <w:ind w:left="-142" w:right="-174"/>
        <w:rPr>
          <w:rFonts w:ascii="Verdana" w:hAnsi="Verdana" w:cs="Calibri"/>
          <w:w w:val="95"/>
          <w:sz w:val="20"/>
          <w:szCs w:val="20"/>
          <w:lang w:val="es-CR"/>
        </w:rPr>
      </w:pPr>
    </w:p>
    <w:p w:rsidR="00BA1E79" w:rsidRPr="006779CB" w:rsidRDefault="00BA1E79" w:rsidP="003F26FD">
      <w:pPr>
        <w:spacing w:after="0" w:line="216" w:lineRule="auto"/>
        <w:ind w:left="-142" w:right="-174"/>
        <w:rPr>
          <w:rFonts w:ascii="Verdana" w:hAnsi="Verdana" w:cs="Calibri"/>
          <w:w w:val="95"/>
          <w:sz w:val="20"/>
          <w:szCs w:val="20"/>
          <w:lang w:val="es-CR"/>
        </w:rPr>
      </w:pPr>
    </w:p>
    <w:p w:rsidR="00DF15C3" w:rsidRDefault="00DF15C3" w:rsidP="003F26FD">
      <w:pPr>
        <w:pStyle w:val="Prrafodelista"/>
        <w:spacing w:after="0" w:line="216" w:lineRule="auto"/>
        <w:ind w:left="567" w:right="-174"/>
        <w:jc w:val="both"/>
        <w:outlineLvl w:val="2"/>
        <w:rPr>
          <w:rFonts w:ascii="Verdana" w:hAnsi="Verdana" w:cs="Calibri"/>
          <w:b/>
          <w:i/>
          <w:w w:val="95"/>
          <w:sz w:val="20"/>
          <w:szCs w:val="20"/>
          <w:lang w:val="es-CR"/>
        </w:rPr>
      </w:pPr>
      <w:bookmarkStart w:id="72" w:name="_Toc394313661"/>
      <w:r w:rsidRPr="006779CB">
        <w:rPr>
          <w:rFonts w:ascii="Verdana" w:hAnsi="Verdana" w:cs="Calibri"/>
          <w:b/>
          <w:i/>
          <w:w w:val="95"/>
          <w:sz w:val="20"/>
          <w:szCs w:val="20"/>
          <w:lang w:val="es-CR"/>
        </w:rPr>
        <w:lastRenderedPageBreak/>
        <w:t>A.3) La violencia homicida en Guatemala en 2001 y su especificidad y evolución en relación con víctimas mujeres.</w:t>
      </w:r>
      <w:bookmarkEnd w:id="72"/>
    </w:p>
    <w:p w:rsidR="00DF15C3" w:rsidRPr="00293A42" w:rsidRDefault="00DF15C3" w:rsidP="003F26FD">
      <w:pPr>
        <w:pStyle w:val="Prrafodelista"/>
        <w:spacing w:after="0" w:line="216" w:lineRule="auto"/>
        <w:ind w:left="567" w:right="-174"/>
        <w:jc w:val="both"/>
        <w:outlineLvl w:val="2"/>
        <w:rPr>
          <w:rFonts w:ascii="Verdana" w:hAnsi="Verdana" w:cs="Calibri"/>
          <w:w w:val="95"/>
          <w:sz w:val="20"/>
          <w:szCs w:val="20"/>
          <w:lang w:val="es-CR"/>
        </w:rPr>
      </w:pPr>
    </w:p>
    <w:p w:rsidR="00DF15C3" w:rsidRPr="007802D0" w:rsidRDefault="00DF15C3" w:rsidP="003F26FD">
      <w:pPr>
        <w:pStyle w:val="Prrafodelista"/>
        <w:numPr>
          <w:ilvl w:val="0"/>
          <w:numId w:val="17"/>
        </w:numPr>
        <w:spacing w:after="0" w:line="216" w:lineRule="auto"/>
        <w:ind w:left="-142" w:right="-174" w:hanging="11"/>
        <w:jc w:val="both"/>
        <w:rPr>
          <w:rFonts w:ascii="Verdana" w:hAnsi="Verdana" w:cs="Calibri"/>
          <w:w w:val="95"/>
          <w:sz w:val="20"/>
          <w:szCs w:val="20"/>
          <w:lang w:val="es-CR"/>
        </w:rPr>
      </w:pPr>
      <w:r w:rsidRPr="006779CB">
        <w:rPr>
          <w:rFonts w:ascii="Verdana" w:hAnsi="Verdana"/>
          <w:w w:val="95"/>
          <w:sz w:val="20"/>
          <w:szCs w:val="20"/>
          <w:lang w:val="es-CR"/>
        </w:rPr>
        <w:t>La Corte advierte que para diciembre de 2001 Guatemala atravesaba una escalada de violencia homicida</w:t>
      </w:r>
      <w:r>
        <w:rPr>
          <w:rFonts w:ascii="Verdana" w:hAnsi="Verdana"/>
          <w:w w:val="95"/>
          <w:sz w:val="20"/>
          <w:szCs w:val="20"/>
          <w:lang w:val="es-CR"/>
        </w:rPr>
        <w:t>,</w:t>
      </w:r>
      <w:r w:rsidRPr="006779CB">
        <w:rPr>
          <w:rFonts w:ascii="Verdana" w:hAnsi="Verdana"/>
          <w:w w:val="95"/>
          <w:sz w:val="20"/>
          <w:szCs w:val="20"/>
          <w:lang w:val="es-CR"/>
        </w:rPr>
        <w:t xml:space="preserve"> y que la misma presentaba índices altos en comparación con otros países. En ese marco, hubo, al menos a partir del año 2000 o del año 2001, un crecimiento numérico de</w:t>
      </w:r>
      <w:r>
        <w:rPr>
          <w:rFonts w:ascii="Verdana" w:hAnsi="Verdana"/>
          <w:w w:val="95"/>
          <w:sz w:val="20"/>
          <w:szCs w:val="20"/>
          <w:lang w:val="es-CR"/>
        </w:rPr>
        <w:t xml:space="preserve"> homicidios en general, y con ello, un aumento proporcionalmente significativo de los</w:t>
      </w:r>
      <w:r w:rsidRPr="006779CB">
        <w:rPr>
          <w:rFonts w:ascii="Verdana" w:hAnsi="Verdana"/>
          <w:w w:val="95"/>
          <w:sz w:val="20"/>
          <w:szCs w:val="20"/>
          <w:lang w:val="es-CR"/>
        </w:rPr>
        <w:t xml:space="preserve"> homicidios de mujeres. Asimismo, hay datos indicativos de que cierta parte de los atentados sufridos </w:t>
      </w:r>
      <w:r w:rsidR="00820AF8">
        <w:rPr>
          <w:rFonts w:ascii="Verdana" w:hAnsi="Verdana"/>
          <w:w w:val="95"/>
          <w:sz w:val="20"/>
          <w:szCs w:val="20"/>
          <w:lang w:val="es-CR"/>
        </w:rPr>
        <w:t xml:space="preserve">por mujeres, inclusive en 2001, </w:t>
      </w:r>
      <w:r w:rsidRPr="006779CB">
        <w:rPr>
          <w:rFonts w:ascii="Verdana" w:hAnsi="Verdana"/>
          <w:w w:val="95"/>
          <w:sz w:val="20"/>
          <w:szCs w:val="20"/>
          <w:lang w:val="es-CR"/>
        </w:rPr>
        <w:t xml:space="preserve">serían homicidios por razones de género. Las aseveraciones antedichas tienen por base </w:t>
      </w:r>
      <w:r>
        <w:rPr>
          <w:rFonts w:ascii="Verdana" w:hAnsi="Verdana"/>
          <w:w w:val="95"/>
          <w:sz w:val="20"/>
          <w:szCs w:val="20"/>
          <w:lang w:val="es-CR"/>
        </w:rPr>
        <w:t>la información que se refiere seguidamente.</w:t>
      </w:r>
    </w:p>
    <w:p w:rsidR="00DF15C3" w:rsidRPr="00DA52A3" w:rsidRDefault="00DF15C3" w:rsidP="003F26FD">
      <w:pPr>
        <w:pStyle w:val="Prrafodelista"/>
        <w:spacing w:after="0" w:line="216" w:lineRule="auto"/>
        <w:ind w:left="-142" w:right="-174"/>
        <w:jc w:val="both"/>
        <w:rPr>
          <w:rFonts w:ascii="Verdana" w:hAnsi="Verdana" w:cs="Calibri"/>
          <w:w w:val="95"/>
          <w:sz w:val="20"/>
          <w:szCs w:val="20"/>
          <w:lang w:val="es-CR"/>
        </w:rPr>
      </w:pPr>
    </w:p>
    <w:p w:rsidR="00DF15C3" w:rsidRPr="007802D0" w:rsidRDefault="00DF15C3" w:rsidP="003F26FD">
      <w:pPr>
        <w:pStyle w:val="Prrafodelista"/>
        <w:numPr>
          <w:ilvl w:val="0"/>
          <w:numId w:val="17"/>
        </w:numPr>
        <w:spacing w:after="0" w:line="216" w:lineRule="auto"/>
        <w:ind w:left="-142" w:right="-174" w:hanging="11"/>
        <w:jc w:val="both"/>
        <w:rPr>
          <w:rFonts w:ascii="Verdana" w:hAnsi="Verdana" w:cs="Calibri"/>
          <w:w w:val="95"/>
          <w:sz w:val="20"/>
          <w:szCs w:val="20"/>
          <w:lang w:val="es-CR"/>
        </w:rPr>
      </w:pPr>
      <w:r w:rsidRPr="007802D0">
        <w:rPr>
          <w:rFonts w:ascii="Verdana" w:hAnsi="Verdana"/>
          <w:w w:val="95"/>
          <w:sz w:val="20"/>
          <w:szCs w:val="20"/>
          <w:lang w:val="es-CR"/>
        </w:rPr>
        <w:t>En Guatemala</w:t>
      </w:r>
      <w:r>
        <w:rPr>
          <w:rFonts w:ascii="Verdana" w:hAnsi="Verdana"/>
          <w:w w:val="95"/>
          <w:sz w:val="20"/>
          <w:szCs w:val="20"/>
          <w:lang w:val="es-CR"/>
        </w:rPr>
        <w:t>,</w:t>
      </w:r>
      <w:r w:rsidRPr="007802D0">
        <w:rPr>
          <w:rFonts w:ascii="Verdana" w:hAnsi="Verdana"/>
          <w:w w:val="95"/>
          <w:sz w:val="20"/>
          <w:szCs w:val="20"/>
          <w:lang w:val="es-CR"/>
        </w:rPr>
        <w:t xml:space="preserve"> la violencia homicida aumentó un </w:t>
      </w:r>
      <w:r w:rsidR="00622AF9" w:rsidRPr="00622AF9">
        <w:rPr>
          <w:rFonts w:ascii="Verdana" w:hAnsi="Verdana"/>
          <w:w w:val="95"/>
          <w:sz w:val="20"/>
          <w:szCs w:val="20"/>
          <w:lang w:val="es-CR"/>
        </w:rPr>
        <w:t xml:space="preserve">120% entre 1999 y 2006, a un ritmo promedio ampliamente mayor, </w:t>
      </w:r>
      <w:r w:rsidRPr="007802D0">
        <w:rPr>
          <w:rFonts w:ascii="Verdana" w:hAnsi="Verdana"/>
          <w:w w:val="95"/>
          <w:sz w:val="20"/>
          <w:szCs w:val="20"/>
          <w:lang w:val="es-CR"/>
        </w:rPr>
        <w:t>que el crecimiento poblacional. De acuerdo al Programa de las Naciones Unidas para el Desarrollo (PNUD), este crecimiento de los homicidios derivó en el “posicion[amiento de] Guatemala[, para 2006,] como uno de los países más violentos del mundo oficialmente en paz”</w:t>
      </w:r>
      <w:r w:rsidRPr="007802D0">
        <w:rPr>
          <w:rStyle w:val="Refdenotaalpie"/>
          <w:rFonts w:ascii="Verdana" w:hAnsi="Verdana"/>
          <w:w w:val="95"/>
          <w:sz w:val="20"/>
          <w:szCs w:val="20"/>
          <w:lang w:val="es-CR"/>
        </w:rPr>
        <w:footnoteReference w:id="71"/>
      </w:r>
      <w:r w:rsidRPr="007802D0">
        <w:rPr>
          <w:rFonts w:ascii="Verdana" w:hAnsi="Verdana"/>
          <w:w w:val="95"/>
          <w:sz w:val="20"/>
          <w:szCs w:val="20"/>
          <w:lang w:val="es-CR"/>
        </w:rPr>
        <w:t>. El mayor aumento proporcional de dicha violencia entre 1986 y 2006 se concentró en los centros urbanos más grandes del país</w:t>
      </w:r>
      <w:r w:rsidRPr="007802D0">
        <w:rPr>
          <w:rStyle w:val="Refdenotaalpie"/>
          <w:rFonts w:ascii="Verdana" w:hAnsi="Verdana" w:cs="Calibri"/>
          <w:w w:val="95"/>
          <w:sz w:val="20"/>
          <w:szCs w:val="20"/>
        </w:rPr>
        <w:footnoteReference w:id="72"/>
      </w:r>
      <w:r w:rsidRPr="007802D0">
        <w:rPr>
          <w:rFonts w:ascii="Verdana" w:hAnsi="Verdana"/>
          <w:w w:val="95"/>
          <w:sz w:val="20"/>
          <w:szCs w:val="20"/>
          <w:lang w:val="es-CR"/>
        </w:rPr>
        <w:t>.</w:t>
      </w:r>
    </w:p>
    <w:p w:rsidR="00DF15C3" w:rsidRPr="007802D0" w:rsidRDefault="00DF15C3" w:rsidP="003F26FD">
      <w:pPr>
        <w:pStyle w:val="Prrafodelista"/>
        <w:spacing w:after="0" w:line="216" w:lineRule="auto"/>
        <w:ind w:left="-142" w:right="-174"/>
        <w:jc w:val="both"/>
        <w:rPr>
          <w:rFonts w:ascii="Verdana" w:hAnsi="Verdana" w:cs="Calibri"/>
          <w:w w:val="95"/>
          <w:sz w:val="20"/>
          <w:szCs w:val="20"/>
          <w:lang w:val="es-CR"/>
        </w:rPr>
      </w:pPr>
    </w:p>
    <w:p w:rsidR="00DF15C3" w:rsidRPr="007802D0" w:rsidRDefault="00DF15C3" w:rsidP="003F26FD">
      <w:pPr>
        <w:pStyle w:val="Prrafodelista"/>
        <w:numPr>
          <w:ilvl w:val="0"/>
          <w:numId w:val="17"/>
        </w:numPr>
        <w:spacing w:after="0" w:line="216" w:lineRule="auto"/>
        <w:ind w:left="-144" w:right="-174" w:hanging="14"/>
        <w:jc w:val="both"/>
        <w:rPr>
          <w:rFonts w:ascii="Verdana" w:hAnsi="Verdana" w:cs="Calibri"/>
          <w:w w:val="95"/>
          <w:sz w:val="20"/>
          <w:szCs w:val="20"/>
          <w:lang w:val="es-CR"/>
        </w:rPr>
      </w:pPr>
      <w:r w:rsidRPr="007802D0">
        <w:rPr>
          <w:rFonts w:ascii="Verdana" w:hAnsi="Verdana" w:cs="Calibri"/>
          <w:w w:val="95"/>
          <w:sz w:val="20"/>
          <w:szCs w:val="20"/>
          <w:lang w:val="es-CR"/>
        </w:rPr>
        <w:t>En este marco, según expresó</w:t>
      </w:r>
      <w:r w:rsidRPr="007802D0">
        <w:rPr>
          <w:rFonts w:ascii="Verdana" w:hAnsi="Verdana"/>
          <w:w w:val="95"/>
          <w:sz w:val="20"/>
          <w:szCs w:val="20"/>
          <w:lang w:val="es-CR"/>
        </w:rPr>
        <w:t xml:space="preserve"> el Organismo Judicial de Guatemala, de acuerdo a “</w:t>
      </w:r>
      <w:r w:rsidRPr="007802D0">
        <w:rPr>
          <w:rFonts w:ascii="Verdana" w:hAnsi="Verdana" w:cs="GillSansMT"/>
          <w:w w:val="95"/>
          <w:sz w:val="20"/>
          <w:szCs w:val="20"/>
          <w:lang w:val="es-CR"/>
        </w:rPr>
        <w:t>cifras oficiales”</w:t>
      </w:r>
      <w:r>
        <w:rPr>
          <w:rFonts w:ascii="Verdana" w:hAnsi="Verdana" w:cs="GillSansMT"/>
          <w:w w:val="95"/>
          <w:sz w:val="20"/>
          <w:szCs w:val="20"/>
          <w:lang w:val="es-CR"/>
        </w:rPr>
        <w:t>,</w:t>
      </w:r>
      <w:r w:rsidRPr="007802D0">
        <w:rPr>
          <w:rFonts w:ascii="Verdana" w:hAnsi="Verdana" w:cs="GillSansMT"/>
          <w:w w:val="95"/>
          <w:sz w:val="20"/>
          <w:szCs w:val="20"/>
          <w:lang w:val="es-CR"/>
        </w:rPr>
        <w:t xml:space="preserve"> hubo un “incremento sostenible de muertes violentas de mujeres a nivel nacional desde el año 2001 hasta el 2011”</w:t>
      </w:r>
      <w:r w:rsidRPr="007802D0">
        <w:rPr>
          <w:rStyle w:val="Refdenotaalpie"/>
          <w:rFonts w:ascii="Verdana" w:hAnsi="Verdana" w:cs="GillSansMT"/>
          <w:w w:val="95"/>
          <w:sz w:val="20"/>
          <w:szCs w:val="20"/>
          <w:lang w:val="es-CR"/>
        </w:rPr>
        <w:footnoteReference w:id="73"/>
      </w:r>
      <w:r w:rsidRPr="007802D0">
        <w:rPr>
          <w:rFonts w:ascii="Verdana" w:hAnsi="Verdana" w:cs="GillSansMT"/>
          <w:w w:val="95"/>
          <w:sz w:val="20"/>
          <w:szCs w:val="20"/>
          <w:lang w:val="es-CR"/>
        </w:rPr>
        <w:t>. Información coincidente fue presentada por el Instituto Nacional de Estadística</w:t>
      </w:r>
      <w:r>
        <w:rPr>
          <w:rFonts w:ascii="Verdana" w:hAnsi="Verdana" w:cs="GillSansMT"/>
          <w:w w:val="95"/>
          <w:sz w:val="20"/>
          <w:szCs w:val="20"/>
          <w:lang w:val="es-CR"/>
        </w:rPr>
        <w:t xml:space="preserve"> (</w:t>
      </w:r>
      <w:r w:rsidRPr="005B35BC">
        <w:rPr>
          <w:rFonts w:ascii="Verdana" w:hAnsi="Verdana" w:cs="GillSansMT"/>
          <w:i/>
          <w:w w:val="95"/>
          <w:sz w:val="20"/>
          <w:szCs w:val="20"/>
          <w:lang w:val="es-CR"/>
        </w:rPr>
        <w:t>infra</w:t>
      </w:r>
      <w:r>
        <w:rPr>
          <w:rFonts w:ascii="Verdana" w:hAnsi="Verdana" w:cs="GillSansMT"/>
          <w:w w:val="95"/>
          <w:sz w:val="20"/>
          <w:szCs w:val="20"/>
          <w:lang w:val="es-CR"/>
        </w:rPr>
        <w:t xml:space="preserve"> párr.</w:t>
      </w:r>
      <w:r w:rsidR="00422232">
        <w:rPr>
          <w:rFonts w:ascii="Verdana" w:hAnsi="Verdana" w:cs="GillSansMT"/>
          <w:w w:val="95"/>
          <w:sz w:val="20"/>
          <w:szCs w:val="20"/>
          <w:lang w:val="es-CR"/>
        </w:rPr>
        <w:t xml:space="preserve"> </w:t>
      </w:r>
      <w:r w:rsidR="0037370B">
        <w:rPr>
          <w:rFonts w:ascii="Verdana" w:hAnsi="Verdana" w:cs="GillSansMT"/>
          <w:w w:val="95"/>
          <w:sz w:val="20"/>
          <w:szCs w:val="20"/>
          <w:lang w:val="es-CR"/>
        </w:rPr>
        <w:t>76</w:t>
      </w:r>
      <w:r>
        <w:rPr>
          <w:rFonts w:ascii="Verdana" w:hAnsi="Verdana" w:cs="GillSansMT"/>
          <w:w w:val="95"/>
          <w:sz w:val="20"/>
          <w:szCs w:val="20"/>
          <w:lang w:val="es-CR"/>
        </w:rPr>
        <w:t>)</w:t>
      </w:r>
      <w:r w:rsidRPr="007802D0">
        <w:rPr>
          <w:rFonts w:ascii="Verdana" w:hAnsi="Verdana" w:cs="GillSansMT"/>
          <w:w w:val="95"/>
          <w:sz w:val="20"/>
          <w:szCs w:val="20"/>
          <w:lang w:val="es-CR"/>
        </w:rPr>
        <w:t xml:space="preserve">, e </w:t>
      </w:r>
      <w:r w:rsidRPr="007802D0">
        <w:rPr>
          <w:rFonts w:ascii="Verdana" w:hAnsi="Verdana" w:cs="Calibri"/>
          <w:w w:val="95"/>
          <w:sz w:val="20"/>
          <w:szCs w:val="20"/>
          <w:lang w:val="es-CR"/>
        </w:rPr>
        <w:t>informes de organizaciones internacionales muestran un aumento sostenido de casos de muertes violentas de mujeres a partir del año 2000</w:t>
      </w:r>
      <w:r w:rsidRPr="007802D0">
        <w:rPr>
          <w:rStyle w:val="Refdenotaalpie"/>
          <w:rFonts w:ascii="Verdana" w:hAnsi="Verdana" w:cs="Calibri"/>
          <w:w w:val="95"/>
          <w:sz w:val="20"/>
          <w:szCs w:val="20"/>
        </w:rPr>
        <w:footnoteReference w:id="74"/>
      </w:r>
      <w:r w:rsidRPr="007802D0">
        <w:rPr>
          <w:rFonts w:ascii="Verdana" w:hAnsi="Verdana" w:cs="Calibri"/>
          <w:w w:val="95"/>
          <w:sz w:val="20"/>
          <w:szCs w:val="20"/>
          <w:lang w:val="es-CR"/>
        </w:rPr>
        <w:t xml:space="preserve">. </w:t>
      </w:r>
    </w:p>
    <w:p w:rsidR="00DF15C3" w:rsidRPr="007802D0" w:rsidRDefault="00DF15C3" w:rsidP="003F26FD">
      <w:pPr>
        <w:pStyle w:val="Prrafodelista"/>
        <w:spacing w:after="0" w:line="216" w:lineRule="auto"/>
        <w:ind w:right="-174"/>
        <w:rPr>
          <w:rFonts w:ascii="Verdana" w:hAnsi="Verdana"/>
          <w:w w:val="95"/>
          <w:sz w:val="20"/>
          <w:szCs w:val="20"/>
          <w:lang w:val="es-CR"/>
        </w:rPr>
      </w:pPr>
    </w:p>
    <w:p w:rsidR="00DF15C3" w:rsidRPr="00F02D1A" w:rsidRDefault="00DF15C3" w:rsidP="003F26FD">
      <w:pPr>
        <w:pStyle w:val="Prrafodelista"/>
        <w:numPr>
          <w:ilvl w:val="0"/>
          <w:numId w:val="17"/>
        </w:numPr>
        <w:spacing w:after="0" w:line="216" w:lineRule="auto"/>
        <w:ind w:left="-142" w:right="-174" w:hanging="11"/>
        <w:jc w:val="both"/>
        <w:rPr>
          <w:rFonts w:ascii="Verdana" w:hAnsi="Verdana"/>
          <w:w w:val="95"/>
          <w:sz w:val="20"/>
          <w:szCs w:val="20"/>
          <w:lang w:val="es-CR"/>
        </w:rPr>
      </w:pPr>
      <w:r w:rsidRPr="007802D0">
        <w:rPr>
          <w:rFonts w:ascii="Verdana" w:hAnsi="Verdana"/>
          <w:w w:val="95"/>
          <w:sz w:val="20"/>
          <w:szCs w:val="20"/>
          <w:lang w:val="es-CR"/>
        </w:rPr>
        <w:t xml:space="preserve">La Comisión Interamericana aseveró que </w:t>
      </w:r>
      <w:r w:rsidRPr="007802D0">
        <w:rPr>
          <w:rFonts w:ascii="Verdana" w:hAnsi="Verdana" w:cs="Arial"/>
          <w:w w:val="95"/>
          <w:sz w:val="20"/>
          <w:szCs w:val="20"/>
          <w:lang w:val="es-CR"/>
        </w:rPr>
        <w:t xml:space="preserve">fuentes estatales confirmaron que “desde el año 2001 al 2004 se registraron 1,188 </w:t>
      </w:r>
      <w:r w:rsidR="002440D3">
        <w:rPr>
          <w:rFonts w:ascii="Verdana" w:hAnsi="Verdana" w:cs="Arial"/>
          <w:w w:val="95"/>
          <w:sz w:val="20"/>
          <w:szCs w:val="20"/>
          <w:lang w:val="es-CR"/>
        </w:rPr>
        <w:t xml:space="preserve">asesinatos de mujeres, [y que] </w:t>
      </w:r>
      <w:r w:rsidRPr="007802D0">
        <w:rPr>
          <w:rFonts w:ascii="Verdana" w:hAnsi="Verdana" w:cs="Arial"/>
          <w:w w:val="95"/>
          <w:sz w:val="20"/>
          <w:szCs w:val="20"/>
          <w:lang w:val="es-CR"/>
        </w:rPr>
        <w:t xml:space="preserve">distintas fuentes confirmaron que […] también se […] agrav[ó] el grado de violencia y ensañamiento ejercidos </w:t>
      </w:r>
      <w:r w:rsidRPr="007802D0">
        <w:rPr>
          <w:rFonts w:ascii="Verdana" w:hAnsi="Verdana" w:cs="Arial"/>
          <w:w w:val="95"/>
          <w:sz w:val="20"/>
          <w:szCs w:val="20"/>
          <w:lang w:val="es-CR"/>
        </w:rPr>
        <w:lastRenderedPageBreak/>
        <w:t>contra los cuerpos de las víctimas”</w:t>
      </w:r>
      <w:r w:rsidRPr="007802D0">
        <w:rPr>
          <w:rStyle w:val="Refdenotaalpie"/>
          <w:rFonts w:ascii="Verdana" w:hAnsi="Verdana" w:cs="Arial"/>
          <w:w w:val="95"/>
          <w:sz w:val="20"/>
          <w:szCs w:val="20"/>
          <w:lang w:val="es-CR"/>
        </w:rPr>
        <w:footnoteReference w:id="75"/>
      </w:r>
      <w:r w:rsidRPr="007802D0">
        <w:rPr>
          <w:rFonts w:ascii="Verdana" w:hAnsi="Verdana" w:cs="Arial"/>
          <w:w w:val="95"/>
          <w:sz w:val="20"/>
          <w:szCs w:val="20"/>
          <w:lang w:val="es-CR"/>
        </w:rPr>
        <w:t>.</w:t>
      </w:r>
      <w:r w:rsidRPr="007802D0">
        <w:rPr>
          <w:rFonts w:ascii="Verdana" w:hAnsi="Verdana"/>
          <w:w w:val="95"/>
          <w:sz w:val="20"/>
          <w:szCs w:val="20"/>
          <w:lang w:val="es-CR"/>
        </w:rPr>
        <w:t xml:space="preserve"> </w:t>
      </w:r>
      <w:r w:rsidRPr="0054792B">
        <w:rPr>
          <w:rFonts w:ascii="Verdana" w:hAnsi="Verdana"/>
          <w:sz w:val="20"/>
          <w:szCs w:val="20"/>
          <w:lang w:val="es-CR"/>
        </w:rPr>
        <w:t xml:space="preserve">De acuerdo a datos </w:t>
      </w:r>
      <w:r>
        <w:rPr>
          <w:rFonts w:ascii="Verdana" w:hAnsi="Verdana"/>
          <w:sz w:val="20"/>
          <w:szCs w:val="20"/>
          <w:lang w:val="es-CR"/>
        </w:rPr>
        <w:t xml:space="preserve">del </w:t>
      </w:r>
      <w:r w:rsidRPr="000375A0">
        <w:rPr>
          <w:rFonts w:ascii="Verdana" w:hAnsi="Verdana"/>
          <w:sz w:val="20"/>
          <w:szCs w:val="20"/>
          <w:lang w:val="es-CR"/>
        </w:rPr>
        <w:t xml:space="preserve">Instituto Nacional de Estadística </w:t>
      </w:r>
      <w:r w:rsidRPr="0054792B">
        <w:rPr>
          <w:rFonts w:ascii="Verdana" w:hAnsi="Verdana"/>
          <w:sz w:val="20"/>
          <w:szCs w:val="20"/>
          <w:lang w:val="es-CR"/>
        </w:rPr>
        <w:t xml:space="preserve">recogidos por el MESECVI, </w:t>
      </w:r>
      <w:r>
        <w:rPr>
          <w:rFonts w:ascii="Verdana" w:hAnsi="Verdana"/>
          <w:sz w:val="20"/>
          <w:szCs w:val="20"/>
          <w:lang w:val="es-CR"/>
        </w:rPr>
        <w:t>se presentó</w:t>
      </w:r>
      <w:r w:rsidRPr="0054792B">
        <w:rPr>
          <w:rFonts w:ascii="Verdana" w:hAnsi="Verdana"/>
          <w:sz w:val="20"/>
          <w:szCs w:val="20"/>
          <w:lang w:val="es-CR"/>
        </w:rPr>
        <w:t xml:space="preserve"> la siguiente evolución de la cantidad de </w:t>
      </w:r>
      <w:r w:rsidRPr="000036A0">
        <w:rPr>
          <w:rFonts w:ascii="Verdana" w:hAnsi="Verdana"/>
          <w:sz w:val="20"/>
          <w:szCs w:val="20"/>
          <w:lang w:val="es-CR"/>
        </w:rPr>
        <w:t>homicidios de mujeres en el país: 1995: 150; 1996: 163; 1997: 249; 1998: 190; 1999: 179; 2000: 213; 2001: 215; 2002: 266; 2003: 282; 2004: 286</w:t>
      </w:r>
      <w:r w:rsidRPr="007802D0">
        <w:rPr>
          <w:rStyle w:val="Refdenotaalpie"/>
          <w:rFonts w:ascii="Verdana" w:hAnsi="Verdana" w:cs="GillSansMT"/>
          <w:w w:val="95"/>
          <w:sz w:val="20"/>
          <w:szCs w:val="20"/>
          <w:lang w:val="es-CR"/>
        </w:rPr>
        <w:footnoteReference w:id="76"/>
      </w:r>
      <w:r>
        <w:rPr>
          <w:rFonts w:ascii="Verdana" w:hAnsi="Verdana" w:cs="GillSansMT"/>
          <w:w w:val="95"/>
          <w:sz w:val="20"/>
          <w:szCs w:val="20"/>
          <w:lang w:val="es-CR"/>
        </w:rPr>
        <w:t xml:space="preserve">. </w:t>
      </w:r>
    </w:p>
    <w:p w:rsidR="00DF15C3" w:rsidRPr="00F02D1A" w:rsidRDefault="00DF15C3" w:rsidP="003F26FD">
      <w:pPr>
        <w:spacing w:after="0" w:line="216" w:lineRule="auto"/>
        <w:ind w:right="-174"/>
        <w:jc w:val="both"/>
        <w:rPr>
          <w:rFonts w:ascii="Verdana" w:hAnsi="Verdana"/>
          <w:w w:val="95"/>
          <w:sz w:val="20"/>
          <w:szCs w:val="20"/>
          <w:lang w:val="es-CR"/>
        </w:rPr>
      </w:pPr>
    </w:p>
    <w:p w:rsidR="00DF15C3" w:rsidRPr="007802D0" w:rsidRDefault="00DF15C3" w:rsidP="003F26FD">
      <w:pPr>
        <w:pStyle w:val="Prrafodelista"/>
        <w:numPr>
          <w:ilvl w:val="0"/>
          <w:numId w:val="17"/>
        </w:numPr>
        <w:spacing w:after="0" w:line="216" w:lineRule="auto"/>
        <w:ind w:left="-142" w:right="-174" w:hanging="11"/>
        <w:jc w:val="both"/>
        <w:rPr>
          <w:rFonts w:ascii="Verdana" w:hAnsi="Verdana" w:cs="Calibri"/>
          <w:w w:val="95"/>
          <w:sz w:val="20"/>
          <w:szCs w:val="20"/>
          <w:lang w:val="es-CR"/>
        </w:rPr>
      </w:pPr>
      <w:r w:rsidRPr="006754C5">
        <w:rPr>
          <w:rFonts w:ascii="Verdana" w:hAnsi="Verdana"/>
          <w:w w:val="95"/>
          <w:sz w:val="20"/>
          <w:szCs w:val="20"/>
          <w:lang w:val="es-CR"/>
        </w:rPr>
        <w:t>Más allá del aumento numérico de homici</w:t>
      </w:r>
      <w:r w:rsidRPr="006754C5">
        <w:rPr>
          <w:rFonts w:ascii="Verdana" w:hAnsi="Verdana" w:cs="Arial"/>
          <w:w w:val="95"/>
          <w:sz w:val="20"/>
          <w:szCs w:val="20"/>
          <w:lang w:val="es-CR"/>
        </w:rPr>
        <w:t xml:space="preserve">dios de mujeres, se ha allegado al Tribunal información </w:t>
      </w:r>
      <w:r w:rsidRPr="00315B30">
        <w:rPr>
          <w:rFonts w:ascii="Verdana" w:hAnsi="Verdana" w:cs="Arial"/>
          <w:w w:val="95"/>
          <w:sz w:val="20"/>
          <w:szCs w:val="20"/>
          <w:lang w:val="es-CR"/>
        </w:rPr>
        <w:t>distinta en cuanto a la proporción de homicidios de mujeres en comparación con la de hombres, y sobre el crecimiento de esa proporción. Por una parte, se ha informado que entre 2001 y 2006 cerca de un 10% de ho</w:t>
      </w:r>
      <w:r w:rsidRPr="00315B30">
        <w:rPr>
          <w:rFonts w:ascii="Verdana" w:hAnsi="Verdana"/>
          <w:w w:val="95"/>
          <w:sz w:val="20"/>
          <w:szCs w:val="20"/>
          <w:lang w:val="es-CR"/>
        </w:rPr>
        <w:t>m</w:t>
      </w:r>
      <w:r w:rsidRPr="00315B30">
        <w:rPr>
          <w:rFonts w:ascii="Verdana" w:hAnsi="Verdana" w:cs="Arial"/>
          <w:w w:val="95"/>
          <w:sz w:val="20"/>
          <w:szCs w:val="20"/>
          <w:lang w:val="es-CR"/>
        </w:rPr>
        <w:t>i</w:t>
      </w:r>
      <w:r w:rsidRPr="00315B30">
        <w:rPr>
          <w:rFonts w:ascii="Verdana" w:hAnsi="Verdana"/>
          <w:w w:val="95"/>
          <w:sz w:val="20"/>
          <w:szCs w:val="20"/>
          <w:lang w:val="es-CR"/>
        </w:rPr>
        <w:t>c</w:t>
      </w:r>
      <w:r w:rsidRPr="00315B30">
        <w:rPr>
          <w:rFonts w:ascii="Verdana" w:hAnsi="Verdana" w:cs="Calibri"/>
          <w:w w:val="95"/>
          <w:sz w:val="20"/>
          <w:szCs w:val="20"/>
          <w:lang w:val="es-CR"/>
        </w:rPr>
        <w:t>i</w:t>
      </w:r>
      <w:r w:rsidRPr="00315B30">
        <w:rPr>
          <w:rFonts w:ascii="Verdana" w:hAnsi="Verdana"/>
          <w:w w:val="95"/>
          <w:sz w:val="20"/>
          <w:szCs w:val="20"/>
          <w:lang w:val="es-CR"/>
        </w:rPr>
        <w:t>dios fueron cometidos contra mujeres</w:t>
      </w:r>
      <w:r w:rsidRPr="00315B30">
        <w:rPr>
          <w:rStyle w:val="Refdenotaalpie"/>
          <w:rFonts w:ascii="Verdana" w:hAnsi="Verdana"/>
          <w:w w:val="95"/>
          <w:sz w:val="20"/>
          <w:szCs w:val="20"/>
          <w:lang w:val="es-CR"/>
        </w:rPr>
        <w:footnoteReference w:id="77"/>
      </w:r>
      <w:r w:rsidRPr="00315B30">
        <w:rPr>
          <w:rFonts w:ascii="Verdana" w:hAnsi="Verdana"/>
          <w:w w:val="95"/>
          <w:sz w:val="20"/>
          <w:szCs w:val="20"/>
          <w:lang w:val="es-CR"/>
        </w:rPr>
        <w:t>. Esta proporción es similar si se consideran el período entre 1986 y 2008</w:t>
      </w:r>
      <w:r w:rsidRPr="00315B30">
        <w:rPr>
          <w:rStyle w:val="Refdenotaalpie"/>
          <w:rFonts w:ascii="Verdana" w:hAnsi="Verdana"/>
          <w:w w:val="95"/>
          <w:sz w:val="20"/>
          <w:szCs w:val="20"/>
          <w:lang w:val="es-CR"/>
        </w:rPr>
        <w:footnoteReference w:id="78"/>
      </w:r>
      <w:r w:rsidRPr="00315B30">
        <w:rPr>
          <w:rFonts w:ascii="Verdana" w:hAnsi="Verdana"/>
          <w:w w:val="95"/>
          <w:sz w:val="20"/>
          <w:szCs w:val="20"/>
          <w:lang w:val="es-CR"/>
        </w:rPr>
        <w:t>, o entre 2002 y 2012</w:t>
      </w:r>
      <w:r w:rsidRPr="00315B30">
        <w:rPr>
          <w:rStyle w:val="Refdenotaalpie"/>
          <w:rFonts w:ascii="Verdana" w:hAnsi="Verdana"/>
          <w:w w:val="95"/>
          <w:sz w:val="20"/>
          <w:szCs w:val="20"/>
          <w:lang w:val="es-CR"/>
        </w:rPr>
        <w:footnoteReference w:id="79"/>
      </w:r>
      <w:r w:rsidRPr="00315B30">
        <w:rPr>
          <w:rFonts w:ascii="Verdana" w:hAnsi="Verdana"/>
          <w:w w:val="95"/>
          <w:sz w:val="20"/>
          <w:szCs w:val="20"/>
          <w:lang w:val="es-CR"/>
        </w:rPr>
        <w:t>. Superó el 10% al menos entre 2003 y 2004, años en que habría sido mayor al 11% y el 12%, respectivamente</w:t>
      </w:r>
      <w:r w:rsidRPr="00315B30">
        <w:rPr>
          <w:rStyle w:val="Refdenotaalpie"/>
          <w:rFonts w:ascii="Verdana" w:hAnsi="Verdana" w:cs="GillSansMT"/>
          <w:w w:val="95"/>
          <w:sz w:val="20"/>
          <w:szCs w:val="20"/>
          <w:lang w:val="es-CR"/>
        </w:rPr>
        <w:footnoteReference w:id="80"/>
      </w:r>
      <w:r w:rsidRPr="00315B30">
        <w:rPr>
          <w:rFonts w:ascii="Verdana" w:hAnsi="Verdana"/>
          <w:w w:val="95"/>
          <w:sz w:val="20"/>
          <w:szCs w:val="20"/>
          <w:lang w:val="es-CR"/>
        </w:rPr>
        <w:t>. Por otra parte, también</w:t>
      </w:r>
      <w:r w:rsidRPr="007802D0">
        <w:rPr>
          <w:rFonts w:ascii="Verdana" w:hAnsi="Verdana"/>
          <w:w w:val="95"/>
          <w:sz w:val="20"/>
          <w:szCs w:val="20"/>
          <w:lang w:val="es-CR"/>
        </w:rPr>
        <w:t xml:space="preserve"> hay información en el sentido</w:t>
      </w:r>
      <w:r>
        <w:rPr>
          <w:rFonts w:ascii="Verdana" w:hAnsi="Verdana"/>
          <w:w w:val="95"/>
          <w:sz w:val="20"/>
          <w:szCs w:val="20"/>
          <w:lang w:val="es-CR"/>
        </w:rPr>
        <w:t xml:space="preserve"> de</w:t>
      </w:r>
      <w:r w:rsidRPr="007802D0">
        <w:rPr>
          <w:rFonts w:ascii="Verdana" w:hAnsi="Verdana"/>
          <w:w w:val="95"/>
          <w:sz w:val="20"/>
          <w:szCs w:val="20"/>
          <w:lang w:val="es-CR"/>
        </w:rPr>
        <w:t xml:space="preserve"> que entre 1995 y 2004 el aumento de la tasa de crecimiento de homicidios de mujeres fue casi el doble que el aumento de la de hombres</w:t>
      </w:r>
      <w:r w:rsidRPr="007802D0">
        <w:rPr>
          <w:rStyle w:val="Refdenotaalpie"/>
          <w:rFonts w:ascii="Verdana" w:hAnsi="Verdana"/>
          <w:w w:val="95"/>
          <w:sz w:val="20"/>
          <w:szCs w:val="20"/>
        </w:rPr>
        <w:footnoteReference w:id="81"/>
      </w:r>
      <w:r w:rsidRPr="007802D0">
        <w:rPr>
          <w:rFonts w:ascii="Verdana" w:hAnsi="Verdana"/>
          <w:w w:val="95"/>
          <w:sz w:val="20"/>
          <w:szCs w:val="20"/>
          <w:lang w:val="es-CR"/>
        </w:rPr>
        <w:t>, y que en ese último año “</w:t>
      </w:r>
      <w:r w:rsidRPr="007802D0">
        <w:rPr>
          <w:rFonts w:ascii="Verdana" w:hAnsi="Verdana" w:cs="Arial"/>
          <w:w w:val="95"/>
          <w:sz w:val="20"/>
          <w:szCs w:val="20"/>
          <w:lang w:val="es-CR"/>
        </w:rPr>
        <w:t xml:space="preserve">la cantidad de muertes violentas </w:t>
      </w:r>
      <w:r w:rsidRPr="007802D0">
        <w:rPr>
          <w:rFonts w:ascii="Verdana" w:hAnsi="Verdana"/>
          <w:w w:val="95"/>
          <w:sz w:val="20"/>
          <w:szCs w:val="20"/>
          <w:lang w:val="es-CR"/>
        </w:rPr>
        <w:t xml:space="preserve">de </w:t>
      </w:r>
      <w:r w:rsidRPr="007802D0">
        <w:rPr>
          <w:rFonts w:ascii="Verdana" w:hAnsi="Verdana" w:cs="Arial"/>
          <w:w w:val="95"/>
          <w:sz w:val="20"/>
          <w:szCs w:val="20"/>
          <w:lang w:val="es-CR"/>
        </w:rPr>
        <w:t xml:space="preserve">mujeres se había incrementado en </w:t>
      </w:r>
      <w:r w:rsidRPr="007802D0">
        <w:rPr>
          <w:rFonts w:ascii="Verdana" w:hAnsi="Verdana"/>
          <w:w w:val="95"/>
          <w:sz w:val="20"/>
          <w:szCs w:val="20"/>
          <w:lang w:val="es-CR"/>
        </w:rPr>
        <w:t xml:space="preserve">20[%] </w:t>
      </w:r>
      <w:r w:rsidRPr="007802D0">
        <w:rPr>
          <w:rFonts w:ascii="Verdana" w:hAnsi="Verdana" w:cs="Arial"/>
          <w:w w:val="95"/>
          <w:sz w:val="20"/>
          <w:szCs w:val="20"/>
          <w:lang w:val="es-CR"/>
        </w:rPr>
        <w:t>más que la de hombres”</w:t>
      </w:r>
      <w:r w:rsidRPr="007802D0">
        <w:rPr>
          <w:rStyle w:val="Refdenotaalpie"/>
          <w:rFonts w:ascii="Verdana" w:hAnsi="Verdana" w:cs="Arial"/>
          <w:w w:val="95"/>
          <w:sz w:val="20"/>
          <w:szCs w:val="20"/>
          <w:lang w:val="es-CR"/>
        </w:rPr>
        <w:footnoteReference w:id="82"/>
      </w:r>
      <w:r w:rsidRPr="007802D0">
        <w:rPr>
          <w:rFonts w:ascii="Verdana" w:hAnsi="Verdana" w:cs="Arial"/>
          <w:w w:val="95"/>
          <w:sz w:val="20"/>
          <w:szCs w:val="20"/>
          <w:lang w:val="es-CR"/>
        </w:rPr>
        <w:t>.</w:t>
      </w:r>
      <w:r w:rsidRPr="007802D0">
        <w:rPr>
          <w:rFonts w:ascii="Verdana" w:hAnsi="Verdana"/>
          <w:b/>
          <w:w w:val="95"/>
          <w:sz w:val="20"/>
          <w:szCs w:val="20"/>
          <w:lang w:val="es-CR"/>
        </w:rPr>
        <w:t xml:space="preserve"> </w:t>
      </w:r>
    </w:p>
    <w:p w:rsidR="00DF15C3" w:rsidRPr="007802D0" w:rsidRDefault="00DF15C3" w:rsidP="003F26FD">
      <w:pPr>
        <w:pStyle w:val="Prrafodelista"/>
        <w:ind w:right="-174"/>
        <w:rPr>
          <w:rFonts w:ascii="Verdana" w:hAnsi="Verdana" w:cs="Calibri"/>
          <w:w w:val="95"/>
          <w:sz w:val="20"/>
          <w:szCs w:val="20"/>
          <w:lang w:val="es-CR"/>
        </w:rPr>
      </w:pPr>
    </w:p>
    <w:p w:rsidR="00DF15C3" w:rsidRPr="007802D0" w:rsidRDefault="00DF15C3" w:rsidP="003F26FD">
      <w:pPr>
        <w:pStyle w:val="Prrafodelista"/>
        <w:numPr>
          <w:ilvl w:val="0"/>
          <w:numId w:val="17"/>
        </w:numPr>
        <w:spacing w:after="0" w:line="216" w:lineRule="auto"/>
        <w:ind w:left="-144" w:right="-174" w:hanging="14"/>
        <w:jc w:val="both"/>
        <w:rPr>
          <w:rFonts w:ascii="Verdana" w:hAnsi="Verdana" w:cs="Calibri"/>
          <w:w w:val="95"/>
          <w:sz w:val="20"/>
          <w:szCs w:val="20"/>
          <w:lang w:val="es-CR"/>
        </w:rPr>
      </w:pPr>
      <w:r w:rsidRPr="007802D0">
        <w:rPr>
          <w:rFonts w:ascii="Verdana" w:hAnsi="Verdana" w:cs="Calibri"/>
          <w:w w:val="95"/>
          <w:sz w:val="20"/>
          <w:szCs w:val="20"/>
          <w:lang w:val="es-CR"/>
        </w:rPr>
        <w:lastRenderedPageBreak/>
        <w:t>Se ha afirmado que las zonas urbanas, como ciudad de Guatemala o Escuintla, eran los lugares en que, principalmente, ocurrieron ese tipo de hechos</w:t>
      </w:r>
      <w:r w:rsidRPr="007802D0">
        <w:rPr>
          <w:rStyle w:val="Refdenotaalpie"/>
          <w:rFonts w:ascii="Verdana" w:hAnsi="Verdana" w:cs="Calibri"/>
          <w:w w:val="95"/>
          <w:sz w:val="20"/>
          <w:szCs w:val="20"/>
        </w:rPr>
        <w:footnoteReference w:id="83"/>
      </w:r>
      <w:r w:rsidRPr="00820AF8">
        <w:rPr>
          <w:rFonts w:ascii="Verdana" w:hAnsi="Verdana" w:cs="Calibri"/>
          <w:w w:val="95"/>
          <w:sz w:val="20"/>
          <w:szCs w:val="20"/>
          <w:lang w:val="es-CR"/>
        </w:rPr>
        <w:t>,</w:t>
      </w:r>
      <w:r>
        <w:rPr>
          <w:rFonts w:ascii="Verdana" w:hAnsi="Verdana" w:cs="Calibri"/>
          <w:b/>
          <w:w w:val="95"/>
          <w:sz w:val="20"/>
          <w:szCs w:val="20"/>
          <w:lang w:val="es-CR"/>
        </w:rPr>
        <w:t xml:space="preserve"> </w:t>
      </w:r>
      <w:r w:rsidRPr="007802D0">
        <w:rPr>
          <w:rFonts w:ascii="Verdana" w:hAnsi="Verdana" w:cs="Calibri"/>
          <w:w w:val="95"/>
          <w:sz w:val="20"/>
          <w:szCs w:val="20"/>
          <w:lang w:val="es-CR"/>
        </w:rPr>
        <w:t>y que las mujeres víctimas,</w:t>
      </w:r>
      <w:r w:rsidRPr="007802D0">
        <w:rPr>
          <w:rFonts w:ascii="Verdana" w:hAnsi="Verdana" w:cs="Calibri"/>
          <w:b/>
          <w:w w:val="95"/>
          <w:sz w:val="20"/>
          <w:szCs w:val="20"/>
          <w:lang w:val="es-CR"/>
        </w:rPr>
        <w:t xml:space="preserve"> </w:t>
      </w:r>
      <w:r w:rsidRPr="007802D0">
        <w:rPr>
          <w:rFonts w:ascii="Verdana" w:hAnsi="Verdana" w:cs="Calibri"/>
          <w:w w:val="95"/>
          <w:sz w:val="20"/>
          <w:szCs w:val="20"/>
          <w:lang w:val="es-CR"/>
        </w:rPr>
        <w:t>en general, eran residentes en barrios populares, se dedicaban a actividades productivas no calificadas o eran estudiantes</w:t>
      </w:r>
      <w:r w:rsidRPr="007802D0">
        <w:rPr>
          <w:rStyle w:val="Refdenotaalpie"/>
          <w:rFonts w:ascii="Verdana" w:hAnsi="Verdana" w:cs="Calibri"/>
          <w:w w:val="95"/>
          <w:sz w:val="20"/>
          <w:szCs w:val="20"/>
        </w:rPr>
        <w:footnoteReference w:id="84"/>
      </w:r>
      <w:r w:rsidRPr="007802D0">
        <w:rPr>
          <w:rFonts w:ascii="Verdana" w:hAnsi="Verdana" w:cs="Calibri"/>
          <w:w w:val="95"/>
          <w:sz w:val="20"/>
          <w:szCs w:val="20"/>
          <w:lang w:val="es-CR"/>
        </w:rPr>
        <w:t>.</w:t>
      </w:r>
      <w:r w:rsidRPr="007802D0">
        <w:rPr>
          <w:rFonts w:ascii="Verdana" w:hAnsi="Verdana" w:cs="Calibri"/>
          <w:b/>
          <w:w w:val="95"/>
          <w:sz w:val="20"/>
          <w:szCs w:val="20"/>
          <w:lang w:val="es-CR"/>
        </w:rPr>
        <w:t xml:space="preserve"> </w:t>
      </w:r>
      <w:r w:rsidRPr="007802D0">
        <w:rPr>
          <w:rFonts w:ascii="Verdana" w:hAnsi="Verdana" w:cs="Calibri"/>
          <w:w w:val="95"/>
          <w:sz w:val="20"/>
          <w:szCs w:val="20"/>
          <w:lang w:val="es-CR"/>
        </w:rPr>
        <w:t>Asimismo se ha aducido como “característica de muchos de los casos de mujeres que han sido víctima de homicidio” la “brutalidad de la violencia ejercida”, la presencia de “signos de violencia sexual” en los cadáveres, o la mutilación de los mismos</w:t>
      </w:r>
      <w:r w:rsidRPr="007802D0">
        <w:rPr>
          <w:rStyle w:val="Refdenotaalpie"/>
          <w:rFonts w:ascii="Verdana" w:hAnsi="Verdana" w:cs="Calibri"/>
          <w:w w:val="95"/>
          <w:sz w:val="20"/>
          <w:szCs w:val="20"/>
        </w:rPr>
        <w:footnoteReference w:id="85"/>
      </w:r>
      <w:r w:rsidR="002037D1">
        <w:rPr>
          <w:rFonts w:ascii="Verdana" w:hAnsi="Verdana" w:cs="Calibri"/>
          <w:w w:val="95"/>
          <w:sz w:val="20"/>
          <w:szCs w:val="20"/>
          <w:lang w:val="es-CR"/>
        </w:rPr>
        <w:t xml:space="preserve">. </w:t>
      </w:r>
      <w:r w:rsidRPr="007802D0">
        <w:rPr>
          <w:rFonts w:ascii="Verdana" w:hAnsi="Verdana" w:cs="Calibri"/>
          <w:w w:val="95"/>
          <w:sz w:val="20"/>
          <w:szCs w:val="20"/>
          <w:lang w:val="es-CR"/>
        </w:rPr>
        <w:t>También que “[m]uchas de [las] mujeres fueron secuestradas, y en algunos casos estuvieron horas, o incluso días, recluidas antes de ser asesinadas”</w:t>
      </w:r>
      <w:r w:rsidRPr="007802D0">
        <w:rPr>
          <w:rStyle w:val="Refdenotaalpie"/>
          <w:rFonts w:ascii="Verdana" w:hAnsi="Verdana" w:cs="Calibri"/>
          <w:w w:val="95"/>
          <w:sz w:val="20"/>
          <w:szCs w:val="20"/>
        </w:rPr>
        <w:footnoteReference w:id="86"/>
      </w:r>
      <w:r w:rsidRPr="007802D0">
        <w:rPr>
          <w:rFonts w:ascii="Verdana" w:hAnsi="Verdana" w:cs="Calibri"/>
          <w:w w:val="95"/>
          <w:sz w:val="20"/>
          <w:szCs w:val="20"/>
          <w:lang w:val="es-CR"/>
        </w:rPr>
        <w:t xml:space="preserve">. La perita </w:t>
      </w:r>
      <w:r>
        <w:rPr>
          <w:rFonts w:ascii="Verdana" w:hAnsi="Verdana" w:cs="Calibri"/>
          <w:w w:val="95"/>
          <w:sz w:val="20"/>
          <w:szCs w:val="20"/>
          <w:lang w:val="es-CR"/>
        </w:rPr>
        <w:t xml:space="preserve">Ana </w:t>
      </w:r>
      <w:r w:rsidRPr="007802D0">
        <w:rPr>
          <w:rFonts w:ascii="Verdana" w:hAnsi="Verdana" w:cs="Calibri"/>
          <w:w w:val="95"/>
          <w:sz w:val="20"/>
          <w:szCs w:val="20"/>
          <w:lang w:val="es-CR"/>
        </w:rPr>
        <w:t>Carcedo Cabañas indicó que el “Organismo Judicial de Guatemala reconoc[ió] la existencia de este ensañamiento desproporcionado en las muertes de mujeres”</w:t>
      </w:r>
      <w:r w:rsidRPr="007802D0">
        <w:rPr>
          <w:rStyle w:val="Refdenotaalpie"/>
          <w:rFonts w:ascii="Verdana" w:hAnsi="Verdana" w:cs="Calibri"/>
          <w:w w:val="95"/>
          <w:sz w:val="20"/>
          <w:szCs w:val="20"/>
        </w:rPr>
        <w:footnoteReference w:id="87"/>
      </w:r>
      <w:r w:rsidRPr="007802D0">
        <w:rPr>
          <w:rFonts w:ascii="Verdana" w:hAnsi="Verdana" w:cs="Calibri"/>
          <w:w w:val="95"/>
          <w:sz w:val="20"/>
          <w:szCs w:val="20"/>
          <w:lang w:val="es-CR"/>
        </w:rPr>
        <w:t xml:space="preserve">. </w:t>
      </w:r>
    </w:p>
    <w:p w:rsidR="00DF15C3" w:rsidRPr="007802D0" w:rsidRDefault="00DF15C3" w:rsidP="003F26FD">
      <w:pPr>
        <w:pStyle w:val="Prrafodelista"/>
        <w:spacing w:after="0" w:line="216" w:lineRule="auto"/>
        <w:ind w:left="-144" w:right="-174"/>
        <w:jc w:val="both"/>
        <w:rPr>
          <w:rFonts w:ascii="Verdana" w:hAnsi="Verdana" w:cs="Calibri"/>
          <w:w w:val="95"/>
          <w:sz w:val="20"/>
          <w:szCs w:val="20"/>
          <w:lang w:val="es-CR"/>
        </w:rPr>
      </w:pPr>
    </w:p>
    <w:p w:rsidR="00DF15C3" w:rsidRPr="007802D0" w:rsidRDefault="00DF15C3" w:rsidP="003F26FD">
      <w:pPr>
        <w:pStyle w:val="Prrafodelista"/>
        <w:numPr>
          <w:ilvl w:val="0"/>
          <w:numId w:val="17"/>
        </w:numPr>
        <w:spacing w:after="0" w:line="216" w:lineRule="auto"/>
        <w:ind w:left="-144" w:right="-174" w:hanging="14"/>
        <w:jc w:val="both"/>
        <w:rPr>
          <w:rFonts w:ascii="Verdana" w:hAnsi="Verdana" w:cs="Calibri"/>
          <w:w w:val="95"/>
          <w:sz w:val="20"/>
          <w:szCs w:val="20"/>
          <w:lang w:val="es-CR"/>
        </w:rPr>
      </w:pPr>
      <w:r w:rsidRPr="007802D0">
        <w:rPr>
          <w:rFonts w:ascii="Verdana" w:hAnsi="Verdana" w:cs="Calibri"/>
          <w:w w:val="95"/>
          <w:sz w:val="20"/>
          <w:szCs w:val="20"/>
          <w:lang w:val="es-CR"/>
        </w:rPr>
        <w:t>En línea con lo anterior, un informe de la Comisión Interamericana de abril de 2001 aseveró que, para ese momento, la violencia contra la mujer era “</w:t>
      </w:r>
      <w:r w:rsidRPr="007802D0">
        <w:rPr>
          <w:rFonts w:ascii="Verdana" w:hAnsi="Verdana"/>
          <w:w w:val="95"/>
          <w:sz w:val="20"/>
          <w:szCs w:val="20"/>
          <w:lang w:val="es-ES"/>
        </w:rPr>
        <w:t>un problema grave en el país”, y que [a]unque [en ese momento era] difícil estimar con precisión la profundidad y el alcance del [mismo], hay informes que indica[ron] que la violencia basada en el género est[aba] entre las causas principales de muerte y discapacidad entre las mujeres de entre 15 y 44 años de edad”</w:t>
      </w:r>
      <w:r w:rsidRPr="007802D0">
        <w:rPr>
          <w:rStyle w:val="Refdenotaalpie"/>
          <w:rFonts w:ascii="Verdana" w:hAnsi="Verdana" w:cs="Calibri"/>
          <w:w w:val="95"/>
          <w:sz w:val="20"/>
          <w:szCs w:val="20"/>
        </w:rPr>
        <w:footnoteReference w:id="88"/>
      </w:r>
      <w:r w:rsidRPr="007802D0">
        <w:rPr>
          <w:rFonts w:ascii="Verdana" w:hAnsi="Verdana" w:cs="Calibri"/>
          <w:w w:val="95"/>
          <w:sz w:val="20"/>
          <w:szCs w:val="20"/>
          <w:lang w:val="es-CR"/>
        </w:rPr>
        <w:t>.</w:t>
      </w:r>
      <w:r w:rsidRPr="007802D0">
        <w:rPr>
          <w:rStyle w:val="Refdenotaalpie"/>
          <w:rFonts w:ascii="Verdana" w:hAnsi="Verdana" w:cs="Calibri"/>
          <w:w w:val="95"/>
          <w:sz w:val="20"/>
          <w:szCs w:val="20"/>
          <w:lang w:val="es-CR"/>
        </w:rPr>
        <w:t xml:space="preserve"> </w:t>
      </w:r>
      <w:r w:rsidRPr="007802D0">
        <w:rPr>
          <w:rFonts w:ascii="Verdana" w:hAnsi="Verdana" w:cs="Calibri"/>
          <w:w w:val="95"/>
          <w:sz w:val="20"/>
          <w:szCs w:val="20"/>
          <w:lang w:val="es-CR"/>
        </w:rPr>
        <w:t xml:space="preserve">El Estado indicó que las “estadísticas pueden ser correctas”. </w:t>
      </w:r>
    </w:p>
    <w:p w:rsidR="00DF15C3" w:rsidRPr="007802D0" w:rsidRDefault="00DF15C3" w:rsidP="003F26FD">
      <w:pPr>
        <w:pStyle w:val="Prrafodelista"/>
        <w:spacing w:after="0" w:line="216" w:lineRule="auto"/>
        <w:ind w:left="-142" w:right="-174"/>
        <w:jc w:val="both"/>
        <w:rPr>
          <w:rFonts w:ascii="Verdana" w:hAnsi="Verdana" w:cs="Calibri"/>
          <w:w w:val="95"/>
          <w:sz w:val="20"/>
          <w:szCs w:val="20"/>
          <w:lang w:val="es-CR"/>
        </w:rPr>
      </w:pPr>
    </w:p>
    <w:p w:rsidR="00DF15C3" w:rsidRPr="007802D0" w:rsidRDefault="00DF15C3" w:rsidP="003F26FD">
      <w:pPr>
        <w:pStyle w:val="Prrafodelista"/>
        <w:numPr>
          <w:ilvl w:val="0"/>
          <w:numId w:val="17"/>
        </w:numPr>
        <w:spacing w:after="0" w:line="216" w:lineRule="auto"/>
        <w:ind w:left="-142" w:right="-174" w:hanging="11"/>
        <w:jc w:val="both"/>
        <w:rPr>
          <w:rFonts w:ascii="Verdana" w:hAnsi="Verdana" w:cs="Calibri"/>
          <w:b/>
          <w:w w:val="95"/>
          <w:sz w:val="20"/>
          <w:szCs w:val="20"/>
          <w:lang w:val="es-CR"/>
        </w:rPr>
      </w:pPr>
      <w:r w:rsidRPr="007802D0">
        <w:rPr>
          <w:rFonts w:ascii="Verdana" w:hAnsi="Verdana" w:cs="Calibri"/>
          <w:w w:val="95"/>
          <w:sz w:val="20"/>
          <w:szCs w:val="20"/>
          <w:lang w:val="es-CR"/>
        </w:rPr>
        <w:t xml:space="preserve">De otro lado, cabe observar que la Procuraduría de los Derechos Humanos, órgano estatal, ha vinculado la existencia de actos violentos cometidos contra mujeres en 2001 a “la </w:t>
      </w:r>
      <w:r w:rsidRPr="007802D0">
        <w:rPr>
          <w:rFonts w:ascii="Verdana" w:hAnsi="Verdana" w:cs="Calibri"/>
          <w:w w:val="95"/>
          <w:sz w:val="20"/>
          <w:szCs w:val="20"/>
          <w:lang w:val="es-CR"/>
        </w:rPr>
        <w:lastRenderedPageBreak/>
        <w:t>discriminación, culturalmente enraizada en la sociedad guatemalteca”, y ha enmarcado tal violencia en un contexto de discriminación contra las mujeres en Guatemala en diversos ámbitos</w:t>
      </w:r>
      <w:r w:rsidRPr="007802D0">
        <w:rPr>
          <w:rStyle w:val="Refdenotaalpie"/>
          <w:rFonts w:ascii="Verdana" w:hAnsi="Verdana" w:cs="Calibri"/>
          <w:w w:val="95"/>
          <w:sz w:val="20"/>
          <w:szCs w:val="20"/>
        </w:rPr>
        <w:footnoteReference w:id="89"/>
      </w:r>
      <w:r w:rsidRPr="007802D0">
        <w:rPr>
          <w:rFonts w:ascii="Verdana" w:hAnsi="Verdana" w:cs="Calibri"/>
          <w:w w:val="95"/>
          <w:sz w:val="20"/>
          <w:szCs w:val="20"/>
          <w:lang w:val="es-CR"/>
        </w:rPr>
        <w:t>. En forma acorde se ha expresado el Órgano de Coordinación de la Prevención, el Castigo y la Erradicación de la Violencia Familiar y la Violencia contra la Mujer (CONAPREVI), otra entidad del Estado</w:t>
      </w:r>
      <w:r w:rsidRPr="007802D0">
        <w:rPr>
          <w:rStyle w:val="Refdenotaalpie"/>
          <w:rFonts w:ascii="Verdana" w:hAnsi="Verdana" w:cs="Calibri"/>
          <w:w w:val="95"/>
          <w:sz w:val="20"/>
          <w:szCs w:val="20"/>
        </w:rPr>
        <w:footnoteReference w:id="90"/>
      </w:r>
      <w:r w:rsidRPr="007802D0">
        <w:rPr>
          <w:rFonts w:ascii="Verdana" w:hAnsi="Verdana" w:cs="Calibri"/>
          <w:w w:val="95"/>
          <w:sz w:val="20"/>
          <w:szCs w:val="20"/>
          <w:lang w:val="es-CR"/>
        </w:rPr>
        <w:t xml:space="preserve">. </w:t>
      </w:r>
    </w:p>
    <w:p w:rsidR="00DF15C3" w:rsidRPr="007802D0" w:rsidRDefault="00DF15C3" w:rsidP="003F26FD">
      <w:pPr>
        <w:pStyle w:val="Prrafodelista"/>
        <w:ind w:right="-174"/>
        <w:rPr>
          <w:rFonts w:ascii="Verdana" w:hAnsi="Verdana" w:cs="Calibri"/>
          <w:b/>
          <w:w w:val="95"/>
          <w:sz w:val="20"/>
          <w:szCs w:val="20"/>
          <w:lang w:val="es-CR"/>
        </w:rPr>
      </w:pPr>
    </w:p>
    <w:p w:rsidR="00DF15C3" w:rsidRPr="007802D0" w:rsidRDefault="00DF15C3" w:rsidP="003F26FD">
      <w:pPr>
        <w:pStyle w:val="Prrafodelista"/>
        <w:numPr>
          <w:ilvl w:val="0"/>
          <w:numId w:val="17"/>
        </w:numPr>
        <w:spacing w:after="0" w:line="216" w:lineRule="auto"/>
        <w:ind w:left="-142" w:right="-174" w:hanging="11"/>
        <w:jc w:val="both"/>
        <w:rPr>
          <w:rFonts w:ascii="Verdana" w:hAnsi="Verdana" w:cs="Calibri"/>
          <w:b/>
          <w:w w:val="95"/>
          <w:sz w:val="20"/>
          <w:szCs w:val="20"/>
          <w:lang w:val="es-CR"/>
        </w:rPr>
      </w:pPr>
      <w:r w:rsidRPr="007802D0">
        <w:rPr>
          <w:rFonts w:ascii="Verdana" w:hAnsi="Verdana" w:cs="Calibri"/>
          <w:w w:val="95"/>
          <w:sz w:val="20"/>
          <w:szCs w:val="20"/>
          <w:lang w:val="es-CR"/>
        </w:rPr>
        <w:t>Considerando lo anterior,</w:t>
      </w:r>
      <w:r w:rsidRPr="007802D0">
        <w:rPr>
          <w:rFonts w:ascii="Verdana" w:hAnsi="Verdana" w:cs="Calibri"/>
          <w:w w:val="95"/>
          <w:sz w:val="20"/>
          <w:szCs w:val="20"/>
        </w:rPr>
        <w:t xml:space="preserve"> </w:t>
      </w:r>
      <w:r w:rsidRPr="007802D0">
        <w:rPr>
          <w:rFonts w:ascii="Verdana" w:hAnsi="Verdana" w:cs="Calibri"/>
          <w:w w:val="95"/>
          <w:sz w:val="20"/>
          <w:szCs w:val="20"/>
          <w:lang w:val="es-CR"/>
        </w:rPr>
        <w:t>es posible concluir que dentro del conjunto de muertes violentas de mujeres ocurridas en 2001 en Guatemala, la existencia de homicidios por razones de género no era excepcional</w:t>
      </w:r>
      <w:r w:rsidRPr="007802D0">
        <w:rPr>
          <w:rStyle w:val="Refdenotaalpie"/>
          <w:rFonts w:ascii="Verdana" w:hAnsi="Verdana" w:cs="Calibri"/>
          <w:w w:val="95"/>
          <w:sz w:val="20"/>
          <w:szCs w:val="20"/>
          <w:lang w:val="es-CR"/>
        </w:rPr>
        <w:footnoteReference w:id="91"/>
      </w:r>
      <w:r w:rsidRPr="007802D0">
        <w:rPr>
          <w:rFonts w:ascii="Verdana" w:hAnsi="Verdana"/>
          <w:w w:val="95"/>
          <w:sz w:val="20"/>
          <w:szCs w:val="20"/>
          <w:lang w:val="es-CR"/>
        </w:rPr>
        <w:t>. Coadyuva a esta conclusión la valoración de prueba pericial</w:t>
      </w:r>
      <w:r w:rsidRPr="007802D0">
        <w:rPr>
          <w:rFonts w:ascii="Verdana" w:hAnsi="Verdana" w:cs="Calibri"/>
          <w:w w:val="95"/>
          <w:sz w:val="20"/>
          <w:szCs w:val="20"/>
          <w:lang w:val="es-CR"/>
        </w:rPr>
        <w:t xml:space="preserve"> y documental que refiere a fechas próximas a diciembre de 2001</w:t>
      </w:r>
      <w:r w:rsidRPr="007802D0">
        <w:rPr>
          <w:rStyle w:val="Refdenotaalpie"/>
          <w:rFonts w:ascii="Verdana" w:hAnsi="Verdana" w:cs="Calibri"/>
          <w:w w:val="95"/>
          <w:sz w:val="20"/>
          <w:szCs w:val="20"/>
        </w:rPr>
        <w:footnoteReference w:id="92"/>
      </w:r>
      <w:r w:rsidRPr="007802D0">
        <w:rPr>
          <w:rFonts w:ascii="Verdana" w:hAnsi="Verdana" w:cs="Calibri"/>
          <w:w w:val="95"/>
          <w:sz w:val="20"/>
          <w:szCs w:val="20"/>
          <w:lang w:val="es-CR"/>
        </w:rPr>
        <w:t xml:space="preserve">. En este sentido, </w:t>
      </w:r>
      <w:r w:rsidRPr="007802D0">
        <w:rPr>
          <w:rFonts w:ascii="Verdana" w:hAnsi="Verdana"/>
          <w:w w:val="95"/>
          <w:sz w:val="20"/>
          <w:szCs w:val="20"/>
          <w:lang w:val="es-CR"/>
        </w:rPr>
        <w:t>resulta oportuno considerar que el tipo de fenómeno que aquí se examina presenta cierto grado de continuidad temporal</w:t>
      </w:r>
      <w:r w:rsidRPr="007802D0">
        <w:rPr>
          <w:rFonts w:ascii="Verdana" w:hAnsi="Verdana" w:cs="Calibri"/>
          <w:w w:val="95"/>
          <w:sz w:val="20"/>
          <w:szCs w:val="20"/>
          <w:lang w:val="es-CR"/>
        </w:rPr>
        <w:t xml:space="preserve"> y que</w:t>
      </w:r>
      <w:r w:rsidR="00DD70DA">
        <w:rPr>
          <w:rFonts w:ascii="Verdana" w:hAnsi="Verdana" w:cs="Calibri"/>
          <w:w w:val="95"/>
          <w:sz w:val="20"/>
          <w:szCs w:val="20"/>
          <w:lang w:val="es-CR"/>
        </w:rPr>
        <w:t>,</w:t>
      </w:r>
      <w:r w:rsidRPr="007802D0">
        <w:rPr>
          <w:rFonts w:ascii="Verdana" w:hAnsi="Verdana" w:cs="Calibri"/>
          <w:w w:val="95"/>
          <w:sz w:val="20"/>
          <w:szCs w:val="20"/>
          <w:lang w:val="es-CR"/>
        </w:rPr>
        <w:t xml:space="preserve"> si bien resulta difícil precisar con plena certeza el momento en el cual tuvo inicio, en todo caso</w:t>
      </w:r>
      <w:r w:rsidR="00DD70DA">
        <w:rPr>
          <w:rFonts w:ascii="Verdana" w:hAnsi="Verdana" w:cs="Calibri"/>
          <w:w w:val="95"/>
          <w:sz w:val="20"/>
          <w:szCs w:val="20"/>
          <w:lang w:val="es-CR"/>
        </w:rPr>
        <w:t>,</w:t>
      </w:r>
      <w:r w:rsidRPr="007802D0">
        <w:rPr>
          <w:rFonts w:ascii="Verdana" w:hAnsi="Verdana" w:cs="Calibri"/>
          <w:w w:val="95"/>
          <w:sz w:val="20"/>
          <w:szCs w:val="20"/>
          <w:lang w:val="es-CR"/>
        </w:rPr>
        <w:t xml:space="preserve"> para la fecha en que ocurrieron los hechos del presente caso existía un contexto de aumento de la violencia homicida contra las mujeres en Guatemala.</w:t>
      </w:r>
    </w:p>
    <w:p w:rsidR="00DF15C3" w:rsidRDefault="00DF15C3" w:rsidP="003F26FD">
      <w:pPr>
        <w:pStyle w:val="Prrafodelista"/>
        <w:ind w:right="-174"/>
        <w:rPr>
          <w:rFonts w:ascii="Verdana" w:hAnsi="Verdana" w:cs="Calibri"/>
          <w:b/>
          <w:w w:val="95"/>
          <w:sz w:val="20"/>
          <w:szCs w:val="20"/>
          <w:lang w:val="es-CR"/>
        </w:rPr>
      </w:pPr>
    </w:p>
    <w:p w:rsidR="00BA1E79" w:rsidRPr="002B0D23" w:rsidRDefault="00BA1E79" w:rsidP="003F26FD">
      <w:pPr>
        <w:pStyle w:val="Prrafodelista"/>
        <w:ind w:right="-174"/>
        <w:rPr>
          <w:rFonts w:ascii="Verdana" w:hAnsi="Verdana" w:cs="Calibri"/>
          <w:b/>
          <w:w w:val="95"/>
          <w:sz w:val="20"/>
          <w:szCs w:val="20"/>
          <w:lang w:val="es-CR"/>
        </w:rPr>
      </w:pPr>
    </w:p>
    <w:p w:rsidR="00DF15C3" w:rsidRPr="00293A42" w:rsidRDefault="00DF15C3" w:rsidP="003F26FD">
      <w:pPr>
        <w:pStyle w:val="Prrafodelista"/>
        <w:spacing w:after="0" w:line="216" w:lineRule="auto"/>
        <w:ind w:left="567" w:right="-174"/>
        <w:jc w:val="both"/>
        <w:outlineLvl w:val="2"/>
        <w:rPr>
          <w:rFonts w:ascii="Verdana" w:hAnsi="Verdana"/>
          <w:b/>
          <w:i/>
          <w:w w:val="95"/>
          <w:sz w:val="20"/>
          <w:szCs w:val="20"/>
          <w:lang w:val="es-CR"/>
        </w:rPr>
      </w:pPr>
      <w:bookmarkStart w:id="73" w:name="_Toc394313662"/>
      <w:r w:rsidRPr="006779CB">
        <w:rPr>
          <w:rFonts w:ascii="Verdana" w:hAnsi="Verdana"/>
          <w:b/>
          <w:i/>
          <w:w w:val="95"/>
          <w:sz w:val="20"/>
          <w:szCs w:val="20"/>
          <w:lang w:val="es-CR"/>
        </w:rPr>
        <w:lastRenderedPageBreak/>
        <w:t>A.4) Sobre la actuación del Estado en la investigación de homicidios cometidos contra mujeres</w:t>
      </w:r>
      <w:bookmarkEnd w:id="73"/>
    </w:p>
    <w:p w:rsidR="00DF15C3" w:rsidRPr="002B0D23" w:rsidRDefault="00DF15C3" w:rsidP="003F26FD">
      <w:pPr>
        <w:pStyle w:val="Prrafodelista"/>
        <w:ind w:right="-174"/>
        <w:rPr>
          <w:rFonts w:ascii="Verdana" w:hAnsi="Verdana" w:cs="Calibri"/>
          <w:b/>
          <w:w w:val="95"/>
          <w:sz w:val="20"/>
          <w:szCs w:val="20"/>
          <w:lang w:val="es-CR"/>
        </w:rPr>
      </w:pPr>
    </w:p>
    <w:p w:rsidR="00DF15C3" w:rsidRPr="00D42A7C" w:rsidRDefault="00DF15C3" w:rsidP="003F26FD">
      <w:pPr>
        <w:pStyle w:val="Prrafodelista"/>
        <w:numPr>
          <w:ilvl w:val="0"/>
          <w:numId w:val="17"/>
        </w:numPr>
        <w:spacing w:after="0" w:line="216" w:lineRule="auto"/>
        <w:ind w:left="-142" w:right="-174" w:hanging="11"/>
        <w:jc w:val="both"/>
        <w:rPr>
          <w:rFonts w:ascii="Verdana" w:hAnsi="Verdana" w:cs="Calibri"/>
          <w:strike/>
          <w:w w:val="95"/>
          <w:sz w:val="20"/>
          <w:szCs w:val="20"/>
          <w:lang w:val="es-CR"/>
        </w:rPr>
      </w:pPr>
      <w:r w:rsidRPr="00D42A7C">
        <w:rPr>
          <w:rFonts w:ascii="Verdana" w:hAnsi="Verdana" w:cs="Calibri"/>
          <w:w w:val="95"/>
          <w:sz w:val="20"/>
          <w:szCs w:val="20"/>
          <w:lang w:val="es-CR"/>
        </w:rPr>
        <w:t>Debe resaltarse que el Estado, antes</w:t>
      </w:r>
      <w:r>
        <w:rPr>
          <w:rStyle w:val="Refdenotaalpie"/>
          <w:rFonts w:ascii="Verdana" w:hAnsi="Verdana" w:cs="Calibri"/>
          <w:w w:val="95"/>
          <w:sz w:val="20"/>
          <w:szCs w:val="20"/>
          <w:lang w:val="es-CR"/>
        </w:rPr>
        <w:footnoteReference w:id="93"/>
      </w:r>
      <w:r w:rsidRPr="00D42A7C">
        <w:rPr>
          <w:rFonts w:ascii="Verdana" w:hAnsi="Verdana" w:cs="Calibri"/>
          <w:w w:val="95"/>
          <w:sz w:val="20"/>
          <w:szCs w:val="20"/>
          <w:lang w:val="es-CR"/>
        </w:rPr>
        <w:t xml:space="preserve"> y después de los hechos del presente caso, ha adoptado diversas medidas tendientes a afrontar la discriminación y violencia contra las mujeres</w:t>
      </w:r>
      <w:r w:rsidR="00EA3C22">
        <w:rPr>
          <w:rFonts w:ascii="Verdana" w:hAnsi="Verdana" w:cs="Calibri"/>
          <w:w w:val="95"/>
          <w:sz w:val="20"/>
          <w:szCs w:val="20"/>
          <w:lang w:val="es-CR"/>
        </w:rPr>
        <w:t>, que este Tribunal tiene presente</w:t>
      </w:r>
      <w:r w:rsidRPr="00D42A7C">
        <w:rPr>
          <w:rFonts w:ascii="Verdana" w:hAnsi="Verdana" w:cs="Calibri"/>
          <w:w w:val="95"/>
          <w:sz w:val="20"/>
          <w:szCs w:val="20"/>
          <w:lang w:val="es-CR"/>
        </w:rPr>
        <w:t xml:space="preserve">. Así, cabe destacar la </w:t>
      </w:r>
      <w:r w:rsidR="005C0FF2">
        <w:rPr>
          <w:rFonts w:ascii="Verdana" w:hAnsi="Verdana" w:cs="Calibri"/>
          <w:bCs/>
          <w:w w:val="95"/>
          <w:sz w:val="20"/>
          <w:szCs w:val="20"/>
          <w:lang w:val="es-CR"/>
        </w:rPr>
        <w:t>Ley para Prevenir, Sancionar y Erradicar la Violencia I</w:t>
      </w:r>
      <w:r w:rsidRPr="00D42A7C">
        <w:rPr>
          <w:rFonts w:ascii="Verdana" w:hAnsi="Verdana" w:cs="Calibri"/>
          <w:bCs/>
          <w:w w:val="95"/>
          <w:sz w:val="20"/>
          <w:szCs w:val="20"/>
          <w:lang w:val="es-CR"/>
        </w:rPr>
        <w:t>ntrafamiliar, de 28 de noviembre de 19</w:t>
      </w:r>
      <w:r w:rsidR="00820AF8">
        <w:rPr>
          <w:rFonts w:ascii="Verdana" w:hAnsi="Verdana" w:cs="Calibri"/>
          <w:bCs/>
          <w:w w:val="95"/>
          <w:sz w:val="20"/>
          <w:szCs w:val="20"/>
          <w:lang w:val="es-CR"/>
        </w:rPr>
        <w:t>96, así</w:t>
      </w:r>
      <w:r w:rsidRPr="00D42A7C">
        <w:rPr>
          <w:rFonts w:ascii="Verdana" w:hAnsi="Verdana" w:cs="Calibri"/>
          <w:bCs/>
          <w:w w:val="95"/>
          <w:sz w:val="20"/>
          <w:szCs w:val="20"/>
          <w:lang w:val="es-CR"/>
        </w:rPr>
        <w:t xml:space="preserve"> como la </w:t>
      </w:r>
      <w:r w:rsidRPr="00D42A7C">
        <w:rPr>
          <w:rFonts w:ascii="Verdana" w:hAnsi="Verdana"/>
          <w:w w:val="95"/>
          <w:sz w:val="20"/>
          <w:szCs w:val="20"/>
          <w:lang w:val="es-EC"/>
        </w:rPr>
        <w:t xml:space="preserve">Ley contra </w:t>
      </w:r>
      <w:r w:rsidR="005C0FF2">
        <w:rPr>
          <w:rFonts w:ascii="Verdana" w:hAnsi="Verdana"/>
          <w:w w:val="95"/>
          <w:sz w:val="20"/>
          <w:szCs w:val="20"/>
          <w:lang w:val="es-EC"/>
        </w:rPr>
        <w:t>el Femicidio y otras formas de V</w:t>
      </w:r>
      <w:r w:rsidR="00AF4BA4">
        <w:rPr>
          <w:rFonts w:ascii="Verdana" w:hAnsi="Verdana"/>
          <w:w w:val="95"/>
          <w:sz w:val="20"/>
          <w:szCs w:val="20"/>
          <w:lang w:val="es-EC"/>
        </w:rPr>
        <w:t>iolencia contra la M</w:t>
      </w:r>
      <w:r w:rsidRPr="00D42A7C">
        <w:rPr>
          <w:rFonts w:ascii="Verdana" w:hAnsi="Verdana"/>
          <w:w w:val="95"/>
          <w:sz w:val="20"/>
          <w:szCs w:val="20"/>
          <w:lang w:val="es-EC"/>
        </w:rPr>
        <w:t>ujer</w:t>
      </w:r>
      <w:r w:rsidR="00324A2E">
        <w:rPr>
          <w:rFonts w:ascii="Verdana" w:hAnsi="Verdana"/>
          <w:w w:val="95"/>
          <w:sz w:val="20"/>
          <w:szCs w:val="20"/>
          <w:lang w:val="es-EC"/>
        </w:rPr>
        <w:t xml:space="preserve"> (en adelante también “Ley contra el Femicidio”)</w:t>
      </w:r>
      <w:r w:rsidRPr="00D42A7C">
        <w:rPr>
          <w:rFonts w:ascii="Verdana" w:hAnsi="Verdana"/>
          <w:w w:val="95"/>
          <w:sz w:val="20"/>
          <w:szCs w:val="20"/>
          <w:lang w:val="es-EC"/>
        </w:rPr>
        <w:t>, adoptada en 2008</w:t>
      </w:r>
      <w:r w:rsidR="00012C1D">
        <w:rPr>
          <w:rFonts w:ascii="Verdana" w:hAnsi="Verdana"/>
          <w:w w:val="95"/>
          <w:sz w:val="20"/>
          <w:szCs w:val="20"/>
          <w:lang w:val="es-EC"/>
        </w:rPr>
        <w:t xml:space="preserve"> (</w:t>
      </w:r>
      <w:r w:rsidR="00012C1D">
        <w:rPr>
          <w:rFonts w:ascii="Verdana" w:hAnsi="Verdana"/>
          <w:i/>
          <w:w w:val="95"/>
          <w:sz w:val="20"/>
          <w:szCs w:val="20"/>
          <w:lang w:val="es-EC"/>
        </w:rPr>
        <w:t xml:space="preserve">supra </w:t>
      </w:r>
      <w:r w:rsidR="00DD3394">
        <w:rPr>
          <w:rFonts w:ascii="Verdana" w:hAnsi="Verdana"/>
          <w:w w:val="95"/>
          <w:sz w:val="20"/>
          <w:szCs w:val="20"/>
          <w:lang w:val="es-EC"/>
        </w:rPr>
        <w:t>nota</w:t>
      </w:r>
      <w:r w:rsidR="00A8730F">
        <w:rPr>
          <w:rFonts w:ascii="Verdana" w:hAnsi="Verdana"/>
          <w:w w:val="95"/>
          <w:sz w:val="20"/>
          <w:szCs w:val="20"/>
          <w:lang w:val="es-EC"/>
        </w:rPr>
        <w:t>s</w:t>
      </w:r>
      <w:r w:rsidR="00DD3394">
        <w:rPr>
          <w:rFonts w:ascii="Verdana" w:hAnsi="Verdana"/>
          <w:w w:val="95"/>
          <w:sz w:val="20"/>
          <w:szCs w:val="20"/>
          <w:lang w:val="es-EC"/>
        </w:rPr>
        <w:t xml:space="preserve"> al pie de página </w:t>
      </w:r>
      <w:r w:rsidR="00A8730F">
        <w:rPr>
          <w:rFonts w:ascii="Verdana" w:hAnsi="Verdana"/>
          <w:w w:val="95"/>
          <w:sz w:val="20"/>
          <w:szCs w:val="20"/>
          <w:lang w:val="es-EC"/>
        </w:rPr>
        <w:t xml:space="preserve">68 y </w:t>
      </w:r>
      <w:r w:rsidR="00DD3394">
        <w:rPr>
          <w:rFonts w:ascii="Verdana" w:hAnsi="Verdana"/>
          <w:w w:val="95"/>
          <w:sz w:val="20"/>
          <w:szCs w:val="20"/>
          <w:lang w:val="es-EC"/>
        </w:rPr>
        <w:t>93</w:t>
      </w:r>
      <w:r w:rsidR="00012C1D">
        <w:rPr>
          <w:rFonts w:ascii="Verdana" w:hAnsi="Verdana"/>
          <w:w w:val="95"/>
          <w:sz w:val="20"/>
          <w:szCs w:val="20"/>
          <w:lang w:val="es-EC"/>
        </w:rPr>
        <w:t>)</w:t>
      </w:r>
      <w:r w:rsidRPr="00D42A7C">
        <w:rPr>
          <w:rFonts w:ascii="Verdana" w:hAnsi="Verdana"/>
          <w:w w:val="95"/>
          <w:sz w:val="20"/>
          <w:szCs w:val="20"/>
          <w:lang w:val="es-EC"/>
        </w:rPr>
        <w:t xml:space="preserve">. </w:t>
      </w:r>
    </w:p>
    <w:p w:rsidR="00DF15C3" w:rsidRPr="002B0D23" w:rsidRDefault="00DF15C3" w:rsidP="003F26FD">
      <w:pPr>
        <w:pStyle w:val="Prrafodelista"/>
        <w:spacing w:after="0" w:line="216" w:lineRule="auto"/>
        <w:ind w:left="-142" w:right="-174"/>
        <w:jc w:val="both"/>
        <w:rPr>
          <w:rFonts w:ascii="Verdana" w:hAnsi="Verdana" w:cs="Calibri"/>
          <w:b/>
          <w:w w:val="95"/>
          <w:sz w:val="20"/>
          <w:szCs w:val="20"/>
          <w:lang w:val="es-CR"/>
        </w:rPr>
      </w:pPr>
    </w:p>
    <w:p w:rsidR="00DF15C3" w:rsidRPr="00D42A7C" w:rsidRDefault="00DF15C3" w:rsidP="003F26FD">
      <w:pPr>
        <w:pStyle w:val="Prrafodelista"/>
        <w:numPr>
          <w:ilvl w:val="0"/>
          <w:numId w:val="17"/>
        </w:numPr>
        <w:spacing w:after="0" w:line="216" w:lineRule="auto"/>
        <w:ind w:left="-142" w:right="-174" w:hanging="11"/>
        <w:jc w:val="both"/>
        <w:rPr>
          <w:rFonts w:ascii="Verdana" w:hAnsi="Verdana" w:cs="Calibri"/>
          <w:w w:val="95"/>
          <w:sz w:val="20"/>
          <w:szCs w:val="20"/>
          <w:lang w:val="es-CR"/>
        </w:rPr>
      </w:pPr>
      <w:r w:rsidRPr="002B0D23">
        <w:rPr>
          <w:rFonts w:ascii="Verdana" w:hAnsi="Verdana"/>
          <w:w w:val="95"/>
          <w:sz w:val="20"/>
          <w:szCs w:val="20"/>
          <w:lang w:val="es-CR"/>
        </w:rPr>
        <w:t xml:space="preserve"> </w:t>
      </w:r>
      <w:r w:rsidRPr="00D42A7C">
        <w:rPr>
          <w:rFonts w:ascii="Verdana" w:hAnsi="Verdana"/>
          <w:w w:val="95"/>
          <w:sz w:val="20"/>
          <w:szCs w:val="20"/>
          <w:lang w:val="es-CR"/>
        </w:rPr>
        <w:t xml:space="preserve">Sin perjuicio de la importancia de lo anterior, cabe indicar que para diciembre de 2001, así como en los años siguientes, Guatemala presentaba un alto índice de impunidad general; es decir, relativo a diversos tipos de delitos y víctimas. En este marco, la mayoría de los actos violentos que conllevaban la muerte de mujeres quedaban impunes. En ese sentido, la </w:t>
      </w:r>
      <w:r w:rsidRPr="00D42A7C">
        <w:rPr>
          <w:rFonts w:ascii="Verdana" w:hAnsi="Verdana"/>
          <w:bCs/>
          <w:w w:val="95"/>
          <w:sz w:val="20"/>
          <w:szCs w:val="20"/>
        </w:rPr>
        <w:t xml:space="preserve">Misión de Verificación de las Naciones Unidas en Guatemala (MINUGUA) </w:t>
      </w:r>
      <w:r w:rsidRPr="00D42A7C">
        <w:rPr>
          <w:rFonts w:ascii="Verdana" w:hAnsi="Verdana"/>
          <w:w w:val="95"/>
          <w:sz w:val="20"/>
          <w:szCs w:val="20"/>
          <w:lang w:val="es-CR"/>
        </w:rPr>
        <w:t xml:space="preserve">afirmó en 2004 que </w:t>
      </w:r>
    </w:p>
    <w:p w:rsidR="00DF15C3" w:rsidRPr="00D42A7C" w:rsidRDefault="00DF15C3" w:rsidP="003F26FD">
      <w:pPr>
        <w:pStyle w:val="Prrafodelista"/>
        <w:ind w:right="-174"/>
        <w:rPr>
          <w:rFonts w:ascii="Verdana" w:hAnsi="Verdana" w:cs="Calibri"/>
          <w:w w:val="95"/>
          <w:sz w:val="20"/>
          <w:szCs w:val="20"/>
          <w:lang w:val="es-CR"/>
        </w:rPr>
      </w:pPr>
    </w:p>
    <w:p w:rsidR="00DF15C3" w:rsidRPr="00D42A7C" w:rsidRDefault="00DF15C3" w:rsidP="00121AD9">
      <w:pPr>
        <w:pStyle w:val="Prrafodelista"/>
        <w:spacing w:after="0" w:line="216" w:lineRule="auto"/>
        <w:ind w:left="540" w:right="186"/>
        <w:jc w:val="both"/>
        <w:rPr>
          <w:rFonts w:ascii="Verdana" w:hAnsi="Verdana"/>
          <w:w w:val="95"/>
          <w:sz w:val="16"/>
          <w:szCs w:val="16"/>
        </w:rPr>
      </w:pPr>
      <w:r w:rsidRPr="00D42A7C">
        <w:rPr>
          <w:rFonts w:ascii="Verdana" w:hAnsi="Verdana"/>
          <w:w w:val="95"/>
          <w:sz w:val="16"/>
          <w:szCs w:val="16"/>
        </w:rPr>
        <w:t>[p]ese a los esfuerzos desplegados en aras de fortalecer el sistema de administración de justicia, al concluir el trabajo de la  Misión es posible concluir que no existe proporcionalidad entre esa inversión y los  resultados obtenidos. La impunidad continua siendo un fenóm</w:t>
      </w:r>
      <w:r w:rsidR="00BA32CD">
        <w:rPr>
          <w:rFonts w:ascii="Verdana" w:hAnsi="Verdana"/>
          <w:w w:val="95"/>
          <w:sz w:val="16"/>
          <w:szCs w:val="16"/>
        </w:rPr>
        <w:t>eno sistemático y transversal y</w:t>
      </w:r>
      <w:r w:rsidRPr="00D42A7C">
        <w:rPr>
          <w:rFonts w:ascii="Verdana" w:hAnsi="Verdana"/>
          <w:w w:val="95"/>
          <w:sz w:val="16"/>
          <w:szCs w:val="16"/>
        </w:rPr>
        <w:t xml:space="preserve"> pese a </w:t>
      </w:r>
      <w:r w:rsidRPr="00D42A7C">
        <w:rPr>
          <w:rFonts w:ascii="Verdana" w:hAnsi="Verdana"/>
          <w:w w:val="95"/>
          <w:sz w:val="16"/>
          <w:szCs w:val="16"/>
        </w:rPr>
        <w:lastRenderedPageBreak/>
        <w:t>los cambios de los que ha dado cuenta en diversos informes, la población continúa  percibiendo un estado de indefensión e impunidad</w:t>
      </w:r>
      <w:r w:rsidRPr="00D42A7C">
        <w:rPr>
          <w:rStyle w:val="Refdenotaalpie"/>
          <w:rFonts w:ascii="Verdana" w:hAnsi="Verdana"/>
          <w:w w:val="95"/>
          <w:sz w:val="16"/>
          <w:szCs w:val="16"/>
        </w:rPr>
        <w:footnoteReference w:id="94"/>
      </w:r>
      <w:r w:rsidRPr="00D42A7C">
        <w:rPr>
          <w:rFonts w:ascii="Verdana" w:hAnsi="Verdana"/>
          <w:w w:val="95"/>
          <w:sz w:val="16"/>
          <w:szCs w:val="16"/>
        </w:rPr>
        <w:t xml:space="preserve">. </w:t>
      </w:r>
    </w:p>
    <w:p w:rsidR="00DF15C3" w:rsidRPr="002B0D23" w:rsidRDefault="00DF15C3" w:rsidP="003F26FD">
      <w:pPr>
        <w:spacing w:after="0" w:line="216" w:lineRule="auto"/>
        <w:ind w:right="-174"/>
        <w:jc w:val="both"/>
        <w:rPr>
          <w:rFonts w:ascii="Verdana" w:hAnsi="Verdana" w:cs="Calibri"/>
          <w:b/>
          <w:w w:val="95"/>
          <w:sz w:val="20"/>
          <w:szCs w:val="20"/>
          <w:lang w:val="es-CR"/>
        </w:rPr>
      </w:pPr>
    </w:p>
    <w:p w:rsidR="00DF15C3" w:rsidRPr="00D42A7C" w:rsidRDefault="00DF15C3" w:rsidP="003F26FD">
      <w:pPr>
        <w:pStyle w:val="Prrafodelista"/>
        <w:numPr>
          <w:ilvl w:val="0"/>
          <w:numId w:val="17"/>
        </w:numPr>
        <w:spacing w:after="0" w:line="216" w:lineRule="auto"/>
        <w:ind w:left="-90" w:right="-174" w:firstLine="0"/>
        <w:jc w:val="both"/>
        <w:rPr>
          <w:rFonts w:ascii="Verdana" w:hAnsi="Verdana"/>
          <w:w w:val="95"/>
          <w:sz w:val="20"/>
          <w:szCs w:val="20"/>
        </w:rPr>
      </w:pPr>
      <w:r w:rsidRPr="00D42A7C">
        <w:rPr>
          <w:rFonts w:ascii="Verdana" w:hAnsi="Verdana"/>
          <w:w w:val="95"/>
          <w:sz w:val="20"/>
          <w:szCs w:val="20"/>
          <w:lang w:val="es-CR"/>
        </w:rPr>
        <w:t>No surge de la prueba remitida a la Corte que tal situación (tanto la general como la específica respecto a actos violentos contra mujeres) haya sido modificada en forma sustantiva hasta el presente. En ese sentido, aunque hay datos que indican una disminución del grado de impunidad en los últimos años, el mismo continúa siendo muy alto (</w:t>
      </w:r>
      <w:r w:rsidRPr="00D42A7C">
        <w:rPr>
          <w:rFonts w:ascii="Verdana" w:hAnsi="Verdana"/>
          <w:i/>
          <w:w w:val="95"/>
          <w:sz w:val="20"/>
          <w:szCs w:val="20"/>
          <w:lang w:val="es-CR"/>
        </w:rPr>
        <w:t>infra</w:t>
      </w:r>
      <w:r w:rsidRPr="00D42A7C">
        <w:rPr>
          <w:rFonts w:ascii="Verdana" w:hAnsi="Verdana"/>
          <w:w w:val="95"/>
          <w:sz w:val="20"/>
          <w:szCs w:val="20"/>
          <w:lang w:val="es-CR"/>
        </w:rPr>
        <w:t xml:space="preserve"> p</w:t>
      </w:r>
      <w:r>
        <w:rPr>
          <w:rFonts w:ascii="Verdana" w:hAnsi="Verdana"/>
          <w:w w:val="95"/>
          <w:sz w:val="20"/>
          <w:szCs w:val="20"/>
          <w:lang w:val="es-CR"/>
        </w:rPr>
        <w:t>á</w:t>
      </w:r>
      <w:r w:rsidRPr="00D42A7C">
        <w:rPr>
          <w:rFonts w:ascii="Verdana" w:hAnsi="Verdana"/>
          <w:w w:val="95"/>
          <w:sz w:val="20"/>
          <w:szCs w:val="20"/>
          <w:lang w:val="es-CR"/>
        </w:rPr>
        <w:t xml:space="preserve">rr. </w:t>
      </w:r>
      <w:r w:rsidR="002B2B36">
        <w:rPr>
          <w:rFonts w:ascii="Verdana" w:hAnsi="Verdana"/>
          <w:w w:val="95"/>
          <w:sz w:val="20"/>
          <w:szCs w:val="20"/>
          <w:lang w:val="es-CR"/>
        </w:rPr>
        <w:t>86</w:t>
      </w:r>
      <w:r w:rsidR="00B566B8" w:rsidRPr="00D42A7C">
        <w:rPr>
          <w:rFonts w:ascii="Verdana" w:hAnsi="Verdana"/>
          <w:w w:val="95"/>
          <w:sz w:val="20"/>
          <w:szCs w:val="20"/>
          <w:lang w:val="es-CR"/>
        </w:rPr>
        <w:t xml:space="preserve">). </w:t>
      </w:r>
      <w:r w:rsidRPr="00D42A7C">
        <w:rPr>
          <w:rFonts w:ascii="Verdana" w:hAnsi="Verdana"/>
          <w:w w:val="95"/>
          <w:sz w:val="20"/>
          <w:szCs w:val="20"/>
          <w:lang w:val="es-CR"/>
        </w:rPr>
        <w:t xml:space="preserve">Ello resulta pertinente en el caso </w:t>
      </w:r>
      <w:r w:rsidRPr="00D42A7C">
        <w:rPr>
          <w:rFonts w:ascii="Verdana" w:hAnsi="Verdana"/>
          <w:i/>
          <w:w w:val="95"/>
          <w:sz w:val="20"/>
          <w:szCs w:val="20"/>
          <w:lang w:val="es-CR"/>
        </w:rPr>
        <w:t>sub examine</w:t>
      </w:r>
      <w:r w:rsidRPr="00D42A7C">
        <w:rPr>
          <w:rFonts w:ascii="Verdana" w:hAnsi="Verdana"/>
          <w:w w:val="95"/>
          <w:sz w:val="20"/>
          <w:szCs w:val="20"/>
          <w:lang w:val="es-CR"/>
        </w:rPr>
        <w:t>, pues de la información con que cuenta el Tribunal surge que la investigación se ha desarrollado en años posteriores a 2001, no ha concluido</w:t>
      </w:r>
      <w:r>
        <w:rPr>
          <w:rFonts w:ascii="Verdana" w:hAnsi="Verdana"/>
          <w:w w:val="95"/>
          <w:sz w:val="20"/>
          <w:szCs w:val="20"/>
          <w:lang w:val="es-CR"/>
        </w:rPr>
        <w:t>,</w:t>
      </w:r>
      <w:r w:rsidRPr="00D42A7C">
        <w:rPr>
          <w:rFonts w:ascii="Verdana" w:hAnsi="Verdana"/>
          <w:w w:val="95"/>
          <w:sz w:val="20"/>
          <w:szCs w:val="20"/>
          <w:lang w:val="es-CR"/>
        </w:rPr>
        <w:t xml:space="preserve"> y permanece en una etapa inicial (</w:t>
      </w:r>
      <w:r w:rsidRPr="00D42A7C">
        <w:rPr>
          <w:rFonts w:ascii="Verdana" w:hAnsi="Verdana"/>
          <w:i/>
          <w:w w:val="95"/>
          <w:sz w:val="20"/>
          <w:szCs w:val="20"/>
          <w:lang w:val="es-CR"/>
        </w:rPr>
        <w:t>infra</w:t>
      </w:r>
      <w:r w:rsidRPr="00D42A7C">
        <w:rPr>
          <w:rFonts w:ascii="Verdana" w:hAnsi="Verdana"/>
          <w:w w:val="95"/>
          <w:sz w:val="20"/>
          <w:szCs w:val="20"/>
          <w:lang w:val="es-CR"/>
        </w:rPr>
        <w:t xml:space="preserve"> párr. </w:t>
      </w:r>
      <w:r w:rsidR="002B2B36">
        <w:rPr>
          <w:rFonts w:ascii="Verdana" w:hAnsi="Verdana"/>
          <w:w w:val="95"/>
          <w:sz w:val="20"/>
          <w:szCs w:val="20"/>
          <w:lang w:val="es-CR"/>
        </w:rPr>
        <w:t>119</w:t>
      </w:r>
      <w:r w:rsidR="00B566B8" w:rsidRPr="00D42A7C">
        <w:rPr>
          <w:rFonts w:ascii="Verdana" w:hAnsi="Verdana"/>
          <w:w w:val="95"/>
          <w:sz w:val="20"/>
          <w:szCs w:val="20"/>
          <w:lang w:val="es-CR"/>
        </w:rPr>
        <w:t xml:space="preserve">). </w:t>
      </w:r>
      <w:r w:rsidRPr="00D42A7C">
        <w:rPr>
          <w:rFonts w:ascii="Verdana" w:hAnsi="Verdana"/>
          <w:w w:val="95"/>
          <w:sz w:val="20"/>
          <w:szCs w:val="20"/>
          <w:lang w:val="es-CR"/>
        </w:rPr>
        <w:t>Lo dicho surge de los datos que se expondrán a continuación.</w:t>
      </w:r>
    </w:p>
    <w:p w:rsidR="00DF15C3" w:rsidRPr="002B0D23" w:rsidRDefault="00DF15C3" w:rsidP="003F26FD">
      <w:pPr>
        <w:pStyle w:val="Prrafodelista"/>
        <w:spacing w:after="0" w:line="216" w:lineRule="auto"/>
        <w:ind w:left="-90" w:right="-174"/>
        <w:jc w:val="both"/>
        <w:rPr>
          <w:rFonts w:ascii="Verdana" w:hAnsi="Verdana"/>
          <w:w w:val="95"/>
          <w:sz w:val="20"/>
          <w:szCs w:val="20"/>
        </w:rPr>
      </w:pPr>
    </w:p>
    <w:p w:rsidR="00DF15C3" w:rsidRPr="007802D0" w:rsidRDefault="00DF15C3" w:rsidP="003F26FD">
      <w:pPr>
        <w:pStyle w:val="Prrafodelista"/>
        <w:numPr>
          <w:ilvl w:val="0"/>
          <w:numId w:val="17"/>
        </w:numPr>
        <w:spacing w:after="0" w:line="216" w:lineRule="auto"/>
        <w:ind w:left="-90" w:right="-174" w:firstLine="0"/>
        <w:jc w:val="both"/>
        <w:rPr>
          <w:rFonts w:ascii="Verdana" w:hAnsi="Verdana"/>
          <w:w w:val="95"/>
          <w:sz w:val="20"/>
          <w:szCs w:val="20"/>
        </w:rPr>
      </w:pPr>
      <w:r w:rsidRPr="007802D0">
        <w:rPr>
          <w:rFonts w:ascii="Verdana" w:hAnsi="Verdana"/>
          <w:w w:val="95"/>
          <w:sz w:val="20"/>
          <w:szCs w:val="20"/>
          <w:lang w:val="es-CR"/>
        </w:rPr>
        <w:t>Como señaló</w:t>
      </w:r>
      <w:r w:rsidR="001372C2">
        <w:rPr>
          <w:rFonts w:ascii="Verdana" w:hAnsi="Verdana"/>
          <w:w w:val="95"/>
          <w:sz w:val="20"/>
          <w:szCs w:val="20"/>
          <w:lang w:val="es-CR"/>
        </w:rPr>
        <w:t xml:space="preserve"> el Estado</w:t>
      </w:r>
      <w:r w:rsidRPr="007802D0">
        <w:rPr>
          <w:rFonts w:ascii="Verdana" w:hAnsi="Verdana"/>
          <w:w w:val="95"/>
          <w:sz w:val="20"/>
          <w:szCs w:val="20"/>
          <w:lang w:val="es-CR"/>
        </w:rPr>
        <w:t>, respecto del año 2001 existía “una situación […] estructural pre</w:t>
      </w:r>
      <w:r w:rsidR="00C11F32">
        <w:rPr>
          <w:rFonts w:ascii="Verdana" w:hAnsi="Verdana"/>
          <w:w w:val="95"/>
          <w:sz w:val="20"/>
          <w:szCs w:val="20"/>
          <w:lang w:val="es-CR"/>
        </w:rPr>
        <w:t xml:space="preserve">valeciente de impunidad”, y </w:t>
      </w:r>
      <w:r w:rsidRPr="007802D0">
        <w:rPr>
          <w:rFonts w:ascii="Verdana" w:hAnsi="Verdana"/>
          <w:w w:val="95"/>
          <w:sz w:val="20"/>
          <w:szCs w:val="20"/>
          <w:lang w:val="es-CR"/>
        </w:rPr>
        <w:t>“no existían lineamientos para la investigación y la persecución penal”</w:t>
      </w:r>
      <w:r w:rsidRPr="007802D0">
        <w:rPr>
          <w:rFonts w:ascii="Verdana" w:hAnsi="Verdana"/>
          <w:i/>
          <w:w w:val="95"/>
          <w:sz w:val="20"/>
          <w:szCs w:val="20"/>
        </w:rPr>
        <w:t xml:space="preserve"> </w:t>
      </w:r>
      <w:r w:rsidRPr="00D42A7C">
        <w:rPr>
          <w:rFonts w:ascii="Verdana" w:hAnsi="Verdana"/>
          <w:i/>
          <w:w w:val="95"/>
          <w:sz w:val="20"/>
          <w:szCs w:val="20"/>
        </w:rPr>
        <w:t>(supra</w:t>
      </w:r>
      <w:r w:rsidRPr="00D42A7C">
        <w:rPr>
          <w:rFonts w:ascii="Verdana" w:hAnsi="Verdana"/>
          <w:w w:val="95"/>
          <w:sz w:val="20"/>
          <w:szCs w:val="20"/>
        </w:rPr>
        <w:t xml:space="preserve"> párr</w:t>
      </w:r>
      <w:r w:rsidR="00501AF1">
        <w:rPr>
          <w:rFonts w:ascii="Verdana" w:hAnsi="Verdana"/>
          <w:w w:val="95"/>
          <w:sz w:val="20"/>
          <w:szCs w:val="20"/>
        </w:rPr>
        <w:t>s</w:t>
      </w:r>
      <w:r w:rsidRPr="00D42A7C">
        <w:rPr>
          <w:rFonts w:ascii="Verdana" w:hAnsi="Verdana"/>
          <w:w w:val="95"/>
          <w:sz w:val="20"/>
          <w:szCs w:val="20"/>
        </w:rPr>
        <w:t xml:space="preserve">. </w:t>
      </w:r>
      <w:r w:rsidR="009F3B57">
        <w:rPr>
          <w:rFonts w:ascii="Verdana" w:hAnsi="Verdana"/>
          <w:w w:val="95"/>
          <w:sz w:val="20"/>
          <w:szCs w:val="20"/>
        </w:rPr>
        <w:t>17</w:t>
      </w:r>
      <w:r w:rsidR="00C11F32">
        <w:rPr>
          <w:rFonts w:ascii="Verdana" w:hAnsi="Verdana"/>
          <w:w w:val="95"/>
          <w:sz w:val="20"/>
          <w:szCs w:val="20"/>
        </w:rPr>
        <w:t xml:space="preserve"> y 18</w:t>
      </w:r>
      <w:r w:rsidR="00B566B8" w:rsidRPr="00D42A7C">
        <w:rPr>
          <w:rFonts w:ascii="Verdana" w:hAnsi="Verdana"/>
          <w:w w:val="95"/>
          <w:sz w:val="20"/>
          <w:szCs w:val="20"/>
          <w:lang w:val="es-CR"/>
        </w:rPr>
        <w:t xml:space="preserve">). </w:t>
      </w:r>
      <w:r w:rsidRPr="00D42A7C">
        <w:rPr>
          <w:rFonts w:ascii="Verdana" w:hAnsi="Verdana"/>
          <w:w w:val="95"/>
          <w:sz w:val="20"/>
          <w:szCs w:val="20"/>
          <w:lang w:val="es-CR"/>
        </w:rPr>
        <w:t>Por su parte, la Comisión Interamericana afirmó en abril de 2001 que con anterioridad al lapso entre 1998 y octubre de 2000, se daba una “persistencia de la impunidad en muchos casos de violaciones de los derechos humanos y delitos comunes […] que preocupa[ba] a la Comisión</w:t>
      </w:r>
      <w:r w:rsidR="002B2B36">
        <w:rPr>
          <w:rFonts w:ascii="Verdana" w:hAnsi="Verdana"/>
          <w:w w:val="95"/>
          <w:sz w:val="20"/>
          <w:szCs w:val="20"/>
          <w:lang w:val="es-CR"/>
        </w:rPr>
        <w:t xml:space="preserve"> Interamericana</w:t>
      </w:r>
      <w:r w:rsidRPr="00D42A7C">
        <w:rPr>
          <w:rFonts w:ascii="Verdana" w:hAnsi="Verdana"/>
          <w:w w:val="95"/>
          <w:sz w:val="20"/>
          <w:szCs w:val="20"/>
          <w:lang w:val="es-CR"/>
        </w:rPr>
        <w:t>, porque significa que, con pocas excepciones, los derechos humanos no están sujetos a la protección judicial que exige la Convención Americana”</w:t>
      </w:r>
      <w:r w:rsidRPr="00D42A7C">
        <w:rPr>
          <w:rFonts w:ascii="Verdana" w:hAnsi="Verdana"/>
          <w:w w:val="95"/>
          <w:sz w:val="20"/>
          <w:szCs w:val="20"/>
          <w:vertAlign w:val="superscript"/>
          <w:lang w:val="es-CR"/>
        </w:rPr>
        <w:footnoteReference w:id="95"/>
      </w:r>
      <w:r w:rsidRPr="00D42A7C">
        <w:rPr>
          <w:rFonts w:ascii="Verdana" w:hAnsi="Verdana"/>
          <w:w w:val="95"/>
          <w:sz w:val="20"/>
          <w:szCs w:val="20"/>
          <w:lang w:val="es-EC"/>
        </w:rPr>
        <w:t>.</w:t>
      </w:r>
      <w:r w:rsidRPr="00D42A7C">
        <w:rPr>
          <w:rFonts w:ascii="Verdana" w:hAnsi="Verdana"/>
          <w:sz w:val="20"/>
          <w:szCs w:val="20"/>
          <w:lang w:val="es-ES"/>
        </w:rPr>
        <w:t xml:space="preserve"> </w:t>
      </w:r>
      <w:r w:rsidRPr="00D42A7C">
        <w:rPr>
          <w:rFonts w:ascii="Verdana" w:hAnsi="Verdana"/>
          <w:w w:val="95"/>
          <w:sz w:val="20"/>
          <w:szCs w:val="20"/>
          <w:lang w:val="es-CR"/>
        </w:rPr>
        <w:t xml:space="preserve">Asimismo, en 2003 la Comisión </w:t>
      </w:r>
      <w:r w:rsidR="00202769">
        <w:rPr>
          <w:rFonts w:ascii="Verdana" w:hAnsi="Verdana"/>
          <w:w w:val="95"/>
          <w:sz w:val="20"/>
          <w:szCs w:val="20"/>
          <w:lang w:val="es-CR"/>
        </w:rPr>
        <w:t xml:space="preserve">Interamericana </w:t>
      </w:r>
      <w:r w:rsidRPr="00D42A7C">
        <w:rPr>
          <w:rFonts w:ascii="Verdana" w:hAnsi="Verdana"/>
          <w:w w:val="95"/>
          <w:sz w:val="20"/>
          <w:szCs w:val="20"/>
          <w:lang w:val="es-CR"/>
        </w:rPr>
        <w:t>expresó, citando documentos elaborados por la Misión de Verificación de las Naciones Unidas en Guatemala (MINUGUA), que “entre el 1º de octubre de 1999 y el 30 de junio de 2000 se comprobaron 2991 violaciones al debido proceso legal; entre el 1º de julio de 2001 y el 30 de junio de 2002, fueron 3672 (el 55% de las cuales se debieron al incumplimiento del deber estatal de investigar y sancionar); y entre 1º de julio de 2001 y el 30 de junio de 2002, fueron 4719”</w:t>
      </w:r>
      <w:r w:rsidRPr="00D42A7C">
        <w:rPr>
          <w:rStyle w:val="Refdenotaalpie"/>
          <w:rFonts w:ascii="Verdana" w:hAnsi="Verdana"/>
          <w:w w:val="95"/>
          <w:sz w:val="20"/>
          <w:szCs w:val="20"/>
          <w:lang w:val="es-CR"/>
        </w:rPr>
        <w:footnoteReference w:id="96"/>
      </w:r>
      <w:r w:rsidRPr="00D42A7C">
        <w:rPr>
          <w:rFonts w:ascii="Verdana" w:hAnsi="Verdana"/>
          <w:w w:val="95"/>
          <w:sz w:val="20"/>
          <w:szCs w:val="20"/>
          <w:lang w:val="es-CR"/>
        </w:rPr>
        <w:t>.</w:t>
      </w:r>
    </w:p>
    <w:p w:rsidR="00DF15C3" w:rsidRPr="007802D0" w:rsidRDefault="00DF15C3" w:rsidP="003F26FD">
      <w:pPr>
        <w:pStyle w:val="Prrafodelista"/>
        <w:spacing w:after="0" w:line="216" w:lineRule="auto"/>
        <w:ind w:left="-90" w:right="-174"/>
        <w:jc w:val="both"/>
        <w:rPr>
          <w:rFonts w:ascii="Verdana" w:hAnsi="Verdana"/>
          <w:w w:val="95"/>
          <w:sz w:val="20"/>
          <w:szCs w:val="20"/>
        </w:rPr>
      </w:pPr>
    </w:p>
    <w:p w:rsidR="00DF15C3" w:rsidRPr="007802D0" w:rsidRDefault="00DF15C3" w:rsidP="003F26FD">
      <w:pPr>
        <w:pStyle w:val="Prrafodelista"/>
        <w:numPr>
          <w:ilvl w:val="0"/>
          <w:numId w:val="17"/>
        </w:numPr>
        <w:spacing w:after="0" w:line="216" w:lineRule="auto"/>
        <w:ind w:left="-90" w:right="-174" w:firstLine="0"/>
        <w:jc w:val="both"/>
        <w:rPr>
          <w:rFonts w:ascii="Verdana" w:hAnsi="Verdana"/>
          <w:w w:val="95"/>
          <w:sz w:val="20"/>
          <w:szCs w:val="20"/>
        </w:rPr>
      </w:pPr>
      <w:r w:rsidRPr="007802D0">
        <w:rPr>
          <w:rFonts w:ascii="Verdana" w:hAnsi="Verdana"/>
          <w:w w:val="95"/>
          <w:sz w:val="20"/>
          <w:szCs w:val="20"/>
          <w:lang w:val="es-CR"/>
        </w:rPr>
        <w:t xml:space="preserve"> </w:t>
      </w:r>
      <w:r w:rsidRPr="00D42A7C">
        <w:rPr>
          <w:rFonts w:ascii="Verdana" w:hAnsi="Verdana"/>
          <w:w w:val="95"/>
          <w:sz w:val="20"/>
          <w:szCs w:val="20"/>
          <w:lang w:val="es-CR"/>
        </w:rPr>
        <w:t xml:space="preserve">Datos de años posteriores denotan una situación similar. De hecho, en septiembre de 2007, </w:t>
      </w:r>
      <w:r w:rsidRPr="00D42A7C">
        <w:rPr>
          <w:rFonts w:ascii="Verdana" w:hAnsi="Verdana"/>
          <w:w w:val="95"/>
          <w:sz w:val="20"/>
          <w:szCs w:val="20"/>
        </w:rPr>
        <w:t>“[p]or el nivel de impunidad extremadamente alto, el Estado […] realizó una solicitud de apoyo a la comunidad internacional para enfrentar este problema, concretamente, mediante el establecimiento de una Comisión Internacional Contra la Impunidad en Guatemala (CICIG)”</w:t>
      </w:r>
      <w:r w:rsidRPr="00D42A7C">
        <w:rPr>
          <w:rStyle w:val="Refdenotaalpie"/>
          <w:rFonts w:ascii="Verdana" w:hAnsi="Verdana"/>
          <w:w w:val="95"/>
          <w:sz w:val="20"/>
          <w:szCs w:val="20"/>
        </w:rPr>
        <w:footnoteReference w:id="97"/>
      </w:r>
      <w:r w:rsidRPr="00D42A7C">
        <w:rPr>
          <w:rFonts w:ascii="Verdana" w:hAnsi="Verdana"/>
          <w:w w:val="95"/>
          <w:sz w:val="20"/>
          <w:szCs w:val="20"/>
        </w:rPr>
        <w:t>. El problema señalado se refleja en</w:t>
      </w:r>
      <w:r w:rsidRPr="007802D0">
        <w:rPr>
          <w:rFonts w:ascii="Verdana" w:hAnsi="Verdana"/>
          <w:b/>
          <w:w w:val="95"/>
          <w:sz w:val="20"/>
          <w:szCs w:val="20"/>
        </w:rPr>
        <w:t xml:space="preserve"> </w:t>
      </w:r>
      <w:r w:rsidRPr="00D42A7C">
        <w:rPr>
          <w:rFonts w:ascii="Verdana" w:hAnsi="Verdana"/>
          <w:w w:val="95"/>
          <w:sz w:val="20"/>
          <w:szCs w:val="20"/>
        </w:rPr>
        <w:t>otros datos. Así, por ejemplo, s</w:t>
      </w:r>
      <w:r w:rsidRPr="00D42A7C">
        <w:rPr>
          <w:rFonts w:ascii="Verdana" w:hAnsi="Verdana"/>
          <w:w w:val="95"/>
          <w:sz w:val="20"/>
          <w:szCs w:val="20"/>
          <w:lang w:val="es-CR"/>
        </w:rPr>
        <w:t>e ha indicado que para</w:t>
      </w:r>
      <w:r w:rsidRPr="007802D0">
        <w:rPr>
          <w:rFonts w:ascii="Verdana" w:hAnsi="Verdana"/>
          <w:b/>
          <w:w w:val="95"/>
          <w:sz w:val="20"/>
          <w:szCs w:val="20"/>
          <w:lang w:val="es-CR"/>
        </w:rPr>
        <w:t xml:space="preserve"> </w:t>
      </w:r>
      <w:r w:rsidRPr="00D42A7C">
        <w:rPr>
          <w:rFonts w:ascii="Verdana" w:hAnsi="Verdana"/>
          <w:w w:val="95"/>
          <w:sz w:val="20"/>
          <w:szCs w:val="20"/>
          <w:lang w:val="es-CR"/>
        </w:rPr>
        <w:t>2006 “alrededor de 40% de los casos que ingresa[ban] a las Fiscalías de Sección queda[ban] archivados”</w:t>
      </w:r>
      <w:r w:rsidRPr="00D42A7C">
        <w:rPr>
          <w:rStyle w:val="Refdenotaalpie"/>
          <w:rFonts w:ascii="Verdana" w:hAnsi="Verdana"/>
          <w:w w:val="95"/>
          <w:sz w:val="20"/>
          <w:szCs w:val="20"/>
          <w:lang w:val="es-CR"/>
        </w:rPr>
        <w:footnoteReference w:id="98"/>
      </w:r>
      <w:r w:rsidRPr="00D42A7C">
        <w:rPr>
          <w:rFonts w:ascii="Verdana" w:hAnsi="Verdana"/>
          <w:w w:val="95"/>
          <w:sz w:val="20"/>
          <w:szCs w:val="20"/>
          <w:lang w:val="es-CR"/>
        </w:rPr>
        <w:t xml:space="preserve">. Hay asimismo información que asevera que para 2008, </w:t>
      </w:r>
      <w:r w:rsidRPr="00D42A7C">
        <w:rPr>
          <w:rFonts w:ascii="Verdana" w:hAnsi="Verdana"/>
          <w:w w:val="95"/>
          <w:sz w:val="20"/>
          <w:szCs w:val="20"/>
        </w:rPr>
        <w:t>“[s]egún cifras oficiales, Guatemala t[e]n[ía] una tasa promedio de 5,000 homicidios al año y el sistema penal no e[ra] capaz de esclarecer y juzgar ni siquiera el 5% de estas muertes”</w:t>
      </w:r>
      <w:r w:rsidRPr="00D42A7C">
        <w:rPr>
          <w:rStyle w:val="Refdenotaalpie"/>
          <w:rFonts w:ascii="Verdana" w:hAnsi="Verdana"/>
          <w:w w:val="95"/>
          <w:sz w:val="20"/>
          <w:szCs w:val="20"/>
        </w:rPr>
        <w:footnoteReference w:id="99"/>
      </w:r>
      <w:r w:rsidRPr="00D42A7C">
        <w:rPr>
          <w:rFonts w:ascii="Verdana" w:hAnsi="Verdana"/>
          <w:w w:val="95"/>
          <w:sz w:val="20"/>
          <w:szCs w:val="20"/>
        </w:rPr>
        <w:t xml:space="preserve">. </w:t>
      </w:r>
      <w:r w:rsidRPr="00D42A7C">
        <w:rPr>
          <w:rFonts w:ascii="Verdana" w:hAnsi="Verdana"/>
          <w:w w:val="95"/>
          <w:sz w:val="20"/>
          <w:szCs w:val="20"/>
          <w:lang w:val="es-CR"/>
        </w:rPr>
        <w:t>Posteriormente se registra, de acuerdo a datos de la CICIG, en el esclarecimiento de procesos judiciales por delitos contra la vida, un índice de impunidad de 95% en el 2009, que disminuyó al 72% en el 2012</w:t>
      </w:r>
      <w:r w:rsidRPr="00D42A7C">
        <w:rPr>
          <w:rStyle w:val="Refdenotaalpie"/>
          <w:rFonts w:ascii="Verdana" w:hAnsi="Verdana"/>
          <w:w w:val="95"/>
          <w:sz w:val="20"/>
          <w:szCs w:val="20"/>
          <w:lang w:val="es-CR"/>
        </w:rPr>
        <w:footnoteReference w:id="100"/>
      </w:r>
      <w:r w:rsidRPr="00D42A7C">
        <w:rPr>
          <w:rFonts w:ascii="Verdana" w:hAnsi="Verdana"/>
          <w:w w:val="95"/>
          <w:sz w:val="20"/>
          <w:szCs w:val="20"/>
          <w:lang w:val="es-CR"/>
        </w:rPr>
        <w:t>.</w:t>
      </w:r>
      <w:r w:rsidRPr="00D42A7C">
        <w:rPr>
          <w:rFonts w:ascii="Verdana" w:hAnsi="Verdana"/>
          <w:color w:val="000000"/>
          <w:sz w:val="20"/>
          <w:szCs w:val="20"/>
          <w:shd w:val="clear" w:color="auto" w:fill="FFFFFF"/>
          <w:vertAlign w:val="superscript"/>
        </w:rPr>
        <w:t xml:space="preserve"> </w:t>
      </w:r>
    </w:p>
    <w:p w:rsidR="00DF15C3" w:rsidRPr="007802D0" w:rsidRDefault="00DF15C3" w:rsidP="003F26FD">
      <w:pPr>
        <w:pStyle w:val="Prrafodelista"/>
        <w:spacing w:after="0" w:line="216" w:lineRule="auto"/>
        <w:ind w:left="-90" w:right="-174"/>
        <w:jc w:val="both"/>
        <w:rPr>
          <w:rFonts w:ascii="Verdana" w:hAnsi="Verdana"/>
          <w:w w:val="95"/>
          <w:sz w:val="20"/>
          <w:szCs w:val="20"/>
        </w:rPr>
      </w:pPr>
    </w:p>
    <w:p w:rsidR="00DF15C3" w:rsidRPr="007802D0" w:rsidRDefault="00DF15C3" w:rsidP="003F26FD">
      <w:pPr>
        <w:pStyle w:val="Prrafodelista"/>
        <w:numPr>
          <w:ilvl w:val="0"/>
          <w:numId w:val="17"/>
        </w:numPr>
        <w:spacing w:after="0" w:line="216" w:lineRule="auto"/>
        <w:ind w:left="-90" w:right="-174" w:firstLine="0"/>
        <w:jc w:val="both"/>
        <w:rPr>
          <w:rFonts w:ascii="Verdana" w:hAnsi="Verdana"/>
          <w:w w:val="95"/>
          <w:sz w:val="20"/>
          <w:szCs w:val="20"/>
        </w:rPr>
      </w:pPr>
      <w:r w:rsidRPr="007802D0">
        <w:rPr>
          <w:rFonts w:ascii="Verdana" w:hAnsi="Verdana"/>
          <w:w w:val="95"/>
          <w:sz w:val="20"/>
          <w:szCs w:val="20"/>
          <w:lang w:val="es-CR"/>
        </w:rPr>
        <w:t xml:space="preserve"> </w:t>
      </w:r>
      <w:r w:rsidRPr="00D42A7C">
        <w:rPr>
          <w:rFonts w:ascii="Verdana" w:hAnsi="Verdana"/>
          <w:w w:val="95"/>
          <w:sz w:val="20"/>
          <w:szCs w:val="20"/>
          <w:lang w:val="es-CR"/>
        </w:rPr>
        <w:t xml:space="preserve">Es preciso considerar tal estado de cosas, teniendo presente también que una alta proporción de los delitos no son denunciados. En este sentido, es pertinente notar que un estudio de 2007, que refería información centrada en 2005, </w:t>
      </w:r>
      <w:r w:rsidR="00DD70DA">
        <w:rPr>
          <w:rFonts w:ascii="Verdana" w:hAnsi="Verdana"/>
          <w:w w:val="95"/>
          <w:sz w:val="20"/>
          <w:szCs w:val="20"/>
          <w:lang w:val="es-CR"/>
        </w:rPr>
        <w:t xml:space="preserve">y </w:t>
      </w:r>
      <w:r w:rsidRPr="00D42A7C">
        <w:rPr>
          <w:rFonts w:ascii="Verdana" w:hAnsi="Verdana"/>
          <w:w w:val="95"/>
          <w:sz w:val="20"/>
          <w:szCs w:val="20"/>
          <w:lang w:val="es-CR"/>
        </w:rPr>
        <w:t>considerando también años anteriores y posteriores, indicó, a partir de información de fuente estatal, que “e</w:t>
      </w:r>
      <w:r w:rsidRPr="00D42A7C">
        <w:rPr>
          <w:rFonts w:ascii="Verdana" w:hAnsi="Verdana" w:cs="Calibri"/>
          <w:w w:val="95"/>
          <w:sz w:val="20"/>
          <w:szCs w:val="20"/>
          <w:lang w:val="es-CR"/>
        </w:rPr>
        <w:t xml:space="preserve">ncuestas de victimización de todo tipo de delitos en Guatemala arroja[ba]n una tasa de 75% de delitos no </w:t>
      </w:r>
      <w:r w:rsidRPr="00D42A7C">
        <w:rPr>
          <w:rFonts w:ascii="Verdana" w:hAnsi="Verdana" w:cs="Calibri"/>
          <w:w w:val="95"/>
          <w:sz w:val="20"/>
          <w:szCs w:val="20"/>
          <w:lang w:val="es-CR"/>
        </w:rPr>
        <w:lastRenderedPageBreak/>
        <w:t>denunciados</w:t>
      </w:r>
      <w:r w:rsidRPr="00D42A7C">
        <w:rPr>
          <w:rStyle w:val="Refdenotaalpie"/>
          <w:rFonts w:ascii="Verdana" w:hAnsi="Verdana" w:cs="Calibri"/>
          <w:w w:val="95"/>
          <w:sz w:val="20"/>
          <w:szCs w:val="20"/>
        </w:rPr>
        <w:footnoteReference w:id="101"/>
      </w:r>
      <w:r w:rsidRPr="00D42A7C">
        <w:rPr>
          <w:rFonts w:ascii="Verdana" w:hAnsi="Verdana" w:cs="Calibri"/>
          <w:w w:val="95"/>
          <w:sz w:val="20"/>
          <w:szCs w:val="20"/>
          <w:lang w:val="es-CR"/>
        </w:rPr>
        <w:t>. El estudio concluía que este porcentaje es probablemente aun más alto en casos de delitos sexuales”</w:t>
      </w:r>
      <w:r w:rsidRPr="00D42A7C">
        <w:rPr>
          <w:rStyle w:val="Refdenotaalpie"/>
          <w:rFonts w:ascii="Verdana" w:hAnsi="Verdana" w:cs="Calibri"/>
          <w:w w:val="95"/>
          <w:sz w:val="20"/>
          <w:szCs w:val="20"/>
        </w:rPr>
        <w:footnoteReference w:id="102"/>
      </w:r>
      <w:r w:rsidRPr="00D42A7C">
        <w:rPr>
          <w:rFonts w:ascii="Verdana" w:hAnsi="Verdana" w:cs="Calibri"/>
          <w:w w:val="95"/>
          <w:sz w:val="20"/>
          <w:szCs w:val="20"/>
          <w:lang w:val="es-CR"/>
        </w:rPr>
        <w:t>.</w:t>
      </w:r>
      <w:r w:rsidRPr="007802D0">
        <w:rPr>
          <w:rFonts w:ascii="Verdana" w:hAnsi="Verdana" w:cs="Calibri"/>
          <w:w w:val="95"/>
          <w:sz w:val="20"/>
          <w:szCs w:val="20"/>
          <w:lang w:val="es-CR"/>
        </w:rPr>
        <w:t xml:space="preserve"> </w:t>
      </w:r>
    </w:p>
    <w:p w:rsidR="00DF15C3" w:rsidRPr="002B1610" w:rsidRDefault="00DF15C3" w:rsidP="003F26FD">
      <w:pPr>
        <w:pStyle w:val="Prrafodelista"/>
        <w:spacing w:after="0" w:line="216" w:lineRule="auto"/>
        <w:ind w:left="-142" w:right="-174"/>
        <w:rPr>
          <w:rFonts w:ascii="Verdana" w:hAnsi="Verdana"/>
          <w:w w:val="95"/>
          <w:sz w:val="20"/>
          <w:szCs w:val="20"/>
          <w:lang w:val="es-CR"/>
        </w:rPr>
      </w:pPr>
    </w:p>
    <w:p w:rsidR="00DF15C3" w:rsidRPr="007802D0" w:rsidRDefault="00DF15C3" w:rsidP="003F26FD">
      <w:pPr>
        <w:pStyle w:val="Prrafodelista"/>
        <w:numPr>
          <w:ilvl w:val="0"/>
          <w:numId w:val="17"/>
        </w:numPr>
        <w:spacing w:after="0" w:line="216" w:lineRule="auto"/>
        <w:ind w:left="-142" w:right="-174" w:hanging="11"/>
        <w:jc w:val="both"/>
        <w:rPr>
          <w:rFonts w:ascii="Verdana" w:hAnsi="Verdana" w:cs="Calibri"/>
          <w:w w:val="95"/>
          <w:sz w:val="20"/>
          <w:szCs w:val="20"/>
          <w:lang w:val="es-CR"/>
        </w:rPr>
      </w:pPr>
      <w:r w:rsidRPr="00D42A7C">
        <w:rPr>
          <w:rFonts w:ascii="Verdana" w:hAnsi="Verdana"/>
          <w:w w:val="95"/>
          <w:sz w:val="20"/>
          <w:szCs w:val="20"/>
          <w:lang w:val="es-CR"/>
        </w:rPr>
        <w:t>Ahora bien, la situación referida incluye lo referido a casos que implicaban actos violentos cometidos contra mujere</w:t>
      </w:r>
      <w:r w:rsidRPr="00315B30">
        <w:rPr>
          <w:rFonts w:ascii="Verdana" w:hAnsi="Verdana"/>
          <w:w w:val="95"/>
          <w:sz w:val="20"/>
          <w:szCs w:val="20"/>
          <w:lang w:val="es-CR"/>
        </w:rPr>
        <w:t xml:space="preserve">s, </w:t>
      </w:r>
      <w:r w:rsidR="00DD70DA" w:rsidRPr="00315B30">
        <w:rPr>
          <w:rFonts w:ascii="Verdana" w:hAnsi="Verdana"/>
          <w:w w:val="95"/>
          <w:sz w:val="20"/>
          <w:szCs w:val="20"/>
          <w:lang w:val="es-CR"/>
        </w:rPr>
        <w:t xml:space="preserve">inclusive </w:t>
      </w:r>
      <w:r w:rsidRPr="00D42A7C">
        <w:rPr>
          <w:rFonts w:ascii="Verdana" w:hAnsi="Verdana"/>
          <w:w w:val="95"/>
          <w:sz w:val="20"/>
          <w:szCs w:val="20"/>
          <w:lang w:val="es-CR"/>
        </w:rPr>
        <w:t>muertes violentas. Para</w:t>
      </w:r>
      <w:r w:rsidRPr="007802D0">
        <w:rPr>
          <w:rFonts w:ascii="Verdana" w:hAnsi="Verdana"/>
          <w:w w:val="95"/>
          <w:sz w:val="20"/>
          <w:szCs w:val="20"/>
          <w:lang w:val="es-CR"/>
        </w:rPr>
        <w:t xml:space="preserve"> el 2001, así como en períodos cercanos a tal año, las actuaciones estatales no derivaban, en su mayor parte, en el dictado de sentencias condenatorias</w:t>
      </w:r>
      <w:r w:rsidRPr="007802D0">
        <w:rPr>
          <w:rStyle w:val="Refdenotaalpie"/>
          <w:rFonts w:ascii="Verdana" w:hAnsi="Verdana"/>
          <w:w w:val="95"/>
          <w:sz w:val="20"/>
          <w:szCs w:val="20"/>
        </w:rPr>
        <w:footnoteReference w:id="103"/>
      </w:r>
      <w:r w:rsidRPr="007802D0">
        <w:rPr>
          <w:rFonts w:ascii="Verdana" w:hAnsi="Verdana"/>
          <w:w w:val="95"/>
          <w:sz w:val="20"/>
          <w:szCs w:val="20"/>
          <w:lang w:val="es-CR"/>
        </w:rPr>
        <w:t xml:space="preserve">. </w:t>
      </w:r>
      <w:r w:rsidRPr="00D42A7C">
        <w:rPr>
          <w:rFonts w:ascii="Verdana" w:hAnsi="Verdana"/>
          <w:w w:val="95"/>
          <w:sz w:val="20"/>
          <w:szCs w:val="20"/>
          <w:lang w:val="es-CR"/>
        </w:rPr>
        <w:t xml:space="preserve">En tal sentido, la perita </w:t>
      </w:r>
      <w:r>
        <w:rPr>
          <w:rFonts w:ascii="Verdana" w:hAnsi="Verdana"/>
          <w:w w:val="95"/>
          <w:sz w:val="20"/>
          <w:szCs w:val="20"/>
          <w:lang w:val="es-CR"/>
        </w:rPr>
        <w:t xml:space="preserve">María Eugenia </w:t>
      </w:r>
      <w:r w:rsidRPr="00D42A7C">
        <w:rPr>
          <w:rFonts w:ascii="Verdana" w:hAnsi="Verdana"/>
          <w:w w:val="95"/>
          <w:sz w:val="20"/>
          <w:szCs w:val="20"/>
          <w:lang w:val="es-CR"/>
        </w:rPr>
        <w:t xml:space="preserve">Solís García manifestó que “[e]l Procurador </w:t>
      </w:r>
      <w:r w:rsidR="00622AF9" w:rsidRPr="00622AF9">
        <w:rPr>
          <w:rFonts w:ascii="Verdana" w:hAnsi="Verdana"/>
          <w:w w:val="95"/>
          <w:sz w:val="20"/>
          <w:szCs w:val="20"/>
          <w:lang w:val="es-CR"/>
        </w:rPr>
        <w:t>de</w:t>
      </w:r>
      <w:r w:rsidRPr="00D42A7C">
        <w:rPr>
          <w:rFonts w:ascii="Verdana" w:hAnsi="Verdana"/>
          <w:w w:val="95"/>
          <w:sz w:val="20"/>
          <w:szCs w:val="20"/>
          <w:lang w:val="es-CR"/>
        </w:rPr>
        <w:t xml:space="preserve"> </w:t>
      </w:r>
      <w:r w:rsidR="00C15CFD">
        <w:rPr>
          <w:rFonts w:ascii="Verdana" w:hAnsi="Verdana"/>
          <w:w w:val="95"/>
          <w:sz w:val="20"/>
          <w:szCs w:val="20"/>
          <w:lang w:val="es-CR"/>
        </w:rPr>
        <w:t xml:space="preserve">los </w:t>
      </w:r>
      <w:r w:rsidRPr="00D42A7C">
        <w:rPr>
          <w:rFonts w:ascii="Verdana" w:hAnsi="Verdana"/>
          <w:w w:val="95"/>
          <w:sz w:val="20"/>
          <w:szCs w:val="20"/>
          <w:lang w:val="es-CR"/>
        </w:rPr>
        <w:t>Derechos Humanos el 2 de noviembre de 2004 […] señaló que de 1,118 casos de niñas y mujeres asesinadas entre 2001 y 2004, sólo se investigó el 9% de los casos”.</w:t>
      </w:r>
      <w:r w:rsidRPr="007802D0">
        <w:rPr>
          <w:rFonts w:ascii="Verdana" w:hAnsi="Verdana"/>
          <w:w w:val="95"/>
          <w:sz w:val="20"/>
          <w:szCs w:val="20"/>
          <w:lang w:val="es-CR"/>
        </w:rPr>
        <w:t xml:space="preserve"> </w:t>
      </w:r>
      <w:r w:rsidRPr="00D42A7C">
        <w:rPr>
          <w:rFonts w:ascii="Verdana" w:hAnsi="Verdana"/>
          <w:w w:val="95"/>
          <w:sz w:val="20"/>
          <w:szCs w:val="20"/>
          <w:lang w:val="es-CR"/>
        </w:rPr>
        <w:t>Por otra parte, hay información que indica que</w:t>
      </w:r>
      <w:r w:rsidRPr="007802D0">
        <w:rPr>
          <w:rFonts w:ascii="Verdana" w:hAnsi="Verdana"/>
          <w:b/>
          <w:w w:val="95"/>
          <w:sz w:val="20"/>
          <w:szCs w:val="20"/>
          <w:lang w:val="es-CR"/>
        </w:rPr>
        <w:t xml:space="preserve"> </w:t>
      </w:r>
      <w:r w:rsidRPr="007802D0">
        <w:rPr>
          <w:rFonts w:ascii="Verdana" w:hAnsi="Verdana"/>
          <w:w w:val="95"/>
          <w:sz w:val="20"/>
          <w:szCs w:val="20"/>
          <w:lang w:val="es-CR"/>
        </w:rPr>
        <w:t>de las 591,933 denuncias de hechos violentos contra mujeres atendidas por el Ministerio Público en los años 2000, 2001 y 2002 , solo llegaron a juicio 2,335, es decir, el 0.39%</w:t>
      </w:r>
      <w:r w:rsidRPr="007802D0">
        <w:rPr>
          <w:rStyle w:val="Refdenotaalpie"/>
          <w:rFonts w:ascii="Verdana" w:hAnsi="Verdana"/>
          <w:w w:val="95"/>
          <w:sz w:val="20"/>
          <w:szCs w:val="20"/>
        </w:rPr>
        <w:footnoteReference w:id="104"/>
      </w:r>
      <w:r w:rsidRPr="007802D0">
        <w:rPr>
          <w:rFonts w:ascii="Verdana" w:hAnsi="Verdana"/>
          <w:w w:val="95"/>
          <w:sz w:val="20"/>
          <w:szCs w:val="20"/>
          <w:lang w:val="es-CR"/>
        </w:rPr>
        <w:t xml:space="preserve">. La Comisión Interamericana, por otra parte, ha aseverado que </w:t>
      </w:r>
      <w:r w:rsidRPr="007802D0">
        <w:rPr>
          <w:rFonts w:ascii="Verdana" w:hAnsi="Verdana" w:cs="Arial"/>
          <w:w w:val="95"/>
          <w:sz w:val="20"/>
          <w:szCs w:val="20"/>
          <w:lang w:val="es-CR"/>
        </w:rPr>
        <w:t xml:space="preserve">“[s]e ha señalado que de las </w:t>
      </w:r>
      <w:r w:rsidRPr="007802D0">
        <w:rPr>
          <w:rFonts w:ascii="Verdana" w:hAnsi="Verdana"/>
          <w:w w:val="95"/>
          <w:sz w:val="20"/>
          <w:szCs w:val="20"/>
          <w:lang w:val="es-CR"/>
        </w:rPr>
        <w:t xml:space="preserve">8,989 </w:t>
      </w:r>
      <w:r w:rsidRPr="007802D0">
        <w:rPr>
          <w:rFonts w:ascii="Verdana" w:hAnsi="Verdana" w:cs="Arial"/>
          <w:w w:val="95"/>
          <w:sz w:val="20"/>
          <w:szCs w:val="20"/>
          <w:lang w:val="es-CR"/>
        </w:rPr>
        <w:t xml:space="preserve">denuncias que había recibido la Fiscalía de la Mujer a fines de </w:t>
      </w:r>
      <w:r w:rsidRPr="007802D0">
        <w:rPr>
          <w:rFonts w:ascii="Verdana" w:hAnsi="Verdana"/>
          <w:w w:val="95"/>
          <w:sz w:val="20"/>
          <w:szCs w:val="20"/>
          <w:lang w:val="es-CR"/>
        </w:rPr>
        <w:t xml:space="preserve">2001, </w:t>
      </w:r>
      <w:r w:rsidRPr="007802D0">
        <w:rPr>
          <w:rFonts w:ascii="Verdana" w:hAnsi="Verdana" w:cs="Arial"/>
          <w:w w:val="95"/>
          <w:sz w:val="20"/>
          <w:szCs w:val="20"/>
          <w:lang w:val="es-CR"/>
        </w:rPr>
        <w:t>sólo tres finalizaron con sentencias condenato</w:t>
      </w:r>
      <w:r w:rsidR="005C76F2">
        <w:rPr>
          <w:rFonts w:ascii="Verdana" w:hAnsi="Verdana" w:cs="Arial"/>
          <w:w w:val="95"/>
          <w:sz w:val="20"/>
          <w:szCs w:val="20"/>
          <w:lang w:val="es-CR"/>
        </w:rPr>
        <w:t>rias</w:t>
      </w:r>
      <w:r w:rsidRPr="007802D0">
        <w:rPr>
          <w:rFonts w:ascii="Verdana" w:hAnsi="Verdana" w:cs="Arial"/>
          <w:w w:val="95"/>
          <w:sz w:val="20"/>
          <w:szCs w:val="20"/>
          <w:lang w:val="es-CR"/>
        </w:rPr>
        <w:t>”</w:t>
      </w:r>
      <w:r w:rsidRPr="007802D0">
        <w:rPr>
          <w:rStyle w:val="Refdenotaalpie"/>
          <w:rFonts w:ascii="Verdana" w:hAnsi="Verdana" w:cs="Arial"/>
          <w:w w:val="95"/>
          <w:sz w:val="20"/>
          <w:szCs w:val="20"/>
          <w:lang w:val="es-CR"/>
        </w:rPr>
        <w:footnoteReference w:id="105"/>
      </w:r>
      <w:r w:rsidRPr="007802D0">
        <w:rPr>
          <w:rFonts w:ascii="Verdana" w:hAnsi="Verdana" w:cs="Arial"/>
          <w:w w:val="95"/>
          <w:sz w:val="20"/>
          <w:szCs w:val="20"/>
          <w:lang w:val="es-CR"/>
        </w:rPr>
        <w:t xml:space="preserve">. Del mismo modo, </w:t>
      </w:r>
      <w:r w:rsidRPr="007802D0">
        <w:rPr>
          <w:rFonts w:ascii="Verdana" w:hAnsi="Verdana" w:cs="Calibri"/>
          <w:w w:val="95"/>
          <w:sz w:val="20"/>
          <w:szCs w:val="20"/>
          <w:lang w:val="es-CR"/>
        </w:rPr>
        <w:t>se ha informado que “de los 1,227 casos de asesinatos de mujeres que se presentaron entre el 2002 y el 2004 solamente 7 han llegado a sentencias condenatorias”</w:t>
      </w:r>
      <w:r w:rsidRPr="007802D0">
        <w:rPr>
          <w:rStyle w:val="Refdenotaalpie"/>
          <w:rFonts w:ascii="Verdana" w:hAnsi="Verdana" w:cs="Calibri"/>
          <w:w w:val="95"/>
          <w:sz w:val="20"/>
          <w:szCs w:val="20"/>
          <w:lang w:val="es-CR"/>
        </w:rPr>
        <w:footnoteReference w:id="106"/>
      </w:r>
      <w:r w:rsidRPr="007802D0">
        <w:rPr>
          <w:rFonts w:ascii="Verdana" w:hAnsi="Verdana" w:cs="Calibri"/>
          <w:w w:val="95"/>
          <w:sz w:val="20"/>
          <w:szCs w:val="20"/>
          <w:lang w:val="es-CR"/>
        </w:rPr>
        <w:t>, es decir, el 0,57%.</w:t>
      </w:r>
      <w:r w:rsidRPr="007802D0">
        <w:rPr>
          <w:rFonts w:ascii="Verdana" w:hAnsi="Verdana" w:cs="Calibri"/>
          <w:b/>
          <w:w w:val="95"/>
          <w:sz w:val="20"/>
          <w:szCs w:val="20"/>
          <w:lang w:val="es-CR"/>
        </w:rPr>
        <w:t xml:space="preserve"> </w:t>
      </w:r>
      <w:r w:rsidRPr="007802D0">
        <w:rPr>
          <w:rFonts w:ascii="Verdana" w:hAnsi="Verdana" w:cs="Calibri"/>
          <w:w w:val="95"/>
          <w:sz w:val="20"/>
          <w:szCs w:val="20"/>
          <w:lang w:val="es-CR"/>
        </w:rPr>
        <w:t>La situación descrita, de un alto índice de falta de sanción de actos violentos contra mujeres, tuvo continuidad, en términos generales, al menos, hasta principios de 2012</w:t>
      </w:r>
      <w:r w:rsidRPr="007802D0">
        <w:rPr>
          <w:rStyle w:val="Refdenotaalpie"/>
          <w:rFonts w:ascii="Verdana" w:hAnsi="Verdana" w:cs="Calibri"/>
          <w:w w:val="95"/>
          <w:sz w:val="20"/>
          <w:szCs w:val="20"/>
        </w:rPr>
        <w:footnoteReference w:id="107"/>
      </w:r>
      <w:r w:rsidRPr="007802D0">
        <w:rPr>
          <w:rFonts w:ascii="Verdana" w:hAnsi="Verdana" w:cs="Calibri"/>
          <w:w w:val="95"/>
          <w:sz w:val="20"/>
          <w:szCs w:val="20"/>
          <w:lang w:val="es-CR"/>
        </w:rPr>
        <w:t xml:space="preserve">. </w:t>
      </w:r>
    </w:p>
    <w:p w:rsidR="00DF15C3" w:rsidRPr="007802D0" w:rsidRDefault="00DF15C3" w:rsidP="003F26FD">
      <w:pPr>
        <w:pStyle w:val="Prrafodelista"/>
        <w:spacing w:after="0" w:line="216" w:lineRule="auto"/>
        <w:ind w:left="-142" w:right="-174"/>
        <w:jc w:val="both"/>
        <w:rPr>
          <w:rFonts w:ascii="Verdana" w:hAnsi="Verdana" w:cs="Calibri"/>
          <w:w w:val="95"/>
          <w:sz w:val="20"/>
          <w:szCs w:val="20"/>
          <w:lang w:val="es-CR"/>
        </w:rPr>
      </w:pPr>
    </w:p>
    <w:p w:rsidR="00DF15C3" w:rsidRPr="007802D0" w:rsidRDefault="00DF15C3" w:rsidP="003F26FD">
      <w:pPr>
        <w:pStyle w:val="Prrafodelista"/>
        <w:numPr>
          <w:ilvl w:val="0"/>
          <w:numId w:val="17"/>
        </w:numPr>
        <w:spacing w:after="0" w:line="216" w:lineRule="auto"/>
        <w:ind w:left="-142" w:right="-174" w:hanging="11"/>
        <w:jc w:val="both"/>
        <w:rPr>
          <w:rFonts w:ascii="Verdana" w:hAnsi="Verdana" w:cs="Calibri"/>
          <w:w w:val="95"/>
          <w:sz w:val="20"/>
          <w:szCs w:val="20"/>
          <w:lang w:val="es-CR"/>
        </w:rPr>
      </w:pPr>
      <w:r w:rsidRPr="007802D0">
        <w:rPr>
          <w:rFonts w:ascii="Verdana" w:hAnsi="Verdana" w:cs="Calibri"/>
          <w:w w:val="95"/>
          <w:sz w:val="20"/>
          <w:szCs w:val="20"/>
          <w:lang w:val="es-CR"/>
        </w:rPr>
        <w:t xml:space="preserve"> La falta de sanción efectiva </w:t>
      </w:r>
      <w:r w:rsidRPr="00D42A7C">
        <w:rPr>
          <w:rFonts w:ascii="Verdana" w:hAnsi="Verdana" w:cs="Calibri"/>
          <w:w w:val="95"/>
          <w:sz w:val="20"/>
          <w:szCs w:val="20"/>
          <w:lang w:val="es-CR"/>
        </w:rPr>
        <w:t>de delitos en general puede vincularse a deficiencias en las investigaciones. No obstante ello, entidades</w:t>
      </w:r>
      <w:r w:rsidRPr="007802D0">
        <w:rPr>
          <w:rFonts w:ascii="Verdana" w:hAnsi="Verdana" w:cs="Calibri"/>
          <w:w w:val="95"/>
          <w:sz w:val="20"/>
          <w:szCs w:val="20"/>
          <w:lang w:val="es-CR"/>
        </w:rPr>
        <w:t xml:space="preserve"> estatales, así como organizaciones de la sociedad civil internacionales y nacionales</w:t>
      </w:r>
      <w:r>
        <w:rPr>
          <w:rFonts w:ascii="Verdana" w:hAnsi="Verdana" w:cs="Calibri"/>
          <w:w w:val="95"/>
          <w:sz w:val="20"/>
          <w:szCs w:val="20"/>
          <w:lang w:val="es-CR"/>
        </w:rPr>
        <w:t>,</w:t>
      </w:r>
      <w:r w:rsidRPr="007802D0">
        <w:rPr>
          <w:rFonts w:ascii="Verdana" w:hAnsi="Verdana" w:cs="Calibri"/>
          <w:w w:val="95"/>
          <w:sz w:val="20"/>
          <w:szCs w:val="20"/>
          <w:lang w:val="es-CR"/>
        </w:rPr>
        <w:t xml:space="preserve"> han señalado que de modo usual las investigaciones de atentados violentos contra mujeres presentaban ciertas falencias, tales como ausencia de medidas para proteger, examinar o conservar el lugar del delito</w:t>
      </w:r>
      <w:r w:rsidRPr="007802D0">
        <w:rPr>
          <w:rStyle w:val="Refdenotaalpie"/>
          <w:rFonts w:ascii="Verdana" w:hAnsi="Verdana" w:cs="Calibri"/>
          <w:w w:val="95"/>
          <w:sz w:val="20"/>
          <w:szCs w:val="20"/>
        </w:rPr>
        <w:footnoteReference w:id="108"/>
      </w:r>
      <w:r w:rsidRPr="007802D0">
        <w:rPr>
          <w:rFonts w:ascii="Verdana" w:hAnsi="Verdana" w:cs="Calibri"/>
          <w:w w:val="95"/>
          <w:sz w:val="20"/>
          <w:szCs w:val="20"/>
          <w:lang w:val="es-CR"/>
        </w:rPr>
        <w:t>; fallos en la cadena de custodia de la prueba, y falta de examen de señales de violencia</w:t>
      </w:r>
      <w:r w:rsidRPr="007802D0">
        <w:rPr>
          <w:rStyle w:val="Refdenotaalpie"/>
          <w:rFonts w:ascii="Verdana" w:hAnsi="Verdana" w:cs="Calibri"/>
          <w:w w:val="95"/>
          <w:sz w:val="20"/>
          <w:szCs w:val="20"/>
        </w:rPr>
        <w:footnoteReference w:id="109"/>
      </w:r>
      <w:r w:rsidRPr="007802D0">
        <w:rPr>
          <w:rFonts w:ascii="Verdana" w:hAnsi="Verdana" w:cs="Calibri"/>
          <w:w w:val="95"/>
          <w:sz w:val="20"/>
          <w:szCs w:val="20"/>
          <w:lang w:val="es-CR"/>
        </w:rPr>
        <w:t xml:space="preserve">. En ese sentido, afirmó el Estado que en 2001 “no existían circunstancias preestablecidas en las cuales los médicos forenses estuvieran obligados a practicar pruebas de violencia sexual”. Por otra parte, el Estado manifestó que </w:t>
      </w:r>
    </w:p>
    <w:p w:rsidR="00DF15C3" w:rsidRPr="002B1610" w:rsidRDefault="00DF15C3" w:rsidP="003F26FD">
      <w:pPr>
        <w:pStyle w:val="Prrafodelista"/>
        <w:spacing w:after="0" w:line="216" w:lineRule="auto"/>
        <w:ind w:left="-142" w:right="-174"/>
        <w:jc w:val="both"/>
        <w:rPr>
          <w:rFonts w:ascii="Verdana" w:hAnsi="Verdana" w:cs="Calibri"/>
          <w:w w:val="95"/>
          <w:sz w:val="20"/>
          <w:szCs w:val="20"/>
          <w:lang w:val="es-CR"/>
        </w:rPr>
      </w:pPr>
    </w:p>
    <w:p w:rsidR="00DF15C3" w:rsidRPr="002B1610" w:rsidRDefault="00DF15C3" w:rsidP="00121AD9">
      <w:pPr>
        <w:pStyle w:val="Prrafodelista"/>
        <w:spacing w:after="0" w:line="216" w:lineRule="auto"/>
        <w:ind w:left="630" w:right="366"/>
        <w:jc w:val="both"/>
        <w:rPr>
          <w:rFonts w:ascii="Verdana" w:hAnsi="Verdana" w:cs="Calibri"/>
          <w:b/>
          <w:w w:val="95"/>
          <w:sz w:val="16"/>
          <w:szCs w:val="16"/>
          <w:lang w:val="es-CR"/>
        </w:rPr>
      </w:pPr>
      <w:r w:rsidRPr="002B1610">
        <w:rPr>
          <w:rFonts w:ascii="Verdana" w:hAnsi="Verdana" w:cs="Calibri"/>
          <w:w w:val="95"/>
          <w:sz w:val="16"/>
          <w:szCs w:val="16"/>
          <w:lang w:val="es-CR"/>
        </w:rPr>
        <w:t>[e]n el […] 2001 no existían contemplados dentro de la legislación vigente, lineamientos ni protocolos para realizar necropsias. [Su práctica] no estaba estandarizada […] y no estaban orientadas a la obtención ni producción de pruebas científicas, sino a la identificación e individualización de los cadáveres y sus posibles causas de muerte.</w:t>
      </w:r>
      <w:r w:rsidRPr="002B1610">
        <w:rPr>
          <w:rFonts w:ascii="Verdana" w:hAnsi="Verdana" w:cs="Calibri"/>
          <w:b/>
          <w:w w:val="95"/>
          <w:sz w:val="16"/>
          <w:szCs w:val="16"/>
          <w:lang w:val="es-CR"/>
        </w:rPr>
        <w:t xml:space="preserve"> </w:t>
      </w:r>
    </w:p>
    <w:p w:rsidR="00DF15C3" w:rsidRPr="002B1610" w:rsidRDefault="00DF15C3" w:rsidP="003F26FD">
      <w:pPr>
        <w:pStyle w:val="Prrafodelista"/>
        <w:spacing w:after="0" w:line="216" w:lineRule="auto"/>
        <w:ind w:left="284" w:right="-174"/>
        <w:jc w:val="both"/>
        <w:rPr>
          <w:rFonts w:ascii="Verdana" w:hAnsi="Verdana" w:cs="Calibri"/>
          <w:b/>
          <w:w w:val="95"/>
          <w:sz w:val="16"/>
          <w:szCs w:val="16"/>
          <w:lang w:val="es-CR"/>
        </w:rPr>
      </w:pPr>
    </w:p>
    <w:p w:rsidR="00DF15C3" w:rsidRPr="00992E1E" w:rsidRDefault="00DF15C3" w:rsidP="003F26FD">
      <w:pPr>
        <w:pStyle w:val="Prrafodelista"/>
        <w:numPr>
          <w:ilvl w:val="0"/>
          <w:numId w:val="17"/>
        </w:numPr>
        <w:spacing w:after="0" w:line="216" w:lineRule="auto"/>
        <w:ind w:left="-142" w:right="-174" w:hanging="11"/>
        <w:jc w:val="both"/>
        <w:rPr>
          <w:rFonts w:ascii="Verdana" w:hAnsi="Verdana" w:cs="Calibri"/>
          <w:w w:val="95"/>
          <w:sz w:val="20"/>
          <w:szCs w:val="20"/>
          <w:lang w:val="es-CR"/>
        </w:rPr>
      </w:pPr>
      <w:r>
        <w:rPr>
          <w:rFonts w:ascii="Verdana" w:hAnsi="Verdana" w:cs="Calibri"/>
          <w:w w:val="95"/>
          <w:sz w:val="20"/>
          <w:szCs w:val="20"/>
          <w:lang w:val="es-CR"/>
        </w:rPr>
        <w:t>Por otra parte, información de diversa índole allegada al Tribunal explica que en el marco de investigaciones de delitos contra mujeres resultaba frecuente que las autoridades se condujeran de un modo al que se ha calificado como “sesgado” o “discriminatorio”. En tal sentido, determinados estudios y testimonios de mujeres sobrevivientes y sus familiares señalan una “tendencia de los investigadores a desacreditar a las víctimas y culpabilizarlas por su estilo de vida, o [vestimenta]”. En el</w:t>
      </w:r>
      <w:r w:rsidR="005C76F2">
        <w:rPr>
          <w:rFonts w:ascii="Verdana" w:hAnsi="Verdana" w:cs="Calibri"/>
          <w:w w:val="95"/>
          <w:sz w:val="20"/>
          <w:szCs w:val="20"/>
          <w:lang w:val="es-CR"/>
        </w:rPr>
        <w:t xml:space="preserve"> mismo sentido, la perita María</w:t>
      </w:r>
      <w:r>
        <w:rPr>
          <w:rFonts w:ascii="Verdana" w:hAnsi="Verdana" w:cs="Calibri"/>
          <w:w w:val="95"/>
          <w:sz w:val="20"/>
          <w:szCs w:val="20"/>
          <w:lang w:val="es-CR"/>
        </w:rPr>
        <w:t xml:space="preserve"> Eugenia Solís García expresó que “hay un sesgo discriminatorio” en las investigaciones a partir de la indagación de aspectos de la conducta o relaciones personales de las víctimas,</w:t>
      </w:r>
      <w:r>
        <w:rPr>
          <w:rFonts w:ascii="Verdana" w:hAnsi="Verdana" w:cs="Calibri"/>
          <w:b/>
          <w:w w:val="95"/>
          <w:sz w:val="20"/>
          <w:szCs w:val="20"/>
          <w:lang w:val="es-CR"/>
        </w:rPr>
        <w:t xml:space="preserve"> </w:t>
      </w:r>
      <w:r>
        <w:rPr>
          <w:rFonts w:ascii="Verdana" w:hAnsi="Verdana" w:cs="Calibri"/>
          <w:w w:val="95"/>
          <w:sz w:val="20"/>
          <w:szCs w:val="20"/>
          <w:lang w:val="es-CR"/>
        </w:rPr>
        <w:t>básicamente en cuanto al “ejercicio de [su] sexualidad”, que “</w:t>
      </w:r>
      <w:r w:rsidRPr="00500420">
        <w:rPr>
          <w:rFonts w:ascii="Verdana" w:hAnsi="Verdana"/>
          <w:w w:val="95"/>
          <w:sz w:val="20"/>
          <w:szCs w:val="20"/>
          <w:lang w:val="es-CR"/>
        </w:rPr>
        <w:t>construye […] una serie de prejuicios [y] estereotipos para terminar concluyendo que esa[s] persona[s…] fueron responsables de lo que les pasó”. Aclaró que el hecho de que los investigadores “hagan preguntas sobre [la conducta o relaciones de las víctimas] no es el problema, [sino] que con esa información [se] constru[yen] prejuicio[s] y estereotipo[s]”, y que ello tiene por efecto atentar contra l</w:t>
      </w:r>
      <w:r w:rsidRPr="00631DFC">
        <w:rPr>
          <w:rFonts w:ascii="Verdana" w:hAnsi="Verdana"/>
          <w:w w:val="95"/>
          <w:sz w:val="20"/>
          <w:szCs w:val="20"/>
          <w:lang w:val="es-CR"/>
        </w:rPr>
        <w:t>a efectividad de la investigación.</w:t>
      </w:r>
      <w:r w:rsidRPr="00631DFC">
        <w:rPr>
          <w:rFonts w:ascii="Verdana" w:hAnsi="Verdana"/>
          <w:b/>
          <w:w w:val="95"/>
          <w:sz w:val="20"/>
          <w:szCs w:val="20"/>
          <w:lang w:val="es-CR"/>
        </w:rPr>
        <w:t xml:space="preserve"> </w:t>
      </w:r>
      <w:r w:rsidRPr="00631DFC">
        <w:rPr>
          <w:rFonts w:ascii="Verdana" w:hAnsi="Verdana"/>
          <w:w w:val="95"/>
          <w:sz w:val="20"/>
          <w:szCs w:val="20"/>
          <w:lang w:val="es-CR"/>
        </w:rPr>
        <w:t>Esto, en tanto, “el sesgo discriminatorio” provoca que “los operadores de justicia consider[e]n como no prioritaria ni importante la investigación”.</w:t>
      </w:r>
      <w:r w:rsidRPr="00631DFC">
        <w:rPr>
          <w:rFonts w:ascii="Verdana" w:hAnsi="Verdana"/>
          <w:b/>
          <w:w w:val="95"/>
          <w:sz w:val="20"/>
          <w:szCs w:val="20"/>
          <w:lang w:val="es-CR"/>
        </w:rPr>
        <w:t xml:space="preserve"> </w:t>
      </w:r>
    </w:p>
    <w:p w:rsidR="00DF15C3" w:rsidRPr="00992E1E" w:rsidRDefault="00422232" w:rsidP="00422232">
      <w:pPr>
        <w:pStyle w:val="Prrafodelista"/>
        <w:tabs>
          <w:tab w:val="left" w:pos="3213"/>
        </w:tabs>
        <w:spacing w:after="0" w:line="216" w:lineRule="auto"/>
        <w:ind w:left="-142" w:right="-174"/>
        <w:jc w:val="both"/>
        <w:rPr>
          <w:rFonts w:ascii="Verdana" w:hAnsi="Verdana" w:cs="Calibri"/>
          <w:w w:val="95"/>
          <w:sz w:val="20"/>
          <w:szCs w:val="20"/>
          <w:lang w:val="es-CR"/>
        </w:rPr>
      </w:pPr>
      <w:r>
        <w:rPr>
          <w:rFonts w:ascii="Verdana" w:hAnsi="Verdana" w:cs="Calibri"/>
          <w:w w:val="95"/>
          <w:sz w:val="20"/>
          <w:szCs w:val="20"/>
          <w:lang w:val="es-CR"/>
        </w:rPr>
        <w:tab/>
      </w:r>
    </w:p>
    <w:p w:rsidR="00DF15C3" w:rsidRPr="00422232" w:rsidRDefault="00DF15C3" w:rsidP="003F26FD">
      <w:pPr>
        <w:pStyle w:val="Prrafodelista"/>
        <w:numPr>
          <w:ilvl w:val="0"/>
          <w:numId w:val="5"/>
        </w:numPr>
        <w:spacing w:after="0" w:line="216" w:lineRule="auto"/>
        <w:ind w:left="284" w:right="-174" w:firstLine="0"/>
        <w:jc w:val="both"/>
        <w:outlineLvl w:val="1"/>
        <w:rPr>
          <w:rFonts w:ascii="Verdana" w:hAnsi="Verdana" w:cs="Calibri"/>
          <w:b/>
          <w:i/>
          <w:w w:val="95"/>
          <w:sz w:val="20"/>
          <w:szCs w:val="20"/>
        </w:rPr>
      </w:pPr>
      <w:bookmarkStart w:id="74" w:name="_Toc394313663"/>
      <w:r w:rsidRPr="00422232">
        <w:rPr>
          <w:rFonts w:ascii="Verdana" w:hAnsi="Verdana" w:cs="Calibri"/>
          <w:b/>
          <w:w w:val="95"/>
          <w:sz w:val="20"/>
          <w:szCs w:val="20"/>
        </w:rPr>
        <w:t>Hechos del caso</w:t>
      </w:r>
      <w:bookmarkEnd w:id="74"/>
      <w:r w:rsidRPr="00422232">
        <w:rPr>
          <w:rFonts w:ascii="Verdana" w:hAnsi="Verdana" w:cs="Calibri"/>
          <w:b/>
          <w:i/>
          <w:w w:val="95"/>
          <w:sz w:val="20"/>
          <w:szCs w:val="20"/>
        </w:rPr>
        <w:t xml:space="preserve"> </w:t>
      </w:r>
    </w:p>
    <w:p w:rsidR="00DF15C3" w:rsidRPr="00422232" w:rsidRDefault="00DF15C3" w:rsidP="003F26FD">
      <w:pPr>
        <w:pStyle w:val="Prrafodelista"/>
        <w:spacing w:after="0" w:line="216" w:lineRule="auto"/>
        <w:ind w:left="-142" w:right="-174"/>
        <w:rPr>
          <w:rFonts w:ascii="Verdana" w:hAnsi="Verdana" w:cs="Calibri"/>
          <w:b/>
          <w:i/>
          <w:w w:val="95"/>
          <w:sz w:val="20"/>
          <w:szCs w:val="20"/>
        </w:rPr>
      </w:pPr>
    </w:p>
    <w:p w:rsidR="00DF15C3" w:rsidRPr="00992E1E" w:rsidRDefault="00DF15C3" w:rsidP="003F26FD">
      <w:pPr>
        <w:pStyle w:val="Prrafodelista"/>
        <w:numPr>
          <w:ilvl w:val="0"/>
          <w:numId w:val="17"/>
        </w:numPr>
        <w:spacing w:after="0" w:line="216" w:lineRule="auto"/>
        <w:ind w:left="-180" w:right="-174" w:firstLine="0"/>
        <w:jc w:val="both"/>
        <w:rPr>
          <w:rFonts w:ascii="Verdana" w:hAnsi="Verdana"/>
          <w:w w:val="95"/>
          <w:sz w:val="20"/>
          <w:szCs w:val="20"/>
          <w:lang w:val="es-CR"/>
        </w:rPr>
      </w:pPr>
      <w:r w:rsidRPr="00422232">
        <w:rPr>
          <w:rFonts w:ascii="Verdana" w:hAnsi="Verdana"/>
          <w:w w:val="95"/>
          <w:sz w:val="20"/>
          <w:szCs w:val="20"/>
          <w:lang w:val="es-CR"/>
        </w:rPr>
        <w:t xml:space="preserve">El relato de los hechos presenta una descripción de las diligencias o actuaciones más relevantes realizadas dentro de la investigación del homicidio de María Isabel Veliz Franco, las </w:t>
      </w:r>
      <w:r w:rsidRPr="00422232">
        <w:rPr>
          <w:rFonts w:ascii="Verdana" w:hAnsi="Verdana"/>
          <w:w w:val="95"/>
          <w:sz w:val="20"/>
          <w:szCs w:val="20"/>
          <w:lang w:val="es-CR"/>
        </w:rPr>
        <w:lastRenderedPageBreak/>
        <w:t>cuales obran en los expedientes</w:t>
      </w:r>
      <w:r w:rsidRPr="00422232">
        <w:rPr>
          <w:rStyle w:val="Refdenotaalpie"/>
          <w:rFonts w:ascii="Verdana" w:hAnsi="Verdana"/>
          <w:w w:val="95"/>
          <w:sz w:val="20"/>
          <w:szCs w:val="20"/>
          <w:lang w:val="es-CR"/>
        </w:rPr>
        <w:footnoteReference w:id="110"/>
      </w:r>
      <w:r w:rsidRPr="00422232">
        <w:rPr>
          <w:rFonts w:ascii="Verdana" w:hAnsi="Verdana"/>
          <w:w w:val="95"/>
          <w:sz w:val="20"/>
          <w:szCs w:val="20"/>
          <w:lang w:val="es-CR"/>
        </w:rPr>
        <w:t>.</w:t>
      </w:r>
      <w:r w:rsidRPr="003622B1">
        <w:rPr>
          <w:rFonts w:ascii="Verdana" w:hAnsi="Verdana"/>
          <w:w w:val="95"/>
          <w:sz w:val="20"/>
          <w:szCs w:val="20"/>
          <w:lang w:val="es-CR"/>
        </w:rPr>
        <w:t xml:space="preserve"> Ca</w:t>
      </w:r>
      <w:r w:rsidRPr="00315B30">
        <w:rPr>
          <w:rFonts w:ascii="Verdana" w:hAnsi="Verdana"/>
          <w:w w:val="95"/>
          <w:sz w:val="20"/>
          <w:szCs w:val="20"/>
          <w:lang w:val="es-CR"/>
        </w:rPr>
        <w:t xml:space="preserve">be destacar que la investigación de su homicidio ha sido conocida por la Agencia No. 5 de la Fiscalía Municipal del Ministerio Público del Municipio de Mixco (en adelante también “Agencia No. 5 de Mixco”) y la Agencia No. 32 de la Fiscalía Distrital Metropolitana de la </w:t>
      </w:r>
      <w:r w:rsidRPr="003622B1">
        <w:rPr>
          <w:rFonts w:ascii="Verdana" w:hAnsi="Verdana"/>
          <w:w w:val="95"/>
          <w:sz w:val="20"/>
          <w:szCs w:val="20"/>
          <w:lang w:val="es-CR"/>
        </w:rPr>
        <w:t>Ciudad de Guatemala (en adelante también “Agencia No. 32 de Guatemala”), y por el Juzgado Octavo de Primera Instancia Penal, Narcoactividad y Delitos contra el Ambiente de la Ciudad de Guatemala (en adelante también “Juzgado Octavo de Guatemala”) y el Juzgado Primero de Primera Instancia Penal, Narcoactividad y Delitos contra el Ambiente del Municipi</w:t>
      </w:r>
      <w:r w:rsidR="005C76F2">
        <w:rPr>
          <w:rFonts w:ascii="Verdana" w:hAnsi="Verdana"/>
          <w:w w:val="95"/>
          <w:sz w:val="20"/>
          <w:szCs w:val="20"/>
          <w:lang w:val="es-CR"/>
        </w:rPr>
        <w:t>o de Mixco (en adelante también</w:t>
      </w:r>
      <w:r w:rsidRPr="003622B1">
        <w:rPr>
          <w:rFonts w:ascii="Verdana" w:hAnsi="Verdana"/>
          <w:w w:val="95"/>
          <w:sz w:val="20"/>
          <w:szCs w:val="20"/>
          <w:lang w:val="es-CR"/>
        </w:rPr>
        <w:t xml:space="preserve"> “Juzgado Primero de </w:t>
      </w:r>
      <w:r w:rsidRPr="00884D3C">
        <w:rPr>
          <w:rFonts w:ascii="Verdana" w:hAnsi="Verdana"/>
          <w:w w:val="95"/>
          <w:sz w:val="20"/>
          <w:szCs w:val="20"/>
          <w:lang w:val="es-CR"/>
        </w:rPr>
        <w:t>Mixco”).</w:t>
      </w:r>
      <w:r w:rsidRPr="003622B1">
        <w:rPr>
          <w:rFonts w:ascii="Verdana" w:hAnsi="Verdana"/>
          <w:w w:val="95"/>
          <w:sz w:val="20"/>
          <w:szCs w:val="20"/>
          <w:lang w:val="es-CR"/>
        </w:rPr>
        <w:t xml:space="preserve"> En la descripción de los hechos se describen diligencias realizadas </w:t>
      </w:r>
      <w:r w:rsidRPr="00501AF1">
        <w:rPr>
          <w:rFonts w:ascii="Verdana" w:hAnsi="Verdana"/>
          <w:w w:val="95"/>
          <w:sz w:val="20"/>
          <w:szCs w:val="20"/>
          <w:lang w:val="es-CR"/>
        </w:rPr>
        <w:t xml:space="preserve">por </w:t>
      </w:r>
      <w:r w:rsidR="00FF634E" w:rsidRPr="00501AF1">
        <w:rPr>
          <w:rFonts w:ascii="Verdana" w:hAnsi="Verdana"/>
          <w:w w:val="95"/>
          <w:sz w:val="20"/>
          <w:szCs w:val="20"/>
          <w:lang w:val="es-CR"/>
        </w:rPr>
        <w:t>dichas dependencias.</w:t>
      </w:r>
    </w:p>
    <w:p w:rsidR="00DF15C3" w:rsidRPr="00992E1E" w:rsidRDefault="00DF15C3" w:rsidP="003F26FD">
      <w:pPr>
        <w:spacing w:after="0" w:line="216" w:lineRule="auto"/>
        <w:ind w:right="-174"/>
        <w:jc w:val="both"/>
        <w:rPr>
          <w:rFonts w:ascii="Verdana" w:hAnsi="Verdana"/>
          <w:w w:val="95"/>
          <w:sz w:val="20"/>
          <w:szCs w:val="20"/>
          <w:lang w:val="es-CR"/>
        </w:rPr>
      </w:pPr>
    </w:p>
    <w:p w:rsidR="00DF15C3" w:rsidRPr="00992E1E" w:rsidRDefault="00DF15C3" w:rsidP="003F26FD">
      <w:pPr>
        <w:pStyle w:val="Ttulo3"/>
        <w:spacing w:before="0" w:line="216" w:lineRule="auto"/>
        <w:ind w:left="567" w:right="-174"/>
        <w:rPr>
          <w:rFonts w:ascii="Verdana" w:hAnsi="Verdana"/>
          <w:i/>
          <w:color w:val="auto"/>
          <w:w w:val="95"/>
          <w:sz w:val="20"/>
          <w:lang w:val="es-CR"/>
        </w:rPr>
      </w:pPr>
      <w:bookmarkStart w:id="75" w:name="_Toc394313664"/>
      <w:r w:rsidRPr="003622B1">
        <w:rPr>
          <w:rFonts w:ascii="Verdana" w:hAnsi="Verdana"/>
          <w:i/>
          <w:color w:val="auto"/>
          <w:w w:val="95"/>
          <w:sz w:val="20"/>
        </w:rPr>
        <w:t xml:space="preserve">B.1) </w:t>
      </w:r>
      <w:r w:rsidRPr="003622B1">
        <w:rPr>
          <w:rFonts w:ascii="Verdana" w:hAnsi="Verdana"/>
          <w:i/>
          <w:color w:val="auto"/>
          <w:w w:val="95"/>
          <w:sz w:val="20"/>
          <w:lang w:val="es-CR"/>
        </w:rPr>
        <w:t>María Isabel Veliz Franco</w:t>
      </w:r>
      <w:bookmarkEnd w:id="75"/>
      <w:r w:rsidRPr="003622B1">
        <w:rPr>
          <w:rFonts w:ascii="Verdana" w:hAnsi="Verdana"/>
          <w:i/>
          <w:color w:val="auto"/>
          <w:w w:val="95"/>
          <w:sz w:val="20"/>
          <w:lang w:val="es-CR"/>
        </w:rPr>
        <w:t xml:space="preserve"> </w:t>
      </w:r>
    </w:p>
    <w:p w:rsidR="00DF15C3" w:rsidRPr="00992E1E" w:rsidRDefault="00DF15C3" w:rsidP="003F26FD">
      <w:pPr>
        <w:pStyle w:val="Prrafodelista"/>
        <w:spacing w:after="0" w:line="216" w:lineRule="auto"/>
        <w:ind w:left="-142" w:right="-174"/>
        <w:jc w:val="both"/>
        <w:rPr>
          <w:rFonts w:ascii="Verdana" w:hAnsi="Verdana"/>
          <w:w w:val="95"/>
          <w:sz w:val="20"/>
          <w:szCs w:val="20"/>
          <w:lang w:val="es-CR"/>
        </w:rPr>
      </w:pPr>
    </w:p>
    <w:p w:rsidR="00DF15C3" w:rsidRPr="00DE4DC6" w:rsidRDefault="00DF15C3" w:rsidP="003F26FD">
      <w:pPr>
        <w:pStyle w:val="Prrafodelista"/>
        <w:numPr>
          <w:ilvl w:val="0"/>
          <w:numId w:val="17"/>
        </w:numPr>
        <w:spacing w:after="0" w:line="216" w:lineRule="auto"/>
        <w:ind w:left="-142" w:right="-174" w:firstLine="0"/>
        <w:jc w:val="both"/>
        <w:rPr>
          <w:rFonts w:ascii="Verdana" w:hAnsi="Verdana"/>
          <w:w w:val="95"/>
          <w:sz w:val="20"/>
          <w:szCs w:val="20"/>
          <w:lang w:val="es-CR"/>
        </w:rPr>
      </w:pPr>
      <w:r w:rsidRPr="00DE4DC6">
        <w:rPr>
          <w:rFonts w:ascii="Verdana" w:hAnsi="Verdana"/>
          <w:w w:val="95"/>
          <w:sz w:val="20"/>
          <w:szCs w:val="20"/>
          <w:lang w:val="es-CR"/>
        </w:rPr>
        <w:t>María Isabel Veliz Franco nació en la Ciudad de Guatemala, Guatemala, el 13 de enero de 1986</w:t>
      </w:r>
      <w:r w:rsidRPr="00A548D1">
        <w:rPr>
          <w:rFonts w:ascii="Verdana" w:hAnsi="Verdana"/>
          <w:w w:val="95"/>
          <w:sz w:val="20"/>
          <w:szCs w:val="20"/>
          <w:vertAlign w:val="superscript"/>
          <w:lang w:val="es-CR"/>
        </w:rPr>
        <w:footnoteReference w:id="111"/>
      </w:r>
      <w:r w:rsidRPr="00DE4DC6">
        <w:rPr>
          <w:rFonts w:ascii="Verdana" w:hAnsi="Verdana"/>
          <w:w w:val="95"/>
          <w:sz w:val="20"/>
          <w:szCs w:val="20"/>
          <w:lang w:val="es-CR"/>
        </w:rPr>
        <w:t xml:space="preserve">. Al momento de su muerte tenía 15 años de edad, era estudiante y acababa de finalizar el tercer año básico; estaba en período de vacaciones y trabajando como dependiente temporal del </w:t>
      </w:r>
      <w:r w:rsidRPr="00410384">
        <w:rPr>
          <w:rFonts w:ascii="Verdana" w:hAnsi="Verdana"/>
          <w:w w:val="95"/>
          <w:sz w:val="20"/>
          <w:szCs w:val="20"/>
          <w:lang w:val="es-CR"/>
        </w:rPr>
        <w:t>“</w:t>
      </w:r>
      <w:r w:rsidRPr="00DE4DC6">
        <w:rPr>
          <w:rFonts w:ascii="Verdana" w:hAnsi="Verdana"/>
          <w:w w:val="95"/>
          <w:sz w:val="20"/>
          <w:szCs w:val="20"/>
          <w:lang w:val="es-CR"/>
        </w:rPr>
        <w:t>Almacén Taxi”, ubicado en la zona 1 de la capital de Guatemala. María Isabel vivía con su madre, Rosa Elvira Franco Sandoval</w:t>
      </w:r>
      <w:r w:rsidRPr="00A548D1">
        <w:rPr>
          <w:rFonts w:ascii="Verdana" w:hAnsi="Verdana"/>
          <w:w w:val="95"/>
          <w:sz w:val="20"/>
          <w:szCs w:val="20"/>
          <w:vertAlign w:val="superscript"/>
          <w:lang w:val="es-CR"/>
        </w:rPr>
        <w:footnoteReference w:id="112"/>
      </w:r>
      <w:r w:rsidRPr="00DE4DC6">
        <w:rPr>
          <w:rFonts w:ascii="Verdana" w:hAnsi="Verdana"/>
          <w:w w:val="95"/>
          <w:sz w:val="20"/>
          <w:szCs w:val="20"/>
          <w:lang w:val="es-CR"/>
        </w:rPr>
        <w:t>, sus hermanos Leonel Enrique Veliz Franco</w:t>
      </w:r>
      <w:r w:rsidRPr="00A548D1">
        <w:rPr>
          <w:rFonts w:ascii="Verdana" w:hAnsi="Verdana"/>
          <w:w w:val="95"/>
          <w:sz w:val="20"/>
          <w:szCs w:val="20"/>
          <w:vertAlign w:val="superscript"/>
          <w:lang w:val="es-CR"/>
        </w:rPr>
        <w:footnoteReference w:id="113"/>
      </w:r>
      <w:r w:rsidRPr="00A548D1">
        <w:rPr>
          <w:rFonts w:ascii="Verdana" w:hAnsi="Verdana"/>
          <w:w w:val="95"/>
          <w:sz w:val="20"/>
          <w:szCs w:val="20"/>
          <w:vertAlign w:val="superscript"/>
          <w:lang w:val="es-CR"/>
        </w:rPr>
        <w:t xml:space="preserve"> </w:t>
      </w:r>
      <w:r w:rsidRPr="00DE4DC6">
        <w:rPr>
          <w:rFonts w:ascii="Verdana" w:hAnsi="Verdana"/>
          <w:w w:val="95"/>
          <w:sz w:val="20"/>
          <w:szCs w:val="20"/>
          <w:lang w:val="es-CR"/>
        </w:rPr>
        <w:t>y José Roberto Franco</w:t>
      </w:r>
      <w:r w:rsidRPr="00A548D1">
        <w:rPr>
          <w:rFonts w:ascii="Verdana" w:hAnsi="Verdana"/>
          <w:w w:val="95"/>
          <w:sz w:val="20"/>
          <w:szCs w:val="20"/>
          <w:vertAlign w:val="superscript"/>
          <w:lang w:val="es-CR"/>
        </w:rPr>
        <w:footnoteReference w:id="114"/>
      </w:r>
      <w:r w:rsidRPr="00DE4DC6">
        <w:rPr>
          <w:rFonts w:ascii="Verdana" w:hAnsi="Verdana"/>
          <w:w w:val="95"/>
          <w:sz w:val="20"/>
          <w:szCs w:val="20"/>
          <w:lang w:val="es-CR"/>
        </w:rPr>
        <w:t xml:space="preserve"> y sus abuelos maternos, Cruz Elvira Sandoval</w:t>
      </w:r>
      <w:r w:rsidRPr="00A548D1">
        <w:rPr>
          <w:rFonts w:ascii="Verdana" w:hAnsi="Verdana"/>
          <w:w w:val="95"/>
          <w:sz w:val="20"/>
          <w:szCs w:val="20"/>
          <w:vertAlign w:val="superscript"/>
          <w:lang w:val="es-CR"/>
        </w:rPr>
        <w:footnoteReference w:id="115"/>
      </w:r>
      <w:r w:rsidRPr="00DE4DC6">
        <w:rPr>
          <w:rFonts w:ascii="Verdana" w:hAnsi="Verdana"/>
          <w:w w:val="95"/>
          <w:sz w:val="20"/>
          <w:szCs w:val="20"/>
          <w:lang w:val="es-CR"/>
        </w:rPr>
        <w:t xml:space="preserve"> y Roberto Franco Pérez</w:t>
      </w:r>
      <w:r w:rsidRPr="00A548D1">
        <w:rPr>
          <w:rFonts w:ascii="Verdana" w:hAnsi="Verdana"/>
          <w:w w:val="95"/>
          <w:sz w:val="20"/>
          <w:szCs w:val="20"/>
          <w:vertAlign w:val="superscript"/>
          <w:lang w:val="es-CR"/>
        </w:rPr>
        <w:footnoteReference w:id="116"/>
      </w:r>
      <w:r w:rsidRPr="00DE4DC6">
        <w:rPr>
          <w:rFonts w:ascii="Verdana" w:hAnsi="Verdana"/>
          <w:w w:val="95"/>
          <w:sz w:val="20"/>
          <w:szCs w:val="20"/>
          <w:lang w:val="es-CR"/>
        </w:rPr>
        <w:t xml:space="preserve">. </w:t>
      </w:r>
    </w:p>
    <w:p w:rsidR="00DF15C3" w:rsidRPr="00992E1E" w:rsidRDefault="00DF15C3" w:rsidP="003F26FD">
      <w:pPr>
        <w:pStyle w:val="Prrafodelista"/>
        <w:spacing w:after="0" w:line="216" w:lineRule="auto"/>
        <w:ind w:left="-142" w:right="-174"/>
        <w:jc w:val="both"/>
        <w:rPr>
          <w:rFonts w:ascii="Verdana" w:hAnsi="Verdana" w:cs="Calibri"/>
          <w:w w:val="95"/>
          <w:sz w:val="20"/>
          <w:szCs w:val="20"/>
          <w:lang w:val="es-CR"/>
        </w:rPr>
      </w:pPr>
    </w:p>
    <w:p w:rsidR="00DF15C3" w:rsidRPr="00992E1E" w:rsidRDefault="00DF15C3" w:rsidP="003F26FD">
      <w:pPr>
        <w:pStyle w:val="Ttulo3"/>
        <w:spacing w:before="0" w:line="216" w:lineRule="auto"/>
        <w:ind w:left="567" w:right="-174"/>
        <w:rPr>
          <w:rFonts w:ascii="Verdana" w:hAnsi="Verdana"/>
          <w:i/>
          <w:color w:val="auto"/>
          <w:w w:val="95"/>
          <w:sz w:val="20"/>
          <w:lang w:val="es-CR"/>
        </w:rPr>
      </w:pPr>
      <w:bookmarkStart w:id="76" w:name="_Toc394313665"/>
      <w:r w:rsidRPr="003622B1">
        <w:rPr>
          <w:rFonts w:ascii="Verdana" w:hAnsi="Verdana"/>
          <w:i/>
          <w:color w:val="auto"/>
          <w:w w:val="95"/>
          <w:sz w:val="20"/>
        </w:rPr>
        <w:t>B.2)</w:t>
      </w:r>
      <w:r w:rsidRPr="003622B1">
        <w:rPr>
          <w:rFonts w:ascii="Verdana" w:hAnsi="Verdana"/>
          <w:color w:val="auto"/>
          <w:w w:val="95"/>
          <w:sz w:val="20"/>
        </w:rPr>
        <w:t xml:space="preserve"> </w:t>
      </w:r>
      <w:r w:rsidRPr="003622B1">
        <w:rPr>
          <w:rFonts w:ascii="Verdana" w:hAnsi="Verdana"/>
          <w:i/>
          <w:color w:val="auto"/>
          <w:w w:val="95"/>
          <w:sz w:val="20"/>
          <w:lang w:val="es-CR"/>
        </w:rPr>
        <w:t>Denuncia de desaparición y diligencias iniciales</w:t>
      </w:r>
      <w:bookmarkEnd w:id="76"/>
    </w:p>
    <w:p w:rsidR="00DF15C3" w:rsidRPr="00992E1E" w:rsidRDefault="00DF15C3" w:rsidP="003F26FD">
      <w:pPr>
        <w:pStyle w:val="Prrafodelista"/>
        <w:spacing w:after="0" w:line="216" w:lineRule="auto"/>
        <w:ind w:left="-142" w:right="-174"/>
        <w:jc w:val="both"/>
        <w:rPr>
          <w:rFonts w:ascii="Verdana" w:hAnsi="Verdana" w:cs="Calibri"/>
          <w:b/>
          <w:w w:val="95"/>
          <w:sz w:val="20"/>
          <w:szCs w:val="20"/>
          <w:lang w:val="es-CR"/>
        </w:rPr>
      </w:pPr>
    </w:p>
    <w:p w:rsidR="00DF15C3" w:rsidRPr="00992E1E" w:rsidRDefault="00DF15C3" w:rsidP="003F26FD">
      <w:pPr>
        <w:pStyle w:val="Prrafodelista"/>
        <w:numPr>
          <w:ilvl w:val="0"/>
          <w:numId w:val="17"/>
        </w:numPr>
        <w:spacing w:after="0" w:line="216" w:lineRule="auto"/>
        <w:ind w:left="-142" w:right="-174" w:firstLine="0"/>
        <w:jc w:val="both"/>
        <w:rPr>
          <w:rFonts w:ascii="Verdana" w:hAnsi="Verdana" w:cs="Calibri"/>
          <w:w w:val="95"/>
          <w:sz w:val="20"/>
          <w:szCs w:val="20"/>
          <w:lang w:val="es-CR"/>
        </w:rPr>
      </w:pPr>
      <w:r w:rsidRPr="003622B1">
        <w:rPr>
          <w:rFonts w:ascii="Verdana" w:hAnsi="Verdana" w:cs="Calibri"/>
          <w:b/>
          <w:i/>
          <w:w w:val="95"/>
          <w:sz w:val="20"/>
          <w:szCs w:val="20"/>
          <w:lang w:val="es-CR"/>
        </w:rPr>
        <w:t>La denuncia</w:t>
      </w:r>
      <w:r w:rsidRPr="003622B1">
        <w:rPr>
          <w:rFonts w:ascii="Verdana" w:hAnsi="Verdana" w:cs="Calibri"/>
          <w:b/>
          <w:w w:val="95"/>
          <w:sz w:val="20"/>
          <w:szCs w:val="20"/>
          <w:lang w:val="es-CR"/>
        </w:rPr>
        <w:t>.-</w:t>
      </w:r>
      <w:r w:rsidRPr="003622B1">
        <w:rPr>
          <w:rFonts w:ascii="Verdana" w:hAnsi="Verdana" w:cs="Calibri"/>
          <w:w w:val="95"/>
          <w:sz w:val="20"/>
          <w:szCs w:val="20"/>
          <w:lang w:val="es-CR"/>
        </w:rPr>
        <w:t xml:space="preserve"> El 17 de diciembre de 2001, a las 16:00 horas, compareció Rosa Elvira Franco Sandoval ante el Servicio de Investigación Criminal de la Policía Nacional Civil de Guatemala (en adelante “Servicio de Investigación de la PNC”), con el fin de denunciar la desaparición de su hija, María Isabel Veliz Franco. En la denuncia, la señora Franco</w:t>
      </w:r>
      <w:r w:rsidRPr="003622B1">
        <w:rPr>
          <w:rFonts w:ascii="Verdana" w:hAnsi="Verdana"/>
          <w:w w:val="95"/>
          <w:sz w:val="20"/>
          <w:szCs w:val="20"/>
          <w:lang w:val="es-CR"/>
        </w:rPr>
        <w:t xml:space="preserve"> manifestó que:</w:t>
      </w:r>
    </w:p>
    <w:p w:rsidR="00DF15C3" w:rsidRPr="00992E1E" w:rsidRDefault="00DF15C3" w:rsidP="003F26FD">
      <w:pPr>
        <w:pStyle w:val="Prrafodelista"/>
        <w:spacing w:after="0" w:line="216" w:lineRule="auto"/>
        <w:ind w:left="-142" w:right="-174"/>
        <w:jc w:val="both"/>
        <w:rPr>
          <w:rFonts w:ascii="Verdana" w:hAnsi="Verdana" w:cs="Calibri"/>
          <w:i/>
          <w:w w:val="95"/>
          <w:sz w:val="20"/>
          <w:szCs w:val="20"/>
          <w:lang w:val="es-CR"/>
        </w:rPr>
      </w:pPr>
    </w:p>
    <w:p w:rsidR="00DF15C3" w:rsidRPr="00315B30" w:rsidRDefault="00DF15C3" w:rsidP="003F26FD">
      <w:pPr>
        <w:pStyle w:val="Prrafodelista"/>
        <w:numPr>
          <w:ilvl w:val="0"/>
          <w:numId w:val="19"/>
        </w:numPr>
        <w:spacing w:after="0" w:line="216" w:lineRule="auto"/>
        <w:ind w:left="709" w:right="-174" w:firstLine="0"/>
        <w:jc w:val="both"/>
        <w:rPr>
          <w:rFonts w:ascii="Verdana" w:hAnsi="Verdana" w:cs="Calibri"/>
          <w:w w:val="95"/>
          <w:sz w:val="20"/>
          <w:szCs w:val="20"/>
          <w:lang w:val="es-CR"/>
        </w:rPr>
      </w:pPr>
      <w:r w:rsidRPr="001D7482">
        <w:rPr>
          <w:rFonts w:ascii="Verdana" w:hAnsi="Verdana" w:cs="Calibri"/>
          <w:w w:val="95"/>
          <w:sz w:val="20"/>
          <w:szCs w:val="20"/>
          <w:lang w:val="es-CR"/>
        </w:rPr>
        <w:t xml:space="preserve">el 16 de diciembre de 2001 su hija de 15 años de edad salió de su casa a las ocho de la mañana hacia su trabajo en el </w:t>
      </w:r>
      <w:r w:rsidRPr="001D7482">
        <w:rPr>
          <w:rFonts w:ascii="Verdana" w:hAnsi="Verdana"/>
          <w:w w:val="95"/>
          <w:sz w:val="20"/>
          <w:szCs w:val="20"/>
          <w:lang w:val="es-CR"/>
        </w:rPr>
        <w:t>“</w:t>
      </w:r>
      <w:r w:rsidRPr="001D7482">
        <w:rPr>
          <w:rFonts w:ascii="Verdana" w:hAnsi="Verdana" w:cs="Calibri"/>
          <w:w w:val="95"/>
          <w:sz w:val="20"/>
          <w:szCs w:val="20"/>
          <w:lang w:val="es-CR"/>
        </w:rPr>
        <w:t>Almacén Taxi” y</w:t>
      </w:r>
      <w:r w:rsidR="00DD70DA" w:rsidRPr="001D7482">
        <w:rPr>
          <w:rFonts w:ascii="Verdana" w:hAnsi="Verdana" w:cs="Calibri"/>
          <w:w w:val="95"/>
          <w:sz w:val="20"/>
          <w:szCs w:val="20"/>
          <w:lang w:val="es-CR"/>
        </w:rPr>
        <w:t>,</w:t>
      </w:r>
      <w:r w:rsidRPr="001D7482">
        <w:rPr>
          <w:rFonts w:ascii="Verdana" w:hAnsi="Verdana" w:cs="Calibri"/>
          <w:w w:val="95"/>
          <w:sz w:val="20"/>
          <w:szCs w:val="20"/>
          <w:lang w:val="es-CR"/>
        </w:rPr>
        <w:t xml:space="preserve"> contrario a lo previsto</w:t>
      </w:r>
      <w:r w:rsidR="00DD70DA" w:rsidRPr="001D7482">
        <w:rPr>
          <w:rFonts w:ascii="Verdana" w:hAnsi="Verdana" w:cs="Calibri"/>
          <w:w w:val="95"/>
          <w:sz w:val="20"/>
          <w:szCs w:val="20"/>
          <w:lang w:val="es-CR"/>
        </w:rPr>
        <w:t>,</w:t>
      </w:r>
      <w:r w:rsidRPr="001D7482">
        <w:rPr>
          <w:rFonts w:ascii="Verdana" w:hAnsi="Verdana" w:cs="Calibri"/>
          <w:w w:val="95"/>
          <w:sz w:val="20"/>
          <w:szCs w:val="20"/>
          <w:lang w:val="es-CR"/>
        </w:rPr>
        <w:t xml:space="preserve"> </w:t>
      </w:r>
      <w:r w:rsidRPr="00315B30">
        <w:rPr>
          <w:rFonts w:ascii="Verdana" w:hAnsi="Verdana" w:cs="Calibri"/>
          <w:w w:val="95"/>
          <w:sz w:val="20"/>
          <w:szCs w:val="20"/>
          <w:lang w:val="es-CR"/>
        </w:rPr>
        <w:t xml:space="preserve">no regresó a las ocho de la noche del mismo día; </w:t>
      </w:r>
    </w:p>
    <w:p w:rsidR="00DF15C3" w:rsidRPr="00315B30" w:rsidRDefault="00DF15C3" w:rsidP="003F26FD">
      <w:pPr>
        <w:pStyle w:val="Prrafodelista"/>
        <w:numPr>
          <w:ilvl w:val="0"/>
          <w:numId w:val="19"/>
        </w:numPr>
        <w:spacing w:after="0" w:line="216" w:lineRule="auto"/>
        <w:ind w:left="709" w:right="-174" w:firstLine="0"/>
        <w:jc w:val="both"/>
        <w:rPr>
          <w:rFonts w:ascii="Verdana" w:hAnsi="Verdana" w:cs="Calibri"/>
          <w:w w:val="95"/>
          <w:sz w:val="20"/>
          <w:szCs w:val="20"/>
          <w:lang w:val="es-CR"/>
        </w:rPr>
      </w:pPr>
      <w:r w:rsidRPr="00315B30">
        <w:rPr>
          <w:rFonts w:ascii="Verdana" w:hAnsi="Verdana" w:cs="Calibri"/>
          <w:w w:val="95"/>
          <w:sz w:val="20"/>
          <w:szCs w:val="20"/>
          <w:lang w:val="es-CR"/>
        </w:rPr>
        <w:t xml:space="preserve">el 17 de diciembre de 2001 acudió a dicho almacén a las 10:00 horas a buscarla y fue informada por una compañera de su hija que el 16 de diciembre de 2001, a eso de las 19:00 horas, se presentó un muchacho de mal aspecto que preguntó por María Isabel y que la estuvo esperando, y que presumiblemente ambos </w:t>
      </w:r>
      <w:r w:rsidRPr="00315B30">
        <w:rPr>
          <w:rFonts w:ascii="Verdana" w:hAnsi="Verdana" w:cs="Calibri"/>
          <w:w w:val="95"/>
          <w:sz w:val="20"/>
          <w:szCs w:val="20"/>
          <w:lang w:val="es-CR"/>
        </w:rPr>
        <w:lastRenderedPageBreak/>
        <w:t>se fueron juntos</w:t>
      </w:r>
      <w:r w:rsidR="00F15CBE" w:rsidRPr="00315B30">
        <w:rPr>
          <w:rFonts w:ascii="Verdana" w:hAnsi="Verdana" w:cs="Calibri"/>
          <w:sz w:val="20"/>
          <w:szCs w:val="20"/>
          <w:vertAlign w:val="superscript"/>
        </w:rPr>
        <w:footnoteReference w:id="117"/>
      </w:r>
      <w:r w:rsidR="00F15CBE" w:rsidRPr="00315B30">
        <w:rPr>
          <w:rFonts w:ascii="Verdana" w:hAnsi="Verdana" w:cs="Calibri"/>
          <w:w w:val="95"/>
          <w:sz w:val="20"/>
          <w:szCs w:val="20"/>
          <w:lang w:val="es-CR"/>
        </w:rPr>
        <w:t>,</w:t>
      </w:r>
      <w:r w:rsidR="00422232" w:rsidRPr="00315B30">
        <w:rPr>
          <w:rFonts w:ascii="Verdana" w:hAnsi="Verdana" w:cs="Calibri"/>
          <w:w w:val="95"/>
          <w:sz w:val="20"/>
          <w:szCs w:val="20"/>
          <w:lang w:val="es-CR"/>
        </w:rPr>
        <w:t xml:space="preserve"> y refirió</w:t>
      </w:r>
      <w:r w:rsidR="00FF7BE1" w:rsidRPr="00315B30">
        <w:rPr>
          <w:rFonts w:ascii="Verdana" w:hAnsi="Verdana" w:cs="Calibri"/>
          <w:w w:val="95"/>
          <w:sz w:val="20"/>
          <w:szCs w:val="20"/>
          <w:lang w:val="es-CR"/>
        </w:rPr>
        <w:t xml:space="preserve"> que conocía</w:t>
      </w:r>
      <w:r w:rsidR="00422232" w:rsidRPr="00315B30">
        <w:rPr>
          <w:rFonts w:ascii="Verdana" w:hAnsi="Verdana" w:cs="Calibri"/>
          <w:w w:val="95"/>
          <w:sz w:val="20"/>
          <w:szCs w:val="20"/>
          <w:lang w:val="es-CR"/>
        </w:rPr>
        <w:t xml:space="preserve"> el nombre del sospechoso</w:t>
      </w:r>
      <w:r w:rsidR="00FF7BE1" w:rsidRPr="00315B30">
        <w:rPr>
          <w:rFonts w:ascii="Verdana" w:hAnsi="Verdana" w:cs="Calibri"/>
          <w:w w:val="95"/>
          <w:sz w:val="20"/>
          <w:szCs w:val="20"/>
          <w:lang w:val="es-CR"/>
        </w:rPr>
        <w:t>,</w:t>
      </w:r>
      <w:r w:rsidR="00422232" w:rsidRPr="00315B30">
        <w:rPr>
          <w:rFonts w:ascii="Verdana" w:hAnsi="Verdana" w:cs="Calibri"/>
          <w:w w:val="95"/>
          <w:sz w:val="20"/>
          <w:szCs w:val="20"/>
          <w:lang w:val="es-CR"/>
        </w:rPr>
        <w:t xml:space="preserve"> ya que las compañeras de su hija le dijeron que ella mencionaba mucho este nombre</w:t>
      </w:r>
      <w:r w:rsidR="00110355" w:rsidRPr="00315B30">
        <w:rPr>
          <w:rFonts w:ascii="Verdana" w:hAnsi="Verdana"/>
          <w:sz w:val="20"/>
          <w:szCs w:val="20"/>
          <w:vertAlign w:val="superscript"/>
        </w:rPr>
        <w:footnoteReference w:id="118"/>
      </w:r>
      <w:r w:rsidR="00110355" w:rsidRPr="00315B30">
        <w:rPr>
          <w:rFonts w:ascii="Verdana" w:hAnsi="Verdana" w:cs="Calibri"/>
          <w:w w:val="95"/>
          <w:sz w:val="20"/>
          <w:szCs w:val="20"/>
          <w:lang w:val="es-CR"/>
        </w:rPr>
        <w:t>, y</w:t>
      </w:r>
      <w:r w:rsidRPr="00315B30">
        <w:rPr>
          <w:rFonts w:ascii="Verdana" w:hAnsi="Verdana" w:cs="Calibri"/>
          <w:w w:val="95"/>
          <w:sz w:val="20"/>
          <w:szCs w:val="20"/>
          <w:lang w:val="es-CR"/>
        </w:rPr>
        <w:t xml:space="preserve"> </w:t>
      </w:r>
    </w:p>
    <w:p w:rsidR="00DF15C3" w:rsidRPr="00422232" w:rsidRDefault="00DF15C3" w:rsidP="003F26FD">
      <w:pPr>
        <w:pStyle w:val="Prrafodelista"/>
        <w:numPr>
          <w:ilvl w:val="0"/>
          <w:numId w:val="19"/>
        </w:numPr>
        <w:spacing w:after="0" w:line="216" w:lineRule="auto"/>
        <w:ind w:left="709" w:right="-174" w:firstLine="0"/>
        <w:jc w:val="both"/>
        <w:rPr>
          <w:rFonts w:ascii="Verdana" w:hAnsi="Verdana" w:cs="Calibri"/>
          <w:w w:val="95"/>
          <w:sz w:val="20"/>
          <w:szCs w:val="20"/>
          <w:lang w:val="es-CR"/>
        </w:rPr>
      </w:pPr>
      <w:r w:rsidRPr="003622B1">
        <w:rPr>
          <w:rFonts w:ascii="Verdana" w:hAnsi="Verdana" w:cs="Calibri"/>
          <w:w w:val="95"/>
          <w:sz w:val="20"/>
          <w:szCs w:val="20"/>
          <w:lang w:val="es-CR"/>
        </w:rPr>
        <w:t xml:space="preserve">de acuerdo a la declaración de Rosa Elvira Franco autorizó a su hija María Isabel a trabajar en dicho almacén durante las vacaciones escolares, tal y como lo había </w:t>
      </w:r>
      <w:r w:rsidRPr="00422232">
        <w:rPr>
          <w:rFonts w:ascii="Verdana" w:hAnsi="Verdana" w:cs="Calibri"/>
          <w:w w:val="95"/>
          <w:sz w:val="20"/>
          <w:szCs w:val="20"/>
          <w:lang w:val="es-CR"/>
        </w:rPr>
        <w:t>hecho en años anteriores.</w:t>
      </w:r>
    </w:p>
    <w:p w:rsidR="00DF15C3" w:rsidRPr="00992E1E" w:rsidRDefault="00DF15C3" w:rsidP="003F26FD">
      <w:pPr>
        <w:spacing w:after="0" w:line="216" w:lineRule="auto"/>
        <w:ind w:right="-174"/>
        <w:jc w:val="both"/>
        <w:rPr>
          <w:rFonts w:ascii="Verdana" w:hAnsi="Verdana"/>
          <w:b/>
          <w:w w:val="95"/>
          <w:sz w:val="20"/>
          <w:szCs w:val="20"/>
          <w:lang w:val="es-CR"/>
        </w:rPr>
      </w:pPr>
    </w:p>
    <w:p w:rsidR="00DF15C3" w:rsidRPr="00992E1E" w:rsidRDefault="00DF15C3" w:rsidP="003F26FD">
      <w:pPr>
        <w:pStyle w:val="Prrafodelista"/>
        <w:numPr>
          <w:ilvl w:val="0"/>
          <w:numId w:val="17"/>
        </w:numPr>
        <w:spacing w:after="0" w:line="216" w:lineRule="auto"/>
        <w:ind w:left="-142" w:right="-174" w:firstLine="0"/>
        <w:jc w:val="both"/>
        <w:rPr>
          <w:rFonts w:ascii="Verdana" w:hAnsi="Verdana"/>
          <w:w w:val="95"/>
          <w:sz w:val="20"/>
          <w:szCs w:val="20"/>
          <w:lang w:val="es-CR"/>
        </w:rPr>
      </w:pPr>
      <w:r w:rsidRPr="003622B1">
        <w:rPr>
          <w:rFonts w:ascii="Verdana" w:hAnsi="Verdana"/>
          <w:b/>
          <w:i/>
          <w:w w:val="95"/>
          <w:sz w:val="20"/>
          <w:szCs w:val="20"/>
          <w:lang w:val="es-CR"/>
        </w:rPr>
        <w:t>Declaraciones posteriores de la señora Rosa Elvira Franco Sandoval.–</w:t>
      </w:r>
      <w:r w:rsidRPr="003622B1">
        <w:rPr>
          <w:rFonts w:ascii="Verdana" w:hAnsi="Verdana"/>
          <w:b/>
          <w:w w:val="95"/>
          <w:sz w:val="20"/>
          <w:szCs w:val="20"/>
          <w:lang w:val="es-CR"/>
        </w:rPr>
        <w:t xml:space="preserve"> </w:t>
      </w:r>
      <w:r w:rsidRPr="003622B1">
        <w:rPr>
          <w:rFonts w:ascii="Verdana" w:hAnsi="Verdana"/>
          <w:w w:val="95"/>
          <w:sz w:val="20"/>
          <w:szCs w:val="20"/>
          <w:lang w:val="es-CR"/>
        </w:rPr>
        <w:t>En oportunidades posteriores, la señora Franco Sandoval proporcionó detalles adicionales:</w:t>
      </w:r>
    </w:p>
    <w:p w:rsidR="00DF15C3" w:rsidRPr="00992E1E" w:rsidRDefault="00DF15C3" w:rsidP="003F26FD">
      <w:pPr>
        <w:pStyle w:val="Prrafodelista"/>
        <w:spacing w:after="0" w:line="216" w:lineRule="auto"/>
        <w:ind w:left="-142" w:right="-174"/>
        <w:jc w:val="both"/>
        <w:rPr>
          <w:rFonts w:ascii="Verdana" w:hAnsi="Verdana"/>
          <w:b/>
          <w:w w:val="95"/>
          <w:sz w:val="20"/>
          <w:szCs w:val="20"/>
          <w:lang w:val="es-CR"/>
        </w:rPr>
      </w:pPr>
    </w:p>
    <w:p w:rsidR="00DF15C3" w:rsidRDefault="00DF15C3" w:rsidP="003F26FD">
      <w:pPr>
        <w:pStyle w:val="Prrafodelista"/>
        <w:numPr>
          <w:ilvl w:val="1"/>
          <w:numId w:val="17"/>
        </w:numPr>
        <w:spacing w:after="0" w:line="216" w:lineRule="auto"/>
        <w:ind w:left="720" w:right="-174" w:firstLine="0"/>
        <w:jc w:val="both"/>
        <w:rPr>
          <w:rFonts w:ascii="Verdana" w:hAnsi="Verdana" w:cs="Calibri"/>
          <w:w w:val="95"/>
          <w:sz w:val="20"/>
          <w:szCs w:val="20"/>
          <w:lang w:val="es-CR"/>
        </w:rPr>
      </w:pPr>
      <w:r w:rsidRPr="003622B1">
        <w:rPr>
          <w:rFonts w:ascii="Verdana" w:hAnsi="Verdana" w:cs="Calibri"/>
          <w:w w:val="95"/>
          <w:sz w:val="20"/>
          <w:szCs w:val="20"/>
          <w:lang w:val="es-CR"/>
        </w:rPr>
        <w:t>el 19 de diciembre de 2001, cuando fue entrevistada por los investigadores asignados al caso, a las 10:30 horas, en</w:t>
      </w:r>
      <w:r w:rsidRPr="00C11F32">
        <w:rPr>
          <w:rFonts w:ascii="Verdana" w:hAnsi="Verdana" w:cs="Calibri"/>
          <w:w w:val="95"/>
          <w:sz w:val="20"/>
          <w:szCs w:val="20"/>
          <w:lang w:val="es-CR"/>
        </w:rPr>
        <w:t xml:space="preserve"> </w:t>
      </w:r>
      <w:r w:rsidR="00B837BD" w:rsidRPr="00C11F32">
        <w:rPr>
          <w:rFonts w:ascii="Verdana" w:hAnsi="Verdana" w:cs="Calibri"/>
          <w:w w:val="95"/>
          <w:sz w:val="20"/>
          <w:szCs w:val="20"/>
          <w:lang w:val="es-CR"/>
        </w:rPr>
        <w:t>Funerales</w:t>
      </w:r>
      <w:r w:rsidRPr="003622B1">
        <w:rPr>
          <w:rFonts w:ascii="Verdana" w:hAnsi="Verdana" w:cs="Calibri"/>
          <w:b/>
          <w:w w:val="95"/>
          <w:sz w:val="20"/>
          <w:szCs w:val="20"/>
          <w:lang w:val="es-CR"/>
        </w:rPr>
        <w:t xml:space="preserve"> </w:t>
      </w:r>
      <w:r w:rsidRPr="003622B1">
        <w:rPr>
          <w:rFonts w:ascii="Verdana" w:hAnsi="Verdana" w:cs="Calibri"/>
          <w:w w:val="95"/>
          <w:sz w:val="20"/>
          <w:szCs w:val="20"/>
          <w:lang w:val="es-CR"/>
        </w:rPr>
        <w:t>Mancilla</w:t>
      </w:r>
      <w:r w:rsidR="00B837BD">
        <w:rPr>
          <w:rFonts w:ascii="Verdana" w:hAnsi="Verdana" w:cs="Calibri"/>
          <w:w w:val="95"/>
          <w:sz w:val="20"/>
          <w:szCs w:val="20"/>
          <w:lang w:val="es-CR"/>
        </w:rPr>
        <w:t xml:space="preserve"> S.A.</w:t>
      </w:r>
      <w:r w:rsidRPr="003622B1">
        <w:rPr>
          <w:rFonts w:ascii="Verdana" w:hAnsi="Verdana" w:cs="Calibri"/>
          <w:w w:val="95"/>
          <w:sz w:val="20"/>
          <w:szCs w:val="20"/>
          <w:lang w:val="es-CR"/>
        </w:rPr>
        <w:t>, lugar donde se encontraba velando el cuerpo de su hija, manifestó lo siguiente:</w:t>
      </w:r>
    </w:p>
    <w:p w:rsidR="00DF15C3" w:rsidRPr="00651F65" w:rsidRDefault="00DF15C3" w:rsidP="003F26FD">
      <w:pPr>
        <w:pStyle w:val="Prrafodelista"/>
        <w:spacing w:after="0" w:line="216" w:lineRule="auto"/>
        <w:ind w:left="-142" w:right="-174"/>
        <w:rPr>
          <w:rFonts w:ascii="Verdana" w:hAnsi="Verdana"/>
          <w:w w:val="95"/>
          <w:sz w:val="20"/>
          <w:szCs w:val="20"/>
          <w:lang w:val="es-CR"/>
        </w:rPr>
      </w:pPr>
    </w:p>
    <w:p w:rsidR="00DF15C3" w:rsidRPr="00651F65" w:rsidRDefault="00DF15C3" w:rsidP="00110355">
      <w:pPr>
        <w:pStyle w:val="Prrafodelista"/>
        <w:spacing w:after="0" w:line="216" w:lineRule="auto"/>
        <w:ind w:left="1080" w:right="186"/>
        <w:jc w:val="both"/>
        <w:rPr>
          <w:rFonts w:ascii="Verdana" w:hAnsi="Verdana"/>
          <w:w w:val="95"/>
          <w:sz w:val="16"/>
          <w:szCs w:val="16"/>
          <w:lang w:val="es-CR"/>
        </w:rPr>
      </w:pPr>
      <w:r w:rsidRPr="00651F65">
        <w:rPr>
          <w:rFonts w:ascii="Verdana" w:hAnsi="Verdana" w:cs="Arial"/>
          <w:w w:val="95"/>
          <w:sz w:val="16"/>
          <w:szCs w:val="16"/>
          <w:lang w:val="es-CR"/>
        </w:rPr>
        <w:t xml:space="preserve">su hija no llegó a almorzar a su casa como usualmente lo hacía por lo que a eso de las 14:00 horas fue a dejarle comida </w:t>
      </w:r>
      <w:r w:rsidRPr="00651F65">
        <w:rPr>
          <w:rFonts w:ascii="Verdana" w:hAnsi="Verdana"/>
          <w:w w:val="95"/>
          <w:sz w:val="16"/>
          <w:szCs w:val="16"/>
          <w:lang w:val="es-CR"/>
        </w:rPr>
        <w:t>y cuando llegó le preguntó por qué no había llegado almorzar contestándome que no había tenido tiempo y le indicó que a la hora de su salida iba a pasar a recogerla un amigo, le preguntó quién era pero no supo dar razón. Con relación de sus agresores sospech</w:t>
      </w:r>
      <w:r w:rsidRPr="00651F65">
        <w:rPr>
          <w:rFonts w:ascii="Verdana" w:hAnsi="Verdana"/>
          <w:w w:val="95"/>
          <w:sz w:val="16"/>
          <w:szCs w:val="16"/>
          <w:lang w:val="es-CR"/>
        </w:rPr>
        <w:sym w:font="Symbol" w:char="F05B"/>
      </w:r>
      <w:r w:rsidRPr="00651F65">
        <w:rPr>
          <w:rFonts w:ascii="Verdana" w:hAnsi="Verdana"/>
          <w:w w:val="95"/>
          <w:sz w:val="16"/>
          <w:szCs w:val="16"/>
          <w:lang w:val="es-CR"/>
        </w:rPr>
        <w:t>a</w:t>
      </w:r>
      <w:r w:rsidRPr="00651F65">
        <w:rPr>
          <w:rFonts w:ascii="Verdana" w:hAnsi="Verdana"/>
          <w:w w:val="95"/>
          <w:sz w:val="16"/>
          <w:szCs w:val="16"/>
          <w:lang w:val="es-CR"/>
        </w:rPr>
        <w:sym w:font="Symbol" w:char="F05D"/>
      </w:r>
      <w:r w:rsidRPr="00651F65">
        <w:rPr>
          <w:rFonts w:ascii="Verdana" w:hAnsi="Verdana"/>
          <w:w w:val="95"/>
          <w:sz w:val="16"/>
          <w:szCs w:val="16"/>
          <w:lang w:val="es-CR"/>
        </w:rPr>
        <w:t xml:space="preserve"> de una persona a quien únicamente cono</w:t>
      </w:r>
      <w:r w:rsidRPr="00651F65">
        <w:rPr>
          <w:rFonts w:ascii="Verdana" w:hAnsi="Verdana"/>
          <w:w w:val="95"/>
          <w:sz w:val="16"/>
          <w:szCs w:val="16"/>
          <w:lang w:val="es-CR"/>
        </w:rPr>
        <w:sym w:font="Symbol" w:char="F05B"/>
      </w:r>
      <w:r w:rsidRPr="00651F65">
        <w:rPr>
          <w:rFonts w:ascii="Verdana" w:hAnsi="Verdana"/>
          <w:w w:val="95"/>
          <w:sz w:val="16"/>
          <w:szCs w:val="16"/>
          <w:lang w:val="es-CR"/>
        </w:rPr>
        <w:t>ce</w:t>
      </w:r>
      <w:r w:rsidRPr="00651F65">
        <w:rPr>
          <w:rFonts w:ascii="Verdana" w:hAnsi="Verdana"/>
          <w:w w:val="95"/>
          <w:sz w:val="16"/>
          <w:szCs w:val="16"/>
          <w:lang w:val="es-CR"/>
        </w:rPr>
        <w:sym w:font="Symbol" w:char="F05D"/>
      </w:r>
      <w:r w:rsidRPr="00651F65">
        <w:rPr>
          <w:rFonts w:ascii="Verdana" w:hAnsi="Verdana"/>
          <w:w w:val="95"/>
          <w:sz w:val="16"/>
          <w:szCs w:val="16"/>
          <w:lang w:val="es-CR"/>
        </w:rPr>
        <w:t xml:space="preserve"> [por su] nombre, [y sabe que tiene] 38 años de edad, aproximadamente</w:t>
      </w:r>
      <w:r w:rsidR="0034756D">
        <w:rPr>
          <w:rFonts w:ascii="Verdana" w:hAnsi="Verdana"/>
          <w:w w:val="95"/>
          <w:sz w:val="16"/>
          <w:szCs w:val="16"/>
          <w:lang w:val="es-CR"/>
        </w:rPr>
        <w:t>[,]</w:t>
      </w:r>
      <w:r w:rsidRPr="00651F65">
        <w:rPr>
          <w:rFonts w:ascii="Verdana" w:hAnsi="Verdana"/>
          <w:w w:val="95"/>
          <w:sz w:val="16"/>
          <w:szCs w:val="16"/>
          <w:lang w:val="es-CR"/>
        </w:rPr>
        <w:t xml:space="preserve"> en virtud de que esta persona hace como un año acosaba a su hija, se dio cuenta de esta persona porque casi a diario llegaba a buscarla. En una ocasión su hija </w:t>
      </w:r>
      <w:r w:rsidRPr="00651F65">
        <w:rPr>
          <w:rFonts w:ascii="Verdana" w:hAnsi="Verdana"/>
          <w:w w:val="95"/>
          <w:sz w:val="16"/>
          <w:szCs w:val="16"/>
          <w:lang w:val="es-CR"/>
        </w:rPr>
        <w:sym w:font="Symbol" w:char="F05B"/>
      </w:r>
      <w:r w:rsidRPr="00651F65">
        <w:rPr>
          <w:rFonts w:ascii="Verdana" w:hAnsi="Verdana"/>
          <w:w w:val="95"/>
          <w:sz w:val="16"/>
          <w:szCs w:val="16"/>
          <w:lang w:val="es-CR"/>
        </w:rPr>
        <w:t>l</w:t>
      </w:r>
      <w:r w:rsidRPr="00651F65">
        <w:rPr>
          <w:rFonts w:ascii="Verdana" w:hAnsi="Verdana"/>
          <w:w w:val="95"/>
          <w:sz w:val="16"/>
          <w:szCs w:val="16"/>
          <w:lang w:val="es-CR"/>
        </w:rPr>
        <w:sym w:font="Symbol" w:char="F05D"/>
      </w:r>
      <w:r w:rsidRPr="00651F65">
        <w:rPr>
          <w:rFonts w:ascii="Verdana" w:hAnsi="Verdana"/>
          <w:w w:val="95"/>
          <w:sz w:val="16"/>
          <w:szCs w:val="16"/>
          <w:lang w:val="es-CR"/>
        </w:rPr>
        <w:t xml:space="preserve">e comentó </w:t>
      </w:r>
      <w:r w:rsidRPr="00651F65">
        <w:rPr>
          <w:rFonts w:ascii="Verdana" w:eastAsia="HiddenHorzOCR" w:hAnsi="Verdana" w:cs="HiddenHorzOCR"/>
          <w:w w:val="95"/>
          <w:sz w:val="16"/>
          <w:szCs w:val="16"/>
          <w:lang w:val="es-CR"/>
        </w:rPr>
        <w:t xml:space="preserve">cuando estaba en </w:t>
      </w:r>
      <w:r w:rsidRPr="00651F65">
        <w:rPr>
          <w:rFonts w:ascii="Verdana" w:hAnsi="Verdana"/>
          <w:w w:val="95"/>
          <w:sz w:val="16"/>
          <w:szCs w:val="16"/>
          <w:lang w:val="es-CR"/>
        </w:rPr>
        <w:t>vida que ella conoció a [esta persona] en una discoteca en la zona 1</w:t>
      </w:r>
      <w:r>
        <w:rPr>
          <w:rFonts w:ascii="Verdana" w:hAnsi="Verdana"/>
          <w:w w:val="95"/>
          <w:sz w:val="16"/>
          <w:szCs w:val="16"/>
          <w:lang w:val="es-CR"/>
        </w:rPr>
        <w:t>0</w:t>
      </w:r>
      <w:r w:rsidRPr="00651F65">
        <w:rPr>
          <w:rFonts w:ascii="Verdana" w:hAnsi="Verdana"/>
          <w:w w:val="95"/>
          <w:sz w:val="16"/>
          <w:szCs w:val="16"/>
          <w:lang w:val="es-CR"/>
        </w:rPr>
        <w:t>, por medio de unas amigas suyas</w:t>
      </w:r>
      <w:r w:rsidRPr="00651F65">
        <w:rPr>
          <w:rFonts w:ascii="Verdana" w:hAnsi="Verdana" w:cs="Arial"/>
          <w:w w:val="95"/>
          <w:sz w:val="16"/>
          <w:szCs w:val="16"/>
          <w:lang w:val="es-CR"/>
        </w:rPr>
        <w:t xml:space="preserve">. </w:t>
      </w:r>
      <w:r w:rsidRPr="00651F65">
        <w:rPr>
          <w:rFonts w:ascii="Verdana" w:hAnsi="Verdana"/>
          <w:w w:val="95"/>
          <w:sz w:val="16"/>
          <w:szCs w:val="16"/>
          <w:lang w:val="es-CR"/>
        </w:rPr>
        <w:t>Al dar</w:t>
      </w:r>
      <w:r w:rsidRPr="00651F65">
        <w:rPr>
          <w:rFonts w:ascii="Verdana" w:hAnsi="Verdana"/>
          <w:w w:val="95"/>
          <w:sz w:val="16"/>
          <w:szCs w:val="16"/>
          <w:lang w:val="es-CR"/>
        </w:rPr>
        <w:sym w:font="Symbol" w:char="F05B"/>
      </w:r>
      <w:r w:rsidRPr="00651F65">
        <w:rPr>
          <w:rFonts w:ascii="Verdana" w:hAnsi="Verdana"/>
          <w:w w:val="95"/>
          <w:sz w:val="16"/>
          <w:szCs w:val="16"/>
          <w:lang w:val="es-CR"/>
        </w:rPr>
        <w:t>se</w:t>
      </w:r>
      <w:r w:rsidRPr="00651F65">
        <w:rPr>
          <w:rFonts w:ascii="Verdana" w:hAnsi="Verdana"/>
          <w:w w:val="95"/>
          <w:sz w:val="16"/>
          <w:szCs w:val="16"/>
          <w:lang w:val="es-CR"/>
        </w:rPr>
        <w:sym w:font="Symbol" w:char="F05D"/>
      </w:r>
      <w:r w:rsidRPr="00651F65">
        <w:rPr>
          <w:rFonts w:ascii="Verdana" w:hAnsi="Verdana"/>
          <w:w w:val="95"/>
          <w:sz w:val="16"/>
          <w:szCs w:val="16"/>
          <w:lang w:val="es-CR"/>
        </w:rPr>
        <w:t xml:space="preserve"> cuenta que no llegaba su hija a la casa se fu</w:t>
      </w:r>
      <w:r w:rsidRPr="00651F65">
        <w:rPr>
          <w:rFonts w:ascii="Verdana" w:hAnsi="Verdana"/>
          <w:w w:val="95"/>
          <w:sz w:val="16"/>
          <w:szCs w:val="16"/>
          <w:lang w:val="es-CR"/>
        </w:rPr>
        <w:sym w:font="Symbol" w:char="F05B"/>
      </w:r>
      <w:r w:rsidRPr="00651F65">
        <w:rPr>
          <w:rFonts w:ascii="Verdana" w:hAnsi="Verdana"/>
          <w:w w:val="95"/>
          <w:sz w:val="16"/>
          <w:szCs w:val="16"/>
          <w:lang w:val="es-CR"/>
        </w:rPr>
        <w:t>e</w:t>
      </w:r>
      <w:r w:rsidRPr="00651F65">
        <w:rPr>
          <w:rFonts w:ascii="Verdana" w:hAnsi="Verdana"/>
          <w:w w:val="95"/>
          <w:sz w:val="16"/>
          <w:szCs w:val="16"/>
          <w:lang w:val="es-CR"/>
        </w:rPr>
        <w:sym w:font="Symbol" w:char="F05D"/>
      </w:r>
      <w:r w:rsidRPr="00651F65">
        <w:rPr>
          <w:rFonts w:ascii="Verdana" w:hAnsi="Verdana"/>
          <w:w w:val="95"/>
          <w:sz w:val="16"/>
          <w:szCs w:val="16"/>
          <w:lang w:val="es-CR"/>
        </w:rPr>
        <w:t xml:space="preserve"> nuevamente al almacén donde </w:t>
      </w:r>
      <w:r w:rsidRPr="00651F65">
        <w:rPr>
          <w:rFonts w:ascii="Verdana" w:eastAsia="HiddenHorzOCR" w:hAnsi="Verdana" w:cs="HiddenHorzOCR"/>
          <w:w w:val="95"/>
          <w:sz w:val="16"/>
          <w:szCs w:val="16"/>
          <w:lang w:val="es-CR"/>
        </w:rPr>
        <w:t xml:space="preserve">ella laboraba </w:t>
      </w:r>
      <w:r w:rsidRPr="00651F65">
        <w:rPr>
          <w:rFonts w:ascii="Verdana" w:hAnsi="Verdana"/>
          <w:w w:val="95"/>
          <w:sz w:val="16"/>
          <w:szCs w:val="16"/>
          <w:lang w:val="es-CR"/>
        </w:rPr>
        <w:t>donde fu</w:t>
      </w:r>
      <w:r w:rsidRPr="00651F65">
        <w:rPr>
          <w:rFonts w:ascii="Verdana" w:hAnsi="Verdana"/>
          <w:w w:val="95"/>
          <w:sz w:val="16"/>
          <w:szCs w:val="16"/>
          <w:lang w:val="es-CR"/>
        </w:rPr>
        <w:sym w:font="Symbol" w:char="F05B"/>
      </w:r>
      <w:r w:rsidRPr="00651F65">
        <w:rPr>
          <w:rFonts w:ascii="Verdana" w:hAnsi="Verdana"/>
          <w:w w:val="95"/>
          <w:sz w:val="16"/>
          <w:szCs w:val="16"/>
          <w:lang w:val="es-CR"/>
        </w:rPr>
        <w:t>e</w:t>
      </w:r>
      <w:r w:rsidRPr="00651F65">
        <w:rPr>
          <w:rFonts w:ascii="Verdana" w:hAnsi="Verdana"/>
          <w:w w:val="95"/>
          <w:sz w:val="16"/>
          <w:szCs w:val="16"/>
          <w:lang w:val="es-CR"/>
        </w:rPr>
        <w:sym w:font="Symbol" w:char="F05D"/>
      </w:r>
      <w:r w:rsidRPr="00651F65">
        <w:rPr>
          <w:rFonts w:ascii="Verdana" w:hAnsi="Verdana"/>
          <w:w w:val="95"/>
          <w:sz w:val="16"/>
          <w:szCs w:val="16"/>
          <w:lang w:val="es-CR"/>
        </w:rPr>
        <w:t xml:space="preserve"> atendida por una compañera de trabajo de María Isabel, al preguntarle a ella le indicó que como a eso de las 20:00 horas, del día 16</w:t>
      </w:r>
      <w:r w:rsidRPr="00315B30">
        <w:rPr>
          <w:rFonts w:ascii="Verdana" w:hAnsi="Verdana"/>
          <w:w w:val="95"/>
          <w:sz w:val="16"/>
          <w:szCs w:val="16"/>
          <w:lang w:val="es-CR"/>
        </w:rPr>
        <w:t>[(</w:t>
      </w:r>
      <w:r w:rsidRPr="00315B30">
        <w:rPr>
          <w:rFonts w:ascii="Verdana" w:hAnsi="Verdana"/>
          <w:i/>
          <w:w w:val="95"/>
          <w:sz w:val="16"/>
          <w:szCs w:val="16"/>
          <w:lang w:val="es-CR"/>
        </w:rPr>
        <w:t>sic</w:t>
      </w:r>
      <w:r w:rsidRPr="00315B30">
        <w:rPr>
          <w:rFonts w:ascii="Verdana" w:hAnsi="Verdana"/>
          <w:w w:val="95"/>
          <w:sz w:val="16"/>
          <w:szCs w:val="16"/>
          <w:lang w:val="es-CR"/>
        </w:rPr>
        <w:t>)]-12</w:t>
      </w:r>
      <w:r w:rsidRPr="00651F65">
        <w:rPr>
          <w:rFonts w:ascii="Verdana" w:hAnsi="Verdana"/>
          <w:w w:val="95"/>
          <w:sz w:val="16"/>
          <w:szCs w:val="16"/>
          <w:lang w:val="es-CR"/>
        </w:rPr>
        <w:t>-2001 llegó un individuo al referido almacén con el propósito de comprar una camisa el cual fue atendido por María Isabel pero lo que manifestó es que al parecer su hija lo conocía, también le comentó que en las afueras del almacén habían otros individuos desconocidos</w:t>
      </w:r>
      <w:r w:rsidR="00C11F32">
        <w:rPr>
          <w:rFonts w:ascii="Verdana" w:hAnsi="Verdana"/>
          <w:w w:val="95"/>
          <w:sz w:val="16"/>
          <w:szCs w:val="16"/>
          <w:lang w:val="es-CR"/>
        </w:rPr>
        <w:t xml:space="preserve"> según las características que [l]</w:t>
      </w:r>
      <w:r w:rsidRPr="00651F65">
        <w:rPr>
          <w:rFonts w:ascii="Verdana" w:hAnsi="Verdana"/>
          <w:w w:val="95"/>
          <w:sz w:val="16"/>
          <w:szCs w:val="16"/>
          <w:lang w:val="es-CR"/>
        </w:rPr>
        <w:t>e proporcionó [la compañera de trabajo de María Isabel] coincide con las características de [la persona de acosaba a María Isabel] por ese motivo es que [Rosa Elvira Franco] sospecha de dicho individuo</w:t>
      </w:r>
      <w:r w:rsidRPr="00651F65">
        <w:rPr>
          <w:rStyle w:val="Refdenotaalpie"/>
          <w:rFonts w:ascii="Verdana" w:hAnsi="Verdana"/>
          <w:w w:val="95"/>
          <w:sz w:val="16"/>
          <w:szCs w:val="16"/>
          <w:lang w:val="es-CR"/>
        </w:rPr>
        <w:footnoteReference w:id="119"/>
      </w:r>
      <w:r w:rsidRPr="00651F65">
        <w:rPr>
          <w:rFonts w:ascii="Verdana" w:hAnsi="Verdana"/>
          <w:w w:val="95"/>
          <w:sz w:val="16"/>
          <w:szCs w:val="16"/>
          <w:lang w:val="es-CR"/>
        </w:rPr>
        <w:t xml:space="preserve">. </w:t>
      </w:r>
    </w:p>
    <w:p w:rsidR="00DF15C3" w:rsidRPr="00247340" w:rsidRDefault="00DF15C3" w:rsidP="003F26FD">
      <w:pPr>
        <w:pStyle w:val="Prrafodelista"/>
        <w:spacing w:after="0" w:line="216" w:lineRule="auto"/>
        <w:ind w:left="1276" w:right="-174"/>
        <w:jc w:val="both"/>
        <w:rPr>
          <w:rFonts w:ascii="Verdana" w:hAnsi="Verdana"/>
          <w:b/>
          <w:w w:val="95"/>
          <w:sz w:val="16"/>
          <w:szCs w:val="16"/>
          <w:lang w:val="es-CR"/>
        </w:rPr>
      </w:pPr>
    </w:p>
    <w:p w:rsidR="00DF15C3" w:rsidRDefault="00622AF9" w:rsidP="003F26FD">
      <w:pPr>
        <w:pStyle w:val="Prrafodelista"/>
        <w:numPr>
          <w:ilvl w:val="1"/>
          <w:numId w:val="17"/>
        </w:numPr>
        <w:spacing w:after="0" w:line="216" w:lineRule="auto"/>
        <w:ind w:left="720" w:right="-174" w:firstLine="0"/>
        <w:jc w:val="both"/>
        <w:rPr>
          <w:rFonts w:ascii="Verdana" w:hAnsi="Verdana" w:cs="Calibri"/>
          <w:w w:val="95"/>
          <w:sz w:val="20"/>
          <w:szCs w:val="20"/>
          <w:lang w:val="es-CR"/>
        </w:rPr>
      </w:pPr>
      <w:r w:rsidRPr="00C11F32">
        <w:rPr>
          <w:rFonts w:ascii="Verdana" w:hAnsi="Verdana" w:cs="Calibri"/>
          <w:w w:val="95"/>
          <w:sz w:val="20"/>
          <w:szCs w:val="20"/>
          <w:lang w:val="es-CR"/>
        </w:rPr>
        <w:t>El 14 de enero de 2002</w:t>
      </w:r>
      <w:r w:rsidR="002440D3" w:rsidRPr="00C11F32">
        <w:rPr>
          <w:rFonts w:ascii="Verdana" w:hAnsi="Verdana" w:cs="Calibri"/>
          <w:w w:val="95"/>
          <w:sz w:val="20"/>
          <w:szCs w:val="20"/>
          <w:lang w:val="es-CR"/>
        </w:rPr>
        <w:t>, en la ampliación de la</w:t>
      </w:r>
      <w:r w:rsidR="00B855B4" w:rsidRPr="00C11F32">
        <w:rPr>
          <w:rFonts w:ascii="Verdana" w:hAnsi="Verdana" w:cs="Calibri"/>
          <w:w w:val="95"/>
          <w:sz w:val="20"/>
          <w:szCs w:val="20"/>
          <w:lang w:val="es-CR"/>
        </w:rPr>
        <w:t xml:space="preserve"> denuncia,</w:t>
      </w:r>
      <w:r w:rsidR="00DC5346" w:rsidRPr="003622B1">
        <w:rPr>
          <w:rFonts w:ascii="Verdana" w:hAnsi="Verdana" w:cs="Calibri"/>
          <w:w w:val="95"/>
          <w:sz w:val="20"/>
          <w:szCs w:val="20"/>
          <w:lang w:val="es-CR"/>
        </w:rPr>
        <w:t xml:space="preserve"> </w:t>
      </w:r>
      <w:r w:rsidR="00DC5346">
        <w:rPr>
          <w:rFonts w:ascii="Verdana" w:hAnsi="Verdana" w:cs="Calibri"/>
          <w:w w:val="95"/>
          <w:sz w:val="20"/>
          <w:szCs w:val="20"/>
          <w:lang w:val="es-CR"/>
        </w:rPr>
        <w:t>a</w:t>
      </w:r>
      <w:r w:rsidR="00DC5346" w:rsidRPr="003622B1">
        <w:rPr>
          <w:rFonts w:ascii="Verdana" w:hAnsi="Verdana" w:cs="Calibri"/>
          <w:w w:val="95"/>
          <w:sz w:val="20"/>
          <w:szCs w:val="20"/>
          <w:lang w:val="es-CR"/>
        </w:rPr>
        <w:t xml:space="preserve">gregó </w:t>
      </w:r>
      <w:r w:rsidR="00DF15C3" w:rsidRPr="003622B1">
        <w:rPr>
          <w:rFonts w:ascii="Verdana" w:hAnsi="Verdana" w:cs="Calibri"/>
          <w:w w:val="95"/>
          <w:sz w:val="20"/>
          <w:szCs w:val="20"/>
          <w:lang w:val="es-CR"/>
        </w:rPr>
        <w:t>que María Isabel habría tenido una relación de noviazgo con un joven, quien pertenecía a una mara y con quien su hija pensaba terminar la relación. La señora Franco relató que no sabía con cuál de los dos hombres de quienes ella sospechaba se habría ido su hija el día que desapareció. Además, refirió que sospechaba de una amiga de su hija, puesto que compañeras de trabajo de María Isabel le habían dicho que la había llamado el día que desapareció</w:t>
      </w:r>
      <w:r w:rsidR="00DF15C3" w:rsidRPr="003D4147">
        <w:rPr>
          <w:rFonts w:ascii="Verdana" w:hAnsi="Verdana"/>
          <w:sz w:val="20"/>
          <w:szCs w:val="20"/>
          <w:vertAlign w:val="superscript"/>
        </w:rPr>
        <w:footnoteReference w:id="120"/>
      </w:r>
      <w:r w:rsidR="00DF15C3" w:rsidRPr="003622B1">
        <w:rPr>
          <w:rFonts w:ascii="Verdana" w:hAnsi="Verdana" w:cs="Calibri"/>
          <w:w w:val="95"/>
          <w:sz w:val="20"/>
          <w:szCs w:val="20"/>
          <w:lang w:val="es-CR"/>
        </w:rPr>
        <w:t>, y</w:t>
      </w:r>
    </w:p>
    <w:p w:rsidR="00DF15C3" w:rsidRDefault="00DF15C3" w:rsidP="003F26FD">
      <w:pPr>
        <w:pStyle w:val="Prrafodelista"/>
        <w:numPr>
          <w:ilvl w:val="1"/>
          <w:numId w:val="17"/>
        </w:numPr>
        <w:spacing w:after="0" w:line="216" w:lineRule="auto"/>
        <w:ind w:left="720" w:right="-174" w:firstLine="0"/>
        <w:jc w:val="both"/>
        <w:rPr>
          <w:rFonts w:ascii="Verdana" w:hAnsi="Verdana" w:cs="Calibri"/>
          <w:w w:val="95"/>
          <w:sz w:val="20"/>
          <w:lang w:val="es-CR"/>
        </w:rPr>
      </w:pPr>
      <w:r w:rsidRPr="003622B1">
        <w:rPr>
          <w:rFonts w:ascii="Verdana" w:hAnsi="Verdana" w:cs="Calibri"/>
          <w:w w:val="95"/>
          <w:sz w:val="20"/>
          <w:szCs w:val="20"/>
          <w:lang w:val="es-CR"/>
        </w:rPr>
        <w:t>en la audiencia pública ante la Corte, celebrada el 15 de mayo de 2013, mencionó por primera vez que la última persona que vio con vida a su hija fue “un compañero [de trabajo de] ella [en el almacén], que vio cuando se la llevaron, la metieron a la fuerza en un carro”. También manifestó que al mediodía del 17 de diciembre de 2001 fue a la sección de desaparecidos de la PNC, con la intención de denunciar la desaparición de su hija. No obstante, según expresó, los funcionarios estatales no le permitieron formalizar su denuncia, le dijeron que regresara horas después, y luego manifestaron que no podían atenderla, porque debía de esperar de veinticuatro a setenta y dos horas para poner la denuncia</w:t>
      </w:r>
      <w:r w:rsidR="002440D3" w:rsidRPr="00D81C57">
        <w:rPr>
          <w:rFonts w:ascii="Verdana" w:hAnsi="Verdana"/>
          <w:sz w:val="20"/>
          <w:szCs w:val="20"/>
          <w:vertAlign w:val="superscript"/>
        </w:rPr>
        <w:footnoteReference w:id="121"/>
      </w:r>
      <w:r w:rsidRPr="003622B1">
        <w:rPr>
          <w:rFonts w:ascii="Verdana" w:hAnsi="Verdana" w:cs="Calibri"/>
          <w:w w:val="95"/>
          <w:sz w:val="20"/>
          <w:szCs w:val="20"/>
          <w:lang w:val="es-CR"/>
        </w:rPr>
        <w:t xml:space="preserve">. Dichos aspectos no se encuentran dentro del marco fáctico del Informe de Fondo. </w:t>
      </w:r>
    </w:p>
    <w:p w:rsidR="00DF15C3" w:rsidRPr="00992E1E" w:rsidRDefault="00DF15C3" w:rsidP="003F26FD">
      <w:pPr>
        <w:tabs>
          <w:tab w:val="left" w:pos="993"/>
        </w:tabs>
        <w:spacing w:after="0" w:line="216" w:lineRule="auto"/>
        <w:ind w:right="-174"/>
        <w:jc w:val="both"/>
        <w:rPr>
          <w:rFonts w:ascii="Verdana" w:hAnsi="Verdana"/>
          <w:b/>
          <w:w w:val="95"/>
          <w:sz w:val="20"/>
          <w:szCs w:val="20"/>
          <w:lang w:val="es-CR"/>
        </w:rPr>
      </w:pPr>
    </w:p>
    <w:p w:rsidR="00DF15C3" w:rsidRPr="00992E1E" w:rsidRDefault="00DF15C3" w:rsidP="003F26FD">
      <w:pPr>
        <w:pStyle w:val="Prrafodelista"/>
        <w:numPr>
          <w:ilvl w:val="0"/>
          <w:numId w:val="17"/>
        </w:numPr>
        <w:spacing w:after="0" w:line="216" w:lineRule="auto"/>
        <w:ind w:left="-142" w:right="-174" w:firstLine="0"/>
        <w:jc w:val="both"/>
        <w:rPr>
          <w:rFonts w:ascii="Verdana" w:hAnsi="Verdana"/>
          <w:b/>
          <w:w w:val="95"/>
          <w:sz w:val="20"/>
          <w:szCs w:val="20"/>
          <w:lang w:val="es-CR"/>
        </w:rPr>
      </w:pPr>
      <w:r w:rsidRPr="003622B1">
        <w:rPr>
          <w:rFonts w:ascii="Verdana" w:hAnsi="Verdana"/>
          <w:b/>
          <w:i/>
          <w:w w:val="95"/>
          <w:sz w:val="20"/>
          <w:szCs w:val="20"/>
          <w:lang w:val="es-CR"/>
        </w:rPr>
        <w:t>Inacción estatal.-</w:t>
      </w:r>
      <w:r w:rsidRPr="003622B1">
        <w:rPr>
          <w:rFonts w:ascii="Verdana" w:hAnsi="Verdana"/>
          <w:b/>
          <w:w w:val="95"/>
          <w:sz w:val="20"/>
          <w:szCs w:val="20"/>
          <w:lang w:val="es-CR"/>
        </w:rPr>
        <w:t xml:space="preserve"> </w:t>
      </w:r>
      <w:r w:rsidRPr="003622B1">
        <w:rPr>
          <w:rFonts w:ascii="Verdana" w:hAnsi="Verdana"/>
          <w:w w:val="95"/>
          <w:sz w:val="20"/>
          <w:szCs w:val="20"/>
          <w:lang w:val="es-CR"/>
        </w:rPr>
        <w:t xml:space="preserve">No hay constancias en los expedientes aportados por las partes que dependencias o funcionarios estatales hayan desplegado esfuerzos para buscar a María Isabel Veliz Franco el 17 de diciembre de 2001. En particular, no consta que ello se efectuara </w:t>
      </w:r>
      <w:r w:rsidRPr="003622B1">
        <w:rPr>
          <w:rFonts w:ascii="Verdana" w:hAnsi="Verdana"/>
          <w:w w:val="95"/>
          <w:sz w:val="20"/>
          <w:szCs w:val="20"/>
          <w:lang w:val="es-CR"/>
        </w:rPr>
        <w:lastRenderedPageBreak/>
        <w:t xml:space="preserve">luego del momento en que la señora Franco formalizó la denuncia, ese día a las 16:00 horas del 17 de diciembre de 2001. Tampoco surge del acervo probatorio que al día siguiente se realizaran acciones distintas de las efectuadas con motivo de la noticia sobre el hallazgo de un cadáver. La única constancia que aparece en el expediente es la denuncia que presentó Rosa Elvira Franco el 17 de diciembre de 2001 ante el Servicio de Investigación de la PNC. </w:t>
      </w:r>
    </w:p>
    <w:p w:rsidR="00DF15C3" w:rsidRPr="00992E1E" w:rsidRDefault="00DF15C3" w:rsidP="003F26FD">
      <w:pPr>
        <w:pStyle w:val="Prrafodelista"/>
        <w:spacing w:after="0" w:line="216" w:lineRule="auto"/>
        <w:ind w:left="-142" w:right="-174"/>
        <w:jc w:val="both"/>
        <w:rPr>
          <w:rFonts w:ascii="Verdana" w:hAnsi="Verdana"/>
          <w:w w:val="95"/>
          <w:sz w:val="20"/>
          <w:szCs w:val="20"/>
          <w:lang w:val="es-CR"/>
        </w:rPr>
      </w:pPr>
    </w:p>
    <w:p w:rsidR="00DF15C3" w:rsidRPr="00315B30" w:rsidRDefault="00DF15C3" w:rsidP="003F26FD">
      <w:pPr>
        <w:pStyle w:val="Prrafodelista"/>
        <w:numPr>
          <w:ilvl w:val="0"/>
          <w:numId w:val="17"/>
        </w:numPr>
        <w:autoSpaceDE w:val="0"/>
        <w:autoSpaceDN w:val="0"/>
        <w:adjustRightInd w:val="0"/>
        <w:spacing w:after="0" w:line="216" w:lineRule="auto"/>
        <w:ind w:left="-142" w:right="-174" w:firstLine="0"/>
        <w:jc w:val="both"/>
        <w:rPr>
          <w:rFonts w:ascii="Verdana" w:hAnsi="Verdana" w:cs="Arial"/>
          <w:w w:val="95"/>
          <w:sz w:val="20"/>
          <w:szCs w:val="20"/>
          <w:lang w:val="es-CR"/>
        </w:rPr>
      </w:pPr>
      <w:r w:rsidRPr="00FB575D">
        <w:rPr>
          <w:rFonts w:ascii="Verdana" w:hAnsi="Verdana"/>
          <w:b/>
          <w:i/>
          <w:w w:val="95"/>
          <w:sz w:val="20"/>
          <w:szCs w:val="20"/>
          <w:lang w:val="es-CR"/>
        </w:rPr>
        <w:t>Aparición del cadáver.-</w:t>
      </w:r>
      <w:r w:rsidRPr="00FB575D">
        <w:rPr>
          <w:rFonts w:ascii="Verdana" w:hAnsi="Verdana"/>
          <w:w w:val="95"/>
          <w:sz w:val="20"/>
          <w:szCs w:val="20"/>
          <w:lang w:val="es-CR"/>
        </w:rPr>
        <w:t xml:space="preserve"> </w:t>
      </w:r>
      <w:r w:rsidR="00FB575D" w:rsidRPr="00FB575D">
        <w:rPr>
          <w:rFonts w:ascii="Verdana" w:hAnsi="Verdana"/>
          <w:w w:val="95"/>
          <w:sz w:val="20"/>
          <w:szCs w:val="20"/>
          <w:lang w:val="es-CR"/>
        </w:rPr>
        <w:t>El 18 de diciembre de 2001 la operadora de turno recibió una llamada anónima, en la cual se indicó que había un cadáver en la 21 avenida frente 4-48, zona 8 de Mixco, San Cristóbal II, y efectuó aviso mediante</w:t>
      </w:r>
      <w:r w:rsidR="00FB575D" w:rsidRPr="00FB575D">
        <w:rPr>
          <w:rFonts w:ascii="Verdana" w:hAnsi="Verdana"/>
          <w:b/>
          <w:w w:val="95"/>
          <w:sz w:val="20"/>
          <w:szCs w:val="20"/>
          <w:lang w:val="es-CR"/>
        </w:rPr>
        <w:t xml:space="preserve"> </w:t>
      </w:r>
      <w:r w:rsidR="00FB575D" w:rsidRPr="00315B30">
        <w:rPr>
          <w:rFonts w:ascii="Verdana" w:hAnsi="Verdana"/>
          <w:w w:val="95"/>
          <w:sz w:val="20"/>
          <w:szCs w:val="20"/>
          <w:lang w:val="es-CR"/>
        </w:rPr>
        <w:t>la Planta Central de Transmisiones de la Comisaría Dieciséis para que acudieran las autoridades correspondientes al lugar. A las 14:00 horas los agentes policiales se presentaron en tal dirección, y a las 14:15 horas encontraron entre la maleza de un predio baldío, ubicado en la dirección anteriormente citada, el cuerpo de una mujer; por lo que procedieron a llamar a las autoridades del Ministerio Público. Dichas autoridades se constituyeron en el lugar a las 14:30 hora</w:t>
      </w:r>
      <w:r w:rsidR="00C63747">
        <w:rPr>
          <w:rFonts w:ascii="Verdana" w:hAnsi="Verdana"/>
          <w:w w:val="95"/>
          <w:sz w:val="20"/>
          <w:szCs w:val="20"/>
          <w:lang w:val="es-CR"/>
        </w:rPr>
        <w:t>s, y posteriormente a las 15:20</w:t>
      </w:r>
      <w:r w:rsidR="00FB575D" w:rsidRPr="00315B30">
        <w:rPr>
          <w:rFonts w:ascii="Verdana" w:hAnsi="Verdana"/>
          <w:w w:val="95"/>
          <w:sz w:val="20"/>
          <w:szCs w:val="20"/>
          <w:lang w:val="es-CR"/>
        </w:rPr>
        <w:t xml:space="preserve"> horas la Unidad I-005 de Inspecciones Oculares se apersonó al lugar para hacer los procedimientos correspondientes, finalizando dicha diligencia con el traslado del cadáver a la morgue a bordo de la unidad policial No. 16-045 a las 15:45 horas</w:t>
      </w:r>
      <w:r w:rsidR="00DE0853">
        <w:rPr>
          <w:rFonts w:ascii="Verdana" w:hAnsi="Verdana"/>
          <w:w w:val="95"/>
          <w:sz w:val="20"/>
          <w:szCs w:val="20"/>
          <w:lang w:val="es-CR"/>
        </w:rPr>
        <w:t>, de conformidad con lo manifestado por los agentes estatales</w:t>
      </w:r>
      <w:r w:rsidR="0063373E" w:rsidRPr="00315B30">
        <w:rPr>
          <w:rStyle w:val="Refdenotaalpie"/>
          <w:rFonts w:ascii="Verdana" w:hAnsi="Verdana"/>
          <w:w w:val="95"/>
          <w:sz w:val="20"/>
          <w:szCs w:val="20"/>
          <w:lang w:val="es-CR"/>
        </w:rPr>
        <w:footnoteReference w:id="122"/>
      </w:r>
      <w:r w:rsidR="0063373E" w:rsidRPr="00315B30">
        <w:rPr>
          <w:rFonts w:ascii="Verdana" w:hAnsi="Verdana"/>
          <w:w w:val="95"/>
          <w:sz w:val="20"/>
          <w:szCs w:val="20"/>
          <w:lang w:val="es-CR"/>
        </w:rPr>
        <w:t>.</w:t>
      </w:r>
    </w:p>
    <w:p w:rsidR="00DF15C3" w:rsidRPr="004F085C" w:rsidRDefault="00DF15C3" w:rsidP="003F26FD">
      <w:pPr>
        <w:pStyle w:val="Prrafodelista"/>
        <w:autoSpaceDE w:val="0"/>
        <w:autoSpaceDN w:val="0"/>
        <w:adjustRightInd w:val="0"/>
        <w:spacing w:after="0" w:line="216" w:lineRule="auto"/>
        <w:ind w:left="-142" w:right="-174"/>
        <w:jc w:val="both"/>
        <w:rPr>
          <w:rFonts w:ascii="Verdana" w:hAnsi="Verdana" w:cs="Arial"/>
          <w:b/>
          <w:w w:val="95"/>
          <w:sz w:val="20"/>
          <w:szCs w:val="20"/>
          <w:u w:val="dotted"/>
          <w:lang w:val="es-CR"/>
        </w:rPr>
      </w:pPr>
    </w:p>
    <w:p w:rsidR="00DF15C3" w:rsidRPr="002B1610" w:rsidRDefault="00DF15C3" w:rsidP="003F26FD">
      <w:pPr>
        <w:pStyle w:val="Prrafodelista"/>
        <w:numPr>
          <w:ilvl w:val="0"/>
          <w:numId w:val="17"/>
        </w:numPr>
        <w:autoSpaceDE w:val="0"/>
        <w:autoSpaceDN w:val="0"/>
        <w:adjustRightInd w:val="0"/>
        <w:spacing w:after="0" w:line="216" w:lineRule="auto"/>
        <w:ind w:left="-142" w:right="-174" w:firstLine="0"/>
        <w:jc w:val="both"/>
        <w:rPr>
          <w:rFonts w:ascii="Verdana" w:hAnsi="Verdana" w:cs="Arial"/>
          <w:b/>
          <w:w w:val="95"/>
          <w:sz w:val="20"/>
          <w:szCs w:val="20"/>
          <w:u w:val="dotted"/>
          <w:lang w:val="es-CR"/>
        </w:rPr>
      </w:pPr>
      <w:r w:rsidRPr="004F085C">
        <w:rPr>
          <w:rFonts w:ascii="Verdana" w:hAnsi="Verdana"/>
          <w:b/>
          <w:i/>
          <w:w w:val="95"/>
          <w:sz w:val="20"/>
          <w:szCs w:val="20"/>
          <w:lang w:val="es-CR"/>
        </w:rPr>
        <w:t>Levantamiento del cadáver.-</w:t>
      </w:r>
      <w:r w:rsidRPr="00315B30">
        <w:rPr>
          <w:rFonts w:ascii="Verdana" w:hAnsi="Verdana"/>
          <w:w w:val="95"/>
          <w:sz w:val="20"/>
          <w:szCs w:val="20"/>
          <w:lang w:val="es-CR"/>
        </w:rPr>
        <w:t xml:space="preserve"> A las 14:</w:t>
      </w:r>
      <w:r w:rsidR="00F77273" w:rsidRPr="00315B30">
        <w:rPr>
          <w:rFonts w:ascii="Verdana" w:hAnsi="Verdana"/>
          <w:w w:val="95"/>
          <w:sz w:val="20"/>
          <w:szCs w:val="20"/>
          <w:lang w:val="es-CR"/>
        </w:rPr>
        <w:t>30</w:t>
      </w:r>
      <w:r w:rsidR="00774733" w:rsidRPr="00315B30">
        <w:rPr>
          <w:rFonts w:ascii="Verdana" w:hAnsi="Verdana"/>
          <w:w w:val="95"/>
          <w:sz w:val="20"/>
          <w:szCs w:val="20"/>
          <w:lang w:val="es-CR"/>
        </w:rPr>
        <w:t xml:space="preserve"> </w:t>
      </w:r>
      <w:r w:rsidR="00C11F32" w:rsidRPr="00315B30">
        <w:rPr>
          <w:rFonts w:ascii="Verdana" w:hAnsi="Verdana"/>
          <w:w w:val="95"/>
          <w:sz w:val="20"/>
          <w:szCs w:val="20"/>
          <w:lang w:val="es-CR"/>
        </w:rPr>
        <w:t xml:space="preserve">horas del mismo 18 de diciembre de 2001 </w:t>
      </w:r>
      <w:r w:rsidRPr="00315B30">
        <w:rPr>
          <w:rFonts w:ascii="Verdana" w:hAnsi="Verdana"/>
          <w:w w:val="95"/>
          <w:sz w:val="20"/>
          <w:szCs w:val="20"/>
          <w:lang w:val="es-CR"/>
        </w:rPr>
        <w:t>llegó al lugar la Auxiliar Fiscal, quien realizó el levantamiento del cadáver,</w:t>
      </w:r>
      <w:r w:rsidR="00774733" w:rsidRPr="00315B30">
        <w:rPr>
          <w:rFonts w:ascii="Verdana" w:hAnsi="Verdana"/>
          <w:w w:val="95"/>
          <w:sz w:val="20"/>
          <w:szCs w:val="20"/>
          <w:lang w:val="es-CR"/>
        </w:rPr>
        <w:t xml:space="preserve"> </w:t>
      </w:r>
      <w:r w:rsidR="00F77273" w:rsidRPr="00315B30">
        <w:rPr>
          <w:rFonts w:ascii="Verdana" w:hAnsi="Verdana"/>
          <w:w w:val="95"/>
          <w:sz w:val="20"/>
          <w:szCs w:val="20"/>
          <w:lang w:val="es-CR"/>
        </w:rPr>
        <w:t xml:space="preserve">y a las 14:45 horas se procedió a la </w:t>
      </w:r>
      <w:r w:rsidR="00A02F6B" w:rsidRPr="00315B30">
        <w:rPr>
          <w:rFonts w:ascii="Verdana" w:hAnsi="Verdana"/>
          <w:w w:val="95"/>
          <w:sz w:val="20"/>
          <w:szCs w:val="20"/>
          <w:lang w:val="es-CR"/>
        </w:rPr>
        <w:t xml:space="preserve">identificación </w:t>
      </w:r>
      <w:r w:rsidR="00F77273" w:rsidRPr="00315B30">
        <w:rPr>
          <w:rFonts w:ascii="Verdana" w:hAnsi="Verdana"/>
          <w:w w:val="95"/>
          <w:sz w:val="20"/>
          <w:szCs w:val="20"/>
          <w:lang w:val="es-CR"/>
        </w:rPr>
        <w:t>del cadáver,</w:t>
      </w:r>
      <w:r w:rsidR="000355DF" w:rsidRPr="00315B30">
        <w:rPr>
          <w:rFonts w:ascii="Verdana" w:hAnsi="Verdana"/>
          <w:w w:val="95"/>
          <w:sz w:val="20"/>
          <w:szCs w:val="20"/>
          <w:lang w:val="es-CR"/>
        </w:rPr>
        <w:t xml:space="preserve"> </w:t>
      </w:r>
      <w:r w:rsidRPr="00315B30">
        <w:rPr>
          <w:rFonts w:ascii="Verdana" w:hAnsi="Verdana"/>
          <w:w w:val="95"/>
          <w:sz w:val="20"/>
          <w:szCs w:val="20"/>
          <w:lang w:val="es-CR"/>
        </w:rPr>
        <w:t>el cual presentaba signos de violencia constatados por las autoridades intervinientes (</w:t>
      </w:r>
      <w:r w:rsidRPr="00315B30">
        <w:rPr>
          <w:rFonts w:ascii="Verdana" w:hAnsi="Verdana"/>
          <w:i/>
          <w:w w:val="95"/>
          <w:sz w:val="20"/>
          <w:szCs w:val="20"/>
          <w:lang w:val="es-CR"/>
        </w:rPr>
        <w:t>infra</w:t>
      </w:r>
      <w:r w:rsidRPr="00315B30">
        <w:rPr>
          <w:rFonts w:ascii="Verdana" w:hAnsi="Verdana"/>
          <w:w w:val="95"/>
          <w:sz w:val="20"/>
          <w:szCs w:val="20"/>
          <w:lang w:val="es-CR"/>
        </w:rPr>
        <w:t xml:space="preserve"> párr. </w:t>
      </w:r>
      <w:r w:rsidR="00B70944" w:rsidRPr="00315B30">
        <w:rPr>
          <w:rFonts w:ascii="Verdana" w:hAnsi="Verdana"/>
          <w:w w:val="95"/>
          <w:sz w:val="20"/>
          <w:szCs w:val="20"/>
          <w:lang w:val="es-CR"/>
        </w:rPr>
        <w:t>99</w:t>
      </w:r>
      <w:r w:rsidR="00B566B8" w:rsidRPr="00315B30">
        <w:rPr>
          <w:rFonts w:ascii="Verdana" w:hAnsi="Verdana"/>
          <w:w w:val="95"/>
          <w:sz w:val="20"/>
          <w:szCs w:val="20"/>
          <w:lang w:val="es-CR"/>
        </w:rPr>
        <w:t xml:space="preserve">). </w:t>
      </w:r>
      <w:r w:rsidRPr="00315B30">
        <w:rPr>
          <w:rFonts w:ascii="Verdana" w:hAnsi="Verdana"/>
          <w:w w:val="95"/>
          <w:sz w:val="20"/>
          <w:szCs w:val="20"/>
          <w:lang w:val="es-CR"/>
        </w:rPr>
        <w:t>El cuerpo no fue inmediatamente identificado, sino nominado como “XX”, porque no se encontró documento de identidad</w:t>
      </w:r>
      <w:r w:rsidRPr="00315B30">
        <w:rPr>
          <w:rStyle w:val="Refdenotaalpie"/>
          <w:rFonts w:ascii="Verdana" w:hAnsi="Verdana"/>
          <w:w w:val="95"/>
          <w:sz w:val="20"/>
          <w:szCs w:val="20"/>
          <w:lang w:val="es-CR"/>
        </w:rPr>
        <w:footnoteReference w:id="123"/>
      </w:r>
      <w:r w:rsidRPr="00315B30">
        <w:rPr>
          <w:rFonts w:ascii="Verdana" w:hAnsi="Verdana"/>
          <w:w w:val="95"/>
          <w:sz w:val="20"/>
          <w:szCs w:val="20"/>
          <w:lang w:val="es-CR"/>
        </w:rPr>
        <w:t xml:space="preserve">. En el </w:t>
      </w:r>
      <w:r w:rsidR="00F15CBE" w:rsidRPr="00315B30">
        <w:rPr>
          <w:rFonts w:ascii="Verdana" w:hAnsi="Verdana"/>
          <w:w w:val="95"/>
          <w:sz w:val="20"/>
          <w:szCs w:val="20"/>
          <w:lang w:val="es-CR"/>
        </w:rPr>
        <w:t>acta de levantamiento de cadáver</w:t>
      </w:r>
      <w:r w:rsidRPr="00315B30">
        <w:rPr>
          <w:rFonts w:ascii="Verdana" w:hAnsi="Verdana"/>
          <w:w w:val="95"/>
          <w:sz w:val="20"/>
          <w:szCs w:val="20"/>
          <w:lang w:val="es-CR"/>
        </w:rPr>
        <w:t xml:space="preserve"> </w:t>
      </w:r>
      <w:r w:rsidR="00F77273" w:rsidRPr="00315B30">
        <w:rPr>
          <w:rFonts w:ascii="Verdana" w:hAnsi="Verdana"/>
          <w:w w:val="95"/>
          <w:sz w:val="20"/>
          <w:szCs w:val="20"/>
          <w:lang w:val="es-CR"/>
        </w:rPr>
        <w:t>realizada por</w:t>
      </w:r>
      <w:r w:rsidR="00A93B1C" w:rsidRPr="00315B30">
        <w:rPr>
          <w:rFonts w:ascii="Verdana" w:hAnsi="Verdana"/>
          <w:w w:val="95"/>
          <w:sz w:val="20"/>
          <w:szCs w:val="20"/>
          <w:lang w:val="es-CR"/>
        </w:rPr>
        <w:t xml:space="preserve"> </w:t>
      </w:r>
      <w:r w:rsidRPr="00315B30">
        <w:rPr>
          <w:rFonts w:ascii="Verdana" w:hAnsi="Verdana"/>
          <w:w w:val="95"/>
          <w:sz w:val="20"/>
          <w:szCs w:val="20"/>
          <w:lang w:val="es-CR"/>
        </w:rPr>
        <w:t>la Auxiliar Fiscal</w:t>
      </w:r>
      <w:r w:rsidR="00466C72" w:rsidRPr="00315B30">
        <w:rPr>
          <w:rFonts w:ascii="Verdana" w:hAnsi="Verdana"/>
          <w:w w:val="95"/>
          <w:sz w:val="20"/>
          <w:szCs w:val="20"/>
          <w:lang w:val="es-CR"/>
        </w:rPr>
        <w:t xml:space="preserve">, </w:t>
      </w:r>
      <w:r w:rsidR="00F77273" w:rsidRPr="00315B30">
        <w:rPr>
          <w:rFonts w:ascii="Verdana" w:hAnsi="Verdana"/>
          <w:w w:val="95"/>
          <w:sz w:val="20"/>
          <w:szCs w:val="20"/>
          <w:lang w:val="es-CR"/>
        </w:rPr>
        <w:t>así como en el informe de los agentes de la PNC presentes en el lugar del hallazgo se</w:t>
      </w:r>
      <w:r w:rsidRPr="00315B30">
        <w:rPr>
          <w:rFonts w:ascii="Verdana" w:hAnsi="Verdana"/>
          <w:w w:val="95"/>
          <w:sz w:val="20"/>
          <w:szCs w:val="20"/>
          <w:lang w:val="es-CR"/>
        </w:rPr>
        <w:t xml:space="preserve"> señaló </w:t>
      </w:r>
      <w:r w:rsidRPr="00315B30">
        <w:rPr>
          <w:rFonts w:ascii="Verdana" w:hAnsi="Verdana" w:cs="Arial"/>
          <w:w w:val="95"/>
          <w:sz w:val="20"/>
          <w:szCs w:val="20"/>
          <w:lang w:val="es-CR"/>
        </w:rPr>
        <w:t>que el cuerpo fue trasladado por una unidad de la PNC, y la orden de necropsia fue entregada a un agente de dicha institución</w:t>
      </w:r>
      <w:r w:rsidR="00466C72" w:rsidRPr="00315B30">
        <w:rPr>
          <w:rFonts w:ascii="Verdana" w:hAnsi="Verdana" w:cs="Arial"/>
          <w:w w:val="95"/>
          <w:sz w:val="20"/>
          <w:szCs w:val="20"/>
          <w:lang w:val="es-CR"/>
        </w:rPr>
        <w:t xml:space="preserve">, </w:t>
      </w:r>
      <w:r w:rsidR="00F77273" w:rsidRPr="00315B30">
        <w:rPr>
          <w:rFonts w:ascii="Verdana" w:hAnsi="Verdana" w:cs="Arial"/>
          <w:w w:val="95"/>
          <w:sz w:val="20"/>
          <w:szCs w:val="20"/>
          <w:lang w:val="es-CR"/>
        </w:rPr>
        <w:t>terminando dicha diligencia a las 15:45 horas, mientras que en la Inspección Ocular de 18 de diciembre de 2001, se indica la finalización de la misma a las 16:15 horas</w:t>
      </w:r>
      <w:r w:rsidR="00A93B1C" w:rsidRPr="00315B30">
        <w:rPr>
          <w:rStyle w:val="Refdenotaalpie"/>
          <w:rFonts w:ascii="Verdana" w:hAnsi="Verdana" w:cs="Arial"/>
          <w:w w:val="95"/>
          <w:sz w:val="20"/>
          <w:szCs w:val="20"/>
          <w:lang w:val="es-CR"/>
        </w:rPr>
        <w:footnoteReference w:id="124"/>
      </w:r>
      <w:r w:rsidRPr="00315B30">
        <w:rPr>
          <w:rFonts w:ascii="Verdana" w:hAnsi="Verdana" w:cs="Arial"/>
          <w:w w:val="95"/>
          <w:sz w:val="20"/>
          <w:szCs w:val="20"/>
          <w:lang w:val="es-CR"/>
        </w:rPr>
        <w:t>.</w:t>
      </w:r>
    </w:p>
    <w:p w:rsidR="00DF15C3" w:rsidRPr="002B1610" w:rsidRDefault="00DF15C3" w:rsidP="003F26FD">
      <w:pPr>
        <w:autoSpaceDE w:val="0"/>
        <w:autoSpaceDN w:val="0"/>
        <w:adjustRightInd w:val="0"/>
        <w:spacing w:after="0" w:line="216" w:lineRule="auto"/>
        <w:ind w:right="-174"/>
        <w:jc w:val="both"/>
        <w:rPr>
          <w:rFonts w:ascii="Verdana" w:hAnsi="Verdana" w:cs="Arial"/>
          <w:b/>
          <w:strike/>
          <w:w w:val="95"/>
          <w:sz w:val="16"/>
          <w:szCs w:val="16"/>
          <w:lang w:val="es-CR"/>
        </w:rPr>
      </w:pPr>
    </w:p>
    <w:p w:rsidR="00DF15C3" w:rsidRPr="00651F65" w:rsidRDefault="00DF15C3" w:rsidP="003F26FD">
      <w:pPr>
        <w:pStyle w:val="Prrafodelista"/>
        <w:numPr>
          <w:ilvl w:val="0"/>
          <w:numId w:val="17"/>
        </w:numPr>
        <w:autoSpaceDE w:val="0"/>
        <w:autoSpaceDN w:val="0"/>
        <w:adjustRightInd w:val="0"/>
        <w:spacing w:after="0" w:line="216" w:lineRule="auto"/>
        <w:ind w:left="-142" w:right="-174" w:firstLine="0"/>
        <w:jc w:val="both"/>
        <w:rPr>
          <w:rFonts w:ascii="Verdana" w:hAnsi="Verdana"/>
          <w:w w:val="95"/>
          <w:sz w:val="20"/>
          <w:szCs w:val="20"/>
          <w:lang w:val="es-CR"/>
        </w:rPr>
      </w:pPr>
      <w:r>
        <w:rPr>
          <w:rFonts w:ascii="Verdana" w:hAnsi="Verdana" w:cs="Arial"/>
          <w:b/>
          <w:i/>
          <w:w w:val="95"/>
          <w:sz w:val="20"/>
          <w:szCs w:val="20"/>
          <w:lang w:val="es-CR"/>
        </w:rPr>
        <w:t>Identificación del cadáver.</w:t>
      </w:r>
      <w:r w:rsidR="000355DF">
        <w:rPr>
          <w:rFonts w:ascii="Verdana" w:hAnsi="Verdana" w:cs="Arial"/>
          <w:b/>
          <w:i/>
          <w:w w:val="95"/>
          <w:sz w:val="20"/>
          <w:szCs w:val="20"/>
          <w:lang w:val="es-CR"/>
        </w:rPr>
        <w:t>-</w:t>
      </w:r>
      <w:r w:rsidRPr="00497E73">
        <w:rPr>
          <w:rFonts w:ascii="Verdana" w:hAnsi="Verdana" w:cs="Arial"/>
          <w:b/>
          <w:w w:val="95"/>
          <w:sz w:val="20"/>
          <w:szCs w:val="20"/>
          <w:lang w:val="es-CR"/>
        </w:rPr>
        <w:t xml:space="preserve"> </w:t>
      </w:r>
      <w:r w:rsidRPr="00651F65">
        <w:rPr>
          <w:rFonts w:ascii="Verdana" w:hAnsi="Verdana"/>
          <w:w w:val="95"/>
          <w:sz w:val="20"/>
          <w:szCs w:val="20"/>
          <w:lang w:val="es-CR"/>
        </w:rPr>
        <w:t>El 18 de diciembre de 2001 la madre de María Isabel</w:t>
      </w:r>
      <w:r w:rsidR="00DD70DA">
        <w:rPr>
          <w:rFonts w:ascii="Verdana" w:hAnsi="Verdana"/>
          <w:w w:val="95"/>
          <w:sz w:val="20"/>
          <w:szCs w:val="20"/>
          <w:lang w:val="es-CR"/>
        </w:rPr>
        <w:t>,</w:t>
      </w:r>
      <w:r w:rsidRPr="00651F65">
        <w:rPr>
          <w:rFonts w:ascii="Verdana" w:hAnsi="Verdana"/>
          <w:w w:val="95"/>
          <w:sz w:val="20"/>
          <w:szCs w:val="20"/>
          <w:lang w:val="es-CR"/>
        </w:rPr>
        <w:t xml:space="preserve"> al ver las noticias en la televisión sobre el hallazgo de un cuerpo, acudió a la morgue, donde verificó que se trataba del cuerpo de su hija</w:t>
      </w:r>
      <w:r w:rsidRPr="00651F65">
        <w:rPr>
          <w:rStyle w:val="Refdenotaalpie"/>
          <w:rFonts w:ascii="Verdana" w:hAnsi="Verdana"/>
          <w:w w:val="95"/>
          <w:sz w:val="20"/>
          <w:szCs w:val="20"/>
          <w:lang w:val="es-CR"/>
        </w:rPr>
        <w:footnoteReference w:id="125"/>
      </w:r>
      <w:r w:rsidRPr="00651F65">
        <w:rPr>
          <w:rFonts w:ascii="Verdana" w:hAnsi="Verdana"/>
          <w:w w:val="95"/>
          <w:sz w:val="20"/>
          <w:szCs w:val="20"/>
          <w:lang w:val="es-CR"/>
        </w:rPr>
        <w:t>. Manifestó luego la señora Franco</w:t>
      </w:r>
      <w:r>
        <w:rPr>
          <w:rFonts w:ascii="Verdana" w:hAnsi="Verdana"/>
          <w:w w:val="95"/>
          <w:sz w:val="20"/>
          <w:szCs w:val="20"/>
          <w:lang w:val="es-CR"/>
        </w:rPr>
        <w:t xml:space="preserve"> Sandoval</w:t>
      </w:r>
      <w:r w:rsidRPr="00651F65">
        <w:rPr>
          <w:rFonts w:ascii="Verdana" w:hAnsi="Verdana"/>
          <w:w w:val="95"/>
          <w:sz w:val="20"/>
          <w:szCs w:val="20"/>
          <w:lang w:val="es-CR"/>
        </w:rPr>
        <w:t>, según se desprende de un documento que consta en el expediente judicial, que:</w:t>
      </w:r>
    </w:p>
    <w:p w:rsidR="00DF15C3" w:rsidRPr="00651F65" w:rsidRDefault="00DF15C3" w:rsidP="003F26FD">
      <w:pPr>
        <w:pStyle w:val="Prrafodelista"/>
        <w:autoSpaceDE w:val="0"/>
        <w:autoSpaceDN w:val="0"/>
        <w:adjustRightInd w:val="0"/>
        <w:spacing w:after="0" w:line="216" w:lineRule="auto"/>
        <w:ind w:left="-142" w:right="-174"/>
        <w:jc w:val="both"/>
        <w:rPr>
          <w:rFonts w:ascii="Verdana" w:hAnsi="Verdana"/>
          <w:w w:val="95"/>
          <w:sz w:val="20"/>
          <w:szCs w:val="20"/>
          <w:lang w:val="es-CR"/>
        </w:rPr>
      </w:pPr>
    </w:p>
    <w:p w:rsidR="00DF15C3" w:rsidRPr="00651F65" w:rsidRDefault="00DF15C3" w:rsidP="00FB575D">
      <w:pPr>
        <w:pStyle w:val="Prrafodelista"/>
        <w:spacing w:after="0" w:line="216" w:lineRule="auto"/>
        <w:ind w:left="284" w:right="186"/>
        <w:jc w:val="both"/>
        <w:rPr>
          <w:rFonts w:ascii="Verdana" w:hAnsi="Verdana"/>
          <w:w w:val="95"/>
          <w:sz w:val="16"/>
          <w:szCs w:val="16"/>
          <w:lang w:val="es-CR"/>
        </w:rPr>
      </w:pPr>
      <w:r w:rsidRPr="00651F65">
        <w:rPr>
          <w:rFonts w:ascii="Verdana" w:hAnsi="Verdana"/>
          <w:w w:val="95"/>
          <w:sz w:val="16"/>
          <w:szCs w:val="16"/>
          <w:lang w:val="es-CR"/>
        </w:rPr>
        <w:t xml:space="preserve">[c]uando [ella] tuv[o] que ir a la morgue a reconocer a [su] hija, que estaba como XX, [s]e pus[o] loca, a gritar, a llorar, a arrastrar[s]e, pero en algún momento le pregunt[ó] al forense sobre su opinión [y] dicha persona [l]e indicó que [su] hija había sido violada </w:t>
      </w:r>
      <w:r w:rsidRPr="00651F65">
        <w:rPr>
          <w:rFonts w:ascii="Verdana" w:hAnsi="Verdana" w:cs="Arial"/>
          <w:w w:val="95"/>
          <w:sz w:val="16"/>
          <w:szCs w:val="16"/>
          <w:lang w:val="es-CR"/>
        </w:rPr>
        <w:t xml:space="preserve">y </w:t>
      </w:r>
      <w:r w:rsidRPr="00651F65">
        <w:rPr>
          <w:rFonts w:ascii="Verdana" w:hAnsi="Verdana"/>
          <w:w w:val="95"/>
          <w:sz w:val="16"/>
          <w:szCs w:val="16"/>
          <w:lang w:val="es-CR"/>
        </w:rPr>
        <w:t>según su criterio, había sido asesinada el día 17 de diciembre en horas de la noche</w:t>
      </w:r>
      <w:r w:rsidRPr="00651F65">
        <w:rPr>
          <w:rStyle w:val="Refdenotaalpie"/>
          <w:rFonts w:ascii="Verdana" w:hAnsi="Verdana"/>
          <w:w w:val="95"/>
          <w:sz w:val="16"/>
          <w:szCs w:val="16"/>
          <w:lang w:val="es-CR"/>
        </w:rPr>
        <w:footnoteReference w:id="126"/>
      </w:r>
      <w:r w:rsidRPr="00651F65">
        <w:rPr>
          <w:rFonts w:ascii="Verdana" w:hAnsi="Verdana"/>
          <w:w w:val="95"/>
          <w:sz w:val="16"/>
          <w:szCs w:val="16"/>
          <w:lang w:val="es-CR"/>
        </w:rPr>
        <w:t>.</w:t>
      </w:r>
    </w:p>
    <w:p w:rsidR="00DF15C3" w:rsidRDefault="00DF15C3" w:rsidP="003F26FD">
      <w:pPr>
        <w:spacing w:after="0" w:line="216" w:lineRule="auto"/>
        <w:ind w:right="-174"/>
        <w:jc w:val="both"/>
        <w:rPr>
          <w:rFonts w:ascii="Verdana" w:hAnsi="Verdana"/>
          <w:b/>
          <w:w w:val="95"/>
          <w:sz w:val="16"/>
          <w:szCs w:val="16"/>
          <w:lang w:val="es-CR"/>
        </w:rPr>
      </w:pPr>
    </w:p>
    <w:p w:rsidR="00697C37" w:rsidRDefault="00116D11" w:rsidP="003F26FD">
      <w:pPr>
        <w:pStyle w:val="Prrafodelista"/>
        <w:numPr>
          <w:ilvl w:val="0"/>
          <w:numId w:val="17"/>
        </w:numPr>
        <w:autoSpaceDE w:val="0"/>
        <w:autoSpaceDN w:val="0"/>
        <w:adjustRightInd w:val="0"/>
        <w:spacing w:after="0" w:line="216" w:lineRule="auto"/>
        <w:ind w:left="-142" w:right="-174" w:firstLine="0"/>
        <w:jc w:val="both"/>
        <w:rPr>
          <w:rFonts w:ascii="Verdana" w:hAnsi="Verdana"/>
          <w:w w:val="95"/>
          <w:sz w:val="20"/>
          <w:szCs w:val="20"/>
          <w:lang w:val="es-CR"/>
        </w:rPr>
      </w:pPr>
      <w:r w:rsidRPr="00497E73">
        <w:rPr>
          <w:rFonts w:ascii="Verdana" w:hAnsi="Verdana"/>
          <w:b/>
          <w:w w:val="95"/>
          <w:sz w:val="20"/>
          <w:szCs w:val="20"/>
          <w:lang w:val="es-CR"/>
        </w:rPr>
        <w:lastRenderedPageBreak/>
        <w:t>Act</w:t>
      </w:r>
      <w:r>
        <w:rPr>
          <w:rFonts w:ascii="Verdana" w:hAnsi="Verdana"/>
          <w:b/>
          <w:w w:val="95"/>
          <w:sz w:val="20"/>
          <w:szCs w:val="20"/>
          <w:lang w:val="es-CR"/>
        </w:rPr>
        <w:t>a de levantamiento del cadáver.</w:t>
      </w:r>
      <w:r w:rsidRPr="00497E73">
        <w:rPr>
          <w:rFonts w:ascii="Verdana" w:hAnsi="Verdana"/>
          <w:b/>
          <w:w w:val="95"/>
          <w:sz w:val="20"/>
          <w:szCs w:val="20"/>
          <w:lang w:val="es-CR"/>
        </w:rPr>
        <w:t>-</w:t>
      </w:r>
      <w:r>
        <w:rPr>
          <w:rFonts w:ascii="Verdana" w:hAnsi="Verdana"/>
          <w:w w:val="95"/>
          <w:sz w:val="20"/>
          <w:szCs w:val="20"/>
          <w:lang w:val="es-CR"/>
        </w:rPr>
        <w:t xml:space="preserve"> </w:t>
      </w:r>
      <w:r w:rsidRPr="00497E73">
        <w:rPr>
          <w:rFonts w:ascii="Verdana" w:hAnsi="Verdana" w:cs="Arial"/>
          <w:w w:val="95"/>
          <w:sz w:val="20"/>
          <w:szCs w:val="20"/>
          <w:lang w:val="es-CR"/>
        </w:rPr>
        <w:t>El 18 de diciembre de 2001 se elaboró el acta de levantamiento de cadáver</w:t>
      </w:r>
      <w:r>
        <w:rPr>
          <w:rFonts w:ascii="Verdana" w:hAnsi="Verdana" w:cs="Arial"/>
          <w:w w:val="95"/>
          <w:sz w:val="20"/>
          <w:szCs w:val="20"/>
          <w:lang w:val="es-CR"/>
        </w:rPr>
        <w:t xml:space="preserve">. </w:t>
      </w:r>
      <w:r w:rsidRPr="00315B30">
        <w:rPr>
          <w:rFonts w:ascii="Verdana" w:hAnsi="Verdana" w:cs="Arial"/>
          <w:w w:val="95"/>
          <w:sz w:val="20"/>
          <w:szCs w:val="20"/>
          <w:lang w:val="es-CR"/>
        </w:rPr>
        <w:t>Por otra parte, en el oficio No. 1,131-2001, fechado el mismo día, se indicó lo siguiente:</w:t>
      </w:r>
    </w:p>
    <w:p w:rsidR="00DF15C3" w:rsidRPr="00147A99" w:rsidRDefault="00DF15C3" w:rsidP="003F26FD">
      <w:pPr>
        <w:pStyle w:val="Prrafodelista"/>
        <w:autoSpaceDE w:val="0"/>
        <w:autoSpaceDN w:val="0"/>
        <w:adjustRightInd w:val="0"/>
        <w:spacing w:after="0" w:line="216" w:lineRule="auto"/>
        <w:ind w:left="-142" w:right="-174"/>
        <w:jc w:val="both"/>
        <w:rPr>
          <w:rFonts w:ascii="Verdana" w:hAnsi="Verdana"/>
          <w:w w:val="95"/>
          <w:sz w:val="20"/>
          <w:szCs w:val="20"/>
          <w:lang w:val="es-CR"/>
        </w:rPr>
      </w:pPr>
    </w:p>
    <w:p w:rsidR="00DF15C3" w:rsidRPr="00651F65" w:rsidRDefault="00F15CBE" w:rsidP="00FF7BE1">
      <w:pPr>
        <w:autoSpaceDE w:val="0"/>
        <w:autoSpaceDN w:val="0"/>
        <w:adjustRightInd w:val="0"/>
        <w:spacing w:after="0" w:line="216" w:lineRule="auto"/>
        <w:ind w:left="270" w:right="186"/>
        <w:jc w:val="both"/>
        <w:rPr>
          <w:rFonts w:ascii="Verdana" w:hAnsi="Verdana" w:cs="Arial"/>
          <w:b/>
          <w:iCs/>
          <w:w w:val="95"/>
          <w:sz w:val="16"/>
          <w:szCs w:val="16"/>
          <w:lang w:val="es-CR"/>
        </w:rPr>
      </w:pPr>
      <w:r w:rsidRPr="0075245F">
        <w:rPr>
          <w:rFonts w:ascii="Verdana" w:hAnsi="Verdana" w:cs="Arial"/>
          <w:iCs/>
          <w:w w:val="95"/>
          <w:sz w:val="16"/>
          <w:szCs w:val="16"/>
          <w:lang w:val="es-CL"/>
        </w:rPr>
        <w:t>[se] constat[ó] que [el cadáver] tenía el rostro cubierto con una toalla color verde y una de color negro con un lazo de plástico color café atado al cuello con la cabeza cubierta con una bolsa de nylon color negra y al descubrirla en el rostro se constató que presentaba abundante alimentación en la boca y nariz (vómitos), mismo que se encontraba en posición cubito ventral, cabeza hacia al poniente, pies hacia el oriente, brazos a los costados, piernas extendidas, cara hacia abajo […]VESTUARIO: pantalón da lona color azul, blusa de color negra manga corta marca bobil Shirr, blumer de color blanco con figuras moradas, calcetas de color blanco, botines color negro de cuero, brasier beige.[…] LESIONES QUE PRESENTA. Una herida en la parte anterior, en la parte pariental, lado izquierdo en pabellón de la oreja supuestamente con arma blanca, y los objetos antes descritos quedaron en poder del [A]ux[iliar] [F</w:t>
      </w:r>
      <w:r w:rsidR="00116D11" w:rsidRPr="003622B1">
        <w:rPr>
          <w:rFonts w:ascii="Verdana" w:hAnsi="Verdana" w:cs="Arial"/>
          <w:iCs/>
          <w:w w:val="95"/>
          <w:sz w:val="16"/>
          <w:szCs w:val="16"/>
          <w:lang w:val="es-CL"/>
        </w:rPr>
        <w:t>]</w:t>
      </w:r>
      <w:r w:rsidRPr="0075245F">
        <w:rPr>
          <w:rFonts w:ascii="Verdana" w:hAnsi="Verdana" w:cs="Arial"/>
          <w:iCs/>
          <w:w w:val="95"/>
          <w:sz w:val="16"/>
          <w:szCs w:val="16"/>
          <w:lang w:val="es-CL"/>
        </w:rPr>
        <w:t>iscal. […]</w:t>
      </w:r>
      <w:r w:rsidR="00DF15C3">
        <w:rPr>
          <w:rStyle w:val="Refdenotaalpie"/>
          <w:rFonts w:ascii="Verdana" w:hAnsi="Verdana" w:cs="Arial"/>
          <w:iCs/>
          <w:w w:val="95"/>
          <w:sz w:val="16"/>
          <w:szCs w:val="16"/>
          <w:lang w:val="es-CR"/>
        </w:rPr>
        <w:footnoteReference w:id="127"/>
      </w:r>
      <w:r w:rsidR="00DF15C3" w:rsidRPr="00D42A7C">
        <w:rPr>
          <w:rFonts w:ascii="Verdana" w:hAnsi="Verdana" w:cs="Arial"/>
          <w:iCs/>
          <w:w w:val="95"/>
          <w:sz w:val="16"/>
          <w:szCs w:val="16"/>
          <w:lang w:val="es-CR"/>
        </w:rPr>
        <w:t>.</w:t>
      </w:r>
      <w:r w:rsidR="00DF15C3" w:rsidRPr="00651F65">
        <w:rPr>
          <w:rFonts w:ascii="Verdana" w:hAnsi="Verdana" w:cs="Arial"/>
          <w:b/>
          <w:iCs/>
          <w:w w:val="95"/>
          <w:sz w:val="16"/>
          <w:szCs w:val="16"/>
          <w:lang w:val="es-CR"/>
        </w:rPr>
        <w:t xml:space="preserve">  </w:t>
      </w:r>
    </w:p>
    <w:p w:rsidR="00DF15C3" w:rsidRDefault="00DF15C3" w:rsidP="003F26FD">
      <w:pPr>
        <w:autoSpaceDE w:val="0"/>
        <w:autoSpaceDN w:val="0"/>
        <w:adjustRightInd w:val="0"/>
        <w:spacing w:after="0" w:line="216" w:lineRule="auto"/>
        <w:ind w:left="360" w:right="-174" w:hanging="360"/>
        <w:jc w:val="both"/>
        <w:rPr>
          <w:rFonts w:ascii="Verdana" w:hAnsi="Verdana" w:cs="Arial"/>
          <w:iCs/>
          <w:w w:val="95"/>
          <w:sz w:val="16"/>
          <w:szCs w:val="16"/>
          <w:lang w:val="es-CR"/>
        </w:rPr>
      </w:pPr>
    </w:p>
    <w:p w:rsidR="00DF15C3" w:rsidRPr="009E23BD" w:rsidRDefault="00DF15C3" w:rsidP="003F26FD">
      <w:pPr>
        <w:autoSpaceDE w:val="0"/>
        <w:autoSpaceDN w:val="0"/>
        <w:adjustRightInd w:val="0"/>
        <w:spacing w:after="0" w:line="216" w:lineRule="auto"/>
        <w:ind w:left="-90" w:right="-174"/>
        <w:jc w:val="both"/>
        <w:rPr>
          <w:rFonts w:ascii="Verdana" w:hAnsi="Verdana" w:cs="Arial"/>
          <w:iCs/>
          <w:w w:val="95"/>
          <w:sz w:val="16"/>
          <w:szCs w:val="16"/>
          <w:lang w:val="es-CR"/>
        </w:rPr>
      </w:pPr>
      <w:r w:rsidRPr="00497E73">
        <w:rPr>
          <w:rFonts w:ascii="Verdana" w:hAnsi="Verdana" w:cs="Arial"/>
          <w:w w:val="95"/>
          <w:sz w:val="20"/>
          <w:szCs w:val="20"/>
          <w:lang w:val="es-CR"/>
        </w:rPr>
        <w:t xml:space="preserve">Otros documentos </w:t>
      </w:r>
      <w:r w:rsidR="00F77273" w:rsidRPr="00315B30">
        <w:rPr>
          <w:rFonts w:ascii="Verdana" w:hAnsi="Verdana" w:cs="Arial"/>
          <w:w w:val="95"/>
          <w:sz w:val="20"/>
          <w:szCs w:val="20"/>
          <w:lang w:val="es-CR"/>
        </w:rPr>
        <w:t>realizados</w:t>
      </w:r>
      <w:r w:rsidRPr="00315B30">
        <w:rPr>
          <w:rFonts w:ascii="Verdana" w:hAnsi="Verdana" w:cs="Arial"/>
          <w:w w:val="95"/>
          <w:sz w:val="20"/>
          <w:szCs w:val="20"/>
          <w:lang w:val="es-CR"/>
        </w:rPr>
        <w:t xml:space="preserve"> </w:t>
      </w:r>
      <w:r w:rsidRPr="00497E73">
        <w:rPr>
          <w:rFonts w:ascii="Verdana" w:hAnsi="Verdana" w:cs="Arial"/>
          <w:w w:val="95"/>
          <w:sz w:val="20"/>
          <w:szCs w:val="20"/>
          <w:lang w:val="es-CR"/>
        </w:rPr>
        <w:t>en el marco de la investigación</w:t>
      </w:r>
      <w:r w:rsidR="00A93B1C">
        <w:rPr>
          <w:rFonts w:ascii="Verdana" w:hAnsi="Verdana" w:cs="Arial"/>
          <w:w w:val="95"/>
          <w:sz w:val="20"/>
          <w:szCs w:val="20"/>
          <w:lang w:val="es-CR"/>
        </w:rPr>
        <w:t xml:space="preserve"> </w:t>
      </w:r>
      <w:r w:rsidRPr="00497E73">
        <w:rPr>
          <w:rFonts w:ascii="Verdana" w:hAnsi="Verdana" w:cs="Arial"/>
          <w:w w:val="95"/>
          <w:sz w:val="20"/>
          <w:szCs w:val="20"/>
          <w:lang w:val="es-CR"/>
        </w:rPr>
        <w:t>señalan aseveraciones concordantes y mencionan explícitamente la presencia de signos de ahorcamiento en el cadáver</w:t>
      </w:r>
      <w:r>
        <w:rPr>
          <w:rStyle w:val="Refdenotaalpie"/>
          <w:rFonts w:ascii="Verdana" w:hAnsi="Verdana" w:cs="Arial"/>
          <w:w w:val="95"/>
          <w:sz w:val="20"/>
          <w:szCs w:val="20"/>
          <w:lang w:val="es-CR"/>
        </w:rPr>
        <w:footnoteReference w:id="128"/>
      </w:r>
      <w:r w:rsidRPr="00497E73">
        <w:rPr>
          <w:rFonts w:ascii="Verdana" w:hAnsi="Verdana" w:cs="Arial"/>
          <w:w w:val="95"/>
          <w:sz w:val="20"/>
          <w:szCs w:val="20"/>
          <w:lang w:val="es-CR"/>
        </w:rPr>
        <w:t>.</w:t>
      </w:r>
    </w:p>
    <w:p w:rsidR="00DF15C3" w:rsidRDefault="00DF15C3" w:rsidP="003F26FD">
      <w:pPr>
        <w:pStyle w:val="Prrafodelista"/>
        <w:autoSpaceDE w:val="0"/>
        <w:autoSpaceDN w:val="0"/>
        <w:adjustRightInd w:val="0"/>
        <w:spacing w:after="0" w:line="216" w:lineRule="auto"/>
        <w:ind w:left="284" w:right="-174"/>
        <w:jc w:val="both"/>
        <w:rPr>
          <w:rFonts w:ascii="Verdana" w:hAnsi="Verdana" w:cs="Arial"/>
          <w:iCs/>
          <w:w w:val="95"/>
          <w:sz w:val="16"/>
          <w:szCs w:val="16"/>
          <w:lang w:val="es-CR"/>
        </w:rPr>
      </w:pPr>
      <w:r>
        <w:rPr>
          <w:rFonts w:ascii="Verdana" w:hAnsi="Verdana" w:cs="Arial"/>
          <w:iCs/>
          <w:w w:val="95"/>
          <w:sz w:val="16"/>
          <w:szCs w:val="16"/>
          <w:lang w:val="es-CR"/>
        </w:rPr>
        <w:t xml:space="preserve"> </w:t>
      </w:r>
    </w:p>
    <w:p w:rsidR="00DF15C3" w:rsidRPr="00147A99" w:rsidRDefault="00DF15C3" w:rsidP="003F26FD">
      <w:pPr>
        <w:pStyle w:val="Prrafodelista"/>
        <w:numPr>
          <w:ilvl w:val="0"/>
          <w:numId w:val="17"/>
        </w:numPr>
        <w:autoSpaceDE w:val="0"/>
        <w:autoSpaceDN w:val="0"/>
        <w:adjustRightInd w:val="0"/>
        <w:spacing w:after="0" w:line="216" w:lineRule="auto"/>
        <w:ind w:left="-142" w:right="-174" w:firstLine="0"/>
        <w:jc w:val="both"/>
        <w:rPr>
          <w:rFonts w:ascii="Verdana" w:hAnsi="Verdana"/>
          <w:w w:val="95"/>
          <w:sz w:val="20"/>
          <w:szCs w:val="20"/>
          <w:lang w:val="es-CR"/>
        </w:rPr>
      </w:pPr>
      <w:r>
        <w:rPr>
          <w:rFonts w:ascii="Verdana" w:hAnsi="Verdana" w:cs="Arial"/>
          <w:b/>
          <w:i/>
          <w:w w:val="95"/>
          <w:sz w:val="20"/>
          <w:szCs w:val="20"/>
          <w:lang w:val="es-CR"/>
        </w:rPr>
        <w:t>Declaración de un testigo.</w:t>
      </w:r>
      <w:r w:rsidRPr="00497E73">
        <w:rPr>
          <w:rFonts w:ascii="Verdana" w:hAnsi="Verdana" w:cs="Arial"/>
          <w:b/>
          <w:i/>
          <w:w w:val="95"/>
          <w:sz w:val="20"/>
          <w:szCs w:val="20"/>
          <w:lang w:val="es-CR"/>
        </w:rPr>
        <w:t>-</w:t>
      </w:r>
      <w:r w:rsidRPr="00497E73">
        <w:rPr>
          <w:rFonts w:ascii="Verdana" w:hAnsi="Verdana" w:cs="Arial"/>
          <w:b/>
          <w:w w:val="95"/>
          <w:sz w:val="20"/>
          <w:szCs w:val="20"/>
          <w:lang w:val="es-CR"/>
        </w:rPr>
        <w:t xml:space="preserve"> </w:t>
      </w:r>
      <w:r w:rsidRPr="003622B1">
        <w:rPr>
          <w:rFonts w:ascii="Verdana" w:hAnsi="Verdana" w:cs="Arial"/>
          <w:w w:val="95"/>
          <w:sz w:val="20"/>
          <w:szCs w:val="20"/>
          <w:lang w:val="es-CR"/>
        </w:rPr>
        <w:t>E</w:t>
      </w:r>
      <w:r w:rsidRPr="00497E73">
        <w:rPr>
          <w:rFonts w:ascii="Verdana" w:hAnsi="Verdana" w:cs="Arial"/>
          <w:w w:val="95"/>
          <w:sz w:val="20"/>
          <w:szCs w:val="20"/>
          <w:lang w:val="es-CR"/>
        </w:rPr>
        <w:t>n el lugar de los hechos, los agentes de la PNC del servicio de investigación criminal sección contra homicidios entrevistaron a un testigo,</w:t>
      </w:r>
      <w:r w:rsidRPr="00497E73">
        <w:rPr>
          <w:rFonts w:ascii="Verdana" w:hAnsi="Verdana"/>
          <w:w w:val="95"/>
          <w:sz w:val="20"/>
          <w:szCs w:val="20"/>
          <w:lang w:val="es-CR"/>
        </w:rPr>
        <w:t xml:space="preserve"> </w:t>
      </w:r>
      <w:r w:rsidRPr="00497E73">
        <w:rPr>
          <w:rFonts w:ascii="Verdana" w:hAnsi="Verdana" w:cs="Arial"/>
          <w:w w:val="95"/>
          <w:sz w:val="20"/>
          <w:szCs w:val="20"/>
          <w:lang w:val="es-CR"/>
        </w:rPr>
        <w:t xml:space="preserve">quien indicó ser guardián de una casa en construcción cercano a </w:t>
      </w:r>
      <w:r w:rsidRPr="00497E73">
        <w:rPr>
          <w:rFonts w:ascii="Verdana" w:hAnsi="Verdana"/>
          <w:iCs/>
          <w:w w:val="95"/>
          <w:sz w:val="20"/>
          <w:szCs w:val="20"/>
          <w:lang w:val="es-CR"/>
        </w:rPr>
        <w:t xml:space="preserve">ese </w:t>
      </w:r>
      <w:r w:rsidRPr="00497E73">
        <w:rPr>
          <w:rFonts w:ascii="Verdana" w:hAnsi="Verdana" w:cs="Arial"/>
          <w:w w:val="95"/>
          <w:sz w:val="20"/>
          <w:szCs w:val="20"/>
          <w:lang w:val="es-CR"/>
        </w:rPr>
        <w:t>sector, qui</w:t>
      </w:r>
      <w:r>
        <w:rPr>
          <w:rFonts w:ascii="Verdana" w:hAnsi="Verdana" w:cs="Arial"/>
          <w:w w:val="95"/>
          <w:sz w:val="20"/>
          <w:szCs w:val="20"/>
          <w:lang w:val="es-CR"/>
        </w:rPr>
        <w:t>e</w:t>
      </w:r>
      <w:r w:rsidRPr="00497E73">
        <w:rPr>
          <w:rFonts w:ascii="Verdana" w:hAnsi="Verdana" w:cs="Arial"/>
          <w:w w:val="95"/>
          <w:sz w:val="20"/>
          <w:szCs w:val="20"/>
          <w:lang w:val="es-CR"/>
        </w:rPr>
        <w:t>n por temor a represalias se negó a dar sus datos personales y respecto al caso manifestó lo siguiente:</w:t>
      </w:r>
    </w:p>
    <w:p w:rsidR="00DF15C3" w:rsidRPr="002B1610" w:rsidRDefault="00DF15C3" w:rsidP="003F26FD">
      <w:pPr>
        <w:pStyle w:val="Prrafodelista"/>
        <w:autoSpaceDE w:val="0"/>
        <w:autoSpaceDN w:val="0"/>
        <w:adjustRightInd w:val="0"/>
        <w:spacing w:after="0" w:line="216" w:lineRule="auto"/>
        <w:ind w:left="-142" w:right="-174"/>
        <w:jc w:val="both"/>
        <w:rPr>
          <w:rFonts w:ascii="Verdana" w:hAnsi="Verdana"/>
          <w:w w:val="95"/>
          <w:sz w:val="20"/>
          <w:szCs w:val="20"/>
          <w:lang w:val="es-CR"/>
        </w:rPr>
      </w:pPr>
    </w:p>
    <w:p w:rsidR="00DF15C3" w:rsidRPr="002B1610" w:rsidRDefault="00DF15C3" w:rsidP="00121AD9">
      <w:pPr>
        <w:pStyle w:val="Prrafodelista"/>
        <w:spacing w:after="0" w:line="216" w:lineRule="auto"/>
        <w:ind w:left="284" w:right="186"/>
        <w:jc w:val="both"/>
        <w:rPr>
          <w:rFonts w:ascii="Verdana" w:hAnsi="Verdana"/>
          <w:w w:val="95"/>
          <w:sz w:val="16"/>
          <w:szCs w:val="16"/>
          <w:lang w:val="es-CR"/>
        </w:rPr>
      </w:pPr>
      <w:r w:rsidRPr="002B1610">
        <w:rPr>
          <w:rFonts w:ascii="Verdana" w:hAnsi="Verdana" w:cs="Arial"/>
          <w:iCs/>
          <w:w w:val="95"/>
          <w:sz w:val="16"/>
          <w:szCs w:val="16"/>
          <w:lang w:val="es-CR"/>
        </w:rPr>
        <w:t xml:space="preserve">[el 18 de diciembre de 2001] a </w:t>
      </w:r>
      <w:r w:rsidRPr="002B1610">
        <w:rPr>
          <w:rFonts w:ascii="Verdana" w:hAnsi="Verdana" w:cs="Arial"/>
          <w:w w:val="95"/>
          <w:sz w:val="16"/>
          <w:szCs w:val="16"/>
          <w:lang w:val="es-CR"/>
        </w:rPr>
        <w:t xml:space="preserve">eso </w:t>
      </w:r>
      <w:r w:rsidRPr="002B1610">
        <w:rPr>
          <w:rFonts w:ascii="Verdana" w:hAnsi="Verdana" w:cs="Arial"/>
          <w:iCs/>
          <w:w w:val="95"/>
          <w:sz w:val="16"/>
          <w:szCs w:val="16"/>
          <w:lang w:val="es-CR"/>
        </w:rPr>
        <w:t>de</w:t>
      </w:r>
      <w:r w:rsidRPr="002B1610">
        <w:rPr>
          <w:rFonts w:ascii="Verdana" w:hAnsi="Verdana" w:cs="Arial"/>
          <w:w w:val="95"/>
          <w:sz w:val="16"/>
          <w:szCs w:val="16"/>
          <w:lang w:val="es-CR"/>
        </w:rPr>
        <w:t xml:space="preserve"> </w:t>
      </w:r>
      <w:r w:rsidRPr="002B1610">
        <w:rPr>
          <w:rFonts w:ascii="Verdana" w:hAnsi="Verdana" w:cs="Arial"/>
          <w:iCs/>
          <w:w w:val="95"/>
          <w:sz w:val="16"/>
          <w:szCs w:val="16"/>
          <w:lang w:val="es-CR"/>
        </w:rPr>
        <w:t xml:space="preserve">las </w:t>
      </w:r>
      <w:r>
        <w:rPr>
          <w:rFonts w:ascii="Verdana" w:hAnsi="Verdana" w:cs="Arial"/>
          <w:iCs/>
          <w:w w:val="95"/>
          <w:sz w:val="16"/>
          <w:szCs w:val="16"/>
          <w:lang w:val="es-CR"/>
        </w:rPr>
        <w:t>tres</w:t>
      </w:r>
      <w:r w:rsidRPr="002B1610">
        <w:rPr>
          <w:rFonts w:ascii="Verdana" w:hAnsi="Verdana" w:cs="Arial"/>
          <w:iCs/>
          <w:w w:val="95"/>
          <w:sz w:val="16"/>
          <w:szCs w:val="16"/>
          <w:lang w:val="es-CR"/>
        </w:rPr>
        <w:t xml:space="preserve"> </w:t>
      </w:r>
      <w:r w:rsidRPr="002B1610">
        <w:rPr>
          <w:rFonts w:ascii="Verdana" w:hAnsi="Verdana"/>
          <w:iCs/>
          <w:w w:val="95"/>
          <w:sz w:val="16"/>
          <w:szCs w:val="16"/>
          <w:lang w:val="es-CR"/>
        </w:rPr>
        <w:t xml:space="preserve">de </w:t>
      </w:r>
      <w:r w:rsidRPr="002B1610">
        <w:rPr>
          <w:rFonts w:ascii="Verdana" w:hAnsi="Verdana" w:cs="Arial"/>
          <w:iCs/>
          <w:w w:val="95"/>
          <w:sz w:val="16"/>
          <w:szCs w:val="16"/>
          <w:lang w:val="es-CR"/>
        </w:rPr>
        <w:t>mañana escuch[ó] que los perros de un señor que es vecino estuvieron ladrando por un espacio de 10 minutos, puede ser que a esa hora dieron muerte a [l]a muchacha</w:t>
      </w:r>
      <w:r>
        <w:rPr>
          <w:rFonts w:ascii="Verdana" w:hAnsi="Verdana" w:cs="Arial"/>
          <w:iCs/>
          <w:w w:val="95"/>
          <w:sz w:val="16"/>
          <w:szCs w:val="16"/>
          <w:lang w:val="es-CR"/>
        </w:rPr>
        <w:t>;</w:t>
      </w:r>
      <w:r w:rsidRPr="002B1610">
        <w:rPr>
          <w:rFonts w:ascii="Verdana" w:hAnsi="Verdana" w:cs="Arial"/>
          <w:iCs/>
          <w:w w:val="95"/>
          <w:sz w:val="16"/>
          <w:szCs w:val="16"/>
          <w:lang w:val="es-CR"/>
        </w:rPr>
        <w:t>[Se</w:t>
      </w:r>
      <w:r w:rsidRPr="003622B1">
        <w:rPr>
          <w:rFonts w:ascii="Verdana" w:hAnsi="Verdana" w:cs="Arial"/>
          <w:iCs/>
          <w:w w:val="95"/>
          <w:sz w:val="16"/>
          <w:szCs w:val="16"/>
          <w:lang w:val="es-CL"/>
        </w:rPr>
        <w:t>]</w:t>
      </w:r>
      <w:r w:rsidRPr="002B1610">
        <w:rPr>
          <w:rFonts w:ascii="Verdana" w:hAnsi="Verdana" w:cs="Arial"/>
          <w:iCs/>
          <w:w w:val="95"/>
          <w:sz w:val="16"/>
          <w:szCs w:val="16"/>
          <w:lang w:val="es-CR"/>
        </w:rPr>
        <w:t xml:space="preserve"> enter[ó] de la muerte de [ella] a eso de las </w:t>
      </w:r>
      <w:r>
        <w:rPr>
          <w:rFonts w:ascii="Verdana" w:hAnsi="Verdana"/>
          <w:w w:val="95"/>
          <w:sz w:val="16"/>
          <w:szCs w:val="16"/>
          <w:lang w:val="es-CR"/>
        </w:rPr>
        <w:t>once</w:t>
      </w:r>
      <w:r w:rsidRPr="002B1610">
        <w:rPr>
          <w:rFonts w:ascii="Verdana" w:hAnsi="Verdana"/>
          <w:w w:val="95"/>
          <w:sz w:val="16"/>
          <w:szCs w:val="16"/>
          <w:lang w:val="es-CR"/>
        </w:rPr>
        <w:t xml:space="preserve"> horas </w:t>
      </w:r>
      <w:r w:rsidRPr="002B1610">
        <w:rPr>
          <w:rFonts w:ascii="Verdana" w:hAnsi="Verdana" w:cs="Arial"/>
          <w:iCs/>
          <w:w w:val="95"/>
          <w:sz w:val="16"/>
          <w:szCs w:val="16"/>
          <w:lang w:val="es-CR"/>
        </w:rPr>
        <w:t>por medio de unos albañiles por lo que [s]e dirig[ió] a la casa del señor donde estuvieron ladrando los perros en la madrugada, y cre[e] que posiblemente él fue el que avisó a los bomberos</w:t>
      </w:r>
      <w:r w:rsidRPr="002B1610">
        <w:rPr>
          <w:rStyle w:val="Refdenotaalpie"/>
          <w:rFonts w:ascii="Verdana" w:hAnsi="Verdana" w:cs="Arial"/>
          <w:w w:val="95"/>
          <w:sz w:val="16"/>
          <w:szCs w:val="16"/>
          <w:lang w:val="es-CR"/>
        </w:rPr>
        <w:footnoteReference w:id="129"/>
      </w:r>
      <w:r w:rsidRPr="002B1610">
        <w:rPr>
          <w:rFonts w:ascii="Verdana" w:hAnsi="Verdana" w:cs="Arial"/>
          <w:iCs/>
          <w:w w:val="95"/>
          <w:sz w:val="16"/>
          <w:szCs w:val="16"/>
          <w:lang w:val="es-CR"/>
        </w:rPr>
        <w:t xml:space="preserve">. </w:t>
      </w:r>
    </w:p>
    <w:p w:rsidR="00DF15C3" w:rsidRPr="002B1610" w:rsidRDefault="00DF15C3" w:rsidP="003F26FD">
      <w:pPr>
        <w:pStyle w:val="Prrafodelista"/>
        <w:spacing w:after="0" w:line="216" w:lineRule="auto"/>
        <w:ind w:left="284" w:right="-174"/>
        <w:jc w:val="both"/>
        <w:rPr>
          <w:rFonts w:ascii="Verdana" w:hAnsi="Verdana"/>
          <w:w w:val="95"/>
          <w:sz w:val="16"/>
          <w:szCs w:val="16"/>
          <w:lang w:val="es-CR"/>
        </w:rPr>
      </w:pPr>
    </w:p>
    <w:p w:rsidR="00DF15C3" w:rsidRPr="002B1610" w:rsidRDefault="00DF15C3" w:rsidP="003F26FD">
      <w:pPr>
        <w:spacing w:after="0" w:line="216" w:lineRule="auto"/>
        <w:ind w:left="-142" w:right="-174"/>
        <w:jc w:val="both"/>
        <w:rPr>
          <w:rFonts w:ascii="Verdana" w:hAnsi="Verdana"/>
          <w:w w:val="95"/>
          <w:sz w:val="20"/>
          <w:szCs w:val="20"/>
        </w:rPr>
      </w:pPr>
      <w:r w:rsidRPr="002B1610">
        <w:rPr>
          <w:rFonts w:ascii="Verdana" w:hAnsi="Verdana"/>
          <w:w w:val="95"/>
          <w:sz w:val="20"/>
          <w:szCs w:val="20"/>
        </w:rPr>
        <w:t>En el acta del investigador se menciona: “como diligencias pendientes estaba entrevistar de nuevo al guardián, ya que en el momento no dieron</w:t>
      </w:r>
      <w:r>
        <w:rPr>
          <w:rFonts w:ascii="Verdana" w:hAnsi="Verdana"/>
          <w:w w:val="95"/>
          <w:sz w:val="20"/>
          <w:szCs w:val="20"/>
        </w:rPr>
        <w:t xml:space="preserve"> mucha información</w:t>
      </w:r>
      <w:r w:rsidRPr="002B1610">
        <w:rPr>
          <w:rFonts w:ascii="Verdana" w:hAnsi="Verdana"/>
          <w:w w:val="95"/>
          <w:sz w:val="20"/>
          <w:szCs w:val="20"/>
        </w:rPr>
        <w:t xml:space="preserve"> posiblemente por la cantidad de curiosos que habían en el lugar y que quizás estando sólo dijera más”</w:t>
      </w:r>
      <w:r w:rsidRPr="002B1610">
        <w:rPr>
          <w:rFonts w:ascii="Verdana" w:hAnsi="Verdana"/>
          <w:w w:val="95"/>
          <w:sz w:val="20"/>
          <w:szCs w:val="20"/>
          <w:vertAlign w:val="superscript"/>
        </w:rPr>
        <w:footnoteReference w:id="130"/>
      </w:r>
      <w:r w:rsidRPr="002B1610">
        <w:rPr>
          <w:rFonts w:ascii="Verdana" w:hAnsi="Verdana"/>
          <w:w w:val="95"/>
          <w:sz w:val="20"/>
          <w:szCs w:val="20"/>
        </w:rPr>
        <w:t>.</w:t>
      </w:r>
    </w:p>
    <w:p w:rsidR="00DF15C3" w:rsidRPr="002B1610" w:rsidRDefault="00DF15C3" w:rsidP="003F26FD">
      <w:pPr>
        <w:spacing w:after="0" w:line="216" w:lineRule="auto"/>
        <w:ind w:left="-142" w:right="-174"/>
        <w:jc w:val="both"/>
        <w:rPr>
          <w:rFonts w:ascii="Verdana" w:hAnsi="Verdana"/>
          <w:w w:val="95"/>
          <w:sz w:val="20"/>
          <w:szCs w:val="20"/>
        </w:rPr>
      </w:pPr>
    </w:p>
    <w:p w:rsidR="00DF15C3" w:rsidRPr="002B1610" w:rsidRDefault="00DF15C3" w:rsidP="003F26FD">
      <w:pPr>
        <w:pStyle w:val="Prrafodelista"/>
        <w:numPr>
          <w:ilvl w:val="0"/>
          <w:numId w:val="17"/>
        </w:numPr>
        <w:autoSpaceDE w:val="0"/>
        <w:autoSpaceDN w:val="0"/>
        <w:adjustRightInd w:val="0"/>
        <w:spacing w:after="0" w:line="216" w:lineRule="auto"/>
        <w:ind w:left="-142" w:right="-174" w:firstLine="0"/>
        <w:jc w:val="both"/>
        <w:rPr>
          <w:rFonts w:ascii="Verdana" w:hAnsi="Verdana"/>
          <w:w w:val="95"/>
          <w:sz w:val="20"/>
          <w:szCs w:val="20"/>
          <w:lang w:val="es-CR"/>
        </w:rPr>
      </w:pPr>
      <w:r>
        <w:rPr>
          <w:rFonts w:ascii="Verdana" w:hAnsi="Verdana" w:cs="Arial"/>
          <w:b/>
          <w:i/>
          <w:w w:val="95"/>
          <w:sz w:val="20"/>
          <w:szCs w:val="20"/>
          <w:lang w:val="es-CR"/>
        </w:rPr>
        <w:t>Otras actuaciones.</w:t>
      </w:r>
      <w:r w:rsidRPr="00497E73">
        <w:rPr>
          <w:rFonts w:ascii="Verdana" w:hAnsi="Verdana" w:cs="Arial"/>
          <w:b/>
          <w:i/>
          <w:w w:val="95"/>
          <w:sz w:val="20"/>
          <w:szCs w:val="20"/>
          <w:lang w:val="es-CR"/>
        </w:rPr>
        <w:t>-</w:t>
      </w:r>
      <w:r>
        <w:rPr>
          <w:rFonts w:ascii="Verdana" w:hAnsi="Verdana" w:cs="Arial"/>
          <w:w w:val="95"/>
          <w:sz w:val="20"/>
          <w:szCs w:val="20"/>
          <w:lang w:val="es-CR"/>
        </w:rPr>
        <w:t xml:space="preserve"> </w:t>
      </w:r>
      <w:r w:rsidRPr="002B1610">
        <w:rPr>
          <w:rFonts w:ascii="Verdana" w:hAnsi="Verdana" w:cs="Arial"/>
          <w:w w:val="95"/>
          <w:sz w:val="20"/>
          <w:szCs w:val="20"/>
          <w:lang w:val="es-CR"/>
        </w:rPr>
        <w:t xml:space="preserve">Asimismo, acudieron al lugar los agentes de la PNC los investigadores y la Auxiliar Fiscal </w:t>
      </w:r>
      <w:r w:rsidRPr="009F28EE">
        <w:rPr>
          <w:rFonts w:ascii="Verdana" w:hAnsi="Verdana" w:cs="Arial"/>
          <w:w w:val="95"/>
          <w:sz w:val="20"/>
          <w:szCs w:val="20"/>
          <w:lang w:val="es-CR"/>
        </w:rPr>
        <w:t>de la Agencia No. 5</w:t>
      </w:r>
      <w:r w:rsidRPr="007B0548">
        <w:rPr>
          <w:rFonts w:ascii="Verdana" w:hAnsi="Verdana" w:cs="Arial"/>
          <w:w w:val="95"/>
          <w:sz w:val="20"/>
          <w:szCs w:val="20"/>
          <w:lang w:val="es-CR"/>
        </w:rPr>
        <w:t xml:space="preserve"> de Mixco, quienes contactaron a la persona que reside en el inmueble ubicado a un costado de donde se encontró el cadáver. Con posterioridad se realizó un rastreo que llevaron a cabo los funcionarios de la PNC y del Ministerio Público con resultados negativos, y solicitaron al </w:t>
      </w:r>
      <w:r w:rsidRPr="007B0548">
        <w:rPr>
          <w:rFonts w:ascii="Verdana" w:hAnsi="Verdana"/>
          <w:w w:val="95"/>
          <w:sz w:val="20"/>
          <w:szCs w:val="20"/>
          <w:lang w:val="es-CR"/>
        </w:rPr>
        <w:t>Gabinete</w:t>
      </w:r>
      <w:r w:rsidRPr="007B0548">
        <w:rPr>
          <w:rFonts w:ascii="Verdana" w:hAnsi="Verdana" w:cs="Arial"/>
          <w:w w:val="95"/>
          <w:sz w:val="20"/>
          <w:szCs w:val="20"/>
          <w:lang w:val="es-CR"/>
        </w:rPr>
        <w:t xml:space="preserve"> Criminalística el cotejo de huellas dactilares de la ficha </w:t>
      </w:r>
      <w:r w:rsidRPr="007B0548">
        <w:rPr>
          <w:rFonts w:ascii="Verdana" w:hAnsi="Verdana" w:cs="Arial"/>
          <w:i/>
          <w:w w:val="95"/>
          <w:sz w:val="20"/>
          <w:szCs w:val="20"/>
          <w:lang w:val="es-CR"/>
        </w:rPr>
        <w:t>post-mortem</w:t>
      </w:r>
      <w:r w:rsidRPr="007B0548">
        <w:rPr>
          <w:rFonts w:ascii="Verdana" w:hAnsi="Verdana" w:cs="Arial"/>
          <w:w w:val="95"/>
          <w:sz w:val="20"/>
          <w:szCs w:val="20"/>
          <w:lang w:val="es-CR"/>
        </w:rPr>
        <w:t xml:space="preserve"> del cadáver con la base de datos para establecer su identidad</w:t>
      </w:r>
      <w:r w:rsidRPr="007B0548">
        <w:rPr>
          <w:rStyle w:val="Refdenotaalpie"/>
          <w:rFonts w:ascii="Verdana" w:hAnsi="Verdana" w:cs="Arial"/>
          <w:w w:val="95"/>
          <w:sz w:val="20"/>
          <w:szCs w:val="20"/>
          <w:lang w:val="es-CR"/>
        </w:rPr>
        <w:footnoteReference w:id="131"/>
      </w:r>
      <w:r w:rsidRPr="007B0548">
        <w:rPr>
          <w:rFonts w:ascii="Verdana" w:hAnsi="Verdana" w:cs="Arial"/>
          <w:w w:val="95"/>
          <w:sz w:val="20"/>
          <w:szCs w:val="20"/>
          <w:lang w:val="es-CR"/>
        </w:rPr>
        <w:t xml:space="preserve">. El 18 de diciembre de 2001 también se elaboró </w:t>
      </w:r>
      <w:r w:rsidR="0008554B">
        <w:rPr>
          <w:rFonts w:ascii="Verdana" w:hAnsi="Verdana" w:cs="Arial"/>
          <w:w w:val="95"/>
          <w:sz w:val="20"/>
          <w:szCs w:val="20"/>
          <w:lang w:val="es-CR"/>
        </w:rPr>
        <w:t xml:space="preserve">la orden </w:t>
      </w:r>
      <w:r w:rsidRPr="007B0548">
        <w:rPr>
          <w:rFonts w:ascii="Verdana" w:hAnsi="Verdana" w:cs="Arial"/>
          <w:w w:val="95"/>
          <w:sz w:val="20"/>
          <w:szCs w:val="20"/>
          <w:lang w:val="es-CR"/>
        </w:rPr>
        <w:t xml:space="preserve">de remisión del cadáver al médico forense, en el que no se requirió pericias para determinar si la joven fallecida había sido objeto de violencia sexual </w:t>
      </w:r>
      <w:r w:rsidRPr="0008554B">
        <w:rPr>
          <w:rFonts w:ascii="Verdana" w:hAnsi="Verdana" w:cs="Arial"/>
          <w:w w:val="95"/>
          <w:sz w:val="20"/>
          <w:szCs w:val="20"/>
          <w:lang w:val="es-CR"/>
        </w:rPr>
        <w:t>(</w:t>
      </w:r>
      <w:r w:rsidR="00C11F32" w:rsidRPr="0008554B">
        <w:rPr>
          <w:rFonts w:ascii="Verdana" w:hAnsi="Verdana" w:cs="Arial"/>
          <w:i/>
          <w:w w:val="95"/>
          <w:sz w:val="20"/>
          <w:szCs w:val="20"/>
          <w:lang w:val="es-CR"/>
        </w:rPr>
        <w:t>supra</w:t>
      </w:r>
      <w:r w:rsidRPr="0008554B">
        <w:rPr>
          <w:rFonts w:ascii="Verdana" w:hAnsi="Verdana" w:cs="Arial"/>
          <w:w w:val="95"/>
          <w:sz w:val="20"/>
          <w:szCs w:val="20"/>
          <w:lang w:val="es-CR"/>
        </w:rPr>
        <w:t xml:space="preserve"> párr. </w:t>
      </w:r>
      <w:r w:rsidR="00C11F32" w:rsidRPr="0008554B">
        <w:rPr>
          <w:rFonts w:ascii="Verdana" w:hAnsi="Verdana" w:cs="Arial"/>
          <w:w w:val="95"/>
          <w:sz w:val="20"/>
          <w:szCs w:val="20"/>
          <w:lang w:val="es-CR"/>
        </w:rPr>
        <w:t>97</w:t>
      </w:r>
      <w:r w:rsidR="00D721C5" w:rsidRPr="0008554B">
        <w:rPr>
          <w:rFonts w:ascii="Verdana" w:hAnsi="Verdana" w:cs="Arial"/>
          <w:w w:val="95"/>
          <w:sz w:val="20"/>
          <w:szCs w:val="20"/>
          <w:lang w:val="es-CR"/>
        </w:rPr>
        <w:t>).</w:t>
      </w:r>
      <w:r w:rsidR="00D721C5" w:rsidRPr="007B0548">
        <w:rPr>
          <w:rFonts w:ascii="Verdana" w:hAnsi="Verdana" w:cs="Arial"/>
          <w:w w:val="95"/>
          <w:sz w:val="20"/>
          <w:szCs w:val="20"/>
          <w:lang w:val="es-CR"/>
        </w:rPr>
        <w:t xml:space="preserve"> </w:t>
      </w:r>
      <w:r w:rsidRPr="007B0548">
        <w:rPr>
          <w:rFonts w:ascii="Verdana" w:hAnsi="Verdana" w:cs="Arial"/>
          <w:w w:val="95"/>
          <w:sz w:val="20"/>
          <w:szCs w:val="20"/>
          <w:lang w:val="es-CR"/>
        </w:rPr>
        <w:t>Asimismo, se realizó una inspección ocular, y en el informe respectivo se determinó que antes de dicha inspección la escena del crimen había sido contaminada (</w:t>
      </w:r>
      <w:r w:rsidR="00A8730F">
        <w:rPr>
          <w:rFonts w:ascii="Verdana" w:hAnsi="Verdana" w:cs="Arial"/>
          <w:i/>
          <w:w w:val="95"/>
          <w:sz w:val="20"/>
          <w:szCs w:val="20"/>
          <w:lang w:val="es-CR"/>
        </w:rPr>
        <w:t xml:space="preserve">supra </w:t>
      </w:r>
      <w:r w:rsidR="00A8730F">
        <w:rPr>
          <w:rFonts w:ascii="Verdana" w:hAnsi="Verdana" w:cs="Arial"/>
          <w:w w:val="95"/>
          <w:sz w:val="20"/>
          <w:szCs w:val="20"/>
          <w:lang w:val="es-CR"/>
        </w:rPr>
        <w:t>nota al pie de página 124</w:t>
      </w:r>
      <w:r w:rsidR="00D721C5" w:rsidRPr="007B0548">
        <w:rPr>
          <w:rFonts w:ascii="Verdana" w:hAnsi="Verdana" w:cs="Arial"/>
          <w:w w:val="95"/>
          <w:sz w:val="20"/>
          <w:szCs w:val="20"/>
          <w:lang w:val="es-CR"/>
        </w:rPr>
        <w:t xml:space="preserve">). </w:t>
      </w:r>
      <w:r w:rsidRPr="007B0548">
        <w:rPr>
          <w:rFonts w:ascii="Verdana" w:hAnsi="Verdana" w:cs="Arial"/>
          <w:w w:val="95"/>
          <w:sz w:val="20"/>
          <w:szCs w:val="20"/>
          <w:lang w:val="es-CR"/>
        </w:rPr>
        <w:t xml:space="preserve">El día del </w:t>
      </w:r>
      <w:r w:rsidRPr="007B0548">
        <w:rPr>
          <w:rFonts w:ascii="Verdana" w:hAnsi="Verdana" w:cs="Arial"/>
          <w:w w:val="95"/>
          <w:sz w:val="20"/>
          <w:szCs w:val="20"/>
          <w:lang w:val="es-CR"/>
        </w:rPr>
        <w:lastRenderedPageBreak/>
        <w:t xml:space="preserve">hallazgo se reportó el secuestro de varios elementos, los cuales quedaron en poder de la Unidad de </w:t>
      </w:r>
      <w:r w:rsidR="00030315" w:rsidRPr="007B0548">
        <w:rPr>
          <w:rFonts w:ascii="Verdana" w:hAnsi="Verdana" w:cs="Arial"/>
          <w:w w:val="95"/>
          <w:sz w:val="20"/>
          <w:szCs w:val="20"/>
          <w:lang w:val="es-CR"/>
        </w:rPr>
        <w:t>I</w:t>
      </w:r>
      <w:r w:rsidRPr="007B0548">
        <w:rPr>
          <w:rFonts w:ascii="Verdana" w:hAnsi="Verdana" w:cs="Arial"/>
          <w:w w:val="95"/>
          <w:sz w:val="20"/>
          <w:szCs w:val="20"/>
          <w:lang w:val="es-CR"/>
        </w:rPr>
        <w:t xml:space="preserve">nspecciones </w:t>
      </w:r>
      <w:r w:rsidR="00030315" w:rsidRPr="007B0548">
        <w:rPr>
          <w:rFonts w:ascii="Verdana" w:hAnsi="Verdana" w:cs="Arial"/>
          <w:w w:val="95"/>
          <w:sz w:val="20"/>
          <w:szCs w:val="20"/>
          <w:lang w:val="es-CR"/>
        </w:rPr>
        <w:t>O</w:t>
      </w:r>
      <w:r w:rsidRPr="007B0548">
        <w:rPr>
          <w:rFonts w:ascii="Verdana" w:hAnsi="Verdana" w:cs="Arial"/>
          <w:w w:val="95"/>
          <w:sz w:val="20"/>
          <w:szCs w:val="20"/>
          <w:lang w:val="es-CR"/>
        </w:rPr>
        <w:t>culares</w:t>
      </w:r>
      <w:r w:rsidRPr="007B0548">
        <w:rPr>
          <w:rStyle w:val="Refdenotaalpie"/>
          <w:rFonts w:ascii="Verdana" w:hAnsi="Verdana"/>
          <w:w w:val="95"/>
          <w:sz w:val="20"/>
          <w:szCs w:val="20"/>
          <w:lang w:val="es-CR"/>
        </w:rPr>
        <w:footnoteReference w:id="132"/>
      </w:r>
      <w:r w:rsidRPr="007B0548">
        <w:rPr>
          <w:rFonts w:ascii="Verdana" w:hAnsi="Verdana" w:cs="Arial"/>
          <w:w w:val="95"/>
          <w:sz w:val="20"/>
          <w:szCs w:val="20"/>
          <w:lang w:val="es-CR"/>
        </w:rPr>
        <w:t>.</w:t>
      </w:r>
      <w:r w:rsidRPr="002B1610">
        <w:rPr>
          <w:rFonts w:ascii="Verdana" w:hAnsi="Verdana" w:cs="Arial"/>
          <w:w w:val="95"/>
          <w:sz w:val="20"/>
          <w:szCs w:val="20"/>
          <w:lang w:val="es-CR"/>
        </w:rPr>
        <w:t xml:space="preserve"> </w:t>
      </w:r>
    </w:p>
    <w:p w:rsidR="00DF15C3" w:rsidRPr="002B1610" w:rsidRDefault="00DF15C3" w:rsidP="003F26FD">
      <w:pPr>
        <w:pStyle w:val="Prrafodelista"/>
        <w:autoSpaceDE w:val="0"/>
        <w:autoSpaceDN w:val="0"/>
        <w:adjustRightInd w:val="0"/>
        <w:spacing w:after="0" w:line="216" w:lineRule="auto"/>
        <w:ind w:left="-142" w:right="-174"/>
        <w:jc w:val="both"/>
        <w:rPr>
          <w:rFonts w:ascii="Verdana" w:hAnsi="Verdana"/>
          <w:w w:val="95"/>
          <w:sz w:val="20"/>
          <w:szCs w:val="20"/>
          <w:lang w:val="es-CR"/>
        </w:rPr>
      </w:pPr>
    </w:p>
    <w:p w:rsidR="00DF15C3" w:rsidRPr="002B1610" w:rsidRDefault="00DF15C3" w:rsidP="003F26FD">
      <w:pPr>
        <w:pStyle w:val="Prrafodelista"/>
        <w:numPr>
          <w:ilvl w:val="0"/>
          <w:numId w:val="17"/>
        </w:numPr>
        <w:autoSpaceDE w:val="0"/>
        <w:autoSpaceDN w:val="0"/>
        <w:adjustRightInd w:val="0"/>
        <w:spacing w:after="0" w:line="216" w:lineRule="auto"/>
        <w:ind w:left="-142" w:right="-174" w:firstLine="0"/>
        <w:jc w:val="both"/>
        <w:rPr>
          <w:rFonts w:ascii="Verdana" w:hAnsi="Verdana"/>
          <w:w w:val="95"/>
          <w:sz w:val="20"/>
          <w:szCs w:val="20"/>
          <w:lang w:val="es-CR"/>
        </w:rPr>
      </w:pPr>
      <w:r w:rsidRPr="00497E73">
        <w:rPr>
          <w:rFonts w:ascii="Verdana" w:hAnsi="Verdana"/>
          <w:b/>
          <w:i/>
          <w:w w:val="95"/>
          <w:sz w:val="20"/>
          <w:szCs w:val="20"/>
          <w:lang w:val="es-CR"/>
        </w:rPr>
        <w:t>Causa de muerte seg</w:t>
      </w:r>
      <w:r>
        <w:rPr>
          <w:rFonts w:ascii="Verdana" w:hAnsi="Verdana"/>
          <w:b/>
          <w:i/>
          <w:w w:val="95"/>
          <w:sz w:val="20"/>
          <w:szCs w:val="20"/>
          <w:lang w:val="es-CR"/>
        </w:rPr>
        <w:t>ún el certificado de defunción.</w:t>
      </w:r>
      <w:r w:rsidRPr="00497E73">
        <w:rPr>
          <w:rFonts w:ascii="Verdana" w:hAnsi="Verdana"/>
          <w:b/>
          <w:i/>
          <w:w w:val="95"/>
          <w:sz w:val="20"/>
          <w:szCs w:val="20"/>
          <w:lang w:val="es-CR"/>
        </w:rPr>
        <w:t xml:space="preserve">- </w:t>
      </w:r>
      <w:r w:rsidRPr="002B1610">
        <w:rPr>
          <w:rFonts w:ascii="Verdana" w:hAnsi="Verdana"/>
          <w:w w:val="95"/>
          <w:sz w:val="20"/>
          <w:szCs w:val="20"/>
          <w:lang w:val="es-CR"/>
        </w:rPr>
        <w:t>En la certificación de defunción</w:t>
      </w:r>
      <w:r w:rsidR="00030315">
        <w:rPr>
          <w:rFonts w:ascii="Verdana" w:hAnsi="Verdana"/>
          <w:w w:val="95"/>
          <w:sz w:val="20"/>
          <w:szCs w:val="20"/>
          <w:lang w:val="es-CR"/>
        </w:rPr>
        <w:t>,</w:t>
      </w:r>
      <w:r w:rsidRPr="002B1610">
        <w:rPr>
          <w:rFonts w:ascii="Verdana" w:hAnsi="Verdana"/>
          <w:w w:val="95"/>
          <w:sz w:val="20"/>
          <w:szCs w:val="20"/>
          <w:lang w:val="es-CR"/>
        </w:rPr>
        <w:t xml:space="preserve"> realizada el 18 de diciembre de 2001 por un profesional del Servicio Médico Forense del Organismo Judicial, se es</w:t>
      </w:r>
      <w:r>
        <w:rPr>
          <w:rFonts w:ascii="Verdana" w:hAnsi="Verdana"/>
          <w:w w:val="95"/>
          <w:sz w:val="20"/>
          <w:szCs w:val="20"/>
          <w:lang w:val="es-CR"/>
        </w:rPr>
        <w:t>tableció como causa de muerte “[t]</w:t>
      </w:r>
      <w:r w:rsidRPr="002B1610">
        <w:rPr>
          <w:rFonts w:ascii="Verdana" w:hAnsi="Verdana"/>
          <w:w w:val="95"/>
          <w:sz w:val="20"/>
          <w:szCs w:val="20"/>
          <w:lang w:val="es-CR"/>
        </w:rPr>
        <w:t>rauma de cráneo IV grado, herida producida arma blanca”</w:t>
      </w:r>
      <w:r w:rsidRPr="002B1610">
        <w:rPr>
          <w:rStyle w:val="Refdenotaalpie"/>
          <w:rFonts w:ascii="Verdana" w:hAnsi="Verdana"/>
          <w:w w:val="95"/>
          <w:sz w:val="20"/>
          <w:szCs w:val="20"/>
          <w:lang w:val="es-CR"/>
        </w:rPr>
        <w:footnoteReference w:id="133"/>
      </w:r>
      <w:r w:rsidRPr="002B1610">
        <w:rPr>
          <w:rFonts w:ascii="Verdana" w:hAnsi="Verdana"/>
          <w:w w:val="95"/>
          <w:sz w:val="20"/>
          <w:szCs w:val="20"/>
          <w:lang w:val="es-CR"/>
        </w:rPr>
        <w:t>.</w:t>
      </w:r>
    </w:p>
    <w:p w:rsidR="00DF15C3" w:rsidRPr="002B1610" w:rsidRDefault="00DF15C3" w:rsidP="003F26FD">
      <w:pPr>
        <w:pStyle w:val="Prrafodelista"/>
        <w:spacing w:after="0" w:line="216" w:lineRule="auto"/>
        <w:ind w:left="-142" w:right="-174"/>
        <w:jc w:val="both"/>
        <w:rPr>
          <w:rFonts w:ascii="Verdana" w:hAnsi="Verdana"/>
          <w:w w:val="95"/>
          <w:sz w:val="20"/>
          <w:szCs w:val="20"/>
          <w:lang w:val="es-CR"/>
        </w:rPr>
      </w:pPr>
    </w:p>
    <w:p w:rsidR="00DF15C3" w:rsidRPr="002B1610" w:rsidRDefault="00DF15C3" w:rsidP="003F26FD">
      <w:pPr>
        <w:pStyle w:val="Prrafodelista"/>
        <w:numPr>
          <w:ilvl w:val="0"/>
          <w:numId w:val="17"/>
        </w:numPr>
        <w:autoSpaceDE w:val="0"/>
        <w:autoSpaceDN w:val="0"/>
        <w:adjustRightInd w:val="0"/>
        <w:spacing w:after="0" w:line="216" w:lineRule="auto"/>
        <w:ind w:left="-142" w:right="-174" w:firstLine="0"/>
        <w:jc w:val="both"/>
        <w:rPr>
          <w:rFonts w:ascii="Verdana" w:hAnsi="Verdana"/>
          <w:w w:val="95"/>
          <w:sz w:val="20"/>
          <w:szCs w:val="20"/>
          <w:lang w:val="es-CR"/>
        </w:rPr>
      </w:pPr>
      <w:r>
        <w:rPr>
          <w:rFonts w:ascii="Verdana" w:hAnsi="Verdana"/>
          <w:b/>
          <w:i/>
          <w:w w:val="95"/>
          <w:sz w:val="20"/>
          <w:szCs w:val="20"/>
          <w:lang w:val="es-CR"/>
        </w:rPr>
        <w:t>Llamada de informante anónimo.</w:t>
      </w:r>
      <w:r w:rsidRPr="00497E73">
        <w:rPr>
          <w:rFonts w:ascii="Verdana" w:hAnsi="Verdana"/>
          <w:b/>
          <w:i/>
          <w:w w:val="95"/>
          <w:sz w:val="20"/>
          <w:szCs w:val="20"/>
          <w:lang w:val="es-CR"/>
        </w:rPr>
        <w:t>-</w:t>
      </w:r>
      <w:r>
        <w:rPr>
          <w:rFonts w:ascii="Verdana" w:hAnsi="Verdana"/>
          <w:w w:val="95"/>
          <w:sz w:val="20"/>
          <w:szCs w:val="20"/>
          <w:lang w:val="es-CR"/>
        </w:rPr>
        <w:t xml:space="preserve"> </w:t>
      </w:r>
      <w:r w:rsidRPr="002B1610">
        <w:rPr>
          <w:rFonts w:ascii="Verdana" w:hAnsi="Verdana"/>
          <w:w w:val="95"/>
          <w:sz w:val="20"/>
          <w:szCs w:val="20"/>
          <w:lang w:val="es-CR"/>
        </w:rPr>
        <w:t>El 18 de diciembre de 2001</w:t>
      </w:r>
      <w:r w:rsidR="00030315">
        <w:rPr>
          <w:rFonts w:ascii="Verdana" w:hAnsi="Verdana"/>
          <w:w w:val="95"/>
          <w:sz w:val="20"/>
          <w:szCs w:val="20"/>
          <w:lang w:val="es-CR"/>
        </w:rPr>
        <w:t>,</w:t>
      </w:r>
      <w:r w:rsidRPr="002B1610">
        <w:rPr>
          <w:rFonts w:ascii="Verdana" w:hAnsi="Verdana"/>
          <w:w w:val="95"/>
          <w:sz w:val="20"/>
          <w:szCs w:val="20"/>
          <w:lang w:val="es-CR"/>
        </w:rPr>
        <w:t xml:space="preserve"> a las 22:30 horas</w:t>
      </w:r>
      <w:r w:rsidR="00030315">
        <w:rPr>
          <w:rFonts w:ascii="Verdana" w:hAnsi="Verdana"/>
          <w:w w:val="95"/>
          <w:sz w:val="20"/>
          <w:szCs w:val="20"/>
          <w:lang w:val="es-CR"/>
        </w:rPr>
        <w:t>,</w:t>
      </w:r>
      <w:r w:rsidRPr="002B1610">
        <w:rPr>
          <w:rFonts w:ascii="Verdana" w:hAnsi="Verdana"/>
          <w:w w:val="95"/>
          <w:sz w:val="20"/>
          <w:szCs w:val="20"/>
          <w:lang w:val="es-CR"/>
        </w:rPr>
        <w:t xml:space="preserve"> se recibió en el sistema de información confidencial del 110 una llamada de un informante anónimo, quien expresó ser mensajero y que vio el 17 de diciembre de 2001 en horas de la noche, en la 6ta calle 5-24 Colonia Nueva Monserrat, zona 7, a una mujer descender de un vehículo y depositar un costal negro en un matorral que res</w:t>
      </w:r>
      <w:r w:rsidR="00D81C57">
        <w:rPr>
          <w:rFonts w:ascii="Verdana" w:hAnsi="Verdana"/>
          <w:w w:val="95"/>
          <w:sz w:val="20"/>
          <w:szCs w:val="20"/>
          <w:lang w:val="es-CR"/>
        </w:rPr>
        <w:t>ultó ser el cuerpo de una mujer</w:t>
      </w:r>
      <w:r w:rsidRPr="0060474A">
        <w:rPr>
          <w:rFonts w:ascii="Verdana" w:hAnsi="Verdana"/>
          <w:w w:val="95"/>
          <w:sz w:val="20"/>
          <w:szCs w:val="20"/>
          <w:lang w:val="es-CR"/>
        </w:rPr>
        <w:t xml:space="preserve">, y que ante estos </w:t>
      </w:r>
      <w:r w:rsidRPr="002B1610">
        <w:rPr>
          <w:rFonts w:ascii="Verdana" w:hAnsi="Verdana"/>
          <w:w w:val="95"/>
          <w:sz w:val="20"/>
          <w:szCs w:val="20"/>
          <w:lang w:val="es-CR"/>
        </w:rPr>
        <w:t>hechos, siguió el vehículo y observó el momento en que se introdujo en una vivienda en esa misma localidad. Asimismo, manifestó que llamó a la policía luego de que vio en el noticiero nocturno que el cadáver de una mujer había sido encontrado en el lugar donde había visto que tiraron el costal la noche anterior</w:t>
      </w:r>
      <w:r w:rsidRPr="002B1610">
        <w:rPr>
          <w:rStyle w:val="Refdenotaalpie"/>
          <w:rFonts w:ascii="Verdana" w:hAnsi="Verdana"/>
          <w:w w:val="95"/>
          <w:sz w:val="20"/>
          <w:szCs w:val="20"/>
          <w:lang w:val="es-CR"/>
        </w:rPr>
        <w:footnoteReference w:id="134"/>
      </w:r>
      <w:r w:rsidRPr="002B1610">
        <w:rPr>
          <w:rFonts w:ascii="Verdana" w:hAnsi="Verdana"/>
          <w:w w:val="95"/>
          <w:sz w:val="20"/>
          <w:szCs w:val="20"/>
          <w:lang w:val="es-CR"/>
        </w:rPr>
        <w:t xml:space="preserve">.  </w:t>
      </w:r>
    </w:p>
    <w:p w:rsidR="00DF15C3" w:rsidRPr="002B1610" w:rsidRDefault="00DF15C3" w:rsidP="003F26FD">
      <w:pPr>
        <w:pStyle w:val="Prrafodelista"/>
        <w:spacing w:after="0" w:line="216" w:lineRule="auto"/>
        <w:ind w:left="-142" w:right="-174"/>
        <w:rPr>
          <w:rFonts w:ascii="Verdana" w:hAnsi="Verdana"/>
          <w:w w:val="95"/>
          <w:sz w:val="20"/>
          <w:szCs w:val="20"/>
          <w:lang w:val="es-CR"/>
        </w:rPr>
      </w:pPr>
    </w:p>
    <w:p w:rsidR="00DF15C3" w:rsidRPr="002B1610" w:rsidRDefault="00DF15C3" w:rsidP="003F26FD">
      <w:pPr>
        <w:pStyle w:val="Prrafodelista"/>
        <w:numPr>
          <w:ilvl w:val="0"/>
          <w:numId w:val="17"/>
        </w:numPr>
        <w:autoSpaceDE w:val="0"/>
        <w:autoSpaceDN w:val="0"/>
        <w:adjustRightInd w:val="0"/>
        <w:spacing w:after="0" w:line="216" w:lineRule="auto"/>
        <w:ind w:left="-142" w:right="-174" w:firstLine="0"/>
        <w:jc w:val="both"/>
        <w:rPr>
          <w:rFonts w:ascii="Verdana" w:hAnsi="Verdana"/>
          <w:w w:val="95"/>
          <w:sz w:val="20"/>
          <w:szCs w:val="20"/>
          <w:lang w:val="es-CR"/>
        </w:rPr>
      </w:pPr>
      <w:r>
        <w:rPr>
          <w:rFonts w:ascii="Verdana" w:hAnsi="Verdana"/>
          <w:b/>
          <w:i/>
          <w:w w:val="95"/>
          <w:sz w:val="20"/>
          <w:szCs w:val="20"/>
          <w:lang w:val="es-CR"/>
        </w:rPr>
        <w:t>Otras entrevistas.</w:t>
      </w:r>
      <w:r w:rsidRPr="00497E73">
        <w:rPr>
          <w:rFonts w:ascii="Verdana" w:hAnsi="Verdana"/>
          <w:b/>
          <w:i/>
          <w:w w:val="95"/>
          <w:sz w:val="20"/>
          <w:szCs w:val="20"/>
          <w:lang w:val="es-CR"/>
        </w:rPr>
        <w:t>-</w:t>
      </w:r>
      <w:r>
        <w:rPr>
          <w:rFonts w:ascii="Verdana" w:hAnsi="Verdana"/>
          <w:w w:val="95"/>
          <w:sz w:val="20"/>
          <w:szCs w:val="20"/>
          <w:lang w:val="es-CR"/>
        </w:rPr>
        <w:t xml:space="preserve"> </w:t>
      </w:r>
      <w:r w:rsidRPr="002B1610">
        <w:rPr>
          <w:rFonts w:ascii="Verdana" w:hAnsi="Verdana"/>
          <w:w w:val="95"/>
          <w:sz w:val="20"/>
          <w:szCs w:val="20"/>
          <w:lang w:val="es-CR"/>
        </w:rPr>
        <w:t>El 19 de diciembre de 2001</w:t>
      </w:r>
      <w:r w:rsidR="00030315">
        <w:rPr>
          <w:rFonts w:ascii="Verdana" w:hAnsi="Verdana"/>
          <w:w w:val="95"/>
          <w:sz w:val="20"/>
          <w:szCs w:val="20"/>
          <w:lang w:val="es-CR"/>
        </w:rPr>
        <w:t>,</w:t>
      </w:r>
      <w:r w:rsidRPr="002B1610">
        <w:rPr>
          <w:rFonts w:ascii="Verdana" w:hAnsi="Verdana"/>
          <w:w w:val="95"/>
          <w:sz w:val="20"/>
          <w:szCs w:val="20"/>
          <w:lang w:val="es-CR"/>
        </w:rPr>
        <w:t xml:space="preserve"> a las 09:10 horas</w:t>
      </w:r>
      <w:r w:rsidR="00030315">
        <w:rPr>
          <w:rFonts w:ascii="Verdana" w:hAnsi="Verdana"/>
          <w:w w:val="95"/>
          <w:sz w:val="20"/>
          <w:szCs w:val="20"/>
          <w:lang w:val="es-CR"/>
        </w:rPr>
        <w:t>,</w:t>
      </w:r>
      <w:r w:rsidRPr="002B1610">
        <w:rPr>
          <w:rFonts w:ascii="Verdana" w:hAnsi="Verdana"/>
          <w:w w:val="95"/>
          <w:sz w:val="20"/>
          <w:szCs w:val="20"/>
          <w:lang w:val="es-CR"/>
        </w:rPr>
        <w:t xml:space="preserve"> se entrevistó a la abuela de María Isabel, </w:t>
      </w:r>
      <w:r>
        <w:rPr>
          <w:rFonts w:ascii="Verdana" w:hAnsi="Verdana" w:cs="Arial"/>
          <w:w w:val="95"/>
          <w:sz w:val="20"/>
          <w:szCs w:val="20"/>
          <w:lang w:val="es-CR"/>
        </w:rPr>
        <w:t xml:space="preserve">a algunas empleadas del </w:t>
      </w:r>
      <w:r w:rsidRPr="004122E9">
        <w:rPr>
          <w:rFonts w:ascii="Verdana" w:hAnsi="Verdana" w:cs="Calibri"/>
          <w:w w:val="95"/>
          <w:sz w:val="20"/>
          <w:szCs w:val="20"/>
          <w:lang w:val="es-CR"/>
        </w:rPr>
        <w:t xml:space="preserve"> </w:t>
      </w:r>
      <w:r w:rsidRPr="00A0250D">
        <w:rPr>
          <w:rFonts w:ascii="Verdana" w:hAnsi="Verdana" w:cs="Calibri"/>
          <w:w w:val="95"/>
          <w:sz w:val="20"/>
          <w:szCs w:val="20"/>
          <w:lang w:val="es-CR"/>
        </w:rPr>
        <w:t>“</w:t>
      </w:r>
      <w:r>
        <w:rPr>
          <w:rFonts w:ascii="Verdana" w:hAnsi="Verdana" w:cs="Arial"/>
          <w:w w:val="95"/>
          <w:sz w:val="20"/>
          <w:szCs w:val="20"/>
          <w:lang w:val="es-CR"/>
        </w:rPr>
        <w:t>Almacén Taxi”</w:t>
      </w:r>
      <w:r w:rsidRPr="002B1610">
        <w:rPr>
          <w:rStyle w:val="Refdenotaalpie"/>
          <w:rFonts w:ascii="Verdana" w:hAnsi="Verdana"/>
          <w:w w:val="95"/>
          <w:sz w:val="20"/>
          <w:szCs w:val="20"/>
          <w:lang w:val="es-CR"/>
        </w:rPr>
        <w:footnoteReference w:id="135"/>
      </w:r>
      <w:r w:rsidRPr="002B1610">
        <w:rPr>
          <w:rFonts w:ascii="Verdana" w:hAnsi="Verdana" w:cs="Arial"/>
          <w:w w:val="95"/>
          <w:sz w:val="20"/>
          <w:szCs w:val="20"/>
          <w:lang w:val="es-CR"/>
        </w:rPr>
        <w:t xml:space="preserve">, y a vecinos del inmueble en el </w:t>
      </w:r>
      <w:r w:rsidRPr="00FC71E6">
        <w:rPr>
          <w:rFonts w:ascii="Verdana" w:hAnsi="Verdana" w:cs="Arial"/>
          <w:w w:val="95"/>
          <w:sz w:val="20"/>
          <w:szCs w:val="20"/>
          <w:lang w:val="es-CR"/>
        </w:rPr>
        <w:t>que supuestamente</w:t>
      </w:r>
      <w:r w:rsidRPr="002B1610">
        <w:rPr>
          <w:rFonts w:ascii="Verdana" w:hAnsi="Verdana" w:cs="Arial"/>
          <w:w w:val="95"/>
          <w:sz w:val="20"/>
          <w:szCs w:val="20"/>
          <w:lang w:val="es-CR"/>
        </w:rPr>
        <w:t xml:space="preserve"> ingresó el automóvil utilizado para trasladar el cuerpo</w:t>
      </w:r>
      <w:r>
        <w:rPr>
          <w:rFonts w:ascii="Verdana" w:hAnsi="Verdana" w:cs="Arial"/>
          <w:w w:val="95"/>
          <w:sz w:val="20"/>
          <w:szCs w:val="20"/>
          <w:lang w:val="es-CR"/>
        </w:rPr>
        <w:t>.</w:t>
      </w:r>
      <w:r w:rsidRPr="002B1610">
        <w:rPr>
          <w:rFonts w:ascii="Verdana" w:hAnsi="Verdana" w:cs="Arial"/>
          <w:b/>
          <w:w w:val="95"/>
          <w:sz w:val="20"/>
          <w:szCs w:val="20"/>
          <w:lang w:val="es-CR"/>
        </w:rPr>
        <w:t xml:space="preserve"> </w:t>
      </w:r>
    </w:p>
    <w:p w:rsidR="00DF15C3" w:rsidRPr="002B1610" w:rsidRDefault="00DF15C3" w:rsidP="003F26FD">
      <w:pPr>
        <w:pStyle w:val="Prrafodelista"/>
        <w:autoSpaceDE w:val="0"/>
        <w:autoSpaceDN w:val="0"/>
        <w:adjustRightInd w:val="0"/>
        <w:spacing w:after="0" w:line="216" w:lineRule="auto"/>
        <w:ind w:left="-142" w:right="-174"/>
        <w:jc w:val="both"/>
        <w:rPr>
          <w:rFonts w:ascii="Verdana" w:hAnsi="Verdana"/>
          <w:w w:val="95"/>
          <w:sz w:val="20"/>
          <w:szCs w:val="20"/>
          <w:lang w:val="es-CR"/>
        </w:rPr>
      </w:pPr>
    </w:p>
    <w:p w:rsidR="00DF15C3" w:rsidRPr="000D46AB" w:rsidRDefault="00DF15C3" w:rsidP="003F26FD">
      <w:pPr>
        <w:pStyle w:val="Prrafodelista"/>
        <w:numPr>
          <w:ilvl w:val="0"/>
          <w:numId w:val="17"/>
        </w:numPr>
        <w:autoSpaceDE w:val="0"/>
        <w:autoSpaceDN w:val="0"/>
        <w:adjustRightInd w:val="0"/>
        <w:spacing w:after="0" w:line="216" w:lineRule="auto"/>
        <w:ind w:left="-142" w:right="-174" w:firstLine="0"/>
        <w:jc w:val="both"/>
        <w:rPr>
          <w:rFonts w:ascii="Verdana" w:hAnsi="Verdana"/>
          <w:w w:val="95"/>
          <w:sz w:val="20"/>
          <w:szCs w:val="20"/>
          <w:lang w:val="es-CR"/>
        </w:rPr>
      </w:pPr>
      <w:r w:rsidRPr="00497E73">
        <w:rPr>
          <w:rFonts w:ascii="Verdana" w:hAnsi="Verdana" w:cs="Arial"/>
          <w:b/>
          <w:i/>
          <w:w w:val="95"/>
          <w:sz w:val="20"/>
          <w:szCs w:val="20"/>
          <w:lang w:val="es-CR"/>
        </w:rPr>
        <w:t>Designac</w:t>
      </w:r>
      <w:r>
        <w:rPr>
          <w:rFonts w:ascii="Verdana" w:hAnsi="Verdana" w:cs="Arial"/>
          <w:b/>
          <w:i/>
          <w:w w:val="95"/>
          <w:sz w:val="20"/>
          <w:szCs w:val="20"/>
          <w:lang w:val="es-CR"/>
        </w:rPr>
        <w:t>ión de equipo de especialistas.</w:t>
      </w:r>
      <w:r w:rsidRPr="00497E73">
        <w:rPr>
          <w:rFonts w:ascii="Verdana" w:hAnsi="Verdana" w:cs="Arial"/>
          <w:b/>
          <w:i/>
          <w:w w:val="95"/>
          <w:sz w:val="20"/>
          <w:szCs w:val="20"/>
          <w:lang w:val="es-CR"/>
        </w:rPr>
        <w:t>-</w:t>
      </w:r>
      <w:r>
        <w:rPr>
          <w:rFonts w:ascii="Verdana" w:hAnsi="Verdana" w:cs="Arial"/>
          <w:w w:val="95"/>
          <w:sz w:val="20"/>
          <w:szCs w:val="20"/>
          <w:lang w:val="es-CR"/>
        </w:rPr>
        <w:t xml:space="preserve"> </w:t>
      </w:r>
      <w:r w:rsidRPr="002B1610">
        <w:rPr>
          <w:rFonts w:ascii="Verdana" w:hAnsi="Verdana" w:cs="Arial"/>
          <w:w w:val="95"/>
          <w:sz w:val="20"/>
          <w:szCs w:val="20"/>
          <w:lang w:val="es-CR"/>
        </w:rPr>
        <w:t>Ese mismo 19 de diciembre de 2001 el Auxiliar Fiscal</w:t>
      </w:r>
      <w:r w:rsidRPr="002B1610">
        <w:rPr>
          <w:rFonts w:ascii="Verdana" w:hAnsi="Verdana" w:cs="Arial"/>
          <w:b/>
          <w:w w:val="95"/>
          <w:sz w:val="20"/>
          <w:szCs w:val="20"/>
          <w:lang w:val="es-CR"/>
        </w:rPr>
        <w:t xml:space="preserve"> </w:t>
      </w:r>
      <w:r w:rsidRPr="002B1610">
        <w:rPr>
          <w:rFonts w:ascii="Verdana" w:hAnsi="Verdana" w:cs="Arial"/>
          <w:w w:val="95"/>
          <w:sz w:val="20"/>
          <w:szCs w:val="20"/>
          <w:lang w:val="es-CR"/>
        </w:rPr>
        <w:t>de la Fiscalía Distrital Metropolitana se dirigió al Jefe de la Dirección de</w:t>
      </w:r>
      <w:r w:rsidRPr="002B1610">
        <w:rPr>
          <w:rFonts w:ascii="Verdana" w:hAnsi="Verdana"/>
          <w:w w:val="95"/>
          <w:sz w:val="20"/>
          <w:szCs w:val="20"/>
          <w:lang w:val="es-CR"/>
        </w:rPr>
        <w:t xml:space="preserve"> </w:t>
      </w:r>
      <w:r w:rsidRPr="002B1610">
        <w:rPr>
          <w:rFonts w:ascii="Verdana" w:hAnsi="Verdana" w:cs="Arial"/>
          <w:w w:val="95"/>
          <w:sz w:val="20"/>
          <w:szCs w:val="20"/>
          <w:lang w:val="es-CR"/>
        </w:rPr>
        <w:t>Investigaciones Criminalísticas para solicitarle que</w:t>
      </w:r>
      <w:r w:rsidRPr="002B1610">
        <w:rPr>
          <w:rFonts w:ascii="Verdana" w:hAnsi="Verdana"/>
          <w:w w:val="95"/>
          <w:sz w:val="20"/>
          <w:szCs w:val="20"/>
          <w:lang w:val="es-CR"/>
        </w:rPr>
        <w:t xml:space="preserve"> “[d]</w:t>
      </w:r>
      <w:r w:rsidRPr="002B1610">
        <w:rPr>
          <w:rFonts w:ascii="Verdana" w:hAnsi="Verdana" w:cs="Arial"/>
          <w:w w:val="95"/>
          <w:sz w:val="20"/>
          <w:szCs w:val="20"/>
          <w:lang w:val="es-CR"/>
        </w:rPr>
        <w:t>esigne un equipo de especialista[s] en la escena del Crimen, con el objeto de</w:t>
      </w:r>
      <w:r w:rsidRPr="002B1610">
        <w:rPr>
          <w:rFonts w:ascii="Verdana" w:hAnsi="Verdana"/>
          <w:w w:val="95"/>
          <w:sz w:val="20"/>
          <w:szCs w:val="20"/>
          <w:lang w:val="es-CR"/>
        </w:rPr>
        <w:t xml:space="preserve"> </w:t>
      </w:r>
      <w:r w:rsidRPr="002B1610">
        <w:rPr>
          <w:rFonts w:ascii="Verdana" w:hAnsi="Verdana" w:cs="Arial"/>
          <w:w w:val="95"/>
          <w:sz w:val="20"/>
          <w:szCs w:val="20"/>
          <w:lang w:val="es-CR"/>
        </w:rPr>
        <w:t>recolectar evidencias (ropas), las cuales estaban en poder de la madre de la víctima”</w:t>
      </w:r>
      <w:r>
        <w:rPr>
          <w:rFonts w:ascii="Verdana" w:hAnsi="Verdana" w:cs="Arial"/>
          <w:w w:val="95"/>
          <w:sz w:val="20"/>
          <w:szCs w:val="20"/>
          <w:lang w:val="es-CR"/>
        </w:rPr>
        <w:t xml:space="preserve"> para </w:t>
      </w:r>
      <w:r w:rsidRPr="002B1610">
        <w:rPr>
          <w:rFonts w:ascii="Verdana" w:hAnsi="Verdana" w:cs="Arial"/>
          <w:w w:val="95"/>
          <w:sz w:val="20"/>
          <w:szCs w:val="20"/>
          <w:lang w:val="es-CR"/>
        </w:rPr>
        <w:t>que se practicaran los peritajes correspondientes, en busca de muestras de sangre, cabellos, vellos púbicos, semen y cualquier otro elemento que pueda ser incorporado como elemento probatorio.</w:t>
      </w:r>
      <w:r w:rsidRPr="002B1610">
        <w:rPr>
          <w:rFonts w:ascii="Verdana" w:hAnsi="Verdana" w:cs="Arial"/>
          <w:b/>
          <w:w w:val="95"/>
          <w:sz w:val="20"/>
          <w:szCs w:val="20"/>
          <w:lang w:val="es-CR"/>
        </w:rPr>
        <w:t xml:space="preserve"> </w:t>
      </w:r>
      <w:r>
        <w:rPr>
          <w:rFonts w:ascii="Verdana" w:hAnsi="Verdana" w:cs="Arial"/>
          <w:w w:val="95"/>
          <w:sz w:val="20"/>
          <w:szCs w:val="20"/>
          <w:lang w:val="es-CR"/>
        </w:rPr>
        <w:t xml:space="preserve">La </w:t>
      </w:r>
      <w:r w:rsidRPr="002B1610">
        <w:rPr>
          <w:rFonts w:ascii="Verdana" w:hAnsi="Verdana" w:cs="Arial"/>
          <w:w w:val="95"/>
          <w:sz w:val="20"/>
          <w:szCs w:val="20"/>
          <w:lang w:val="es-CR"/>
        </w:rPr>
        <w:t>recolección de las evidencias encontradas en el lugar donde apareció el cadáver se realizó en “</w:t>
      </w:r>
      <w:r w:rsidR="00F77273" w:rsidRPr="00F77273">
        <w:rPr>
          <w:rFonts w:ascii="Verdana" w:hAnsi="Verdana" w:cs="Arial"/>
          <w:w w:val="95"/>
          <w:sz w:val="20"/>
          <w:szCs w:val="20"/>
          <w:lang w:val="es-CR"/>
        </w:rPr>
        <w:t>Funerales Mancilla S.A.”,</w:t>
      </w:r>
      <w:r w:rsidRPr="00645702">
        <w:rPr>
          <w:rFonts w:ascii="Verdana" w:hAnsi="Verdana" w:cs="Arial"/>
          <w:w w:val="95"/>
          <w:sz w:val="20"/>
          <w:szCs w:val="20"/>
          <w:lang w:val="es-CR"/>
        </w:rPr>
        <w:t xml:space="preserve"> lugar</w:t>
      </w:r>
      <w:r w:rsidRPr="002B1610">
        <w:rPr>
          <w:rFonts w:ascii="Verdana" w:hAnsi="Verdana"/>
          <w:w w:val="95"/>
          <w:sz w:val="20"/>
          <w:szCs w:val="20"/>
          <w:lang w:val="es-CR"/>
        </w:rPr>
        <w:t xml:space="preserve"> </w:t>
      </w:r>
      <w:r w:rsidRPr="002B1610">
        <w:rPr>
          <w:rFonts w:ascii="Verdana" w:hAnsi="Verdana" w:cs="Arial"/>
          <w:w w:val="95"/>
          <w:sz w:val="20"/>
          <w:szCs w:val="20"/>
          <w:lang w:val="es-CR"/>
        </w:rPr>
        <w:t>donde los familiares de María Isabel velaban su cuerpo y su madre tenía sus ropas</w:t>
      </w:r>
      <w:r w:rsidRPr="002B1610">
        <w:rPr>
          <w:rStyle w:val="Refdenotaalpie"/>
          <w:rFonts w:ascii="Verdana" w:hAnsi="Verdana" w:cs="Arial"/>
          <w:w w:val="95"/>
          <w:sz w:val="20"/>
          <w:szCs w:val="20"/>
          <w:lang w:val="es-CR"/>
        </w:rPr>
        <w:footnoteReference w:id="136"/>
      </w:r>
      <w:r w:rsidRPr="002B1610">
        <w:rPr>
          <w:rFonts w:ascii="Verdana" w:hAnsi="Verdana" w:cs="Arial"/>
          <w:w w:val="95"/>
          <w:sz w:val="20"/>
          <w:szCs w:val="20"/>
          <w:lang w:val="es-CR"/>
        </w:rPr>
        <w:t>.</w:t>
      </w:r>
      <w:r w:rsidRPr="002B1610">
        <w:rPr>
          <w:rFonts w:ascii="Verdana" w:hAnsi="Verdana"/>
          <w:w w:val="95"/>
          <w:sz w:val="20"/>
          <w:szCs w:val="20"/>
          <w:lang w:val="es-CR"/>
        </w:rPr>
        <w:t xml:space="preserve"> </w:t>
      </w:r>
    </w:p>
    <w:p w:rsidR="00DF15C3" w:rsidRPr="000D46AB" w:rsidRDefault="00DF15C3" w:rsidP="003F26FD">
      <w:pPr>
        <w:autoSpaceDE w:val="0"/>
        <w:autoSpaceDN w:val="0"/>
        <w:adjustRightInd w:val="0"/>
        <w:spacing w:after="0" w:line="216" w:lineRule="auto"/>
        <w:ind w:right="-174"/>
        <w:jc w:val="both"/>
        <w:rPr>
          <w:rFonts w:ascii="Verdana" w:hAnsi="Verdana"/>
          <w:w w:val="95"/>
          <w:sz w:val="20"/>
          <w:szCs w:val="20"/>
          <w:lang w:val="es-CR"/>
        </w:rPr>
      </w:pPr>
    </w:p>
    <w:p w:rsidR="00DF15C3" w:rsidRPr="00B457A2" w:rsidRDefault="00DF15C3" w:rsidP="003F26FD">
      <w:pPr>
        <w:pStyle w:val="Ttulo3"/>
        <w:spacing w:before="0" w:line="216" w:lineRule="auto"/>
        <w:ind w:left="567" w:right="-174"/>
        <w:rPr>
          <w:rFonts w:ascii="Verdana" w:hAnsi="Verdana"/>
          <w:i/>
          <w:color w:val="auto"/>
          <w:w w:val="95"/>
          <w:sz w:val="20"/>
        </w:rPr>
      </w:pPr>
      <w:bookmarkStart w:id="77" w:name="_Toc394313666"/>
      <w:r w:rsidRPr="00B457A2">
        <w:rPr>
          <w:rFonts w:ascii="Verdana" w:hAnsi="Verdana"/>
          <w:i/>
          <w:color w:val="auto"/>
          <w:w w:val="95"/>
          <w:sz w:val="20"/>
        </w:rPr>
        <w:t>B.3) Actuaciones posteriores</w:t>
      </w:r>
      <w:bookmarkEnd w:id="77"/>
      <w:r w:rsidRPr="00B457A2">
        <w:rPr>
          <w:rFonts w:ascii="Verdana" w:hAnsi="Verdana"/>
          <w:i/>
          <w:color w:val="auto"/>
          <w:w w:val="95"/>
          <w:sz w:val="20"/>
        </w:rPr>
        <w:t xml:space="preserve"> </w:t>
      </w:r>
    </w:p>
    <w:p w:rsidR="00DF15C3" w:rsidRPr="00651F65" w:rsidRDefault="00DF15C3" w:rsidP="003F26FD">
      <w:pPr>
        <w:pStyle w:val="Prrafodelista"/>
        <w:autoSpaceDE w:val="0"/>
        <w:autoSpaceDN w:val="0"/>
        <w:adjustRightInd w:val="0"/>
        <w:spacing w:after="0" w:line="216" w:lineRule="auto"/>
        <w:ind w:left="-142" w:right="-174"/>
        <w:jc w:val="both"/>
        <w:rPr>
          <w:rFonts w:ascii="Verdana" w:hAnsi="Verdana" w:cs="Arial"/>
          <w:w w:val="95"/>
          <w:sz w:val="20"/>
          <w:szCs w:val="20"/>
          <w:lang w:val="es-CR"/>
        </w:rPr>
      </w:pPr>
    </w:p>
    <w:p w:rsidR="00DF15C3" w:rsidRPr="00E728A2" w:rsidRDefault="00DF15C3" w:rsidP="003F26FD">
      <w:pPr>
        <w:pStyle w:val="Prrafodelista"/>
        <w:numPr>
          <w:ilvl w:val="0"/>
          <w:numId w:val="17"/>
        </w:numPr>
        <w:autoSpaceDE w:val="0"/>
        <w:autoSpaceDN w:val="0"/>
        <w:adjustRightInd w:val="0"/>
        <w:spacing w:after="0" w:line="216" w:lineRule="auto"/>
        <w:ind w:left="-142" w:right="-174" w:firstLine="0"/>
        <w:jc w:val="both"/>
        <w:rPr>
          <w:rFonts w:ascii="Verdana" w:hAnsi="Verdana"/>
          <w:w w:val="95"/>
          <w:sz w:val="20"/>
          <w:szCs w:val="20"/>
          <w:lang w:val="es-CR"/>
        </w:rPr>
      </w:pPr>
      <w:r w:rsidRPr="00E728A2">
        <w:rPr>
          <w:rFonts w:ascii="Verdana" w:hAnsi="Verdana" w:cs="Arial"/>
          <w:w w:val="95"/>
          <w:sz w:val="20"/>
          <w:szCs w:val="20"/>
          <w:lang w:val="es-CR"/>
        </w:rPr>
        <w:t>Con posterioridad se han</w:t>
      </w:r>
      <w:r w:rsidRPr="00E728A2">
        <w:rPr>
          <w:rFonts w:ascii="Verdana" w:hAnsi="Verdana"/>
          <w:w w:val="95"/>
          <w:sz w:val="20"/>
          <w:szCs w:val="20"/>
          <w:lang w:val="es-CR"/>
        </w:rPr>
        <w:t xml:space="preserve"> continuado realizando diligencias tendientes a la averiguación de los hechos, pero no han producido resultados positivos. En consecuencia, a la fecha de la presente Sentencia las actuaciones respectivas aún se encuentran en la etapa preparatoria o de investigación. </w:t>
      </w:r>
    </w:p>
    <w:p w:rsidR="00DF15C3" w:rsidRDefault="00DF15C3" w:rsidP="003F26FD">
      <w:pPr>
        <w:pStyle w:val="Prrafodelista"/>
        <w:spacing w:after="0" w:line="216" w:lineRule="auto"/>
        <w:ind w:left="-142" w:right="-174"/>
        <w:jc w:val="both"/>
        <w:rPr>
          <w:rFonts w:ascii="Verdana" w:hAnsi="Verdana"/>
          <w:w w:val="95"/>
          <w:sz w:val="20"/>
          <w:szCs w:val="20"/>
          <w:lang w:val="es-CR"/>
        </w:rPr>
      </w:pPr>
    </w:p>
    <w:p w:rsidR="00DF15C3" w:rsidRPr="00C05BE2" w:rsidRDefault="00DF15C3" w:rsidP="003F26FD">
      <w:pPr>
        <w:pStyle w:val="Prrafodelista"/>
        <w:numPr>
          <w:ilvl w:val="0"/>
          <w:numId w:val="17"/>
        </w:numPr>
        <w:spacing w:after="0" w:line="216" w:lineRule="auto"/>
        <w:ind w:left="-142" w:right="-174" w:firstLine="0"/>
        <w:jc w:val="both"/>
        <w:rPr>
          <w:rFonts w:ascii="Verdana" w:hAnsi="Verdana"/>
          <w:w w:val="95"/>
          <w:sz w:val="20"/>
          <w:szCs w:val="20"/>
          <w:lang w:val="es-CR"/>
        </w:rPr>
      </w:pPr>
      <w:r w:rsidRPr="00497E73">
        <w:rPr>
          <w:rFonts w:ascii="Verdana" w:hAnsi="Verdana" w:cs="Calibri"/>
          <w:b/>
          <w:i/>
          <w:w w:val="95"/>
          <w:sz w:val="20"/>
          <w:szCs w:val="20"/>
          <w:lang w:val="es-CR"/>
        </w:rPr>
        <w:t>Co</w:t>
      </w:r>
      <w:r>
        <w:rPr>
          <w:rFonts w:ascii="Verdana" w:hAnsi="Verdana" w:cs="Calibri"/>
          <w:b/>
          <w:i/>
          <w:w w:val="95"/>
          <w:sz w:val="20"/>
          <w:szCs w:val="20"/>
          <w:lang w:val="es-CR"/>
        </w:rPr>
        <w:t>nflicto de competencia.</w:t>
      </w:r>
      <w:r w:rsidR="000355DF">
        <w:rPr>
          <w:rFonts w:ascii="Verdana" w:hAnsi="Verdana" w:cs="Calibri"/>
          <w:b/>
          <w:i/>
          <w:w w:val="95"/>
          <w:sz w:val="20"/>
          <w:szCs w:val="20"/>
          <w:lang w:val="es-CR"/>
        </w:rPr>
        <w:t>-</w:t>
      </w:r>
      <w:r>
        <w:rPr>
          <w:rFonts w:ascii="Verdana" w:hAnsi="Verdana" w:cs="Calibri"/>
          <w:w w:val="95"/>
          <w:sz w:val="20"/>
          <w:szCs w:val="20"/>
          <w:lang w:val="es-CR"/>
        </w:rPr>
        <w:t xml:space="preserve"> </w:t>
      </w:r>
      <w:r w:rsidRPr="00E728A2">
        <w:rPr>
          <w:rFonts w:ascii="Verdana" w:hAnsi="Verdana" w:cs="Calibri"/>
          <w:w w:val="95"/>
          <w:sz w:val="20"/>
          <w:szCs w:val="20"/>
          <w:lang w:val="es-CR"/>
        </w:rPr>
        <w:t>En la etapa inicia</w:t>
      </w:r>
      <w:r>
        <w:rPr>
          <w:rFonts w:ascii="Verdana" w:hAnsi="Verdana" w:cs="Calibri"/>
          <w:w w:val="95"/>
          <w:sz w:val="20"/>
          <w:szCs w:val="20"/>
          <w:lang w:val="es-CR"/>
        </w:rPr>
        <w:t>l</w:t>
      </w:r>
      <w:r w:rsidRPr="00E728A2">
        <w:rPr>
          <w:rFonts w:ascii="Verdana" w:hAnsi="Verdana" w:cs="Calibri"/>
          <w:w w:val="95"/>
          <w:sz w:val="20"/>
          <w:szCs w:val="20"/>
          <w:lang w:val="es-CR"/>
        </w:rPr>
        <w:t xml:space="preserve"> hubo una demora de varios meses a causa de un conflicto de competencia entre dos juzgados:</w:t>
      </w:r>
      <w:r>
        <w:rPr>
          <w:rFonts w:ascii="Verdana" w:hAnsi="Verdana" w:cs="Calibri"/>
          <w:w w:val="95"/>
          <w:sz w:val="20"/>
          <w:szCs w:val="20"/>
          <w:lang w:val="es-CR"/>
        </w:rPr>
        <w:t xml:space="preserve"> </w:t>
      </w:r>
    </w:p>
    <w:p w:rsidR="00DF15C3" w:rsidRPr="00651F65" w:rsidRDefault="00DF15C3" w:rsidP="003F26FD">
      <w:pPr>
        <w:spacing w:after="0" w:line="216" w:lineRule="auto"/>
        <w:ind w:right="-174"/>
        <w:jc w:val="both"/>
        <w:rPr>
          <w:rFonts w:ascii="Verdana" w:hAnsi="Verdana" w:cs="Calibri"/>
          <w:i/>
          <w:w w:val="95"/>
          <w:sz w:val="20"/>
          <w:szCs w:val="20"/>
          <w:lang w:val="es-CR"/>
        </w:rPr>
      </w:pPr>
    </w:p>
    <w:p w:rsidR="00DF15C3" w:rsidRDefault="00DF15C3" w:rsidP="003F26FD">
      <w:pPr>
        <w:pStyle w:val="Prrafodelista"/>
        <w:numPr>
          <w:ilvl w:val="1"/>
          <w:numId w:val="17"/>
        </w:numPr>
        <w:spacing w:after="0" w:line="216" w:lineRule="auto"/>
        <w:ind w:left="720" w:right="-174" w:firstLine="0"/>
        <w:jc w:val="both"/>
        <w:rPr>
          <w:rFonts w:ascii="Verdana" w:hAnsi="Verdana" w:cs="Calibri"/>
          <w:w w:val="95"/>
          <w:sz w:val="20"/>
          <w:szCs w:val="20"/>
          <w:lang w:val="es-CR"/>
        </w:rPr>
      </w:pPr>
      <w:r w:rsidRPr="003622B1">
        <w:rPr>
          <w:rFonts w:ascii="Verdana" w:hAnsi="Verdana" w:cs="Calibri"/>
          <w:w w:val="95"/>
          <w:sz w:val="20"/>
          <w:szCs w:val="20"/>
          <w:lang w:val="es-CR"/>
        </w:rPr>
        <w:lastRenderedPageBreak/>
        <w:t xml:space="preserve"> en un inicio el Juzgado que conoció la causa </w:t>
      </w:r>
      <w:r w:rsidRPr="00645702">
        <w:rPr>
          <w:rFonts w:ascii="Verdana" w:hAnsi="Verdana" w:cs="Calibri"/>
          <w:w w:val="95"/>
          <w:sz w:val="20"/>
          <w:szCs w:val="20"/>
          <w:lang w:val="es-CR"/>
        </w:rPr>
        <w:t xml:space="preserve">fue </w:t>
      </w:r>
      <w:r w:rsidR="00F77273" w:rsidRPr="00F77273">
        <w:rPr>
          <w:rFonts w:ascii="Verdana" w:hAnsi="Verdana" w:cs="Calibri"/>
          <w:w w:val="95"/>
          <w:sz w:val="20"/>
          <w:szCs w:val="20"/>
          <w:lang w:val="es-CR"/>
        </w:rPr>
        <w:t>el Juzgado Octavo de Guatemala</w:t>
      </w:r>
      <w:r w:rsidRPr="003622B1">
        <w:rPr>
          <w:rFonts w:ascii="Verdana" w:hAnsi="Verdana" w:cs="Calibri"/>
          <w:w w:val="95"/>
          <w:sz w:val="20"/>
          <w:szCs w:val="20"/>
          <w:lang w:val="es-CR"/>
        </w:rPr>
        <w:t xml:space="preserve">; </w:t>
      </w:r>
    </w:p>
    <w:p w:rsidR="00DF15C3" w:rsidRDefault="00DF15C3" w:rsidP="003F26FD">
      <w:pPr>
        <w:pStyle w:val="Prrafodelista"/>
        <w:numPr>
          <w:ilvl w:val="1"/>
          <w:numId w:val="17"/>
        </w:numPr>
        <w:spacing w:after="0" w:line="216" w:lineRule="auto"/>
        <w:ind w:left="720" w:right="-174" w:firstLine="0"/>
        <w:jc w:val="both"/>
        <w:rPr>
          <w:rFonts w:ascii="Verdana" w:hAnsi="Verdana" w:cs="Calibri"/>
          <w:w w:val="95"/>
          <w:sz w:val="20"/>
          <w:szCs w:val="20"/>
          <w:lang w:val="es-CR"/>
        </w:rPr>
      </w:pPr>
      <w:r w:rsidRPr="003622B1">
        <w:rPr>
          <w:rFonts w:ascii="Verdana" w:hAnsi="Verdana" w:cs="Calibri"/>
          <w:w w:val="95"/>
          <w:sz w:val="20"/>
          <w:szCs w:val="20"/>
          <w:lang w:val="es-CR"/>
        </w:rPr>
        <w:t xml:space="preserve"> el 11 de marzo de 2002 dicho Juzgado se inhibió de conocer el caso por presumirse que el hecho ocurrió en la 2da. Av. y 4ta. calle de San Cristóbal zona 8 de Mixco, ya que en ese lugar se encontró el cuerpo de María Isabel y remitió las actuaciones al Juzgado Primero de Mixco para que resolviera el asunto</w:t>
      </w:r>
      <w:r w:rsidRPr="00D81C57">
        <w:rPr>
          <w:rFonts w:ascii="Verdana" w:hAnsi="Verdana"/>
          <w:sz w:val="20"/>
          <w:szCs w:val="20"/>
          <w:vertAlign w:val="superscript"/>
          <w:lang w:val="es-CR"/>
        </w:rPr>
        <w:footnoteReference w:id="137"/>
      </w:r>
      <w:r w:rsidRPr="003622B1">
        <w:rPr>
          <w:rFonts w:ascii="Verdana" w:hAnsi="Verdana" w:cs="Calibri"/>
          <w:w w:val="95"/>
          <w:sz w:val="20"/>
          <w:szCs w:val="20"/>
          <w:lang w:val="es-CR"/>
        </w:rPr>
        <w:t xml:space="preserve">; </w:t>
      </w:r>
    </w:p>
    <w:p w:rsidR="00DF15C3" w:rsidRDefault="00DF15C3" w:rsidP="003F26FD">
      <w:pPr>
        <w:pStyle w:val="Prrafodelista"/>
        <w:numPr>
          <w:ilvl w:val="1"/>
          <w:numId w:val="17"/>
        </w:numPr>
        <w:spacing w:after="0" w:line="216" w:lineRule="auto"/>
        <w:ind w:left="720" w:right="-174" w:firstLine="0"/>
        <w:jc w:val="both"/>
        <w:rPr>
          <w:rFonts w:ascii="Verdana" w:hAnsi="Verdana" w:cs="Calibri"/>
          <w:w w:val="95"/>
          <w:sz w:val="20"/>
          <w:szCs w:val="20"/>
          <w:lang w:val="es-CR"/>
        </w:rPr>
      </w:pPr>
      <w:r w:rsidRPr="003622B1">
        <w:rPr>
          <w:rFonts w:ascii="Verdana" w:hAnsi="Verdana" w:cs="Calibri"/>
          <w:w w:val="95"/>
          <w:sz w:val="20"/>
          <w:szCs w:val="20"/>
          <w:lang w:val="es-CR"/>
        </w:rPr>
        <w:t xml:space="preserve"> el Juzgado Primero de Mixco tomó control de las actuaciones el 26 de marzo de 2002 y resolvió autorizar la obtención de información de las empresas de telecomunicaciones solicitada por el Ministerio Público</w:t>
      </w:r>
      <w:r w:rsidRPr="00D81C57">
        <w:rPr>
          <w:rFonts w:ascii="Verdana" w:hAnsi="Verdana"/>
          <w:sz w:val="20"/>
          <w:szCs w:val="20"/>
          <w:vertAlign w:val="superscript"/>
          <w:lang w:val="es-CR"/>
        </w:rPr>
        <w:footnoteReference w:id="138"/>
      </w:r>
      <w:r w:rsidRPr="003622B1">
        <w:rPr>
          <w:rFonts w:ascii="Verdana" w:hAnsi="Verdana" w:cs="Calibri"/>
          <w:w w:val="95"/>
          <w:sz w:val="20"/>
          <w:szCs w:val="20"/>
          <w:lang w:val="es-CR"/>
        </w:rPr>
        <w:t xml:space="preserve">; </w:t>
      </w:r>
    </w:p>
    <w:p w:rsidR="00DF15C3" w:rsidRPr="009C371B" w:rsidRDefault="00DF15C3" w:rsidP="003F26FD">
      <w:pPr>
        <w:pStyle w:val="Prrafodelista"/>
        <w:numPr>
          <w:ilvl w:val="1"/>
          <w:numId w:val="17"/>
        </w:numPr>
        <w:spacing w:after="0" w:line="216" w:lineRule="auto"/>
        <w:ind w:left="720" w:right="-174" w:firstLine="0"/>
        <w:jc w:val="both"/>
        <w:rPr>
          <w:rFonts w:ascii="Verdana" w:hAnsi="Verdana" w:cs="Calibri"/>
          <w:w w:val="95"/>
          <w:sz w:val="20"/>
          <w:szCs w:val="20"/>
          <w:lang w:val="es-CR"/>
        </w:rPr>
      </w:pPr>
      <w:r w:rsidRPr="003622B1">
        <w:rPr>
          <w:rFonts w:ascii="Verdana" w:hAnsi="Verdana" w:cs="Calibri"/>
          <w:w w:val="95"/>
          <w:sz w:val="20"/>
          <w:szCs w:val="20"/>
          <w:lang w:val="es-CR"/>
        </w:rPr>
        <w:t xml:space="preserve"> el 17 de mayo de 2002 el Agente Fiscal de la Agencia No. 32 de Guatemala se inhibió de conocer el caso debido a que el 11 de marzo de 2002 el Juzgado Octavo de Guatemala también </w:t>
      </w:r>
      <w:r w:rsidRPr="00645702">
        <w:rPr>
          <w:rFonts w:ascii="Verdana" w:hAnsi="Verdana" w:cs="Calibri"/>
          <w:w w:val="95"/>
          <w:sz w:val="20"/>
          <w:szCs w:val="20"/>
          <w:lang w:val="es-CR"/>
        </w:rPr>
        <w:t xml:space="preserve">se había inhibido de conocerlo, por lo que el expediente fue remitido </w:t>
      </w:r>
      <w:r w:rsidR="00F77273" w:rsidRPr="00F77273">
        <w:rPr>
          <w:rFonts w:ascii="Verdana" w:hAnsi="Verdana" w:cs="Calibri"/>
          <w:w w:val="95"/>
          <w:sz w:val="20"/>
          <w:szCs w:val="20"/>
          <w:lang w:val="es-CR"/>
        </w:rPr>
        <w:t xml:space="preserve">al Fiscal Distrital </w:t>
      </w:r>
      <w:r w:rsidR="00F77273" w:rsidRPr="009C371B">
        <w:rPr>
          <w:rFonts w:ascii="Verdana" w:hAnsi="Verdana" w:cs="Calibri"/>
          <w:w w:val="95"/>
          <w:sz w:val="20"/>
          <w:szCs w:val="20"/>
          <w:lang w:val="es-CR"/>
        </w:rPr>
        <w:t>Adjunto de la Fiscalía  Municipal de Mixco</w:t>
      </w:r>
      <w:r w:rsidRPr="009C371B">
        <w:rPr>
          <w:rFonts w:ascii="Verdana" w:hAnsi="Verdana" w:cs="Calibri"/>
          <w:w w:val="95"/>
          <w:sz w:val="20"/>
          <w:szCs w:val="20"/>
          <w:lang w:val="es-CR"/>
        </w:rPr>
        <w:t xml:space="preserve"> junto con un informe circunstanciado</w:t>
      </w:r>
      <w:r w:rsidRPr="009C371B">
        <w:rPr>
          <w:rFonts w:ascii="Verdana" w:hAnsi="Verdana"/>
          <w:sz w:val="20"/>
          <w:szCs w:val="20"/>
          <w:vertAlign w:val="superscript"/>
          <w:lang w:val="es-CR"/>
        </w:rPr>
        <w:footnoteReference w:id="139"/>
      </w:r>
      <w:r w:rsidRPr="009C371B">
        <w:rPr>
          <w:rFonts w:ascii="Verdana" w:hAnsi="Verdana" w:cs="Calibri"/>
          <w:w w:val="95"/>
          <w:sz w:val="20"/>
          <w:szCs w:val="20"/>
          <w:lang w:val="es-CR"/>
        </w:rPr>
        <w:t xml:space="preserve">; </w:t>
      </w:r>
    </w:p>
    <w:p w:rsidR="00DF15C3" w:rsidRPr="009C371B" w:rsidRDefault="00DF15C3" w:rsidP="003F26FD">
      <w:pPr>
        <w:pStyle w:val="Prrafodelista"/>
        <w:numPr>
          <w:ilvl w:val="1"/>
          <w:numId w:val="17"/>
        </w:numPr>
        <w:spacing w:after="0" w:line="216" w:lineRule="auto"/>
        <w:ind w:left="720" w:right="-174" w:firstLine="0"/>
        <w:jc w:val="both"/>
        <w:rPr>
          <w:rFonts w:ascii="Verdana" w:hAnsi="Verdana" w:cs="Calibri"/>
          <w:w w:val="95"/>
          <w:sz w:val="20"/>
          <w:szCs w:val="20"/>
          <w:lang w:val="es-CR"/>
        </w:rPr>
      </w:pPr>
      <w:r w:rsidRPr="009C371B">
        <w:rPr>
          <w:rFonts w:ascii="Verdana" w:hAnsi="Verdana" w:cs="Calibri"/>
          <w:w w:val="95"/>
          <w:sz w:val="20"/>
          <w:szCs w:val="20"/>
          <w:lang w:val="es-CR"/>
        </w:rPr>
        <w:t xml:space="preserve"> el 12 de julio de 2002 </w:t>
      </w:r>
      <w:r w:rsidR="00680F24" w:rsidRPr="009C371B">
        <w:rPr>
          <w:rFonts w:ascii="Verdana" w:hAnsi="Verdana" w:cs="Calibri"/>
          <w:w w:val="95"/>
          <w:sz w:val="20"/>
          <w:szCs w:val="20"/>
          <w:lang w:val="es-CR"/>
        </w:rPr>
        <w:t xml:space="preserve">el </w:t>
      </w:r>
      <w:r w:rsidR="00F77273" w:rsidRPr="009C371B">
        <w:rPr>
          <w:rFonts w:ascii="Verdana" w:hAnsi="Verdana" w:cs="Calibri"/>
          <w:w w:val="95"/>
          <w:sz w:val="20"/>
          <w:szCs w:val="20"/>
          <w:lang w:val="es-CR"/>
        </w:rPr>
        <w:t>Agente Fiscal de la Agencia No. 5 de Mixco</w:t>
      </w:r>
      <w:r w:rsidRPr="009C371B">
        <w:rPr>
          <w:rFonts w:ascii="Verdana" w:hAnsi="Verdana" w:cs="Calibri"/>
          <w:w w:val="95"/>
          <w:sz w:val="20"/>
          <w:szCs w:val="20"/>
          <w:lang w:val="es-CR"/>
        </w:rPr>
        <w:t xml:space="preserve"> se pronunció sobre la declinatoria hecha por el Juzgado Octavo de Guatemala, explicando al Juez de Primera Instancia de Mixco, a quién le remitieron las actuaciones, que desde su punto de vista el Juez competente era el Juez de Guatemala</w:t>
      </w:r>
      <w:r w:rsidR="00030315" w:rsidRPr="009C371B">
        <w:rPr>
          <w:rFonts w:ascii="Verdana" w:hAnsi="Verdana" w:cs="Calibri"/>
          <w:w w:val="95"/>
          <w:sz w:val="20"/>
          <w:szCs w:val="20"/>
          <w:lang w:val="es-CR"/>
        </w:rPr>
        <w:t>,</w:t>
      </w:r>
      <w:r w:rsidRPr="009C371B">
        <w:rPr>
          <w:rFonts w:ascii="Verdana" w:hAnsi="Verdana" w:cs="Calibri"/>
          <w:w w:val="95"/>
          <w:sz w:val="20"/>
          <w:szCs w:val="20"/>
          <w:lang w:val="es-CR"/>
        </w:rPr>
        <w:t xml:space="preserve"> toda vez que la denuncia sobre la desaparición de María Isabel había sido hecha en esa jurisdicción</w:t>
      </w:r>
      <w:r w:rsidRPr="009C371B">
        <w:rPr>
          <w:rFonts w:ascii="Verdana" w:hAnsi="Verdana"/>
          <w:sz w:val="20"/>
          <w:szCs w:val="20"/>
          <w:vertAlign w:val="superscript"/>
          <w:lang w:val="es-CR"/>
        </w:rPr>
        <w:footnoteReference w:id="140"/>
      </w:r>
      <w:r w:rsidRPr="009C371B">
        <w:rPr>
          <w:rFonts w:ascii="Verdana" w:hAnsi="Verdana" w:cs="Calibri"/>
          <w:w w:val="95"/>
          <w:sz w:val="20"/>
          <w:szCs w:val="20"/>
          <w:lang w:val="es-CR"/>
        </w:rPr>
        <w:t xml:space="preserve">; </w:t>
      </w:r>
    </w:p>
    <w:p w:rsidR="00DF15C3" w:rsidRDefault="00DF15C3" w:rsidP="003F26FD">
      <w:pPr>
        <w:pStyle w:val="Prrafodelista"/>
        <w:numPr>
          <w:ilvl w:val="1"/>
          <w:numId w:val="17"/>
        </w:numPr>
        <w:spacing w:after="0" w:line="216" w:lineRule="auto"/>
        <w:ind w:left="720" w:right="-174" w:firstLine="0"/>
        <w:jc w:val="both"/>
        <w:rPr>
          <w:rFonts w:ascii="Verdana" w:hAnsi="Verdana" w:cs="Calibri"/>
          <w:w w:val="95"/>
          <w:sz w:val="20"/>
          <w:szCs w:val="20"/>
          <w:lang w:val="es-CR"/>
        </w:rPr>
      </w:pPr>
      <w:r w:rsidRPr="009C371B">
        <w:rPr>
          <w:rFonts w:ascii="Verdana" w:hAnsi="Verdana" w:cs="Calibri"/>
          <w:w w:val="95"/>
          <w:sz w:val="20"/>
          <w:szCs w:val="20"/>
          <w:lang w:val="es-CR"/>
        </w:rPr>
        <w:t xml:space="preserve">  atendiendo esta inquietud del </w:t>
      </w:r>
      <w:r w:rsidR="006F3E4F" w:rsidRPr="009C371B">
        <w:rPr>
          <w:rFonts w:ascii="Verdana" w:hAnsi="Verdana" w:cs="Calibri"/>
          <w:w w:val="95"/>
          <w:sz w:val="20"/>
          <w:szCs w:val="20"/>
          <w:lang w:val="es-CR"/>
        </w:rPr>
        <w:t>Agente Fiscal de la Agencia No. 5 de Mixco</w:t>
      </w:r>
      <w:r w:rsidR="00030315" w:rsidRPr="009C371B">
        <w:rPr>
          <w:rFonts w:ascii="Verdana" w:hAnsi="Verdana" w:cs="Calibri"/>
          <w:w w:val="95"/>
          <w:sz w:val="20"/>
          <w:szCs w:val="20"/>
          <w:lang w:val="es-CR"/>
        </w:rPr>
        <w:t>,</w:t>
      </w:r>
      <w:r w:rsidRPr="009C371B">
        <w:rPr>
          <w:rFonts w:ascii="Verdana" w:hAnsi="Verdana" w:cs="Calibri"/>
          <w:w w:val="95"/>
          <w:sz w:val="20"/>
          <w:szCs w:val="20"/>
          <w:lang w:val="es-CR"/>
        </w:rPr>
        <w:t xml:space="preserve"> el 2 de septiembre de 2002 el Juzgado Primero de</w:t>
      </w:r>
      <w:r w:rsidRPr="003622B1">
        <w:rPr>
          <w:rFonts w:ascii="Verdana" w:hAnsi="Verdana" w:cs="Calibri"/>
          <w:w w:val="95"/>
          <w:sz w:val="20"/>
          <w:szCs w:val="20"/>
          <w:lang w:val="es-CR"/>
        </w:rPr>
        <w:t xml:space="preserve"> Mixco emitió una resolución en la que se señalaba que de la declaración de la señora Rosa Elvira Franco podía desprenderse que el homicidio de María Isabel se habría consumado en la Ciudad Capital de Guatemala y con ese fundamento legal el Juzgado Primero de Mixco no sería competente para conocer el caso, y remitió nuevamente al Juzgado Octavo de Guatemala</w:t>
      </w:r>
      <w:r w:rsidRPr="00BB7D8E">
        <w:rPr>
          <w:rFonts w:ascii="Verdana" w:hAnsi="Verdana"/>
          <w:sz w:val="20"/>
          <w:szCs w:val="20"/>
          <w:vertAlign w:val="superscript"/>
        </w:rPr>
        <w:footnoteReference w:id="141"/>
      </w:r>
      <w:r w:rsidRPr="003622B1">
        <w:rPr>
          <w:rFonts w:ascii="Verdana" w:hAnsi="Verdana" w:cs="Calibri"/>
          <w:w w:val="95"/>
          <w:sz w:val="20"/>
          <w:szCs w:val="20"/>
          <w:lang w:val="es-CR"/>
        </w:rPr>
        <w:t xml:space="preserve">; </w:t>
      </w:r>
    </w:p>
    <w:p w:rsidR="00DF15C3" w:rsidRDefault="00DF15C3" w:rsidP="003F26FD">
      <w:pPr>
        <w:pStyle w:val="Prrafodelista"/>
        <w:numPr>
          <w:ilvl w:val="1"/>
          <w:numId w:val="17"/>
        </w:numPr>
        <w:spacing w:after="0" w:line="216" w:lineRule="auto"/>
        <w:ind w:left="720" w:right="-174" w:firstLine="0"/>
        <w:jc w:val="both"/>
        <w:rPr>
          <w:rFonts w:ascii="Verdana" w:hAnsi="Verdana" w:cs="Calibri"/>
          <w:w w:val="95"/>
          <w:sz w:val="20"/>
          <w:szCs w:val="20"/>
          <w:lang w:val="es-CR"/>
        </w:rPr>
      </w:pPr>
      <w:r w:rsidRPr="003622B1">
        <w:rPr>
          <w:rFonts w:ascii="Verdana" w:hAnsi="Verdana" w:cs="Calibri"/>
          <w:w w:val="95"/>
          <w:sz w:val="20"/>
          <w:szCs w:val="20"/>
          <w:lang w:val="es-CR"/>
        </w:rPr>
        <w:t xml:space="preserve"> el Juzgado Octavo de Guatemala planteó el conflicto de competencias el 25 de septiembre de 2002 a la Corte Suprema de Justicia</w:t>
      </w:r>
      <w:r w:rsidRPr="00BB7D8E">
        <w:rPr>
          <w:rFonts w:ascii="Verdana" w:hAnsi="Verdana"/>
          <w:sz w:val="20"/>
          <w:szCs w:val="20"/>
          <w:vertAlign w:val="superscript"/>
          <w:lang w:val="es-CR"/>
        </w:rPr>
        <w:footnoteReference w:id="142"/>
      </w:r>
      <w:r w:rsidRPr="003622B1">
        <w:rPr>
          <w:rFonts w:ascii="Verdana" w:hAnsi="Verdana" w:cs="Calibri"/>
          <w:w w:val="95"/>
          <w:sz w:val="20"/>
          <w:szCs w:val="20"/>
          <w:lang w:val="es-CR"/>
        </w:rPr>
        <w:t xml:space="preserve">, y </w:t>
      </w:r>
    </w:p>
    <w:p w:rsidR="00DF15C3" w:rsidRDefault="00DF15C3" w:rsidP="003F26FD">
      <w:pPr>
        <w:pStyle w:val="Prrafodelista"/>
        <w:numPr>
          <w:ilvl w:val="1"/>
          <w:numId w:val="17"/>
        </w:numPr>
        <w:spacing w:after="0" w:line="216" w:lineRule="auto"/>
        <w:ind w:left="720" w:right="-174" w:firstLine="0"/>
        <w:jc w:val="both"/>
        <w:rPr>
          <w:rFonts w:ascii="Verdana" w:hAnsi="Verdana" w:cs="Calibri"/>
          <w:w w:val="95"/>
          <w:sz w:val="20"/>
          <w:szCs w:val="20"/>
          <w:lang w:val="es-CR"/>
        </w:rPr>
      </w:pPr>
      <w:r w:rsidRPr="003622B1">
        <w:rPr>
          <w:rFonts w:ascii="Verdana" w:hAnsi="Verdana" w:cs="Calibri"/>
          <w:w w:val="95"/>
          <w:sz w:val="20"/>
          <w:szCs w:val="20"/>
          <w:lang w:val="es-CR"/>
        </w:rPr>
        <w:t xml:space="preserve"> la Cámara Penal de la Corte Suprema resolvió el 21 de noviembre de 2002 que el órgano competente para conocer del caso era el Juzgado Primero de Mixco</w:t>
      </w:r>
      <w:r w:rsidRPr="00BB7D8E">
        <w:rPr>
          <w:rFonts w:ascii="Verdana" w:hAnsi="Verdana"/>
          <w:sz w:val="20"/>
          <w:szCs w:val="20"/>
          <w:vertAlign w:val="superscript"/>
          <w:lang w:val="es-CR"/>
        </w:rPr>
        <w:footnoteReference w:id="143"/>
      </w:r>
      <w:r w:rsidRPr="003622B1">
        <w:rPr>
          <w:rFonts w:ascii="Verdana" w:hAnsi="Verdana" w:cs="Calibri"/>
          <w:w w:val="95"/>
          <w:sz w:val="20"/>
          <w:szCs w:val="20"/>
          <w:lang w:val="es-CR"/>
        </w:rPr>
        <w:t xml:space="preserve">. Durante el conflicto de competencia, se realizaron algunas actuaciones distintas a las indicadas </w:t>
      </w:r>
      <w:r w:rsidRPr="002440D3">
        <w:rPr>
          <w:rFonts w:ascii="Verdana" w:hAnsi="Verdana" w:cs="Calibri"/>
          <w:w w:val="95"/>
          <w:sz w:val="20"/>
          <w:szCs w:val="20"/>
          <w:lang w:val="es-CR"/>
        </w:rPr>
        <w:t>(</w:t>
      </w:r>
      <w:r w:rsidR="00A8730F">
        <w:rPr>
          <w:rFonts w:ascii="Verdana" w:hAnsi="Verdana" w:cs="Calibri"/>
          <w:i/>
          <w:w w:val="95"/>
          <w:sz w:val="20"/>
          <w:szCs w:val="20"/>
          <w:lang w:val="es-CR"/>
        </w:rPr>
        <w:t>infra</w:t>
      </w:r>
      <w:r w:rsidR="0034756D" w:rsidRPr="002440D3">
        <w:rPr>
          <w:rFonts w:ascii="Verdana" w:hAnsi="Verdana" w:cs="Calibri"/>
          <w:i/>
          <w:w w:val="95"/>
          <w:sz w:val="20"/>
          <w:szCs w:val="20"/>
          <w:lang w:val="es-CR"/>
        </w:rPr>
        <w:t xml:space="preserve"> </w:t>
      </w:r>
      <w:r w:rsidRPr="002440D3">
        <w:rPr>
          <w:rFonts w:ascii="Verdana" w:hAnsi="Verdana" w:cs="Calibri"/>
          <w:w w:val="95"/>
          <w:sz w:val="20"/>
          <w:szCs w:val="20"/>
          <w:lang w:val="es-CR"/>
        </w:rPr>
        <w:t xml:space="preserve">párr. </w:t>
      </w:r>
      <w:r w:rsidR="0034756D" w:rsidRPr="002440D3">
        <w:rPr>
          <w:rFonts w:ascii="Verdana" w:hAnsi="Verdana" w:cs="Calibri"/>
          <w:w w:val="95"/>
          <w:sz w:val="20"/>
          <w:szCs w:val="20"/>
          <w:lang w:val="es-CR"/>
        </w:rPr>
        <w:t>10</w:t>
      </w:r>
      <w:r w:rsidR="00A8730F">
        <w:rPr>
          <w:rFonts w:ascii="Verdana" w:hAnsi="Verdana" w:cs="Calibri"/>
          <w:w w:val="95"/>
          <w:sz w:val="20"/>
          <w:szCs w:val="20"/>
          <w:lang w:val="es-CR"/>
        </w:rPr>
        <w:t>8.c</w:t>
      </w:r>
      <w:r w:rsidR="00D721C5" w:rsidRPr="002440D3">
        <w:rPr>
          <w:rFonts w:ascii="Verdana" w:hAnsi="Verdana" w:cs="Calibri"/>
          <w:w w:val="95"/>
          <w:sz w:val="20"/>
          <w:szCs w:val="20"/>
          <w:lang w:val="es-CR"/>
        </w:rPr>
        <w:t>).</w:t>
      </w:r>
    </w:p>
    <w:p w:rsidR="00DF15C3" w:rsidRPr="00992E1E" w:rsidRDefault="00DF15C3" w:rsidP="003F26FD">
      <w:pPr>
        <w:pStyle w:val="Prrafodelista"/>
        <w:spacing w:after="0" w:line="216" w:lineRule="auto"/>
        <w:ind w:left="709" w:right="-174"/>
        <w:jc w:val="both"/>
        <w:rPr>
          <w:rFonts w:ascii="Verdana" w:hAnsi="Verdana"/>
          <w:w w:val="95"/>
          <w:sz w:val="20"/>
          <w:szCs w:val="20"/>
          <w:lang w:val="es-CR"/>
        </w:rPr>
      </w:pPr>
    </w:p>
    <w:p w:rsidR="00DF15C3" w:rsidRPr="00992E1E" w:rsidRDefault="00DF15C3" w:rsidP="003F26FD">
      <w:pPr>
        <w:pStyle w:val="Prrafodelista"/>
        <w:numPr>
          <w:ilvl w:val="0"/>
          <w:numId w:val="17"/>
        </w:numPr>
        <w:spacing w:after="0" w:line="216" w:lineRule="auto"/>
        <w:ind w:left="-142" w:right="-174" w:firstLine="0"/>
        <w:jc w:val="both"/>
        <w:rPr>
          <w:rFonts w:ascii="Verdana" w:hAnsi="Verdana"/>
          <w:b/>
          <w:w w:val="95"/>
          <w:sz w:val="20"/>
          <w:szCs w:val="20"/>
          <w:lang w:val="es-CR"/>
        </w:rPr>
      </w:pPr>
      <w:r w:rsidRPr="003622B1">
        <w:rPr>
          <w:rFonts w:ascii="Verdana" w:hAnsi="Verdana" w:cs="Calibri"/>
          <w:b/>
          <w:i/>
          <w:w w:val="95"/>
          <w:sz w:val="20"/>
          <w:szCs w:val="20"/>
          <w:lang w:val="es-CR"/>
        </w:rPr>
        <w:t>Estudio de llamadas por teléfono celular</w:t>
      </w:r>
      <w:r w:rsidRPr="003622B1">
        <w:rPr>
          <w:rFonts w:ascii="Verdana" w:hAnsi="Verdana" w:cs="Calibri"/>
          <w:b/>
          <w:w w:val="95"/>
          <w:sz w:val="20"/>
          <w:szCs w:val="20"/>
          <w:lang w:val="es-CR"/>
        </w:rPr>
        <w:t>.</w:t>
      </w:r>
      <w:r w:rsidR="000355DF">
        <w:rPr>
          <w:rFonts w:ascii="Verdana" w:hAnsi="Verdana" w:cs="Calibri"/>
          <w:b/>
          <w:w w:val="95"/>
          <w:sz w:val="20"/>
          <w:szCs w:val="20"/>
          <w:lang w:val="es-CR"/>
        </w:rPr>
        <w:t>-</w:t>
      </w:r>
      <w:r w:rsidRPr="003622B1">
        <w:rPr>
          <w:rFonts w:ascii="Verdana" w:hAnsi="Verdana" w:cs="Calibri"/>
          <w:b/>
          <w:w w:val="95"/>
          <w:sz w:val="20"/>
          <w:szCs w:val="20"/>
          <w:lang w:val="es-CR"/>
        </w:rPr>
        <w:t xml:space="preserve"> </w:t>
      </w:r>
      <w:r w:rsidRPr="00BB7D8E">
        <w:rPr>
          <w:rFonts w:ascii="Verdana" w:hAnsi="Verdana" w:cs="Calibri"/>
          <w:w w:val="95"/>
          <w:sz w:val="20"/>
          <w:szCs w:val="20"/>
          <w:lang w:val="es-CR"/>
        </w:rPr>
        <w:t xml:space="preserve">Una parte de las investigaciones se relacionó con llamadas realizadas por teléfono celular: </w:t>
      </w:r>
    </w:p>
    <w:p w:rsidR="00DF15C3" w:rsidRDefault="00DF15C3" w:rsidP="003F26FD">
      <w:pPr>
        <w:pStyle w:val="Prrafodelista"/>
        <w:spacing w:after="0" w:line="216" w:lineRule="auto"/>
        <w:ind w:left="709" w:right="-174"/>
        <w:jc w:val="both"/>
        <w:rPr>
          <w:rFonts w:ascii="Verdana" w:hAnsi="Verdana"/>
          <w:w w:val="95"/>
          <w:sz w:val="20"/>
          <w:szCs w:val="20"/>
          <w:lang w:val="es-CR"/>
        </w:rPr>
      </w:pPr>
    </w:p>
    <w:p w:rsidR="00DF15C3" w:rsidRDefault="00DF15C3" w:rsidP="003F26FD">
      <w:pPr>
        <w:pStyle w:val="Prrafodelista"/>
        <w:numPr>
          <w:ilvl w:val="1"/>
          <w:numId w:val="17"/>
        </w:numPr>
        <w:spacing w:after="0" w:line="216" w:lineRule="auto"/>
        <w:ind w:left="720" w:right="-174" w:firstLine="0"/>
        <w:jc w:val="both"/>
        <w:rPr>
          <w:rFonts w:ascii="Verdana" w:hAnsi="Verdana"/>
          <w:w w:val="95"/>
          <w:sz w:val="20"/>
          <w:szCs w:val="20"/>
          <w:lang w:val="es-CR"/>
        </w:rPr>
      </w:pPr>
      <w:r w:rsidRPr="003622B1">
        <w:rPr>
          <w:rFonts w:ascii="Verdana" w:hAnsi="Verdana" w:cs="Calibri"/>
          <w:w w:val="95"/>
          <w:sz w:val="20"/>
          <w:szCs w:val="20"/>
          <w:lang w:val="es-CR"/>
        </w:rPr>
        <w:lastRenderedPageBreak/>
        <w:t xml:space="preserve">el 3 de diciembre de </w:t>
      </w:r>
      <w:r w:rsidR="00E61DDE" w:rsidRPr="003622B1">
        <w:rPr>
          <w:rFonts w:ascii="Verdana" w:hAnsi="Verdana" w:cs="Calibri"/>
          <w:w w:val="95"/>
          <w:sz w:val="20"/>
          <w:szCs w:val="20"/>
          <w:lang w:val="es-CR"/>
        </w:rPr>
        <w:t>200</w:t>
      </w:r>
      <w:r w:rsidR="00E61DDE">
        <w:rPr>
          <w:rFonts w:ascii="Verdana" w:hAnsi="Verdana" w:cs="Calibri"/>
          <w:w w:val="95"/>
          <w:sz w:val="20"/>
          <w:szCs w:val="20"/>
          <w:lang w:val="es-CR"/>
        </w:rPr>
        <w:t>2</w:t>
      </w:r>
      <w:r w:rsidR="00E61DDE" w:rsidRPr="003622B1">
        <w:rPr>
          <w:rFonts w:ascii="Verdana" w:hAnsi="Verdana" w:cs="Calibri"/>
          <w:w w:val="95"/>
          <w:sz w:val="20"/>
          <w:szCs w:val="20"/>
          <w:lang w:val="es-CR"/>
        </w:rPr>
        <w:t xml:space="preserve"> </w:t>
      </w:r>
      <w:r w:rsidRPr="003622B1">
        <w:rPr>
          <w:rFonts w:ascii="Verdana" w:hAnsi="Verdana" w:cs="Calibri"/>
          <w:w w:val="95"/>
          <w:sz w:val="20"/>
          <w:szCs w:val="20"/>
          <w:lang w:val="es-CR"/>
        </w:rPr>
        <w:t xml:space="preserve">el investigador remitió al Auxiliar Fiscal de la Agencia No. 32 de Guatemala un informe sobre el análisis realizado al desplegado de llamadas entrantes y salientes del celular perteneciente a María Isabel e indicó que “anexo al informe [enviaba] la agenda telefónica de la víctima </w:t>
      </w:r>
      <w:r w:rsidRPr="003622B1">
        <w:rPr>
          <w:rFonts w:ascii="Verdana" w:hAnsi="Verdana" w:cs="Calibri"/>
          <w:w w:val="95"/>
          <w:sz w:val="20"/>
          <w:szCs w:val="20"/>
          <w:lang w:val="es-CL"/>
        </w:rPr>
        <w:t>[</w:t>
      </w:r>
      <w:r w:rsidRPr="003622B1">
        <w:rPr>
          <w:rFonts w:ascii="Verdana" w:hAnsi="Verdana" w:cs="Calibri"/>
          <w:w w:val="95"/>
          <w:sz w:val="20"/>
          <w:szCs w:val="20"/>
          <w:lang w:val="es-CR"/>
        </w:rPr>
        <w:t>y] cuatro fotografías del lugar del hallazgo de su cuerpo”</w:t>
      </w:r>
      <w:r>
        <w:rPr>
          <w:rStyle w:val="Refdenotaalpie"/>
          <w:rFonts w:ascii="Verdana" w:hAnsi="Verdana" w:cs="Calibri"/>
          <w:w w:val="95"/>
          <w:sz w:val="20"/>
          <w:szCs w:val="20"/>
          <w:lang w:val="es-CR"/>
        </w:rPr>
        <w:footnoteReference w:id="144"/>
      </w:r>
      <w:r w:rsidRPr="003622B1">
        <w:rPr>
          <w:rFonts w:ascii="Verdana" w:hAnsi="Verdana" w:cs="Calibri"/>
          <w:w w:val="95"/>
          <w:sz w:val="20"/>
          <w:szCs w:val="20"/>
          <w:lang w:val="es-CR"/>
        </w:rPr>
        <w:t>;</w:t>
      </w:r>
      <w:r w:rsidRPr="003622B1">
        <w:rPr>
          <w:rFonts w:ascii="Verdana" w:hAnsi="Verdana"/>
          <w:w w:val="95"/>
          <w:sz w:val="20"/>
          <w:szCs w:val="20"/>
          <w:lang w:val="es-CR"/>
        </w:rPr>
        <w:t xml:space="preserve"> </w:t>
      </w:r>
    </w:p>
    <w:p w:rsidR="00DF15C3" w:rsidRDefault="00A53405" w:rsidP="003F26FD">
      <w:pPr>
        <w:pStyle w:val="Prrafodelista"/>
        <w:numPr>
          <w:ilvl w:val="1"/>
          <w:numId w:val="17"/>
        </w:numPr>
        <w:spacing w:after="0" w:line="216" w:lineRule="auto"/>
        <w:ind w:left="720" w:right="-174" w:firstLine="0"/>
        <w:jc w:val="both"/>
        <w:rPr>
          <w:rFonts w:ascii="Verdana" w:hAnsi="Verdana" w:cs="Calibri"/>
          <w:w w:val="95"/>
          <w:sz w:val="20"/>
          <w:szCs w:val="20"/>
          <w:lang w:val="es-CR"/>
        </w:rPr>
      </w:pPr>
      <w:r>
        <w:rPr>
          <w:rFonts w:ascii="Verdana" w:hAnsi="Verdana" w:cs="Calibri"/>
          <w:w w:val="95"/>
          <w:sz w:val="20"/>
          <w:szCs w:val="20"/>
          <w:lang w:val="es-CR"/>
        </w:rPr>
        <w:t xml:space="preserve">en el informe de 20 de febrero </w:t>
      </w:r>
      <w:r w:rsidR="00DF15C3" w:rsidRPr="003622B1">
        <w:rPr>
          <w:rFonts w:ascii="Verdana" w:hAnsi="Verdana" w:cs="Calibri"/>
          <w:w w:val="95"/>
          <w:sz w:val="20"/>
          <w:szCs w:val="20"/>
          <w:lang w:val="es-CR"/>
        </w:rPr>
        <w:t>de 2002 emitido por los técnicos en investigaciones criminalísticas</w:t>
      </w:r>
      <w:r w:rsidR="00DF15C3" w:rsidRPr="003622B1">
        <w:rPr>
          <w:rFonts w:ascii="Verdana" w:hAnsi="Verdana" w:cs="Calibri"/>
          <w:spacing w:val="-6"/>
          <w:w w:val="95"/>
          <w:sz w:val="20"/>
          <w:szCs w:val="20"/>
          <w:lang w:val="es-CR"/>
        </w:rPr>
        <w:t xml:space="preserve"> se reportaron las entrevistas realizadas a una amiga y a un ex novio de María Isabel. Luego de las entrevistas y otras diligencias recomiendan al Agente Fiscal</w:t>
      </w:r>
      <w:r w:rsidR="006F3E4F">
        <w:rPr>
          <w:rFonts w:ascii="Verdana" w:hAnsi="Verdana" w:cs="Calibri"/>
          <w:spacing w:val="-6"/>
          <w:w w:val="95"/>
          <w:sz w:val="20"/>
          <w:szCs w:val="20"/>
          <w:lang w:val="es-CR"/>
        </w:rPr>
        <w:t xml:space="preserve"> de la Agencia </w:t>
      </w:r>
      <w:r>
        <w:rPr>
          <w:rFonts w:ascii="Verdana" w:hAnsi="Verdana" w:cs="Calibri"/>
          <w:spacing w:val="-6"/>
          <w:w w:val="95"/>
          <w:sz w:val="20"/>
          <w:szCs w:val="20"/>
          <w:lang w:val="es-CR"/>
        </w:rPr>
        <w:t xml:space="preserve">No. </w:t>
      </w:r>
      <w:r w:rsidR="00DF15C3" w:rsidRPr="003622B1">
        <w:rPr>
          <w:rFonts w:ascii="Verdana" w:hAnsi="Verdana" w:cs="Calibri"/>
          <w:spacing w:val="-6"/>
          <w:w w:val="95"/>
          <w:sz w:val="20"/>
          <w:szCs w:val="20"/>
          <w:lang w:val="es-CR"/>
        </w:rPr>
        <w:t>32</w:t>
      </w:r>
      <w:r w:rsidR="006F3E4F">
        <w:rPr>
          <w:rFonts w:ascii="Verdana" w:hAnsi="Verdana" w:cs="Calibri"/>
          <w:spacing w:val="-6"/>
          <w:w w:val="95"/>
          <w:sz w:val="20"/>
          <w:szCs w:val="20"/>
          <w:lang w:val="es-CR"/>
        </w:rPr>
        <w:t xml:space="preserve"> de Guatemala</w:t>
      </w:r>
      <w:r w:rsidR="00DF15C3" w:rsidRPr="003622B1">
        <w:rPr>
          <w:rFonts w:ascii="Verdana" w:hAnsi="Verdana" w:cs="Calibri"/>
          <w:spacing w:val="-6"/>
          <w:w w:val="95"/>
          <w:sz w:val="20"/>
          <w:szCs w:val="20"/>
          <w:lang w:val="es-CR"/>
        </w:rPr>
        <w:t xml:space="preserve"> solicitar a la compañía telefónica “Telecomunicaciones de Gu</w:t>
      </w:r>
      <w:r>
        <w:rPr>
          <w:rFonts w:ascii="Verdana" w:hAnsi="Verdana" w:cs="Calibri"/>
          <w:spacing w:val="-6"/>
          <w:w w:val="95"/>
          <w:sz w:val="20"/>
          <w:szCs w:val="20"/>
          <w:lang w:val="es-CR"/>
        </w:rPr>
        <w:t xml:space="preserve">atemala” (Telgua) </w:t>
      </w:r>
      <w:r w:rsidR="00DF15C3" w:rsidRPr="003622B1">
        <w:rPr>
          <w:rFonts w:ascii="Verdana" w:hAnsi="Verdana" w:cs="Calibri"/>
          <w:spacing w:val="-6"/>
          <w:w w:val="95"/>
          <w:sz w:val="20"/>
          <w:szCs w:val="20"/>
          <w:lang w:val="es-CR"/>
        </w:rPr>
        <w:t>la dirección registrada con el número telefónico de uno de los sospechosos</w:t>
      </w:r>
      <w:r w:rsidR="00DF15C3">
        <w:rPr>
          <w:rStyle w:val="Refdenotaalpie"/>
          <w:rFonts w:ascii="Verdana" w:hAnsi="Verdana" w:cs="Calibri"/>
          <w:spacing w:val="-6"/>
          <w:w w:val="95"/>
          <w:sz w:val="20"/>
          <w:szCs w:val="20"/>
          <w:lang w:val="es-CR"/>
        </w:rPr>
        <w:footnoteReference w:id="145"/>
      </w:r>
      <w:r w:rsidR="00DF15C3" w:rsidRPr="003622B1">
        <w:rPr>
          <w:rFonts w:ascii="Verdana" w:hAnsi="Verdana" w:cs="Calibri"/>
          <w:spacing w:val="-6"/>
          <w:w w:val="95"/>
          <w:sz w:val="20"/>
          <w:szCs w:val="20"/>
          <w:lang w:val="es-CR"/>
        </w:rPr>
        <w:t>;</w:t>
      </w:r>
    </w:p>
    <w:p w:rsidR="00DF15C3" w:rsidRPr="00315B30" w:rsidRDefault="00DF15C3" w:rsidP="003F26FD">
      <w:pPr>
        <w:pStyle w:val="Prrafodelista"/>
        <w:numPr>
          <w:ilvl w:val="1"/>
          <w:numId w:val="17"/>
        </w:numPr>
        <w:spacing w:after="0" w:line="216" w:lineRule="auto"/>
        <w:ind w:left="720" w:right="-174" w:firstLine="0"/>
        <w:jc w:val="both"/>
        <w:rPr>
          <w:rFonts w:ascii="Verdana" w:hAnsi="Verdana" w:cs="Calibri"/>
          <w:w w:val="95"/>
          <w:sz w:val="20"/>
          <w:szCs w:val="20"/>
          <w:lang w:val="es-CR"/>
        </w:rPr>
      </w:pPr>
      <w:r w:rsidRPr="003622B1">
        <w:rPr>
          <w:rFonts w:ascii="Verdana" w:hAnsi="Verdana" w:cs="Calibri"/>
          <w:w w:val="95"/>
          <w:sz w:val="20"/>
          <w:szCs w:val="20"/>
          <w:lang w:val="es-CR"/>
        </w:rPr>
        <w:t>el 3 de marzo de 2002 el Agente Fiscal solicitó al Juzgado Primero de Mixco autorización judicial para requerir el informe de las llamadas realizadas desde el celular que portaba la presunta víctima</w:t>
      </w:r>
      <w:r>
        <w:rPr>
          <w:rStyle w:val="Refdenotaalpie"/>
          <w:rFonts w:ascii="Verdana" w:hAnsi="Verdana" w:cs="Calibri"/>
          <w:w w:val="95"/>
          <w:sz w:val="20"/>
          <w:szCs w:val="20"/>
          <w:lang w:val="es-CR"/>
        </w:rPr>
        <w:footnoteReference w:id="146"/>
      </w:r>
      <w:r w:rsidRPr="003622B1">
        <w:rPr>
          <w:rFonts w:ascii="Verdana" w:hAnsi="Verdana" w:cs="Calibri"/>
          <w:w w:val="95"/>
          <w:sz w:val="20"/>
          <w:szCs w:val="20"/>
          <w:lang w:val="es-CR"/>
        </w:rPr>
        <w:t xml:space="preserve">. El 1 de abril de 2002 con la autorización </w:t>
      </w:r>
      <w:r w:rsidR="00F77273" w:rsidRPr="00315B30">
        <w:rPr>
          <w:rFonts w:ascii="Verdana" w:hAnsi="Verdana" w:cs="Calibri"/>
          <w:w w:val="95"/>
          <w:sz w:val="20"/>
          <w:szCs w:val="20"/>
          <w:lang w:val="es-CR"/>
        </w:rPr>
        <w:t>de 26 de marzo de 2002</w:t>
      </w:r>
      <w:r w:rsidR="0028460B" w:rsidRPr="00315B30">
        <w:rPr>
          <w:rFonts w:ascii="Verdana" w:hAnsi="Verdana" w:cs="Calibri"/>
          <w:w w:val="95"/>
          <w:sz w:val="20"/>
          <w:szCs w:val="20"/>
          <w:lang w:val="es-CR"/>
        </w:rPr>
        <w:t xml:space="preserve"> </w:t>
      </w:r>
      <w:r w:rsidRPr="00315B30">
        <w:rPr>
          <w:rFonts w:ascii="Verdana" w:hAnsi="Verdana" w:cs="Calibri"/>
          <w:w w:val="95"/>
          <w:sz w:val="20"/>
          <w:szCs w:val="20"/>
          <w:lang w:val="es-CR"/>
        </w:rPr>
        <w:t>del Juzgado Primero de Mixco, el Agente Fiscal solicitó al Gerente General de Telgua el despliegue de las llamadas hechas y recibidas desde los números de celular de María Isabel</w:t>
      </w:r>
      <w:r w:rsidR="00F15CBE" w:rsidRPr="00315B30">
        <w:rPr>
          <w:rFonts w:ascii="Verdana" w:hAnsi="Verdana"/>
          <w:sz w:val="20"/>
          <w:szCs w:val="20"/>
          <w:vertAlign w:val="superscript"/>
        </w:rPr>
        <w:footnoteReference w:id="147"/>
      </w:r>
      <w:r w:rsidRPr="00315B30">
        <w:rPr>
          <w:rFonts w:ascii="Verdana" w:hAnsi="Verdana" w:cs="Calibri"/>
          <w:w w:val="95"/>
          <w:sz w:val="20"/>
          <w:szCs w:val="20"/>
          <w:lang w:val="es-CR"/>
        </w:rPr>
        <w:t>. El 9 de mayo de 2002 la Dirección Jurídica de Telgua envió la información requerida, la cual fue enviada el 4 de septiembre de 2002 al investigador del caso, y</w:t>
      </w:r>
    </w:p>
    <w:p w:rsidR="00DF15C3" w:rsidRPr="00725CB7" w:rsidRDefault="00F77273" w:rsidP="003F26FD">
      <w:pPr>
        <w:pStyle w:val="Prrafodelista"/>
        <w:numPr>
          <w:ilvl w:val="1"/>
          <w:numId w:val="17"/>
        </w:numPr>
        <w:spacing w:after="0" w:line="216" w:lineRule="auto"/>
        <w:ind w:left="720" w:right="-174" w:firstLine="0"/>
        <w:jc w:val="both"/>
        <w:rPr>
          <w:rFonts w:ascii="Verdana" w:hAnsi="Verdana" w:cs="Calibri"/>
          <w:w w:val="95"/>
          <w:sz w:val="20"/>
          <w:szCs w:val="20"/>
          <w:lang w:val="es-CR"/>
        </w:rPr>
      </w:pPr>
      <w:r w:rsidRPr="00315B30">
        <w:rPr>
          <w:rFonts w:ascii="Verdana" w:hAnsi="Verdana" w:cs="Calibri"/>
          <w:w w:val="95"/>
          <w:sz w:val="20"/>
          <w:szCs w:val="20"/>
          <w:lang w:val="es-CR"/>
        </w:rPr>
        <w:t xml:space="preserve">en el mes de junio </w:t>
      </w:r>
      <w:r w:rsidR="00DF15C3" w:rsidRPr="00315B30">
        <w:rPr>
          <w:rFonts w:ascii="Verdana" w:hAnsi="Verdana" w:cs="Calibri"/>
          <w:w w:val="95"/>
          <w:sz w:val="20"/>
          <w:szCs w:val="20"/>
          <w:lang w:val="es-CR"/>
        </w:rPr>
        <w:t>de</w:t>
      </w:r>
      <w:r w:rsidR="00DF15C3" w:rsidRPr="00725CB7">
        <w:rPr>
          <w:rFonts w:ascii="Verdana" w:hAnsi="Verdana" w:cs="Calibri"/>
          <w:w w:val="95"/>
          <w:sz w:val="20"/>
          <w:szCs w:val="20"/>
          <w:lang w:val="es-CR"/>
        </w:rPr>
        <w:t xml:space="preserve"> 2005 se analizaron los registros telefónicos de dos sospechosos con quienes María Isabel había estado en comunicación el día que desapareció</w:t>
      </w:r>
      <w:r w:rsidR="00F15CBE" w:rsidRPr="00CB5F33">
        <w:rPr>
          <w:rFonts w:ascii="Verdana" w:hAnsi="Verdana"/>
          <w:sz w:val="20"/>
          <w:szCs w:val="20"/>
          <w:vertAlign w:val="superscript"/>
        </w:rPr>
        <w:footnoteReference w:id="148"/>
      </w:r>
      <w:r w:rsidR="00F15CBE" w:rsidRPr="005F0D03">
        <w:rPr>
          <w:rFonts w:ascii="Verdana" w:hAnsi="Verdana" w:cs="Calibri"/>
          <w:w w:val="95"/>
          <w:sz w:val="20"/>
          <w:szCs w:val="20"/>
          <w:vertAlign w:val="subscript"/>
          <w:lang w:val="es-CR"/>
        </w:rPr>
        <w:t>.</w:t>
      </w:r>
    </w:p>
    <w:p w:rsidR="00DF15C3" w:rsidRPr="00992E1E" w:rsidRDefault="00DF15C3" w:rsidP="003F26FD">
      <w:pPr>
        <w:pStyle w:val="Prrafodelista"/>
        <w:spacing w:after="0" w:line="216" w:lineRule="auto"/>
        <w:ind w:left="-142" w:right="-174"/>
        <w:jc w:val="both"/>
        <w:rPr>
          <w:rFonts w:ascii="Verdana" w:hAnsi="Verdana"/>
          <w:w w:val="95"/>
          <w:sz w:val="20"/>
          <w:szCs w:val="20"/>
          <w:lang w:val="es-CR"/>
        </w:rPr>
      </w:pPr>
    </w:p>
    <w:p w:rsidR="00DF15C3" w:rsidRPr="00992E1E" w:rsidRDefault="00DF15C3" w:rsidP="003F26FD">
      <w:pPr>
        <w:pStyle w:val="Prrafodelista"/>
        <w:numPr>
          <w:ilvl w:val="0"/>
          <w:numId w:val="17"/>
        </w:numPr>
        <w:spacing w:after="0" w:line="216" w:lineRule="auto"/>
        <w:ind w:left="-142" w:right="-174" w:firstLine="0"/>
        <w:jc w:val="both"/>
        <w:rPr>
          <w:rFonts w:ascii="Verdana" w:hAnsi="Verdana"/>
          <w:b/>
          <w:i/>
          <w:w w:val="95"/>
          <w:sz w:val="20"/>
          <w:szCs w:val="20"/>
          <w:lang w:val="es-CR"/>
        </w:rPr>
      </w:pPr>
      <w:r w:rsidRPr="003622B1">
        <w:rPr>
          <w:rFonts w:ascii="Verdana" w:hAnsi="Verdana"/>
          <w:b/>
          <w:i/>
          <w:w w:val="95"/>
          <w:sz w:val="20"/>
          <w:szCs w:val="20"/>
          <w:lang w:val="es-CR"/>
        </w:rPr>
        <w:t xml:space="preserve">Exámenes de vehículos.- </w:t>
      </w:r>
    </w:p>
    <w:p w:rsidR="00DF15C3" w:rsidRPr="00992E1E" w:rsidRDefault="00DF15C3" w:rsidP="003F26FD">
      <w:pPr>
        <w:pStyle w:val="Prrafodelista"/>
        <w:spacing w:after="0" w:line="216" w:lineRule="auto"/>
        <w:ind w:left="-142" w:right="-174"/>
        <w:jc w:val="both"/>
        <w:rPr>
          <w:rFonts w:ascii="Verdana" w:hAnsi="Verdana" w:cs="Calibri"/>
          <w:w w:val="95"/>
          <w:sz w:val="20"/>
          <w:szCs w:val="20"/>
          <w:lang w:val="es-CR"/>
        </w:rPr>
      </w:pPr>
    </w:p>
    <w:p w:rsidR="00DF15C3" w:rsidRPr="00992E1E" w:rsidRDefault="00DF15C3" w:rsidP="003F26FD">
      <w:pPr>
        <w:pStyle w:val="Prrafodelista"/>
        <w:numPr>
          <w:ilvl w:val="0"/>
          <w:numId w:val="20"/>
        </w:numPr>
        <w:spacing w:after="0" w:line="216" w:lineRule="auto"/>
        <w:ind w:left="709" w:right="-174" w:firstLine="8"/>
        <w:jc w:val="both"/>
        <w:rPr>
          <w:rFonts w:ascii="Verdana" w:hAnsi="Verdana" w:cs="Calibri"/>
          <w:w w:val="95"/>
          <w:sz w:val="20"/>
          <w:szCs w:val="20"/>
          <w:lang w:val="es-CR"/>
        </w:rPr>
      </w:pPr>
      <w:r w:rsidRPr="003622B1">
        <w:rPr>
          <w:rFonts w:ascii="Verdana" w:hAnsi="Verdana" w:cs="Calibri"/>
          <w:w w:val="95"/>
          <w:sz w:val="20"/>
          <w:szCs w:val="20"/>
          <w:lang w:val="es-CR"/>
        </w:rPr>
        <w:t xml:space="preserve">el 20 de diciembre de 2001 </w:t>
      </w:r>
      <w:r w:rsidRPr="003622B1">
        <w:rPr>
          <w:rFonts w:ascii="Verdana" w:hAnsi="Verdana"/>
          <w:w w:val="95"/>
          <w:sz w:val="20"/>
          <w:szCs w:val="20"/>
          <w:lang w:val="es-CR"/>
        </w:rPr>
        <w:t>los investigadores</w:t>
      </w:r>
      <w:r w:rsidRPr="003622B1">
        <w:rPr>
          <w:rFonts w:ascii="Verdana" w:hAnsi="Verdana" w:cs="Calibri"/>
          <w:w w:val="95"/>
          <w:sz w:val="20"/>
          <w:szCs w:val="20"/>
          <w:lang w:val="es-CR"/>
        </w:rPr>
        <w:t xml:space="preserve"> del Servicio de Investigación Criminal de la Sección contra Homicidios de la PNC a cargo del caso obtuvieron</w:t>
      </w:r>
      <w:r w:rsidR="00030315">
        <w:rPr>
          <w:rFonts w:ascii="Verdana" w:hAnsi="Verdana" w:cs="Calibri"/>
          <w:w w:val="95"/>
          <w:sz w:val="20"/>
          <w:szCs w:val="20"/>
          <w:lang w:val="es-CR"/>
        </w:rPr>
        <w:t>,</w:t>
      </w:r>
      <w:r w:rsidRPr="003622B1">
        <w:rPr>
          <w:rFonts w:ascii="Verdana" w:hAnsi="Verdana" w:cs="Calibri"/>
          <w:w w:val="95"/>
          <w:sz w:val="20"/>
          <w:szCs w:val="20"/>
          <w:lang w:val="es-CR"/>
        </w:rPr>
        <w:t xml:space="preserve"> a través de una solicitud al Departamento de Catastro del Municipio de Mixco</w:t>
      </w:r>
      <w:r w:rsidR="00030315">
        <w:rPr>
          <w:rFonts w:ascii="Verdana" w:hAnsi="Verdana" w:cs="Calibri"/>
          <w:w w:val="95"/>
          <w:sz w:val="20"/>
          <w:szCs w:val="20"/>
          <w:lang w:val="es-CR"/>
        </w:rPr>
        <w:t>,</w:t>
      </w:r>
      <w:r w:rsidRPr="003622B1">
        <w:rPr>
          <w:rFonts w:ascii="Verdana" w:hAnsi="Verdana"/>
          <w:w w:val="95"/>
          <w:sz w:val="20"/>
          <w:szCs w:val="20"/>
          <w:lang w:val="es-CR"/>
        </w:rPr>
        <w:t xml:space="preserve"> </w:t>
      </w:r>
      <w:r w:rsidRPr="003622B1">
        <w:rPr>
          <w:rFonts w:ascii="Verdana" w:hAnsi="Verdana" w:cs="Calibri"/>
          <w:w w:val="95"/>
          <w:sz w:val="20"/>
          <w:szCs w:val="20"/>
          <w:lang w:val="es-CR"/>
        </w:rPr>
        <w:t>el nombre del dueño del inmueble indicado por el informante anónimo como el lugar donde había ingresado el vehículo de donde habrían bajado el cadáver</w:t>
      </w:r>
      <w:r>
        <w:rPr>
          <w:rStyle w:val="Refdenotaalpie"/>
          <w:rFonts w:ascii="Verdana" w:hAnsi="Verdana" w:cs="Calibri"/>
          <w:w w:val="95"/>
          <w:sz w:val="20"/>
          <w:szCs w:val="20"/>
        </w:rPr>
        <w:footnoteReference w:id="149"/>
      </w:r>
      <w:r w:rsidRPr="003622B1">
        <w:rPr>
          <w:rFonts w:ascii="Verdana" w:hAnsi="Verdana" w:cs="Calibri"/>
          <w:w w:val="95"/>
          <w:sz w:val="20"/>
          <w:szCs w:val="20"/>
          <w:lang w:val="es-CR"/>
        </w:rPr>
        <w:t xml:space="preserve">. El 8 de enero de 2002 </w:t>
      </w:r>
      <w:r w:rsidRPr="003622B1">
        <w:rPr>
          <w:rFonts w:ascii="Verdana" w:hAnsi="Verdana"/>
          <w:w w:val="95"/>
          <w:sz w:val="20"/>
          <w:szCs w:val="20"/>
          <w:lang w:val="es-CR"/>
        </w:rPr>
        <w:t xml:space="preserve">el investigador </w:t>
      </w:r>
      <w:r w:rsidRPr="003622B1">
        <w:rPr>
          <w:rFonts w:ascii="Verdana" w:hAnsi="Verdana" w:cs="Calibri"/>
          <w:w w:val="95"/>
          <w:sz w:val="20"/>
          <w:szCs w:val="20"/>
          <w:lang w:val="es-CR"/>
        </w:rPr>
        <w:t xml:space="preserve">intentó entrevistar al dueño del inmueble, pero no fue posible localizarlo. Posteriormente, el 18 de enero de 2002 se realizó una inspección ocular y el </w:t>
      </w:r>
      <w:r w:rsidRPr="003622B1">
        <w:rPr>
          <w:rFonts w:ascii="Verdana" w:hAnsi="Verdana"/>
          <w:w w:val="95"/>
          <w:sz w:val="20"/>
          <w:szCs w:val="20"/>
          <w:lang w:val="es-CR"/>
        </w:rPr>
        <w:t>investigador</w:t>
      </w:r>
      <w:r w:rsidRPr="003622B1">
        <w:rPr>
          <w:rFonts w:ascii="Verdana" w:hAnsi="Verdana" w:cs="Calibri"/>
          <w:w w:val="95"/>
          <w:sz w:val="20"/>
          <w:szCs w:val="20"/>
          <w:lang w:val="es-CR"/>
        </w:rPr>
        <w:t xml:space="preserve"> acudió nuevamente al domicilio y observó que no se encontraba vehículo alguno con las características descritas por el informante anónimo</w:t>
      </w:r>
      <w:r>
        <w:rPr>
          <w:rStyle w:val="Refdenotaalpie"/>
          <w:rFonts w:ascii="Verdana" w:hAnsi="Verdana" w:cs="Calibri"/>
          <w:w w:val="95"/>
          <w:sz w:val="20"/>
          <w:szCs w:val="20"/>
        </w:rPr>
        <w:footnoteReference w:id="150"/>
      </w:r>
      <w:r w:rsidRPr="003622B1">
        <w:rPr>
          <w:rFonts w:ascii="Verdana" w:hAnsi="Verdana" w:cs="Calibri"/>
          <w:w w:val="95"/>
          <w:sz w:val="20"/>
          <w:szCs w:val="20"/>
          <w:lang w:val="es-CR"/>
        </w:rPr>
        <w:t>.  El 8 de julio de 2003 la Auxiliar Fiscal I realizó un allanamiento en el inmueble e informó que no se habría encontrado el vehículo referido por el informante anónimo, ni ningún otro indicio relacionado con el homicidio</w:t>
      </w:r>
      <w:r>
        <w:rPr>
          <w:rStyle w:val="Refdenotaalpie"/>
          <w:rFonts w:ascii="Verdana" w:hAnsi="Verdana" w:cs="Calibri"/>
          <w:w w:val="95"/>
          <w:sz w:val="20"/>
          <w:szCs w:val="20"/>
          <w:lang w:val="es-CR"/>
        </w:rPr>
        <w:footnoteReference w:id="151"/>
      </w:r>
      <w:r w:rsidRPr="003622B1">
        <w:rPr>
          <w:rFonts w:ascii="Verdana" w:hAnsi="Verdana" w:cs="Calibri"/>
          <w:w w:val="95"/>
          <w:sz w:val="20"/>
          <w:szCs w:val="20"/>
          <w:lang w:val="es-CR"/>
        </w:rPr>
        <w:t xml:space="preserve">, y </w:t>
      </w:r>
    </w:p>
    <w:p w:rsidR="00DF15C3" w:rsidRPr="00992E1E" w:rsidRDefault="00DF15C3" w:rsidP="003F26FD">
      <w:pPr>
        <w:pStyle w:val="Prrafodelista"/>
        <w:numPr>
          <w:ilvl w:val="0"/>
          <w:numId w:val="20"/>
        </w:numPr>
        <w:spacing w:after="0" w:line="216" w:lineRule="auto"/>
        <w:ind w:left="709" w:right="-174" w:firstLine="8"/>
        <w:jc w:val="both"/>
        <w:rPr>
          <w:rFonts w:ascii="Verdana" w:hAnsi="Verdana"/>
          <w:w w:val="95"/>
          <w:sz w:val="20"/>
          <w:szCs w:val="20"/>
          <w:lang w:val="es-CR"/>
        </w:rPr>
      </w:pPr>
      <w:r w:rsidRPr="003622B1">
        <w:rPr>
          <w:rFonts w:ascii="Verdana" w:hAnsi="Verdana" w:cs="Calibri"/>
          <w:spacing w:val="-6"/>
          <w:w w:val="95"/>
          <w:sz w:val="20"/>
          <w:szCs w:val="20"/>
          <w:lang w:val="es-CR"/>
        </w:rPr>
        <w:lastRenderedPageBreak/>
        <w:t>en los meses de junio y agosto de 2005 se analizaron los vehículos propiedad de dos sospechosos con quienes María Isabel había estado en comunicación el día que desapareció</w:t>
      </w:r>
      <w:r>
        <w:rPr>
          <w:rStyle w:val="Refdenotaalpie"/>
          <w:rFonts w:ascii="Verdana" w:hAnsi="Verdana" w:cs="Calibri"/>
          <w:spacing w:val="-6"/>
          <w:w w:val="95"/>
          <w:sz w:val="20"/>
          <w:szCs w:val="20"/>
          <w:lang w:val="es-CR"/>
        </w:rPr>
        <w:footnoteReference w:id="152"/>
      </w:r>
      <w:r w:rsidRPr="003622B1">
        <w:rPr>
          <w:rFonts w:ascii="Verdana" w:hAnsi="Verdana" w:cs="Calibri"/>
          <w:spacing w:val="-6"/>
          <w:w w:val="95"/>
          <w:sz w:val="20"/>
          <w:szCs w:val="20"/>
          <w:lang w:val="es-CR"/>
        </w:rPr>
        <w:t>.</w:t>
      </w:r>
    </w:p>
    <w:p w:rsidR="00DF15C3" w:rsidRPr="00992E1E" w:rsidRDefault="00DF15C3" w:rsidP="003F26FD">
      <w:pPr>
        <w:pStyle w:val="Prrafodelista"/>
        <w:spacing w:after="0" w:line="216" w:lineRule="auto"/>
        <w:ind w:left="-142" w:right="-174"/>
        <w:jc w:val="both"/>
        <w:rPr>
          <w:rFonts w:ascii="Verdana" w:hAnsi="Verdana"/>
          <w:w w:val="95"/>
          <w:sz w:val="20"/>
          <w:szCs w:val="20"/>
          <w:lang w:val="es-CR"/>
        </w:rPr>
      </w:pPr>
    </w:p>
    <w:p w:rsidR="00DF15C3" w:rsidRPr="00992E1E" w:rsidRDefault="00DF15C3" w:rsidP="003F26FD">
      <w:pPr>
        <w:pStyle w:val="Prrafodelista"/>
        <w:numPr>
          <w:ilvl w:val="0"/>
          <w:numId w:val="17"/>
        </w:numPr>
        <w:spacing w:after="0" w:line="216" w:lineRule="auto"/>
        <w:ind w:left="-142" w:right="-174" w:firstLine="0"/>
        <w:jc w:val="both"/>
        <w:rPr>
          <w:rFonts w:ascii="Verdana" w:hAnsi="Verdana"/>
          <w:w w:val="95"/>
          <w:sz w:val="20"/>
          <w:szCs w:val="20"/>
          <w:lang w:val="es-CR"/>
        </w:rPr>
      </w:pPr>
      <w:r w:rsidRPr="003622B1">
        <w:rPr>
          <w:rFonts w:ascii="Verdana" w:hAnsi="Verdana" w:cs="Calibri"/>
          <w:b/>
          <w:i/>
          <w:w w:val="95"/>
          <w:sz w:val="20"/>
          <w:szCs w:val="20"/>
          <w:lang w:val="es-CR"/>
        </w:rPr>
        <w:t>Análisis de ropa y otros indicios.-</w:t>
      </w:r>
      <w:r w:rsidRPr="003622B1">
        <w:rPr>
          <w:rFonts w:ascii="Verdana" w:hAnsi="Verdana" w:cs="Calibri"/>
          <w:w w:val="95"/>
          <w:sz w:val="20"/>
          <w:szCs w:val="20"/>
          <w:lang w:val="es-CR"/>
        </w:rPr>
        <w:t xml:space="preserve"> El 29 de diciembre de 2001 la Técnica en Investigaciones Criminalísticas informó que los indicios embalados el 19 de diciembre del 2001 en los </w:t>
      </w:r>
      <w:r w:rsidRPr="00645702">
        <w:rPr>
          <w:rFonts w:ascii="Verdana" w:hAnsi="Verdana" w:cs="Calibri"/>
          <w:w w:val="95"/>
          <w:sz w:val="20"/>
          <w:szCs w:val="20"/>
          <w:lang w:val="es-CR"/>
        </w:rPr>
        <w:t>Funerales Mancilla</w:t>
      </w:r>
      <w:r w:rsidR="00B837BD" w:rsidRPr="00645702">
        <w:rPr>
          <w:rFonts w:ascii="Verdana" w:hAnsi="Verdana" w:cs="Calibri"/>
          <w:w w:val="95"/>
          <w:sz w:val="20"/>
          <w:szCs w:val="20"/>
          <w:lang w:val="es-CR"/>
        </w:rPr>
        <w:t xml:space="preserve"> S.A.</w:t>
      </w:r>
      <w:r w:rsidRPr="003622B1">
        <w:rPr>
          <w:rFonts w:ascii="Verdana" w:hAnsi="Verdana" w:cs="Calibri"/>
          <w:w w:val="95"/>
          <w:sz w:val="20"/>
          <w:szCs w:val="20"/>
          <w:lang w:val="es-CR"/>
        </w:rPr>
        <w:t xml:space="preserve"> fueron,</w:t>
      </w:r>
      <w:r w:rsidRPr="003622B1">
        <w:rPr>
          <w:rFonts w:ascii="Verdana" w:hAnsi="Verdana" w:cs="Calibri"/>
          <w:b/>
          <w:w w:val="95"/>
          <w:sz w:val="20"/>
          <w:szCs w:val="20"/>
          <w:lang w:val="es-CR"/>
        </w:rPr>
        <w:t xml:space="preserve"> </w:t>
      </w:r>
      <w:r w:rsidRPr="003622B1">
        <w:rPr>
          <w:rFonts w:ascii="Verdana" w:hAnsi="Verdana" w:cs="Calibri"/>
          <w:w w:val="95"/>
          <w:sz w:val="20"/>
          <w:szCs w:val="20"/>
          <w:lang w:val="es-CR"/>
        </w:rPr>
        <w:t>posteriormente, enviados al Laboratorio del Departamento Técnico Científico del Ministerio Público para que se les realizaran diversos análisis</w:t>
      </w:r>
      <w:r>
        <w:rPr>
          <w:rStyle w:val="Refdenotaalpie"/>
          <w:rFonts w:ascii="Verdana" w:hAnsi="Verdana" w:cs="Calibri"/>
          <w:w w:val="95"/>
          <w:sz w:val="20"/>
          <w:szCs w:val="20"/>
          <w:lang w:val="es-CR"/>
        </w:rPr>
        <w:footnoteReference w:id="153"/>
      </w:r>
      <w:r w:rsidRPr="003622B1">
        <w:rPr>
          <w:rFonts w:ascii="Verdana" w:hAnsi="Verdana" w:cs="Calibri"/>
          <w:w w:val="95"/>
          <w:sz w:val="20"/>
          <w:szCs w:val="20"/>
          <w:lang w:val="es-CR"/>
        </w:rPr>
        <w:t>. Los resultados de esos análisis fueron los siguientes:</w:t>
      </w:r>
    </w:p>
    <w:p w:rsidR="00DF15C3" w:rsidRPr="00992E1E" w:rsidRDefault="00DF15C3" w:rsidP="003F26FD">
      <w:pPr>
        <w:pStyle w:val="Prrafodelista"/>
        <w:spacing w:after="0" w:line="216" w:lineRule="auto"/>
        <w:ind w:left="-142" w:right="-174"/>
        <w:jc w:val="both"/>
        <w:rPr>
          <w:rFonts w:ascii="Verdana" w:hAnsi="Verdana"/>
          <w:w w:val="95"/>
          <w:sz w:val="20"/>
          <w:szCs w:val="20"/>
          <w:lang w:val="es-CR"/>
        </w:rPr>
      </w:pPr>
    </w:p>
    <w:p w:rsidR="00DF15C3" w:rsidRPr="00992E1E" w:rsidRDefault="00DF15C3" w:rsidP="003F26FD">
      <w:pPr>
        <w:pStyle w:val="Prrafodelista"/>
        <w:numPr>
          <w:ilvl w:val="1"/>
          <w:numId w:val="17"/>
        </w:numPr>
        <w:spacing w:after="0" w:line="216" w:lineRule="auto"/>
        <w:ind w:left="630" w:right="-174" w:firstLine="0"/>
        <w:jc w:val="both"/>
        <w:rPr>
          <w:rFonts w:ascii="Verdana" w:hAnsi="Verdana" w:cs="Calibri"/>
          <w:w w:val="95"/>
          <w:sz w:val="20"/>
          <w:szCs w:val="20"/>
          <w:lang w:val="es-CR"/>
        </w:rPr>
      </w:pPr>
      <w:r w:rsidRPr="003622B1">
        <w:rPr>
          <w:rFonts w:ascii="Verdana" w:hAnsi="Verdana" w:cs="Calibri"/>
          <w:w w:val="95"/>
          <w:sz w:val="20"/>
          <w:szCs w:val="20"/>
          <w:lang w:val="es-CR"/>
        </w:rPr>
        <w:t>el 4 de enero de 2002 la perita de la Sección de Biología del Ministerio Público rindió un peritaje sobre los análisis realizados</w:t>
      </w:r>
      <w:r>
        <w:rPr>
          <w:rStyle w:val="Refdenotaalpie"/>
          <w:rFonts w:ascii="Verdana" w:hAnsi="Verdana" w:cs="Calibri"/>
          <w:w w:val="95"/>
          <w:sz w:val="20"/>
          <w:szCs w:val="20"/>
          <w:lang w:val="es-CR"/>
        </w:rPr>
        <w:footnoteReference w:id="154"/>
      </w:r>
      <w:r w:rsidRPr="003622B1">
        <w:rPr>
          <w:rFonts w:ascii="Verdana" w:hAnsi="Verdana" w:cs="Calibri"/>
          <w:w w:val="95"/>
          <w:sz w:val="20"/>
          <w:szCs w:val="20"/>
          <w:lang w:val="es-CR"/>
        </w:rPr>
        <w:t xml:space="preserve"> a la ropa</w:t>
      </w:r>
      <w:r w:rsidR="00030315">
        <w:rPr>
          <w:rFonts w:ascii="Verdana" w:hAnsi="Verdana" w:cs="Calibri"/>
          <w:w w:val="95"/>
          <w:sz w:val="20"/>
          <w:szCs w:val="20"/>
          <w:lang w:val="es-CR"/>
        </w:rPr>
        <w:t>,</w:t>
      </w:r>
      <w:r w:rsidRPr="003622B1">
        <w:rPr>
          <w:rFonts w:ascii="Verdana" w:hAnsi="Verdana" w:cs="Calibri"/>
          <w:w w:val="95"/>
          <w:sz w:val="20"/>
          <w:szCs w:val="20"/>
          <w:lang w:val="es-CR"/>
        </w:rPr>
        <w:t xml:space="preserve">  y concluyó que el pantalón de lona, la blusa negra, ambas toallas, el bloomer, el brassier, las calcetas y el nylon presentaban restos de sangre, pero no presentaban restos de sustancias tóxicas ni de semen</w:t>
      </w:r>
      <w:r>
        <w:rPr>
          <w:rStyle w:val="Refdenotaalpie"/>
          <w:rFonts w:ascii="Verdana" w:hAnsi="Verdana" w:cs="Calibri"/>
          <w:w w:val="95"/>
          <w:sz w:val="20"/>
          <w:szCs w:val="20"/>
          <w:lang w:val="es-CR"/>
        </w:rPr>
        <w:footnoteReference w:id="155"/>
      </w:r>
      <w:r w:rsidRPr="003622B1">
        <w:rPr>
          <w:rFonts w:ascii="Verdana" w:hAnsi="Verdana" w:cs="Calibri"/>
          <w:w w:val="95"/>
          <w:sz w:val="20"/>
          <w:szCs w:val="20"/>
          <w:lang w:val="es-CR"/>
        </w:rPr>
        <w:t>. El 4 de enero de 2002 se realizó también la prueba para determinar el grupo sanguíneo de la muestra de una tela con sangre</w:t>
      </w:r>
      <w:r w:rsidRPr="003622B1">
        <w:rPr>
          <w:rFonts w:ascii="Verdana" w:hAnsi="Verdana"/>
          <w:sz w:val="20"/>
          <w:szCs w:val="20"/>
          <w:vertAlign w:val="superscript"/>
        </w:rPr>
        <w:footnoteReference w:id="156"/>
      </w:r>
      <w:r w:rsidRPr="003622B1">
        <w:rPr>
          <w:rFonts w:ascii="Verdana" w:hAnsi="Verdana" w:cs="Calibri"/>
          <w:w w:val="95"/>
          <w:sz w:val="20"/>
          <w:szCs w:val="20"/>
          <w:lang w:val="es-CR"/>
        </w:rPr>
        <w:t xml:space="preserve">; </w:t>
      </w:r>
    </w:p>
    <w:p w:rsidR="00DF15C3" w:rsidRPr="00992E1E" w:rsidRDefault="00DF15C3" w:rsidP="003F26FD">
      <w:pPr>
        <w:pStyle w:val="Prrafodelista"/>
        <w:numPr>
          <w:ilvl w:val="1"/>
          <w:numId w:val="17"/>
        </w:numPr>
        <w:spacing w:after="0" w:line="216" w:lineRule="auto"/>
        <w:ind w:left="630" w:right="-174" w:firstLine="0"/>
        <w:jc w:val="both"/>
        <w:rPr>
          <w:rFonts w:ascii="Verdana" w:hAnsi="Verdana" w:cs="Calibri"/>
          <w:w w:val="95"/>
          <w:sz w:val="20"/>
          <w:szCs w:val="20"/>
          <w:lang w:val="es-CR"/>
        </w:rPr>
      </w:pPr>
      <w:r w:rsidRPr="003622B1">
        <w:rPr>
          <w:rFonts w:ascii="Verdana" w:hAnsi="Verdana" w:cs="Calibri"/>
          <w:w w:val="95"/>
          <w:sz w:val="20"/>
          <w:szCs w:val="20"/>
          <w:lang w:val="es-CR"/>
        </w:rPr>
        <w:t>el 7 de enero de 2002 la perita rindió un peritaje sobre el análisis realizado a las prendas</w:t>
      </w:r>
      <w:r w:rsidRPr="003622B1">
        <w:rPr>
          <w:rFonts w:ascii="Verdana" w:hAnsi="Verdana"/>
          <w:sz w:val="20"/>
          <w:szCs w:val="20"/>
          <w:vertAlign w:val="superscript"/>
        </w:rPr>
        <w:footnoteReference w:id="157"/>
      </w:r>
      <w:r w:rsidRPr="003622B1">
        <w:rPr>
          <w:rFonts w:ascii="Verdana" w:hAnsi="Verdana" w:cs="Calibri"/>
          <w:w w:val="95"/>
          <w:sz w:val="20"/>
          <w:szCs w:val="20"/>
          <w:lang w:val="es-CR"/>
        </w:rPr>
        <w:t xml:space="preserve"> y determinó que los elementos pilosos encontrados en el pantalón de lona, en la toalla azul eran de origen animal y en el resto de las prendas eran de origen humano</w:t>
      </w:r>
      <w:r w:rsidRPr="00500420">
        <w:rPr>
          <w:rFonts w:ascii="Verdana" w:hAnsi="Verdana"/>
          <w:sz w:val="20"/>
          <w:szCs w:val="20"/>
          <w:vertAlign w:val="superscript"/>
        </w:rPr>
        <w:footnoteReference w:id="158"/>
      </w:r>
      <w:r w:rsidRPr="00BB7D8E">
        <w:rPr>
          <w:rFonts w:ascii="Verdana" w:hAnsi="Verdana" w:cs="Calibri"/>
          <w:w w:val="95"/>
          <w:sz w:val="20"/>
          <w:szCs w:val="20"/>
          <w:lang w:val="es-CR"/>
        </w:rPr>
        <w:t xml:space="preserve">; </w:t>
      </w:r>
    </w:p>
    <w:p w:rsidR="00DF15C3" w:rsidRPr="00992E1E" w:rsidRDefault="00DF15C3" w:rsidP="003F26FD">
      <w:pPr>
        <w:pStyle w:val="Prrafodelista"/>
        <w:numPr>
          <w:ilvl w:val="1"/>
          <w:numId w:val="17"/>
        </w:numPr>
        <w:tabs>
          <w:tab w:val="left" w:pos="720"/>
        </w:tabs>
        <w:spacing w:after="0" w:line="216" w:lineRule="auto"/>
        <w:ind w:left="630" w:right="-174" w:firstLine="0"/>
        <w:jc w:val="both"/>
        <w:rPr>
          <w:rFonts w:ascii="Verdana" w:hAnsi="Verdana" w:cs="Calibri"/>
          <w:w w:val="95"/>
          <w:sz w:val="20"/>
          <w:szCs w:val="20"/>
          <w:lang w:val="es-CR"/>
        </w:rPr>
      </w:pPr>
      <w:r w:rsidRPr="003622B1">
        <w:rPr>
          <w:rFonts w:ascii="Verdana" w:hAnsi="Verdana" w:cs="Calibri"/>
          <w:w w:val="95"/>
          <w:sz w:val="20"/>
          <w:szCs w:val="20"/>
          <w:lang w:val="es-CR"/>
        </w:rPr>
        <w:t>el 19 de febrero de 2002 la Sección de Toxicología de la Dirección de Investigaciones Criminalísticas remitió el peritaje TOXI 01-2886 realizado al pantalón, a las calcetas y a una toalla que se encontró junto a su cuerpo. El resultado dio negativo en cuanto a la presencia de plaguicidas, y se hace mención de que las manchas del contenido gástrico ya estaban secas al momento de analizarlas</w:t>
      </w:r>
      <w:r>
        <w:rPr>
          <w:rStyle w:val="Refdenotaalpie"/>
          <w:rFonts w:ascii="Verdana" w:hAnsi="Verdana" w:cs="Calibri"/>
          <w:w w:val="95"/>
          <w:sz w:val="20"/>
          <w:szCs w:val="20"/>
          <w:lang w:val="es-CR"/>
        </w:rPr>
        <w:footnoteReference w:id="159"/>
      </w:r>
      <w:r w:rsidRPr="003622B1">
        <w:rPr>
          <w:rFonts w:ascii="Verdana" w:hAnsi="Verdana" w:cs="Calibri"/>
          <w:w w:val="95"/>
          <w:sz w:val="20"/>
          <w:szCs w:val="20"/>
          <w:lang w:val="es-CR"/>
        </w:rPr>
        <w:t>.</w:t>
      </w:r>
      <w:r w:rsidRPr="003622B1">
        <w:rPr>
          <w:rFonts w:ascii="Verdana" w:hAnsi="Verdana"/>
          <w:w w:val="95"/>
          <w:sz w:val="20"/>
          <w:szCs w:val="20"/>
          <w:lang w:val="es-CR"/>
        </w:rPr>
        <w:t xml:space="preserve"> </w:t>
      </w:r>
      <w:r w:rsidRPr="003622B1">
        <w:rPr>
          <w:rFonts w:ascii="Verdana" w:hAnsi="Verdana" w:cs="Arial"/>
          <w:w w:val="95"/>
          <w:sz w:val="20"/>
          <w:szCs w:val="20"/>
          <w:lang w:val="es-CR"/>
        </w:rPr>
        <w:t>En el dictamen BIOL-01-1512 se concluye y se documenta, entre otros, que “[l]a blusa se encuentra rot</w:t>
      </w:r>
      <w:r w:rsidR="00A053A3">
        <w:rPr>
          <w:rFonts w:ascii="Verdana" w:hAnsi="Verdana" w:cs="Arial"/>
          <w:w w:val="95"/>
          <w:sz w:val="20"/>
          <w:szCs w:val="20"/>
          <w:lang w:val="es-CR"/>
        </w:rPr>
        <w:t xml:space="preserve">a en la parte inferior”, y que </w:t>
      </w:r>
      <w:r w:rsidRPr="003622B1">
        <w:rPr>
          <w:rFonts w:ascii="Verdana" w:hAnsi="Verdana" w:cs="Arial"/>
          <w:w w:val="95"/>
          <w:sz w:val="20"/>
          <w:szCs w:val="20"/>
          <w:lang w:val="es-CR"/>
        </w:rPr>
        <w:t xml:space="preserve">el </w:t>
      </w:r>
      <w:r w:rsidR="00A053A3">
        <w:rPr>
          <w:rFonts w:ascii="Verdana" w:hAnsi="Verdana" w:cs="Arial"/>
          <w:w w:val="95"/>
          <w:sz w:val="20"/>
          <w:szCs w:val="20"/>
          <w:lang w:val="es-CR"/>
        </w:rPr>
        <w:t>“Bloomer de color blanco se encuentra</w:t>
      </w:r>
      <w:r w:rsidRPr="003622B1">
        <w:rPr>
          <w:rFonts w:ascii="Verdana" w:hAnsi="Verdana" w:cs="Arial"/>
          <w:w w:val="95"/>
          <w:sz w:val="20"/>
          <w:szCs w:val="20"/>
          <w:lang w:val="es-CR"/>
        </w:rPr>
        <w:t xml:space="preserve"> roto </w:t>
      </w:r>
      <w:r w:rsidR="00A053A3">
        <w:rPr>
          <w:rFonts w:ascii="Verdana" w:hAnsi="Verdana" w:cs="Arial"/>
          <w:w w:val="95"/>
          <w:sz w:val="20"/>
          <w:szCs w:val="20"/>
          <w:lang w:val="es-CR"/>
        </w:rPr>
        <w:t>[</w:t>
      </w:r>
      <w:r w:rsidRPr="003622B1">
        <w:rPr>
          <w:rFonts w:ascii="Verdana" w:hAnsi="Verdana" w:cs="Arial"/>
          <w:w w:val="95"/>
          <w:sz w:val="20"/>
          <w:szCs w:val="20"/>
          <w:lang w:val="es-CR"/>
        </w:rPr>
        <w:t>en</w:t>
      </w:r>
      <w:r w:rsidR="00A053A3">
        <w:rPr>
          <w:rFonts w:ascii="Verdana" w:hAnsi="Verdana" w:cs="Arial"/>
          <w:w w:val="95"/>
          <w:sz w:val="20"/>
          <w:szCs w:val="20"/>
          <w:lang w:val="es-CR"/>
        </w:rPr>
        <w:t>]</w:t>
      </w:r>
      <w:r w:rsidRPr="003622B1">
        <w:rPr>
          <w:rFonts w:ascii="Verdana" w:hAnsi="Verdana" w:cs="Arial"/>
          <w:w w:val="95"/>
          <w:sz w:val="20"/>
          <w:szCs w:val="20"/>
          <w:lang w:val="es-CR"/>
        </w:rPr>
        <w:t xml:space="preserve"> la parte inferior”</w:t>
      </w:r>
      <w:r>
        <w:rPr>
          <w:rStyle w:val="Refdenotaalpie"/>
          <w:rFonts w:ascii="Verdana" w:hAnsi="Verdana" w:cs="Arial"/>
          <w:w w:val="95"/>
          <w:sz w:val="20"/>
          <w:szCs w:val="20"/>
          <w:lang w:val="es-CR"/>
        </w:rPr>
        <w:footnoteReference w:id="160"/>
      </w:r>
      <w:r w:rsidRPr="003622B1">
        <w:rPr>
          <w:rFonts w:ascii="Verdana" w:hAnsi="Verdana" w:cs="Arial"/>
          <w:w w:val="95"/>
          <w:sz w:val="20"/>
          <w:szCs w:val="20"/>
          <w:lang w:val="es-CR"/>
        </w:rPr>
        <w:t>, y</w:t>
      </w:r>
    </w:p>
    <w:p w:rsidR="00DF15C3" w:rsidRPr="00C27FA4" w:rsidRDefault="00DF15C3" w:rsidP="003F26FD">
      <w:pPr>
        <w:pStyle w:val="Prrafodelista"/>
        <w:numPr>
          <w:ilvl w:val="1"/>
          <w:numId w:val="17"/>
        </w:numPr>
        <w:tabs>
          <w:tab w:val="left" w:pos="720"/>
        </w:tabs>
        <w:spacing w:after="0" w:line="216" w:lineRule="auto"/>
        <w:ind w:left="630" w:right="-174" w:firstLine="0"/>
        <w:jc w:val="both"/>
        <w:rPr>
          <w:rFonts w:ascii="Verdana" w:hAnsi="Verdana" w:cs="Calibri"/>
          <w:w w:val="95"/>
          <w:sz w:val="20"/>
          <w:szCs w:val="20"/>
          <w:lang w:val="es-CR"/>
        </w:rPr>
      </w:pPr>
      <w:r w:rsidRPr="003622B1">
        <w:rPr>
          <w:rFonts w:ascii="Verdana" w:hAnsi="Verdana" w:cs="Calibri"/>
          <w:spacing w:val="-6"/>
          <w:w w:val="95"/>
          <w:sz w:val="20"/>
          <w:szCs w:val="20"/>
          <w:lang w:val="es-CR"/>
        </w:rPr>
        <w:t xml:space="preserve">el 27 de febrero de 2006 la Auxiliar Fiscal I de </w:t>
      </w:r>
      <w:r w:rsidR="0045181D">
        <w:rPr>
          <w:rFonts w:ascii="Verdana" w:hAnsi="Verdana" w:cs="Calibri"/>
          <w:spacing w:val="-6"/>
          <w:w w:val="95"/>
          <w:sz w:val="20"/>
          <w:szCs w:val="20"/>
          <w:lang w:val="es-CR"/>
        </w:rPr>
        <w:t xml:space="preserve">la </w:t>
      </w:r>
      <w:r w:rsidR="0045181D" w:rsidRPr="009C371B">
        <w:rPr>
          <w:rFonts w:ascii="Verdana" w:hAnsi="Verdana" w:cs="Calibri"/>
          <w:spacing w:val="-6"/>
          <w:w w:val="95"/>
          <w:sz w:val="20"/>
          <w:szCs w:val="20"/>
          <w:lang w:val="es-CR"/>
        </w:rPr>
        <w:t>Agencia No. 5 de Mixco</w:t>
      </w:r>
      <w:r w:rsidRPr="009C371B">
        <w:rPr>
          <w:rFonts w:ascii="Verdana" w:hAnsi="Verdana" w:cs="Calibri"/>
          <w:spacing w:val="-6"/>
          <w:w w:val="95"/>
          <w:sz w:val="20"/>
          <w:szCs w:val="20"/>
          <w:lang w:val="es-CR"/>
        </w:rPr>
        <w:t xml:space="preserve"> envió</w:t>
      </w:r>
      <w:r w:rsidRPr="003622B1">
        <w:rPr>
          <w:rFonts w:ascii="Verdana" w:hAnsi="Verdana" w:cs="Calibri"/>
          <w:spacing w:val="-6"/>
          <w:w w:val="95"/>
          <w:sz w:val="20"/>
          <w:szCs w:val="20"/>
          <w:lang w:val="es-CR"/>
        </w:rPr>
        <w:t xml:space="preserve"> un oficio al Médico Forense en donde le pregunta </w:t>
      </w:r>
      <w:r w:rsidR="00445E8E">
        <w:rPr>
          <w:rFonts w:ascii="Verdana" w:hAnsi="Verdana" w:cs="Calibri"/>
          <w:spacing w:val="-6"/>
          <w:w w:val="95"/>
          <w:sz w:val="20"/>
          <w:szCs w:val="20"/>
          <w:lang w:val="es-CR"/>
        </w:rPr>
        <w:t>“</w:t>
      </w:r>
      <w:r w:rsidRPr="003622B1">
        <w:rPr>
          <w:rFonts w:ascii="Verdana" w:hAnsi="Verdana" w:cs="Calibri"/>
          <w:spacing w:val="-6"/>
          <w:w w:val="95"/>
          <w:sz w:val="20"/>
          <w:szCs w:val="20"/>
          <w:lang w:val="es-CR"/>
        </w:rPr>
        <w:t>si cuando el hisopado vaginal y anal y el raspado de</w:t>
      </w:r>
      <w:r w:rsidRPr="00497E73">
        <w:rPr>
          <w:rFonts w:ascii="Verdana" w:hAnsi="Verdana" w:cs="Calibri"/>
          <w:spacing w:val="-6"/>
          <w:w w:val="95"/>
          <w:sz w:val="20"/>
          <w:szCs w:val="20"/>
          <w:lang w:val="es-CR"/>
        </w:rPr>
        <w:t xml:space="preserve"> uñas no son requeridas, igualmente se practican de oficio</w:t>
      </w:r>
      <w:r w:rsidR="00445E8E">
        <w:rPr>
          <w:rFonts w:ascii="Verdana" w:hAnsi="Verdana" w:cs="Calibri"/>
          <w:spacing w:val="-6"/>
          <w:w w:val="95"/>
          <w:sz w:val="20"/>
          <w:szCs w:val="20"/>
          <w:lang w:val="es-CR"/>
        </w:rPr>
        <w:t>”</w:t>
      </w:r>
      <w:r w:rsidRPr="008E41B3">
        <w:rPr>
          <w:rStyle w:val="Refdenotaalpie"/>
          <w:rFonts w:ascii="Verdana" w:hAnsi="Verdana" w:cs="Calibri"/>
          <w:spacing w:val="-6"/>
          <w:w w:val="95"/>
          <w:sz w:val="20"/>
          <w:szCs w:val="20"/>
          <w:lang w:val="es-CR"/>
        </w:rPr>
        <w:footnoteReference w:id="161"/>
      </w:r>
      <w:r w:rsidRPr="00497E73">
        <w:rPr>
          <w:rFonts w:ascii="Verdana" w:hAnsi="Verdana" w:cs="Calibri"/>
          <w:spacing w:val="-6"/>
          <w:w w:val="95"/>
          <w:sz w:val="20"/>
          <w:szCs w:val="20"/>
          <w:lang w:val="es-CR"/>
        </w:rPr>
        <w:t>. El 9 de marzo de 2006 el médico forense respondió a la Auxiliar Fiscal I que dichas pruebas no se realizan de oficio</w:t>
      </w:r>
      <w:r w:rsidRPr="008E41B3">
        <w:rPr>
          <w:rStyle w:val="Refdenotaalpie"/>
          <w:rFonts w:ascii="Verdana" w:hAnsi="Verdana" w:cs="Calibri"/>
          <w:spacing w:val="-6"/>
          <w:w w:val="95"/>
          <w:sz w:val="20"/>
          <w:szCs w:val="20"/>
          <w:lang w:val="es-CR"/>
        </w:rPr>
        <w:footnoteReference w:id="162"/>
      </w:r>
      <w:r w:rsidRPr="00497E73">
        <w:rPr>
          <w:rFonts w:ascii="Verdana" w:hAnsi="Verdana" w:cs="Calibri"/>
          <w:spacing w:val="-6"/>
          <w:w w:val="95"/>
          <w:sz w:val="20"/>
          <w:szCs w:val="20"/>
          <w:lang w:val="es-CR"/>
        </w:rPr>
        <w:t>.</w:t>
      </w:r>
    </w:p>
    <w:p w:rsidR="00DF15C3" w:rsidRDefault="00DF15C3" w:rsidP="003F26FD">
      <w:pPr>
        <w:spacing w:after="0" w:line="216" w:lineRule="auto"/>
        <w:ind w:right="-174"/>
        <w:jc w:val="both"/>
        <w:rPr>
          <w:rFonts w:ascii="Verdana" w:hAnsi="Verdana" w:cs="Calibri"/>
          <w:w w:val="95"/>
          <w:sz w:val="20"/>
          <w:szCs w:val="20"/>
          <w:lang w:val="es-CR"/>
        </w:rPr>
      </w:pPr>
    </w:p>
    <w:p w:rsidR="00BA1E79" w:rsidRDefault="00BA1E79" w:rsidP="003F26FD">
      <w:pPr>
        <w:spacing w:after="0" w:line="216" w:lineRule="auto"/>
        <w:ind w:right="-174"/>
        <w:jc w:val="both"/>
        <w:rPr>
          <w:rFonts w:ascii="Verdana" w:hAnsi="Verdana" w:cs="Calibri"/>
          <w:w w:val="95"/>
          <w:sz w:val="20"/>
          <w:szCs w:val="20"/>
          <w:lang w:val="es-CR"/>
        </w:rPr>
      </w:pPr>
    </w:p>
    <w:p w:rsidR="00DF15C3" w:rsidRDefault="00DF15C3" w:rsidP="003F26FD">
      <w:pPr>
        <w:pStyle w:val="Prrafodelista"/>
        <w:numPr>
          <w:ilvl w:val="0"/>
          <w:numId w:val="17"/>
        </w:numPr>
        <w:spacing w:after="0" w:line="216" w:lineRule="auto"/>
        <w:ind w:left="-142" w:right="-174" w:firstLine="0"/>
        <w:jc w:val="both"/>
        <w:rPr>
          <w:rFonts w:ascii="Verdana" w:hAnsi="Verdana"/>
          <w:b/>
          <w:i/>
          <w:w w:val="95"/>
          <w:sz w:val="20"/>
          <w:szCs w:val="20"/>
          <w:lang w:val="es-CR"/>
        </w:rPr>
      </w:pPr>
      <w:r>
        <w:rPr>
          <w:rFonts w:ascii="Verdana" w:hAnsi="Verdana"/>
          <w:b/>
          <w:i/>
          <w:w w:val="95"/>
          <w:sz w:val="20"/>
          <w:szCs w:val="20"/>
          <w:lang w:val="es-CR"/>
        </w:rPr>
        <w:lastRenderedPageBreak/>
        <w:t>Protocolo de necropsia</w:t>
      </w:r>
      <w:r w:rsidR="00F15CBE" w:rsidRPr="005F0D03">
        <w:rPr>
          <w:rFonts w:ascii="Verdana" w:hAnsi="Verdana"/>
          <w:i/>
          <w:w w:val="95"/>
          <w:sz w:val="20"/>
          <w:szCs w:val="20"/>
          <w:lang w:val="es-CR"/>
        </w:rPr>
        <w:t>.</w:t>
      </w:r>
      <w:r>
        <w:rPr>
          <w:rFonts w:ascii="Verdana" w:hAnsi="Verdana"/>
          <w:b/>
          <w:i/>
          <w:w w:val="95"/>
          <w:sz w:val="20"/>
          <w:szCs w:val="20"/>
          <w:lang w:val="es-CR"/>
        </w:rPr>
        <w:t>–</w:t>
      </w:r>
      <w:r w:rsidRPr="00497E73">
        <w:rPr>
          <w:rFonts w:ascii="Verdana" w:hAnsi="Verdana"/>
          <w:b/>
          <w:i/>
          <w:w w:val="95"/>
          <w:sz w:val="20"/>
          <w:szCs w:val="20"/>
          <w:lang w:val="es-CR"/>
        </w:rPr>
        <w:t xml:space="preserve"> </w:t>
      </w:r>
    </w:p>
    <w:p w:rsidR="00DF15C3" w:rsidRDefault="00DF15C3" w:rsidP="003F26FD">
      <w:pPr>
        <w:spacing w:after="0" w:line="216" w:lineRule="auto"/>
        <w:ind w:right="-174"/>
        <w:jc w:val="both"/>
        <w:rPr>
          <w:rFonts w:ascii="Verdana" w:hAnsi="Verdana"/>
          <w:b/>
          <w:i/>
          <w:w w:val="95"/>
          <w:sz w:val="20"/>
          <w:szCs w:val="20"/>
          <w:lang w:val="es-CR"/>
        </w:rPr>
      </w:pPr>
    </w:p>
    <w:p w:rsidR="00DF15C3" w:rsidRDefault="00DF15C3" w:rsidP="003F26FD">
      <w:pPr>
        <w:pStyle w:val="Prrafodelista"/>
        <w:numPr>
          <w:ilvl w:val="0"/>
          <w:numId w:val="21"/>
        </w:numPr>
        <w:spacing w:after="0" w:line="216" w:lineRule="auto"/>
        <w:ind w:left="540" w:right="-174" w:firstLine="0"/>
        <w:jc w:val="both"/>
        <w:rPr>
          <w:rFonts w:ascii="Verdana" w:hAnsi="Verdana" w:cs="Calibri"/>
          <w:w w:val="95"/>
          <w:sz w:val="20"/>
          <w:szCs w:val="20"/>
          <w:lang w:val="es-CR"/>
        </w:rPr>
      </w:pPr>
      <w:r>
        <w:rPr>
          <w:rFonts w:ascii="Verdana" w:hAnsi="Verdana" w:cs="Calibri"/>
          <w:w w:val="95"/>
          <w:sz w:val="20"/>
          <w:szCs w:val="20"/>
          <w:lang w:val="es-CR"/>
        </w:rPr>
        <w:t>e</w:t>
      </w:r>
      <w:r w:rsidRPr="00507192">
        <w:rPr>
          <w:rFonts w:ascii="Verdana" w:hAnsi="Verdana" w:cs="Calibri"/>
          <w:w w:val="95"/>
          <w:sz w:val="20"/>
          <w:szCs w:val="20"/>
          <w:lang w:val="es-CR"/>
        </w:rPr>
        <w:t>n el Informe del Protocolo de Necropsia emitido por el Organismo Judicial del Servicio Médico Forense el 13 de febrero de 2002 se determinó que la causa de la muerte de María Isabel habría sido “un hematoma epidural secundario a trauma cráneo de cuarto grado</w:t>
      </w:r>
      <w:r>
        <w:rPr>
          <w:rFonts w:ascii="Verdana" w:hAnsi="Verdana" w:cs="Calibri"/>
          <w:w w:val="95"/>
          <w:sz w:val="20"/>
          <w:szCs w:val="20"/>
          <w:lang w:val="es-CR"/>
        </w:rPr>
        <w:t>”, asimismo</w:t>
      </w:r>
      <w:r w:rsidR="00030315">
        <w:rPr>
          <w:rFonts w:ascii="Verdana" w:hAnsi="Verdana" w:cs="Calibri"/>
          <w:w w:val="95"/>
          <w:sz w:val="20"/>
          <w:szCs w:val="20"/>
          <w:lang w:val="es-CR"/>
        </w:rPr>
        <w:t>,</w:t>
      </w:r>
      <w:r>
        <w:rPr>
          <w:rFonts w:ascii="Verdana" w:hAnsi="Verdana" w:cs="Calibri"/>
          <w:w w:val="95"/>
          <w:sz w:val="20"/>
          <w:szCs w:val="20"/>
          <w:lang w:val="es-CR"/>
        </w:rPr>
        <w:t xml:space="preserve"> se llegó a la conclusión de que había presencia de</w:t>
      </w:r>
      <w:r w:rsidRPr="00507192">
        <w:rPr>
          <w:rFonts w:ascii="Verdana" w:hAnsi="Verdana" w:cs="Calibri"/>
          <w:w w:val="95"/>
          <w:sz w:val="20"/>
          <w:szCs w:val="20"/>
          <w:lang w:val="es-CR"/>
        </w:rPr>
        <w:t xml:space="preserve"> </w:t>
      </w:r>
      <w:r>
        <w:rPr>
          <w:rFonts w:ascii="Verdana" w:hAnsi="Verdana" w:cs="Calibri"/>
          <w:w w:val="95"/>
          <w:sz w:val="20"/>
          <w:szCs w:val="20"/>
          <w:lang w:val="es-CR"/>
        </w:rPr>
        <w:t>“</w:t>
      </w:r>
      <w:r w:rsidRPr="00507192">
        <w:rPr>
          <w:rFonts w:ascii="Verdana" w:hAnsi="Verdana"/>
          <w:w w:val="95"/>
          <w:sz w:val="20"/>
          <w:szCs w:val="20"/>
          <w:lang w:val="es-CR"/>
        </w:rPr>
        <w:t>edema cerebral, fractura de cráneo, síndrome asfíctico, entre otros hallazgos y lesiones”</w:t>
      </w:r>
      <w:r w:rsidRPr="00507192">
        <w:rPr>
          <w:rFonts w:ascii="Verdana" w:hAnsi="Verdana" w:cs="Calibri"/>
          <w:w w:val="95"/>
          <w:sz w:val="20"/>
          <w:szCs w:val="20"/>
          <w:lang w:val="es-CR"/>
        </w:rPr>
        <w:t>, y señaló que los órganos genitales se encontraban “normales”</w:t>
      </w:r>
      <w:r w:rsidRPr="00507192">
        <w:rPr>
          <w:rStyle w:val="Refdenotaalpie"/>
          <w:rFonts w:ascii="Verdana" w:hAnsi="Verdana" w:cs="Calibri"/>
          <w:w w:val="95"/>
          <w:sz w:val="20"/>
          <w:szCs w:val="20"/>
        </w:rPr>
        <w:footnoteReference w:id="163"/>
      </w:r>
      <w:r w:rsidRPr="00507192">
        <w:rPr>
          <w:rFonts w:ascii="Verdana" w:hAnsi="Verdana" w:cs="Calibri"/>
          <w:w w:val="95"/>
          <w:sz w:val="20"/>
          <w:szCs w:val="20"/>
          <w:lang w:val="es-CR"/>
        </w:rPr>
        <w:t>. No consta en el expediente que se haya realizado ninguna otra prueba para determinar si María Isabel había s</w:t>
      </w:r>
      <w:r>
        <w:rPr>
          <w:rFonts w:ascii="Verdana" w:hAnsi="Verdana" w:cs="Calibri"/>
          <w:w w:val="95"/>
          <w:sz w:val="20"/>
          <w:szCs w:val="20"/>
          <w:lang w:val="es-CR"/>
        </w:rPr>
        <w:t xml:space="preserve">ido víctima de violencia sexual, y </w:t>
      </w:r>
    </w:p>
    <w:p w:rsidR="00DF15C3" w:rsidRDefault="00DF15C3" w:rsidP="003F26FD">
      <w:pPr>
        <w:pStyle w:val="Prrafodelista"/>
        <w:numPr>
          <w:ilvl w:val="0"/>
          <w:numId w:val="21"/>
        </w:numPr>
        <w:spacing w:after="0" w:line="216" w:lineRule="auto"/>
        <w:ind w:left="540" w:right="-174" w:firstLine="0"/>
        <w:jc w:val="both"/>
        <w:rPr>
          <w:rFonts w:ascii="Verdana" w:hAnsi="Verdana"/>
          <w:spacing w:val="-6"/>
          <w:w w:val="95"/>
          <w:sz w:val="20"/>
          <w:szCs w:val="20"/>
          <w:lang w:val="es-CR"/>
        </w:rPr>
      </w:pPr>
      <w:r>
        <w:rPr>
          <w:rFonts w:ascii="Verdana" w:hAnsi="Verdana" w:cs="Calibri"/>
          <w:spacing w:val="-6"/>
          <w:w w:val="95"/>
          <w:sz w:val="20"/>
          <w:szCs w:val="20"/>
          <w:lang w:val="es-CR"/>
        </w:rPr>
        <w:t>e</w:t>
      </w:r>
      <w:r w:rsidRPr="008E41B3">
        <w:rPr>
          <w:rFonts w:ascii="Verdana" w:hAnsi="Verdana" w:cs="Calibri"/>
          <w:spacing w:val="-6"/>
          <w:w w:val="95"/>
          <w:sz w:val="20"/>
          <w:szCs w:val="20"/>
          <w:lang w:val="es-CR"/>
        </w:rPr>
        <w:t xml:space="preserve">l 2 de agosto de 2011 el Auxiliar Fiscal de </w:t>
      </w:r>
      <w:r w:rsidRPr="00727EBB">
        <w:rPr>
          <w:rFonts w:ascii="Verdana" w:hAnsi="Verdana" w:cs="Calibri"/>
          <w:spacing w:val="-6"/>
          <w:w w:val="95"/>
          <w:sz w:val="20"/>
          <w:szCs w:val="20"/>
          <w:lang w:val="es-CR"/>
        </w:rPr>
        <w:t xml:space="preserve">la Agencia No. </w:t>
      </w:r>
      <w:r w:rsidR="000163E6" w:rsidRPr="009C371B">
        <w:rPr>
          <w:rFonts w:ascii="Verdana" w:hAnsi="Verdana" w:cs="Calibri"/>
          <w:spacing w:val="-6"/>
          <w:w w:val="95"/>
          <w:sz w:val="20"/>
          <w:szCs w:val="20"/>
          <w:lang w:val="es-CR"/>
        </w:rPr>
        <w:t>5</w:t>
      </w:r>
      <w:r w:rsidRPr="009C371B">
        <w:rPr>
          <w:rFonts w:ascii="Verdana" w:hAnsi="Verdana" w:cs="Calibri"/>
          <w:spacing w:val="-6"/>
          <w:w w:val="95"/>
          <w:sz w:val="20"/>
          <w:szCs w:val="20"/>
          <w:lang w:val="es-CR"/>
        </w:rPr>
        <w:t xml:space="preserve"> de Mixco solicitó</w:t>
      </w:r>
      <w:r w:rsidRPr="008E41B3">
        <w:rPr>
          <w:rFonts w:ascii="Verdana" w:hAnsi="Verdana" w:cs="Calibri"/>
          <w:spacing w:val="-6"/>
          <w:w w:val="95"/>
          <w:sz w:val="20"/>
          <w:szCs w:val="20"/>
          <w:lang w:val="es-CR"/>
        </w:rPr>
        <w:t xml:space="preserve"> al Jefe del INACIF que designara un perito forense que realizara una interpretación completa de la necropsia practicada a María Isabel Veliz Franco el 18 de diciembre de 2001</w:t>
      </w:r>
      <w:r w:rsidRPr="008E41B3">
        <w:rPr>
          <w:rStyle w:val="Refdenotaalpie"/>
          <w:rFonts w:ascii="Verdana" w:hAnsi="Verdana" w:cs="Calibri"/>
          <w:spacing w:val="-6"/>
          <w:w w:val="95"/>
          <w:sz w:val="20"/>
          <w:szCs w:val="20"/>
          <w:lang w:val="es-CR"/>
        </w:rPr>
        <w:footnoteReference w:id="164"/>
      </w:r>
      <w:r w:rsidRPr="008E41B3">
        <w:rPr>
          <w:rFonts w:ascii="Verdana" w:hAnsi="Verdana" w:cs="Calibri"/>
          <w:spacing w:val="-6"/>
          <w:w w:val="95"/>
          <w:sz w:val="20"/>
          <w:szCs w:val="20"/>
          <w:lang w:val="es-CR"/>
        </w:rPr>
        <w:t xml:space="preserve">. El 4 de agosto de 2011 un perito profesional en medicina del INACIF rindió un peritaje de interpretación de la necropsia y establece que con los hallazgos de la </w:t>
      </w:r>
      <w:r w:rsidRPr="00E728A2">
        <w:rPr>
          <w:rFonts w:ascii="Verdana" w:hAnsi="Verdana" w:cs="Calibri"/>
          <w:spacing w:val="-6"/>
          <w:w w:val="95"/>
          <w:sz w:val="20"/>
          <w:szCs w:val="20"/>
          <w:lang w:val="es-CR"/>
        </w:rPr>
        <w:t>necropsia no sería posible pronunciarse sobre el momento y la forma de su muerte, no obstante lo anterior indicó que: i) “la causa de la muerte fue un “hematoma epidural secundario a trauma cráneo de cuarto grado”, y ii)</w:t>
      </w:r>
      <w:r w:rsidR="00635EC6">
        <w:rPr>
          <w:rFonts w:ascii="Verdana" w:hAnsi="Verdana" w:cs="Calibri"/>
          <w:spacing w:val="-6"/>
          <w:w w:val="95"/>
          <w:sz w:val="20"/>
          <w:szCs w:val="20"/>
          <w:lang w:val="es-CR"/>
        </w:rPr>
        <w:t xml:space="preserve"> </w:t>
      </w:r>
      <w:r>
        <w:rPr>
          <w:rFonts w:ascii="Verdana" w:hAnsi="Verdana" w:cs="Calibri"/>
          <w:spacing w:val="-6"/>
          <w:w w:val="95"/>
          <w:sz w:val="20"/>
          <w:szCs w:val="20"/>
          <w:lang w:val="es-CR"/>
        </w:rPr>
        <w:t>“</w:t>
      </w:r>
      <w:r w:rsidRPr="00E728A2">
        <w:rPr>
          <w:rFonts w:ascii="Verdana" w:hAnsi="Verdana" w:cs="Calibri"/>
          <w:spacing w:val="-6"/>
          <w:w w:val="95"/>
          <w:sz w:val="20"/>
          <w:szCs w:val="20"/>
          <w:lang w:val="es-CR"/>
        </w:rPr>
        <w:t>el tiempo de fallecimiento era de seis a doce horas”</w:t>
      </w:r>
      <w:r w:rsidRPr="00E728A2">
        <w:rPr>
          <w:rStyle w:val="Refdenotaalpie"/>
          <w:rFonts w:ascii="Verdana" w:hAnsi="Verdana" w:cs="Calibri"/>
          <w:spacing w:val="-6"/>
          <w:w w:val="95"/>
          <w:sz w:val="20"/>
          <w:szCs w:val="20"/>
          <w:lang w:val="es-CR"/>
        </w:rPr>
        <w:footnoteReference w:id="165"/>
      </w:r>
      <w:r w:rsidRPr="00E728A2">
        <w:rPr>
          <w:rFonts w:ascii="Verdana" w:hAnsi="Verdana" w:cs="Calibri"/>
          <w:spacing w:val="-6"/>
          <w:w w:val="95"/>
          <w:sz w:val="20"/>
          <w:szCs w:val="20"/>
          <w:lang w:val="es-CR"/>
        </w:rPr>
        <w:t>.</w:t>
      </w:r>
      <w:r>
        <w:rPr>
          <w:rFonts w:ascii="Verdana" w:hAnsi="Verdana" w:cs="Calibri"/>
          <w:spacing w:val="-6"/>
          <w:w w:val="95"/>
          <w:sz w:val="20"/>
          <w:szCs w:val="20"/>
          <w:lang w:val="es-CR"/>
        </w:rPr>
        <w:t xml:space="preserve"> </w:t>
      </w:r>
    </w:p>
    <w:p w:rsidR="00DF15C3" w:rsidRDefault="00DF15C3" w:rsidP="003F26FD">
      <w:pPr>
        <w:spacing w:after="0" w:line="216" w:lineRule="auto"/>
        <w:ind w:right="-174"/>
        <w:jc w:val="both"/>
        <w:rPr>
          <w:rFonts w:ascii="Verdana" w:hAnsi="Verdana" w:cs="Calibri"/>
          <w:w w:val="95"/>
          <w:sz w:val="20"/>
          <w:szCs w:val="20"/>
          <w:lang w:val="es-CR"/>
        </w:rPr>
      </w:pPr>
    </w:p>
    <w:p w:rsidR="00DF15C3" w:rsidRPr="00E728A2" w:rsidRDefault="00DF15C3" w:rsidP="003F26FD">
      <w:pPr>
        <w:pStyle w:val="Prrafodelista"/>
        <w:numPr>
          <w:ilvl w:val="0"/>
          <w:numId w:val="17"/>
        </w:numPr>
        <w:spacing w:after="0" w:line="216" w:lineRule="auto"/>
        <w:ind w:left="-142" w:right="-174" w:firstLine="0"/>
        <w:jc w:val="both"/>
        <w:rPr>
          <w:rFonts w:ascii="Verdana" w:hAnsi="Verdana"/>
          <w:w w:val="95"/>
          <w:sz w:val="20"/>
          <w:szCs w:val="20"/>
          <w:lang w:val="es-CR"/>
        </w:rPr>
      </w:pPr>
      <w:r w:rsidRPr="00497E73">
        <w:rPr>
          <w:rFonts w:ascii="Verdana" w:hAnsi="Verdana"/>
          <w:b/>
          <w:w w:val="95"/>
          <w:sz w:val="20"/>
          <w:szCs w:val="20"/>
          <w:lang w:val="es-CR"/>
        </w:rPr>
        <w:t>Diligencia</w:t>
      </w:r>
      <w:r>
        <w:rPr>
          <w:rFonts w:ascii="Verdana" w:hAnsi="Verdana"/>
          <w:b/>
          <w:w w:val="95"/>
          <w:sz w:val="20"/>
          <w:szCs w:val="20"/>
          <w:lang w:val="es-CR"/>
        </w:rPr>
        <w:t>s relacionadas con sospechosos.</w:t>
      </w:r>
      <w:r w:rsidRPr="00497E73">
        <w:rPr>
          <w:rFonts w:ascii="Verdana" w:hAnsi="Verdana"/>
          <w:b/>
          <w:w w:val="95"/>
          <w:sz w:val="20"/>
          <w:szCs w:val="20"/>
          <w:lang w:val="es-CR"/>
        </w:rPr>
        <w:t xml:space="preserve">-  </w:t>
      </w:r>
      <w:r w:rsidRPr="00E728A2">
        <w:rPr>
          <w:rFonts w:ascii="Verdana" w:hAnsi="Verdana"/>
          <w:w w:val="95"/>
          <w:sz w:val="20"/>
          <w:szCs w:val="20"/>
          <w:lang w:val="es-CR"/>
        </w:rPr>
        <w:t xml:space="preserve">Se realizaron varias diligencias relacionadas con personas sospechosas, a saber: </w:t>
      </w:r>
    </w:p>
    <w:p w:rsidR="00DF15C3" w:rsidRPr="00E32ACC" w:rsidRDefault="00DF15C3" w:rsidP="003F26FD">
      <w:pPr>
        <w:pStyle w:val="Prrafodelista"/>
        <w:spacing w:after="0" w:line="216" w:lineRule="auto"/>
        <w:ind w:left="-142" w:right="-174"/>
        <w:jc w:val="both"/>
        <w:rPr>
          <w:rFonts w:ascii="Verdana" w:hAnsi="Verdana"/>
          <w:b/>
          <w:w w:val="95"/>
          <w:sz w:val="20"/>
          <w:szCs w:val="20"/>
          <w:lang w:val="es-CR"/>
        </w:rPr>
      </w:pPr>
    </w:p>
    <w:p w:rsidR="00DF15C3" w:rsidRDefault="00DF15C3" w:rsidP="003F26FD">
      <w:pPr>
        <w:pStyle w:val="Prrafodelista"/>
        <w:numPr>
          <w:ilvl w:val="0"/>
          <w:numId w:val="32"/>
        </w:numPr>
        <w:spacing w:after="0" w:line="216" w:lineRule="auto"/>
        <w:ind w:left="720" w:right="-174" w:firstLine="0"/>
        <w:jc w:val="both"/>
        <w:rPr>
          <w:rFonts w:ascii="Verdana" w:hAnsi="Verdana" w:cs="Calibri"/>
          <w:w w:val="95"/>
          <w:sz w:val="20"/>
          <w:szCs w:val="20"/>
          <w:lang w:val="es-CR"/>
        </w:rPr>
      </w:pPr>
      <w:r>
        <w:rPr>
          <w:rFonts w:ascii="Verdana" w:hAnsi="Verdana" w:cs="Calibri"/>
          <w:w w:val="95"/>
          <w:sz w:val="20"/>
          <w:szCs w:val="20"/>
          <w:lang w:val="es-CR"/>
        </w:rPr>
        <w:t>e</w:t>
      </w:r>
      <w:r w:rsidRPr="00497E73">
        <w:rPr>
          <w:rFonts w:ascii="Verdana" w:hAnsi="Verdana" w:cs="Calibri"/>
          <w:w w:val="95"/>
          <w:sz w:val="20"/>
          <w:szCs w:val="20"/>
          <w:lang w:val="es-CR"/>
        </w:rPr>
        <w:t>l 11 de enero de 2002 el investigador a cargo del caso informó sobre el interrogatorio que se había practicado ese día a un conocido de Ma</w:t>
      </w:r>
      <w:r w:rsidR="007D1918">
        <w:rPr>
          <w:rFonts w:ascii="Verdana" w:hAnsi="Verdana" w:cs="Calibri"/>
          <w:w w:val="95"/>
          <w:sz w:val="20"/>
          <w:szCs w:val="20"/>
          <w:lang w:val="es-CR"/>
        </w:rPr>
        <w:t>ría Isabel</w:t>
      </w:r>
      <w:r w:rsidR="00291523" w:rsidRPr="00575BCC">
        <w:rPr>
          <w:rFonts w:ascii="Verdana" w:hAnsi="Verdana"/>
          <w:sz w:val="20"/>
          <w:szCs w:val="20"/>
          <w:vertAlign w:val="superscript"/>
          <w:lang w:val="es-CR"/>
        </w:rPr>
        <w:footnoteReference w:id="166"/>
      </w:r>
      <w:r w:rsidR="007D1918">
        <w:rPr>
          <w:rFonts w:ascii="Verdana" w:hAnsi="Verdana" w:cs="Calibri"/>
          <w:w w:val="95"/>
          <w:sz w:val="20"/>
          <w:szCs w:val="20"/>
          <w:lang w:val="es-CR"/>
        </w:rPr>
        <w:t xml:space="preserve"> </w:t>
      </w:r>
      <w:r w:rsidR="00291523">
        <w:rPr>
          <w:rFonts w:ascii="Verdana" w:hAnsi="Verdana" w:cs="Calibri"/>
          <w:w w:val="95"/>
          <w:sz w:val="20"/>
          <w:szCs w:val="20"/>
          <w:lang w:val="es-CR"/>
        </w:rPr>
        <w:t>(</w:t>
      </w:r>
      <w:r w:rsidR="00291523" w:rsidRPr="00291523">
        <w:rPr>
          <w:rFonts w:ascii="Verdana" w:hAnsi="Verdana" w:cs="Calibri"/>
          <w:i/>
          <w:w w:val="95"/>
          <w:sz w:val="20"/>
          <w:szCs w:val="20"/>
          <w:lang w:val="es-CR"/>
        </w:rPr>
        <w:t>supra</w:t>
      </w:r>
      <w:r w:rsidR="00291523">
        <w:rPr>
          <w:rFonts w:ascii="Verdana" w:hAnsi="Verdana" w:cs="Calibri"/>
          <w:w w:val="95"/>
          <w:sz w:val="20"/>
          <w:szCs w:val="20"/>
          <w:lang w:val="es-CR"/>
        </w:rPr>
        <w:t xml:space="preserve"> párr. 94.b)</w:t>
      </w:r>
      <w:r w:rsidRPr="003622B1">
        <w:rPr>
          <w:rFonts w:ascii="Verdana" w:hAnsi="Verdana" w:cs="Calibri"/>
          <w:w w:val="95"/>
          <w:sz w:val="20"/>
          <w:szCs w:val="20"/>
          <w:lang w:val="es-CR"/>
        </w:rPr>
        <w:t xml:space="preserve">. En dicho interrogatorio el sospechoso relató haber conocido a María Isabel. Manifestó que el 17 de diciembre de 2001 él habría estado en el Municipio de Petén y se enteró de la muerte de María Isabel a través de un amigo, pero que cuando acudió a darle el pésame a la señora Franco </w:t>
      </w:r>
      <w:r w:rsidR="00F91D79">
        <w:rPr>
          <w:rFonts w:ascii="Verdana" w:hAnsi="Verdana" w:cs="Calibri"/>
          <w:w w:val="95"/>
          <w:sz w:val="20"/>
          <w:szCs w:val="20"/>
          <w:lang w:val="es-CR"/>
        </w:rPr>
        <w:t xml:space="preserve">Sandoval </w:t>
      </w:r>
      <w:r w:rsidRPr="003622B1">
        <w:rPr>
          <w:rFonts w:ascii="Verdana" w:hAnsi="Verdana" w:cs="Calibri"/>
          <w:w w:val="95"/>
          <w:sz w:val="20"/>
          <w:szCs w:val="20"/>
          <w:lang w:val="es-CR"/>
        </w:rPr>
        <w:t>ésta le había dicho que sospechaba de él. El 15 de enero de 2002 el investigador entrevistó al amigo referido por el sospechoso, quién confirmó que él le había informado a éste sobre la muerte de María Isabel</w:t>
      </w:r>
      <w:r w:rsidRPr="00575BCC">
        <w:rPr>
          <w:rFonts w:ascii="Verdana" w:hAnsi="Verdana"/>
          <w:sz w:val="20"/>
          <w:szCs w:val="20"/>
          <w:vertAlign w:val="superscript"/>
        </w:rPr>
        <w:footnoteReference w:id="167"/>
      </w:r>
      <w:r w:rsidRPr="003622B1">
        <w:rPr>
          <w:rFonts w:ascii="Verdana" w:hAnsi="Verdana" w:cs="Calibri"/>
          <w:w w:val="95"/>
          <w:sz w:val="20"/>
          <w:szCs w:val="20"/>
          <w:vertAlign w:val="subscript"/>
          <w:lang w:val="es-CR"/>
        </w:rPr>
        <w:t>;</w:t>
      </w:r>
      <w:r w:rsidRPr="003622B1">
        <w:rPr>
          <w:rFonts w:ascii="Verdana" w:hAnsi="Verdana" w:cs="Calibri"/>
          <w:w w:val="95"/>
          <w:sz w:val="20"/>
          <w:szCs w:val="20"/>
          <w:lang w:val="es-CR"/>
        </w:rPr>
        <w:t xml:space="preserve"> </w:t>
      </w:r>
    </w:p>
    <w:p w:rsidR="00DF15C3" w:rsidRDefault="00DF15C3" w:rsidP="003F26FD">
      <w:pPr>
        <w:pStyle w:val="Prrafodelista"/>
        <w:numPr>
          <w:ilvl w:val="0"/>
          <w:numId w:val="32"/>
        </w:numPr>
        <w:spacing w:after="0" w:line="216" w:lineRule="auto"/>
        <w:ind w:left="720" w:right="-174" w:firstLine="0"/>
        <w:jc w:val="both"/>
        <w:rPr>
          <w:rFonts w:ascii="Verdana" w:hAnsi="Verdana" w:cs="Calibri"/>
          <w:w w:val="95"/>
          <w:sz w:val="20"/>
          <w:szCs w:val="20"/>
          <w:lang w:val="es-CR"/>
        </w:rPr>
      </w:pPr>
      <w:r w:rsidRPr="003622B1">
        <w:rPr>
          <w:rFonts w:ascii="Verdana" w:hAnsi="Verdana" w:cs="Calibri"/>
          <w:w w:val="95"/>
          <w:sz w:val="20"/>
          <w:szCs w:val="20"/>
          <w:lang w:val="es-CR"/>
        </w:rPr>
        <w:t xml:space="preserve">el 15 de marzo de 2002 el técnico en Investigaciones Criminalísticas I remitió un oficio a la Fiscalía encargada de la investigación, en el cual se encontraba la “foto robot” de un sospechoso, la cual fue elaborada con base en una descripción </w:t>
      </w:r>
      <w:r w:rsidRPr="003622B1">
        <w:rPr>
          <w:rFonts w:ascii="Verdana" w:hAnsi="Verdana" w:cs="Calibri"/>
          <w:w w:val="95"/>
          <w:sz w:val="20"/>
          <w:szCs w:val="20"/>
          <w:lang w:val="es-CR"/>
        </w:rPr>
        <w:lastRenderedPageBreak/>
        <w:t>proporcionada por una persona que trabajaba en el establecimiento comercial contiguo al “Almacén Taxi”</w:t>
      </w:r>
      <w:r w:rsidRPr="00575BCC">
        <w:rPr>
          <w:rFonts w:ascii="Verdana" w:hAnsi="Verdana"/>
          <w:sz w:val="20"/>
          <w:szCs w:val="20"/>
          <w:vertAlign w:val="superscript"/>
          <w:lang w:val="es-CR"/>
        </w:rPr>
        <w:footnoteReference w:id="168"/>
      </w:r>
      <w:r w:rsidRPr="003622B1">
        <w:rPr>
          <w:rFonts w:ascii="Verdana" w:hAnsi="Verdana" w:cs="Calibri"/>
          <w:w w:val="95"/>
          <w:sz w:val="20"/>
          <w:szCs w:val="20"/>
          <w:lang w:val="es-CR"/>
        </w:rPr>
        <w:t>;</w:t>
      </w:r>
    </w:p>
    <w:p w:rsidR="00DF15C3" w:rsidRDefault="00DF15C3" w:rsidP="003F26FD">
      <w:pPr>
        <w:pStyle w:val="Prrafodelista"/>
        <w:numPr>
          <w:ilvl w:val="0"/>
          <w:numId w:val="32"/>
        </w:numPr>
        <w:spacing w:after="0" w:line="216" w:lineRule="auto"/>
        <w:ind w:left="720" w:right="-174" w:firstLine="0"/>
        <w:jc w:val="both"/>
        <w:rPr>
          <w:rFonts w:ascii="Verdana" w:hAnsi="Verdana" w:cs="Calibri"/>
          <w:w w:val="95"/>
          <w:sz w:val="20"/>
          <w:szCs w:val="20"/>
          <w:lang w:val="es-CR"/>
        </w:rPr>
      </w:pPr>
      <w:r w:rsidRPr="003622B1">
        <w:rPr>
          <w:rFonts w:ascii="Verdana" w:hAnsi="Verdana" w:cs="Calibri"/>
          <w:w w:val="95"/>
          <w:sz w:val="20"/>
          <w:szCs w:val="20"/>
          <w:lang w:val="es-CR"/>
        </w:rPr>
        <w:t xml:space="preserve">el 10 de abril de 2002 los técnicos rindieron una ampliación de su informe y señalaron que uno de los sospechosos con el </w:t>
      </w:r>
      <w:r w:rsidRPr="008B7740">
        <w:rPr>
          <w:rFonts w:ascii="Verdana" w:hAnsi="Verdana" w:cs="Calibri"/>
          <w:i/>
          <w:w w:val="95"/>
          <w:sz w:val="20"/>
          <w:szCs w:val="20"/>
          <w:lang w:val="es-CR"/>
        </w:rPr>
        <w:t>alias</w:t>
      </w:r>
      <w:r w:rsidRPr="003622B1">
        <w:rPr>
          <w:rFonts w:ascii="Verdana" w:hAnsi="Verdana" w:cs="Calibri"/>
          <w:w w:val="95"/>
          <w:sz w:val="20"/>
          <w:szCs w:val="20"/>
          <w:lang w:val="es-CR"/>
        </w:rPr>
        <w:t xml:space="preserve"> del “cubano” era un joven deportista de lucha libre y que, según el Director Técnico de la Federación de Lucha tendría parecido con la “foto robot” que se le mostró. Además de acuerdo a un análisis de la relación entre María Isabel y el sospechoso y los indicios que podrían hacer pensar que él sería re</w:t>
      </w:r>
      <w:r w:rsidR="00CA0655">
        <w:rPr>
          <w:rFonts w:ascii="Verdana" w:hAnsi="Verdana" w:cs="Calibri"/>
          <w:w w:val="95"/>
          <w:sz w:val="20"/>
          <w:szCs w:val="20"/>
          <w:lang w:val="es-CR"/>
        </w:rPr>
        <w:t>sponsable de [su] asesinato […]</w:t>
      </w:r>
      <w:r w:rsidRPr="003622B1">
        <w:rPr>
          <w:rFonts w:ascii="Verdana" w:hAnsi="Verdana" w:cs="Calibri"/>
          <w:w w:val="95"/>
          <w:sz w:val="20"/>
          <w:szCs w:val="20"/>
          <w:lang w:val="es-CR"/>
        </w:rPr>
        <w:t xml:space="preserve"> sugirieron capturar[lo] ante el peligro de su fuga”</w:t>
      </w:r>
      <w:r w:rsidRPr="00575BCC">
        <w:rPr>
          <w:rFonts w:ascii="Verdana" w:hAnsi="Verdana"/>
          <w:sz w:val="20"/>
          <w:szCs w:val="20"/>
          <w:vertAlign w:val="superscript"/>
        </w:rPr>
        <w:footnoteReference w:id="169"/>
      </w:r>
      <w:r w:rsidRPr="003622B1">
        <w:rPr>
          <w:rFonts w:ascii="Verdana" w:hAnsi="Verdana" w:cs="Calibri"/>
          <w:w w:val="95"/>
          <w:sz w:val="20"/>
          <w:szCs w:val="20"/>
          <w:vertAlign w:val="subscript"/>
          <w:lang w:val="es-CR"/>
        </w:rPr>
        <w:t>;</w:t>
      </w:r>
    </w:p>
    <w:p w:rsidR="00DF15C3" w:rsidRDefault="00DF15C3" w:rsidP="003F26FD">
      <w:pPr>
        <w:pStyle w:val="Prrafodelista"/>
        <w:numPr>
          <w:ilvl w:val="0"/>
          <w:numId w:val="32"/>
        </w:numPr>
        <w:spacing w:after="0" w:line="216" w:lineRule="auto"/>
        <w:ind w:left="720" w:right="-174" w:firstLine="0"/>
        <w:jc w:val="both"/>
        <w:rPr>
          <w:rFonts w:ascii="Verdana" w:hAnsi="Verdana" w:cs="Calibri"/>
          <w:w w:val="95"/>
          <w:sz w:val="20"/>
          <w:szCs w:val="20"/>
          <w:lang w:val="es-CR"/>
        </w:rPr>
      </w:pPr>
      <w:r w:rsidRPr="003622B1">
        <w:rPr>
          <w:rFonts w:ascii="Verdana" w:hAnsi="Verdana" w:cs="Calibri"/>
          <w:w w:val="95"/>
          <w:sz w:val="20"/>
          <w:szCs w:val="20"/>
          <w:lang w:val="es-CR"/>
        </w:rPr>
        <w:t>el 15 de abril de 2002 el sospechoso conocido como “el cubano” fue citado a declarar en el Ministerio Público y manifestó que conocía a María Isabel</w:t>
      </w:r>
      <w:r w:rsidRPr="00575BCC">
        <w:rPr>
          <w:rFonts w:ascii="Verdana" w:hAnsi="Verdana"/>
          <w:sz w:val="20"/>
          <w:szCs w:val="20"/>
          <w:vertAlign w:val="superscript"/>
          <w:lang w:val="es-CR"/>
        </w:rPr>
        <w:footnoteReference w:id="170"/>
      </w:r>
      <w:r w:rsidRPr="003622B1">
        <w:rPr>
          <w:rFonts w:ascii="Verdana" w:hAnsi="Verdana" w:cs="Calibri"/>
          <w:w w:val="95"/>
          <w:sz w:val="20"/>
          <w:szCs w:val="20"/>
          <w:lang w:val="es-CR"/>
        </w:rPr>
        <w:t>. Posteriormente el 30 de abril de 2002 se amplió y se concluyó el informe enviado el 20 de febrero de 2002, en el cual se estableció que observando la “foto robot”, el sospechoso presenta muchas diferencias con dicha foto por lo que relativamente se descarta que haya sido responsable</w:t>
      </w:r>
      <w:r w:rsidRPr="00575BCC">
        <w:rPr>
          <w:rFonts w:ascii="Verdana" w:hAnsi="Verdana"/>
          <w:sz w:val="20"/>
          <w:szCs w:val="20"/>
          <w:vertAlign w:val="superscript"/>
        </w:rPr>
        <w:footnoteReference w:id="171"/>
      </w:r>
      <w:r w:rsidRPr="003622B1">
        <w:rPr>
          <w:rFonts w:ascii="Verdana" w:hAnsi="Verdana" w:cs="Calibri"/>
          <w:w w:val="95"/>
          <w:sz w:val="20"/>
          <w:szCs w:val="20"/>
          <w:lang w:val="es-CR"/>
        </w:rPr>
        <w:t>. Dentro de esta ampliación se informa que se entrevistó a otra amiga de María Isabel, quien relató que el sábado anterior a la desaparición fue a una discoteca con María Isabel y ésta conoció a un joven que se parecería a la persona de la “foto robot”. Se afirmó entonces que este sujeto podría ser sospechoso. En este informe el investigador menciona que al levantar el cadáver de la víctima no se solicitó en la necropsia que se le practicaran las pruebas necesarias para establecer si había sido drogada o abusada sexualmente antes de su muerte</w:t>
      </w:r>
      <w:r w:rsidRPr="00575BCC">
        <w:rPr>
          <w:rFonts w:ascii="Verdana" w:hAnsi="Verdana"/>
          <w:sz w:val="20"/>
          <w:szCs w:val="20"/>
          <w:vertAlign w:val="superscript"/>
        </w:rPr>
        <w:footnoteReference w:id="172"/>
      </w:r>
      <w:r w:rsidRPr="003622B1">
        <w:rPr>
          <w:rFonts w:ascii="Verdana" w:hAnsi="Verdana" w:cs="Calibri"/>
          <w:w w:val="95"/>
          <w:sz w:val="20"/>
          <w:szCs w:val="20"/>
          <w:vertAlign w:val="subscript"/>
          <w:lang w:val="es-CR"/>
        </w:rPr>
        <w:t>;</w:t>
      </w:r>
      <w:r w:rsidRPr="003622B1">
        <w:rPr>
          <w:rFonts w:ascii="Verdana" w:hAnsi="Verdana" w:cs="Calibri"/>
          <w:w w:val="95"/>
          <w:sz w:val="20"/>
          <w:szCs w:val="20"/>
          <w:lang w:val="es-CR"/>
        </w:rPr>
        <w:t xml:space="preserve"> </w:t>
      </w:r>
    </w:p>
    <w:p w:rsidR="00DF15C3" w:rsidRDefault="00DF15C3" w:rsidP="003F26FD">
      <w:pPr>
        <w:pStyle w:val="Prrafodelista"/>
        <w:numPr>
          <w:ilvl w:val="0"/>
          <w:numId w:val="32"/>
        </w:numPr>
        <w:spacing w:after="0" w:line="216" w:lineRule="auto"/>
        <w:ind w:left="720" w:right="-174" w:firstLine="0"/>
        <w:jc w:val="both"/>
        <w:rPr>
          <w:rFonts w:ascii="Verdana" w:hAnsi="Verdana" w:cs="Calibri"/>
          <w:w w:val="95"/>
          <w:sz w:val="20"/>
          <w:szCs w:val="20"/>
          <w:lang w:val="es-CR"/>
        </w:rPr>
      </w:pPr>
      <w:r w:rsidRPr="003622B1">
        <w:rPr>
          <w:rFonts w:ascii="Verdana" w:hAnsi="Verdana" w:cs="Calibri"/>
          <w:w w:val="95"/>
          <w:sz w:val="20"/>
          <w:szCs w:val="20"/>
          <w:lang w:val="es-CR"/>
        </w:rPr>
        <w:t xml:space="preserve">durante los meses de marzo, junio y julio de 2003, y septiembre de 2004 se llevaron a cabo más entrevistas y se citó a declarar a sospechosos que manifestaron no tener nada que ver con </w:t>
      </w:r>
      <w:r w:rsidR="00CA0655">
        <w:rPr>
          <w:rFonts w:ascii="Verdana" w:hAnsi="Verdana" w:cs="Calibri"/>
          <w:w w:val="95"/>
          <w:sz w:val="20"/>
          <w:szCs w:val="20"/>
          <w:lang w:val="es-CR"/>
        </w:rPr>
        <w:t xml:space="preserve">la muerte </w:t>
      </w:r>
      <w:r w:rsidR="001B24D9">
        <w:rPr>
          <w:rFonts w:ascii="Verdana" w:hAnsi="Verdana" w:cs="Calibri"/>
          <w:w w:val="95"/>
          <w:sz w:val="20"/>
          <w:szCs w:val="20"/>
          <w:lang w:val="es-CR"/>
        </w:rPr>
        <w:t>el homicidio</w:t>
      </w:r>
      <w:r w:rsidRPr="00575BCC">
        <w:rPr>
          <w:rFonts w:ascii="Verdana" w:hAnsi="Verdana"/>
          <w:sz w:val="20"/>
          <w:szCs w:val="20"/>
          <w:vertAlign w:val="superscript"/>
        </w:rPr>
        <w:footnoteReference w:id="173"/>
      </w:r>
      <w:r w:rsidRPr="003622B1">
        <w:rPr>
          <w:rFonts w:ascii="Verdana" w:hAnsi="Verdana" w:cs="Calibri"/>
          <w:w w:val="95"/>
          <w:sz w:val="20"/>
          <w:szCs w:val="20"/>
          <w:lang w:val="es-CR"/>
        </w:rPr>
        <w:t>. El 19 de mayo de 2004 la Fiscal Distrital del Municipio de Mixco remitió a la Secretaría General del Ministerio Público un informe</w:t>
      </w:r>
      <w:r w:rsidR="00030315">
        <w:rPr>
          <w:rFonts w:ascii="Verdana" w:hAnsi="Verdana" w:cs="Calibri"/>
          <w:w w:val="95"/>
          <w:sz w:val="20"/>
          <w:szCs w:val="20"/>
          <w:lang w:val="es-CR"/>
        </w:rPr>
        <w:t>,</w:t>
      </w:r>
      <w:r w:rsidRPr="003622B1">
        <w:rPr>
          <w:rFonts w:ascii="Verdana" w:hAnsi="Verdana" w:cs="Calibri"/>
          <w:w w:val="95"/>
          <w:sz w:val="20"/>
          <w:szCs w:val="20"/>
          <w:lang w:val="es-CR"/>
        </w:rPr>
        <w:t xml:space="preserve"> concluyendo que no se ha podido individualizar al responsable, pero se continuará investigando</w:t>
      </w:r>
      <w:r w:rsidRPr="003622B1">
        <w:rPr>
          <w:rFonts w:ascii="Verdana" w:hAnsi="Verdana" w:cs="Calibri"/>
          <w:w w:val="95"/>
          <w:sz w:val="20"/>
          <w:szCs w:val="20"/>
          <w:vertAlign w:val="superscript"/>
          <w:lang w:val="es-CR"/>
        </w:rPr>
        <w:footnoteReference w:id="174"/>
      </w:r>
      <w:r w:rsidRPr="003622B1">
        <w:rPr>
          <w:rFonts w:ascii="Verdana" w:hAnsi="Verdana" w:cs="Calibri"/>
          <w:w w:val="95"/>
          <w:sz w:val="20"/>
          <w:szCs w:val="20"/>
          <w:lang w:val="es-CR"/>
        </w:rPr>
        <w:t xml:space="preserve">; </w:t>
      </w:r>
    </w:p>
    <w:p w:rsidR="00DF15C3" w:rsidRDefault="00DF15C3" w:rsidP="003F26FD">
      <w:pPr>
        <w:pStyle w:val="Prrafodelista"/>
        <w:numPr>
          <w:ilvl w:val="0"/>
          <w:numId w:val="32"/>
        </w:numPr>
        <w:spacing w:after="0" w:line="216" w:lineRule="auto"/>
        <w:ind w:left="720" w:right="-174" w:firstLine="0"/>
        <w:jc w:val="both"/>
        <w:rPr>
          <w:rFonts w:ascii="Verdana" w:hAnsi="Verdana" w:cs="Calibri"/>
          <w:w w:val="95"/>
          <w:sz w:val="20"/>
          <w:szCs w:val="20"/>
          <w:lang w:val="es-CR"/>
        </w:rPr>
      </w:pPr>
      <w:r w:rsidRPr="003622B1">
        <w:rPr>
          <w:rFonts w:ascii="Verdana" w:hAnsi="Verdana" w:cs="Calibri"/>
          <w:w w:val="95"/>
          <w:sz w:val="20"/>
          <w:szCs w:val="20"/>
          <w:lang w:val="es-CR"/>
        </w:rPr>
        <w:t xml:space="preserve">el 4 de octubre de 2005 en </w:t>
      </w:r>
      <w:r w:rsidRPr="00727EBB">
        <w:rPr>
          <w:rFonts w:ascii="Verdana" w:hAnsi="Verdana" w:cs="Calibri"/>
          <w:w w:val="95"/>
          <w:sz w:val="20"/>
          <w:szCs w:val="20"/>
          <w:lang w:val="es-CR"/>
        </w:rPr>
        <w:t>la Agencia Fiscal No. 5</w:t>
      </w:r>
      <w:r w:rsidR="000163E6" w:rsidRPr="00727EBB">
        <w:rPr>
          <w:rFonts w:ascii="Verdana" w:hAnsi="Verdana" w:cs="Calibri"/>
          <w:w w:val="95"/>
          <w:sz w:val="20"/>
          <w:szCs w:val="20"/>
          <w:lang w:val="es-CR"/>
        </w:rPr>
        <w:t xml:space="preserve"> </w:t>
      </w:r>
      <w:r w:rsidR="000163E6" w:rsidRPr="009C371B">
        <w:rPr>
          <w:rFonts w:ascii="Verdana" w:hAnsi="Verdana" w:cs="Calibri"/>
          <w:w w:val="95"/>
          <w:sz w:val="20"/>
          <w:szCs w:val="20"/>
          <w:lang w:val="es-CR"/>
        </w:rPr>
        <w:t>de Mixco</w:t>
      </w:r>
      <w:r w:rsidRPr="00727EBB">
        <w:rPr>
          <w:rFonts w:ascii="Verdana" w:hAnsi="Verdana" w:cs="Calibri"/>
          <w:w w:val="95"/>
          <w:sz w:val="20"/>
          <w:szCs w:val="20"/>
          <w:lang w:val="es-CR"/>
        </w:rPr>
        <w:t xml:space="preserve"> se realizó</w:t>
      </w:r>
      <w:r w:rsidRPr="003622B1">
        <w:rPr>
          <w:rFonts w:ascii="Verdana" w:hAnsi="Verdana" w:cs="Calibri"/>
          <w:w w:val="95"/>
          <w:sz w:val="20"/>
          <w:szCs w:val="20"/>
          <w:lang w:val="es-CR"/>
        </w:rPr>
        <w:t xml:space="preserve"> un examen psicológico al primer sospech</w:t>
      </w:r>
      <w:r w:rsidR="00C0115D">
        <w:rPr>
          <w:rFonts w:ascii="Verdana" w:hAnsi="Verdana" w:cs="Calibri"/>
          <w:w w:val="95"/>
          <w:sz w:val="20"/>
          <w:szCs w:val="20"/>
          <w:lang w:val="es-CR"/>
        </w:rPr>
        <w:t xml:space="preserve">oso señalado por la señora </w:t>
      </w:r>
      <w:r w:rsidRPr="003622B1">
        <w:rPr>
          <w:rFonts w:ascii="Verdana" w:hAnsi="Verdana" w:cs="Calibri"/>
          <w:w w:val="95"/>
          <w:sz w:val="20"/>
          <w:szCs w:val="20"/>
          <w:lang w:val="es-CR"/>
        </w:rPr>
        <w:t>Franco</w:t>
      </w:r>
      <w:r w:rsidR="00C0115D">
        <w:rPr>
          <w:rFonts w:ascii="Verdana" w:hAnsi="Verdana" w:cs="Calibri"/>
          <w:w w:val="95"/>
          <w:sz w:val="20"/>
          <w:szCs w:val="20"/>
          <w:lang w:val="es-CR"/>
        </w:rPr>
        <w:t xml:space="preserve"> Sandoval</w:t>
      </w:r>
      <w:r w:rsidR="00030315">
        <w:rPr>
          <w:rFonts w:ascii="Verdana" w:hAnsi="Verdana" w:cs="Calibri"/>
          <w:w w:val="95"/>
          <w:sz w:val="20"/>
          <w:szCs w:val="20"/>
          <w:lang w:val="es-CR"/>
        </w:rPr>
        <w:t>,</w:t>
      </w:r>
      <w:r w:rsidRPr="003622B1">
        <w:rPr>
          <w:rFonts w:ascii="Verdana" w:hAnsi="Verdana" w:cs="Calibri"/>
          <w:w w:val="95"/>
          <w:sz w:val="20"/>
          <w:szCs w:val="20"/>
          <w:lang w:val="es-CR"/>
        </w:rPr>
        <w:t xml:space="preserve"> y se realizaron investigaciones para comprobar su dicho respecto a donde se encontraba el día de los hechos</w:t>
      </w:r>
      <w:r w:rsidRPr="00575BCC">
        <w:rPr>
          <w:rFonts w:ascii="Verdana" w:hAnsi="Verdana"/>
          <w:sz w:val="20"/>
          <w:szCs w:val="20"/>
          <w:vertAlign w:val="superscript"/>
          <w:lang w:val="es-CR"/>
        </w:rPr>
        <w:footnoteReference w:id="175"/>
      </w:r>
      <w:r w:rsidRPr="003622B1">
        <w:rPr>
          <w:rFonts w:ascii="Verdana" w:hAnsi="Verdana" w:cs="Calibri"/>
          <w:w w:val="95"/>
          <w:sz w:val="20"/>
          <w:szCs w:val="20"/>
          <w:lang w:val="es-CR"/>
        </w:rPr>
        <w:t>;</w:t>
      </w:r>
    </w:p>
    <w:p w:rsidR="00DF15C3" w:rsidRDefault="00DF15C3" w:rsidP="003F26FD">
      <w:pPr>
        <w:pStyle w:val="Prrafodelista"/>
        <w:numPr>
          <w:ilvl w:val="0"/>
          <w:numId w:val="32"/>
        </w:numPr>
        <w:spacing w:after="0" w:line="216" w:lineRule="auto"/>
        <w:ind w:left="720" w:right="-174" w:firstLine="0"/>
        <w:jc w:val="both"/>
        <w:rPr>
          <w:rFonts w:ascii="Verdana" w:hAnsi="Verdana" w:cs="Calibri"/>
          <w:w w:val="95"/>
          <w:sz w:val="20"/>
          <w:szCs w:val="20"/>
          <w:lang w:val="es-CR"/>
        </w:rPr>
      </w:pPr>
      <w:r w:rsidRPr="003622B1">
        <w:rPr>
          <w:rFonts w:ascii="Verdana" w:hAnsi="Verdana" w:cs="Calibri"/>
          <w:w w:val="95"/>
          <w:sz w:val="20"/>
          <w:szCs w:val="20"/>
          <w:lang w:val="es-CR"/>
        </w:rPr>
        <w:t>el 31 de agosto de 2006 se citó otro posible sospechoso para que rindiera su declaración</w:t>
      </w:r>
      <w:r w:rsidRPr="00944C2B">
        <w:rPr>
          <w:rFonts w:ascii="Verdana" w:hAnsi="Verdana"/>
          <w:sz w:val="20"/>
          <w:szCs w:val="20"/>
          <w:vertAlign w:val="superscript"/>
          <w:lang w:val="es-CR"/>
        </w:rPr>
        <w:footnoteReference w:id="176"/>
      </w:r>
      <w:r w:rsidRPr="003622B1">
        <w:rPr>
          <w:rFonts w:ascii="Verdana" w:hAnsi="Verdana" w:cs="Calibri"/>
          <w:w w:val="95"/>
          <w:sz w:val="20"/>
          <w:szCs w:val="20"/>
          <w:lang w:val="es-CR"/>
        </w:rPr>
        <w:t>;</w:t>
      </w:r>
    </w:p>
    <w:p w:rsidR="00DF15C3" w:rsidRDefault="00DF15C3" w:rsidP="003F26FD">
      <w:pPr>
        <w:pStyle w:val="Prrafodelista"/>
        <w:numPr>
          <w:ilvl w:val="0"/>
          <w:numId w:val="32"/>
        </w:numPr>
        <w:spacing w:after="0" w:line="216" w:lineRule="auto"/>
        <w:ind w:left="720" w:right="-174" w:firstLine="0"/>
        <w:jc w:val="both"/>
        <w:rPr>
          <w:rFonts w:ascii="Verdana" w:hAnsi="Verdana" w:cs="Calibri"/>
          <w:w w:val="95"/>
          <w:sz w:val="20"/>
          <w:szCs w:val="20"/>
          <w:lang w:val="es-CR"/>
        </w:rPr>
      </w:pPr>
      <w:r w:rsidRPr="003622B1">
        <w:rPr>
          <w:rFonts w:ascii="Verdana" w:hAnsi="Verdana" w:cs="Calibri"/>
          <w:w w:val="95"/>
          <w:sz w:val="20"/>
          <w:szCs w:val="20"/>
          <w:lang w:val="es-CR"/>
        </w:rPr>
        <w:lastRenderedPageBreak/>
        <w:t>durante el segundo semestre de 2006 se realizaron diversas diligencias relativas al vehículo e inmueble mencionados por el informante anónimo en 2001, así como a personas que habrían sido consideradas sospechosas; entre otras cosas se realizaron solicitudes de  información, se tomaron declaraciones y se realizaron entrevistas;</w:t>
      </w:r>
    </w:p>
    <w:p w:rsidR="00DF15C3" w:rsidRDefault="00DF15C3" w:rsidP="003F26FD">
      <w:pPr>
        <w:pStyle w:val="Prrafodelista"/>
        <w:numPr>
          <w:ilvl w:val="0"/>
          <w:numId w:val="32"/>
        </w:numPr>
        <w:spacing w:after="0" w:line="216" w:lineRule="auto"/>
        <w:ind w:left="720" w:right="-174" w:firstLine="0"/>
        <w:jc w:val="both"/>
        <w:rPr>
          <w:rFonts w:ascii="Verdana" w:hAnsi="Verdana" w:cs="Calibri"/>
          <w:w w:val="95"/>
          <w:sz w:val="20"/>
          <w:szCs w:val="20"/>
          <w:lang w:val="es-CR"/>
        </w:rPr>
      </w:pPr>
      <w:r w:rsidRPr="003622B1">
        <w:rPr>
          <w:rFonts w:ascii="Verdana" w:hAnsi="Verdana" w:cs="Calibri"/>
          <w:w w:val="95"/>
          <w:sz w:val="20"/>
          <w:szCs w:val="20"/>
          <w:lang w:val="es-CR"/>
        </w:rPr>
        <w:t>en febrero de 2007 el Ministerio Público continuó solicitando información inmobiliaria y migratoria respecto a personas sospechosas del homicidio de María Isabel</w:t>
      </w:r>
      <w:r w:rsidRPr="00944C2B">
        <w:rPr>
          <w:rFonts w:ascii="Verdana" w:hAnsi="Verdana"/>
          <w:sz w:val="20"/>
          <w:szCs w:val="20"/>
          <w:vertAlign w:val="superscript"/>
          <w:lang w:val="es-CR"/>
        </w:rPr>
        <w:footnoteReference w:id="177"/>
      </w:r>
      <w:r w:rsidRPr="003622B1">
        <w:rPr>
          <w:rFonts w:ascii="Verdana" w:hAnsi="Verdana" w:cs="Calibri"/>
          <w:w w:val="95"/>
          <w:sz w:val="20"/>
          <w:szCs w:val="20"/>
          <w:lang w:val="es-CR"/>
        </w:rPr>
        <w:t>, y</w:t>
      </w:r>
    </w:p>
    <w:p w:rsidR="00DF15C3" w:rsidRDefault="00DF15C3" w:rsidP="003F26FD">
      <w:pPr>
        <w:pStyle w:val="Prrafodelista"/>
        <w:numPr>
          <w:ilvl w:val="0"/>
          <w:numId w:val="32"/>
        </w:numPr>
        <w:spacing w:after="0" w:line="216" w:lineRule="auto"/>
        <w:ind w:left="720" w:right="-174" w:firstLine="0"/>
        <w:jc w:val="both"/>
        <w:rPr>
          <w:rFonts w:ascii="Verdana" w:hAnsi="Verdana" w:cs="Calibri"/>
          <w:w w:val="95"/>
          <w:sz w:val="20"/>
          <w:szCs w:val="20"/>
          <w:lang w:val="es-CR"/>
        </w:rPr>
      </w:pPr>
      <w:r w:rsidRPr="003622B1">
        <w:rPr>
          <w:rFonts w:ascii="Verdana" w:hAnsi="Verdana" w:cs="Calibri"/>
          <w:w w:val="95"/>
          <w:sz w:val="20"/>
          <w:szCs w:val="20"/>
          <w:lang w:val="es-CR"/>
        </w:rPr>
        <w:t>en diciembre de 2010 se realizó un peritaje de análisis de ADN a un sospechoso</w:t>
      </w:r>
      <w:r w:rsidR="00C627A1" w:rsidRPr="00122C63">
        <w:rPr>
          <w:vertAlign w:val="superscript"/>
        </w:rPr>
        <w:footnoteReference w:id="178"/>
      </w:r>
      <w:r w:rsidRPr="003622B1">
        <w:rPr>
          <w:rFonts w:ascii="Verdana" w:hAnsi="Verdana" w:cs="Calibri"/>
          <w:w w:val="95"/>
          <w:sz w:val="20"/>
          <w:szCs w:val="20"/>
          <w:lang w:val="es-CR"/>
        </w:rPr>
        <w:t>, y el 16 de mayo de 2011 fue rendido el dictamen pericial respecto a la comparación entre el ADN y las evidencias con que se contaba, estableciéndose que el pantalón, las calcetas y una de las toallas se encontraban extraviadas por lo que no fueron cotejadas. En el peritaje se determinó que en varias prendas se encontró sangre perteneciente a una persona del sexo femenino, y en el resto de las prendas no existía material genético útil para hacer la prueba</w:t>
      </w:r>
      <w:r w:rsidRPr="00944C2B">
        <w:rPr>
          <w:rFonts w:ascii="Verdana" w:hAnsi="Verdana"/>
          <w:sz w:val="20"/>
          <w:szCs w:val="20"/>
          <w:vertAlign w:val="superscript"/>
        </w:rPr>
        <w:footnoteReference w:id="179"/>
      </w:r>
      <w:r w:rsidRPr="003622B1">
        <w:rPr>
          <w:rFonts w:ascii="Verdana" w:hAnsi="Verdana" w:cs="Calibri"/>
          <w:w w:val="95"/>
          <w:sz w:val="20"/>
          <w:szCs w:val="20"/>
          <w:lang w:val="es-CR"/>
        </w:rPr>
        <w:t xml:space="preserve">. </w:t>
      </w:r>
    </w:p>
    <w:p w:rsidR="00DF15C3" w:rsidRPr="009C0057" w:rsidRDefault="00DF15C3" w:rsidP="003F26FD">
      <w:pPr>
        <w:pStyle w:val="Prrafodelista"/>
        <w:spacing w:after="0" w:line="216" w:lineRule="auto"/>
        <w:ind w:left="-142" w:right="-174"/>
        <w:jc w:val="both"/>
        <w:rPr>
          <w:rFonts w:ascii="Verdana" w:hAnsi="Verdana"/>
          <w:w w:val="95"/>
          <w:sz w:val="20"/>
          <w:szCs w:val="20"/>
          <w:lang w:val="es-CR"/>
        </w:rPr>
      </w:pPr>
    </w:p>
    <w:p w:rsidR="00DF15C3" w:rsidRPr="009C0057" w:rsidRDefault="00DF15C3" w:rsidP="003F26FD">
      <w:pPr>
        <w:pStyle w:val="Prrafodelista"/>
        <w:numPr>
          <w:ilvl w:val="0"/>
          <w:numId w:val="17"/>
        </w:numPr>
        <w:spacing w:after="0" w:line="216" w:lineRule="auto"/>
        <w:ind w:left="-142" w:right="-174" w:firstLine="0"/>
        <w:jc w:val="both"/>
        <w:rPr>
          <w:rFonts w:ascii="Verdana" w:hAnsi="Verdana"/>
          <w:b/>
          <w:i/>
          <w:w w:val="95"/>
          <w:sz w:val="20"/>
          <w:szCs w:val="20"/>
          <w:lang w:val="es-CR"/>
        </w:rPr>
      </w:pPr>
      <w:r w:rsidRPr="003622B1">
        <w:rPr>
          <w:rFonts w:ascii="Verdana" w:hAnsi="Verdana"/>
          <w:b/>
          <w:i/>
          <w:w w:val="95"/>
          <w:sz w:val="20"/>
          <w:szCs w:val="20"/>
          <w:lang w:val="es-CR"/>
        </w:rPr>
        <w:t xml:space="preserve">Reporte fotográfico.- </w:t>
      </w:r>
      <w:r w:rsidRPr="003622B1">
        <w:rPr>
          <w:rFonts w:ascii="Verdana" w:hAnsi="Verdana" w:cs="Calibri"/>
          <w:spacing w:val="-6"/>
          <w:w w:val="95"/>
          <w:sz w:val="20"/>
          <w:szCs w:val="20"/>
          <w:lang w:val="es-CR"/>
        </w:rPr>
        <w:t>El</w:t>
      </w:r>
      <w:r w:rsidRPr="003622B1">
        <w:rPr>
          <w:rFonts w:ascii="Verdana" w:hAnsi="Verdana"/>
          <w:spacing w:val="-6"/>
          <w:w w:val="95"/>
          <w:sz w:val="20"/>
          <w:szCs w:val="20"/>
          <w:lang w:val="es-CR"/>
        </w:rPr>
        <w:t xml:space="preserve"> 3 de marzo de 2002 </w:t>
      </w:r>
      <w:r w:rsidRPr="003622B1">
        <w:rPr>
          <w:rFonts w:ascii="Verdana" w:hAnsi="Verdana" w:cs="Calibri"/>
          <w:spacing w:val="-6"/>
          <w:w w:val="95"/>
          <w:sz w:val="20"/>
          <w:szCs w:val="20"/>
          <w:lang w:val="es-CR"/>
        </w:rPr>
        <w:t xml:space="preserve">un investigador de la Sección de Inspecciones Oculares del Servicio de Investigación Criminal </w:t>
      </w:r>
      <w:r>
        <w:rPr>
          <w:rFonts w:ascii="Verdana" w:hAnsi="Verdana" w:cs="Calibri"/>
          <w:spacing w:val="-6"/>
          <w:w w:val="95"/>
          <w:sz w:val="20"/>
          <w:szCs w:val="20"/>
          <w:lang w:val="es-CR"/>
        </w:rPr>
        <w:t xml:space="preserve">de la PNC </w:t>
      </w:r>
      <w:r w:rsidRPr="003622B1">
        <w:rPr>
          <w:rFonts w:ascii="Verdana" w:hAnsi="Verdana" w:cs="Calibri"/>
          <w:spacing w:val="-6"/>
          <w:w w:val="95"/>
          <w:sz w:val="20"/>
          <w:szCs w:val="20"/>
          <w:lang w:val="es-CR"/>
        </w:rPr>
        <w:t>envió al Auxiliar Fiscal de la Agencia No. 32 de Guatemala el reporte fotográfico del cuerpo de María Isabel y de la zona donde fue encontrado</w:t>
      </w:r>
      <w:r>
        <w:rPr>
          <w:rStyle w:val="Refdenotaalpie"/>
          <w:rFonts w:ascii="Verdana" w:hAnsi="Verdana" w:cs="Calibri"/>
          <w:spacing w:val="-6"/>
          <w:w w:val="95"/>
          <w:sz w:val="20"/>
          <w:szCs w:val="20"/>
          <w:lang w:val="es-CR"/>
        </w:rPr>
        <w:footnoteReference w:id="180"/>
      </w:r>
      <w:r w:rsidRPr="003622B1">
        <w:rPr>
          <w:rFonts w:ascii="Verdana" w:hAnsi="Verdana" w:cs="Calibri"/>
          <w:spacing w:val="-6"/>
          <w:w w:val="95"/>
          <w:sz w:val="20"/>
          <w:szCs w:val="20"/>
          <w:lang w:val="es-CR"/>
        </w:rPr>
        <w:t>.</w:t>
      </w:r>
    </w:p>
    <w:p w:rsidR="00DF15C3" w:rsidRPr="009C0057" w:rsidRDefault="00DF15C3" w:rsidP="003F26FD">
      <w:pPr>
        <w:pStyle w:val="Prrafodelista"/>
        <w:spacing w:after="0" w:line="216" w:lineRule="auto"/>
        <w:ind w:left="-142" w:right="-174"/>
        <w:jc w:val="both"/>
        <w:rPr>
          <w:rFonts w:ascii="Verdana" w:hAnsi="Verdana"/>
          <w:b/>
          <w:i/>
          <w:w w:val="95"/>
          <w:sz w:val="20"/>
          <w:szCs w:val="20"/>
          <w:lang w:val="es-CR"/>
        </w:rPr>
      </w:pPr>
    </w:p>
    <w:p w:rsidR="00DF15C3" w:rsidRPr="009C0057" w:rsidRDefault="00DF15C3" w:rsidP="003F26FD">
      <w:pPr>
        <w:pStyle w:val="Prrafodelista"/>
        <w:numPr>
          <w:ilvl w:val="0"/>
          <w:numId w:val="17"/>
        </w:numPr>
        <w:spacing w:after="0" w:line="216" w:lineRule="auto"/>
        <w:ind w:left="-142" w:right="-174" w:firstLine="0"/>
        <w:jc w:val="both"/>
        <w:rPr>
          <w:rFonts w:ascii="Verdana" w:hAnsi="Verdana"/>
          <w:i/>
          <w:w w:val="95"/>
          <w:sz w:val="20"/>
          <w:szCs w:val="20"/>
          <w:lang w:val="es-CR"/>
        </w:rPr>
      </w:pPr>
      <w:r w:rsidRPr="003622B1">
        <w:rPr>
          <w:rFonts w:ascii="Verdana" w:hAnsi="Verdana"/>
          <w:b/>
          <w:i/>
          <w:w w:val="95"/>
          <w:sz w:val="20"/>
          <w:szCs w:val="20"/>
          <w:lang w:val="es-CR"/>
        </w:rPr>
        <w:t xml:space="preserve">Cambios de investigadores y Fiscales.– </w:t>
      </w:r>
      <w:r w:rsidRPr="003622B1">
        <w:rPr>
          <w:rFonts w:ascii="Verdana" w:hAnsi="Verdana"/>
          <w:w w:val="95"/>
          <w:sz w:val="20"/>
          <w:szCs w:val="20"/>
          <w:lang w:val="es-CR"/>
        </w:rPr>
        <w:t>Dentro de los prolongados pero infructuosos procedimientos llevados a cabo se produjeron cambios en el personal actuante:</w:t>
      </w:r>
      <w:r w:rsidRPr="003622B1">
        <w:rPr>
          <w:rFonts w:ascii="Verdana" w:hAnsi="Verdana"/>
          <w:i/>
          <w:w w:val="95"/>
          <w:sz w:val="20"/>
          <w:szCs w:val="20"/>
          <w:lang w:val="es-CR"/>
        </w:rPr>
        <w:t xml:space="preserve"> </w:t>
      </w:r>
    </w:p>
    <w:p w:rsidR="00DF15C3" w:rsidRPr="009C0057" w:rsidRDefault="00DF15C3" w:rsidP="003F26FD">
      <w:pPr>
        <w:spacing w:after="0" w:line="216" w:lineRule="auto"/>
        <w:ind w:right="-174"/>
        <w:jc w:val="both"/>
        <w:rPr>
          <w:rFonts w:ascii="Verdana" w:hAnsi="Verdana"/>
          <w:b/>
          <w:i/>
          <w:w w:val="95"/>
          <w:sz w:val="20"/>
          <w:szCs w:val="20"/>
          <w:lang w:val="es-CR"/>
        </w:rPr>
      </w:pPr>
    </w:p>
    <w:p w:rsidR="00DF15C3" w:rsidRPr="009C0057" w:rsidRDefault="00DF15C3" w:rsidP="003F26FD">
      <w:pPr>
        <w:pStyle w:val="Prrafodelista"/>
        <w:numPr>
          <w:ilvl w:val="0"/>
          <w:numId w:val="23"/>
        </w:numPr>
        <w:spacing w:after="0" w:line="216" w:lineRule="auto"/>
        <w:ind w:left="709" w:right="-174" w:firstLine="0"/>
        <w:jc w:val="both"/>
        <w:rPr>
          <w:rFonts w:ascii="Verdana" w:hAnsi="Verdana" w:cs="Calibri"/>
          <w:spacing w:val="-6"/>
          <w:w w:val="95"/>
          <w:sz w:val="20"/>
          <w:szCs w:val="20"/>
          <w:lang w:val="es-CR"/>
        </w:rPr>
      </w:pPr>
      <w:r w:rsidRPr="003622B1">
        <w:rPr>
          <w:rFonts w:ascii="Verdana" w:hAnsi="Verdana" w:cs="Calibri"/>
          <w:spacing w:val="-6"/>
          <w:w w:val="95"/>
          <w:sz w:val="20"/>
          <w:szCs w:val="20"/>
          <w:lang w:val="es-CR"/>
        </w:rPr>
        <w:t xml:space="preserve">el 21 de mayo de 2004 la investigadora encargada emitió un informe de las investigaciones y actuaciones a </w:t>
      </w:r>
      <w:r w:rsidRPr="00727EBB">
        <w:rPr>
          <w:rFonts w:ascii="Verdana" w:hAnsi="Verdana" w:cs="Calibri"/>
          <w:spacing w:val="-6"/>
          <w:w w:val="95"/>
          <w:sz w:val="20"/>
          <w:szCs w:val="20"/>
          <w:lang w:val="es-CR"/>
        </w:rPr>
        <w:t>la Agencia No. 5 de Mixco,</w:t>
      </w:r>
      <w:r w:rsidRPr="00727EBB">
        <w:rPr>
          <w:rFonts w:ascii="Verdana" w:hAnsi="Verdana" w:cs="Calibri"/>
          <w:spacing w:val="-6"/>
          <w:w w:val="95"/>
          <w:sz w:val="20"/>
          <w:szCs w:val="20"/>
        </w:rPr>
        <w:t xml:space="preserve"> en</w:t>
      </w:r>
      <w:r w:rsidRPr="003622B1">
        <w:rPr>
          <w:rFonts w:ascii="Verdana" w:hAnsi="Verdana" w:cs="Calibri"/>
          <w:spacing w:val="-6"/>
          <w:w w:val="95"/>
          <w:sz w:val="20"/>
          <w:szCs w:val="20"/>
        </w:rPr>
        <w:t xml:space="preserve"> el cual explicó a la Auxiliar Fiscal que “que [en</w:t>
      </w:r>
      <w:r w:rsidRPr="003622B1">
        <w:rPr>
          <w:rFonts w:ascii="Verdana" w:hAnsi="Verdana" w:cs="Calibri"/>
          <w:spacing w:val="-6"/>
          <w:w w:val="95"/>
          <w:sz w:val="20"/>
          <w:szCs w:val="20"/>
          <w:lang w:val="es-CL"/>
        </w:rPr>
        <w:t>]</w:t>
      </w:r>
      <w:r w:rsidRPr="003622B1">
        <w:rPr>
          <w:rFonts w:ascii="Verdana" w:hAnsi="Verdana" w:cs="Calibri"/>
          <w:spacing w:val="-6"/>
          <w:w w:val="95"/>
          <w:sz w:val="20"/>
          <w:szCs w:val="20"/>
        </w:rPr>
        <w:t xml:space="preserve"> relación con la muerte de la señorita MARÍA ISABEL VELIZ FRANCO, ya se habían realizado investigaciones [por parte] de los investigadores del Ministerio Público, pero que los [funcionarios de] derechos Humanos y de parte de la supervisión del Ministerio Público [habrían pedido] que se realizará nuevamente la investigación para esclarecer este hecho”, y solicitó llevar a cabo nuevos interrogatorios a personas que ya habían declarado</w:t>
      </w:r>
      <w:r w:rsidRPr="003622B1">
        <w:rPr>
          <w:rFonts w:ascii="Verdana" w:hAnsi="Verdana"/>
          <w:spacing w:val="-6"/>
          <w:w w:val="95"/>
          <w:sz w:val="20"/>
          <w:szCs w:val="20"/>
          <w:vertAlign w:val="superscript"/>
        </w:rPr>
        <w:footnoteReference w:id="181"/>
      </w:r>
      <w:r w:rsidRPr="003622B1">
        <w:rPr>
          <w:rFonts w:ascii="Verdana" w:hAnsi="Verdana" w:cs="Calibri"/>
          <w:spacing w:val="-6"/>
          <w:w w:val="95"/>
          <w:sz w:val="20"/>
          <w:szCs w:val="20"/>
        </w:rPr>
        <w:t>.</w:t>
      </w:r>
      <w:r w:rsidRPr="003622B1">
        <w:rPr>
          <w:rFonts w:ascii="Verdana" w:hAnsi="Verdana"/>
          <w:spacing w:val="-6"/>
          <w:w w:val="95"/>
          <w:sz w:val="20"/>
          <w:szCs w:val="20"/>
          <w:lang w:val="es-CR"/>
        </w:rPr>
        <w:t xml:space="preserve"> El </w:t>
      </w:r>
      <w:r w:rsidRPr="003622B1">
        <w:rPr>
          <w:rFonts w:ascii="Verdana" w:hAnsi="Verdana" w:cs="Calibri"/>
          <w:spacing w:val="-6"/>
          <w:w w:val="95"/>
          <w:sz w:val="20"/>
          <w:szCs w:val="20"/>
          <w:lang w:val="es-CR"/>
        </w:rPr>
        <w:t>3 de septiembre de 2004 se entrevistó a una amiga de María Isabel</w:t>
      </w:r>
      <w:r>
        <w:rPr>
          <w:rStyle w:val="Refdenotaalpie"/>
          <w:rFonts w:ascii="Verdana" w:hAnsi="Verdana" w:cs="Calibri"/>
          <w:spacing w:val="-6"/>
          <w:w w:val="95"/>
          <w:sz w:val="20"/>
          <w:szCs w:val="20"/>
          <w:lang w:val="es-CR"/>
        </w:rPr>
        <w:footnoteReference w:id="182"/>
      </w:r>
      <w:r w:rsidRPr="003622B1">
        <w:rPr>
          <w:rFonts w:ascii="Verdana" w:hAnsi="Verdana" w:cs="Calibri"/>
          <w:spacing w:val="-6"/>
          <w:w w:val="95"/>
          <w:sz w:val="20"/>
          <w:szCs w:val="20"/>
          <w:lang w:val="es-CR"/>
        </w:rPr>
        <w:t xml:space="preserve">; </w:t>
      </w:r>
    </w:p>
    <w:p w:rsidR="00DF15C3" w:rsidRPr="00315B30" w:rsidRDefault="00DF15C3" w:rsidP="003F26FD">
      <w:pPr>
        <w:pStyle w:val="Prrafodelista"/>
        <w:numPr>
          <w:ilvl w:val="0"/>
          <w:numId w:val="23"/>
        </w:numPr>
        <w:spacing w:after="0" w:line="216" w:lineRule="auto"/>
        <w:ind w:left="709" w:right="-174" w:firstLine="0"/>
        <w:jc w:val="both"/>
        <w:rPr>
          <w:rFonts w:ascii="Verdana" w:hAnsi="Verdana"/>
          <w:spacing w:val="-6"/>
          <w:w w:val="95"/>
          <w:sz w:val="20"/>
          <w:szCs w:val="20"/>
          <w:lang w:val="es-CR"/>
        </w:rPr>
      </w:pPr>
      <w:r w:rsidRPr="003622B1">
        <w:rPr>
          <w:rFonts w:ascii="Verdana" w:hAnsi="Verdana" w:cs="Calibri"/>
          <w:spacing w:val="-6"/>
          <w:w w:val="95"/>
          <w:sz w:val="20"/>
          <w:szCs w:val="20"/>
        </w:rPr>
        <w:t xml:space="preserve">el 24 de agosto de 2004 la Auxiliar Fiscal </w:t>
      </w:r>
      <w:r w:rsidRPr="00410384">
        <w:rPr>
          <w:rFonts w:ascii="Verdana" w:hAnsi="Verdana" w:cs="Calibri"/>
          <w:spacing w:val="-6"/>
          <w:w w:val="95"/>
          <w:sz w:val="20"/>
          <w:szCs w:val="20"/>
        </w:rPr>
        <w:t>de la Agencia No. 5 de Mixco</w:t>
      </w:r>
      <w:r w:rsidRPr="003622B1">
        <w:rPr>
          <w:rFonts w:ascii="Verdana" w:hAnsi="Verdana" w:cs="Calibri"/>
          <w:spacing w:val="-6"/>
          <w:w w:val="95"/>
          <w:sz w:val="20"/>
          <w:szCs w:val="20"/>
        </w:rPr>
        <w:t xml:space="preserve"> emitió un oficio en el cual señaló que el 23 de agosto de 2004 la señora Franco se apersonó a la Fiscalía y manifestó que la “investigación no se había llevado a cabo adecuadamente” y pidió el cambio de la Auxiliar Fiscal encargada del caso</w:t>
      </w:r>
      <w:r>
        <w:rPr>
          <w:rStyle w:val="Refdenotaalpie"/>
          <w:rFonts w:ascii="Verdana" w:hAnsi="Verdana" w:cs="Calibri"/>
          <w:spacing w:val="-6"/>
          <w:w w:val="95"/>
          <w:sz w:val="20"/>
          <w:szCs w:val="20"/>
        </w:rPr>
        <w:footnoteReference w:id="183"/>
      </w:r>
      <w:r w:rsidRPr="003622B1">
        <w:rPr>
          <w:rFonts w:ascii="Verdana" w:hAnsi="Verdana" w:cs="Calibri"/>
          <w:spacing w:val="-6"/>
          <w:w w:val="95"/>
          <w:sz w:val="20"/>
          <w:szCs w:val="20"/>
        </w:rPr>
        <w:t xml:space="preserve">. El 8 </w:t>
      </w:r>
      <w:r w:rsidRPr="00315B30">
        <w:rPr>
          <w:rFonts w:ascii="Verdana" w:hAnsi="Verdana" w:cs="Calibri"/>
          <w:spacing w:val="-6"/>
          <w:w w:val="95"/>
          <w:sz w:val="20"/>
          <w:szCs w:val="20"/>
        </w:rPr>
        <w:t>de septiembre de 2004 la Auxiliar Fiscal solicitó que se reasignara otro Agente Fiscal</w:t>
      </w:r>
      <w:r w:rsidRPr="00315B30">
        <w:rPr>
          <w:rFonts w:ascii="Verdana" w:hAnsi="Verdana" w:cs="Calibri"/>
          <w:spacing w:val="-6"/>
          <w:w w:val="95"/>
          <w:sz w:val="20"/>
          <w:szCs w:val="20"/>
          <w:vertAlign w:val="superscript"/>
        </w:rPr>
        <w:footnoteReference w:id="184"/>
      </w:r>
      <w:r w:rsidRPr="00315B30">
        <w:rPr>
          <w:rFonts w:ascii="Verdana" w:hAnsi="Verdana" w:cs="Calibri"/>
          <w:spacing w:val="-6"/>
          <w:w w:val="95"/>
          <w:sz w:val="20"/>
          <w:szCs w:val="20"/>
        </w:rPr>
        <w:t xml:space="preserve">. El </w:t>
      </w:r>
      <w:r w:rsidR="00F15CBE" w:rsidRPr="00315B30">
        <w:rPr>
          <w:rFonts w:ascii="Verdana" w:hAnsi="Verdana" w:cs="Calibri"/>
          <w:spacing w:val="-6"/>
          <w:w w:val="95"/>
          <w:sz w:val="20"/>
          <w:szCs w:val="20"/>
        </w:rPr>
        <w:t>13</w:t>
      </w:r>
      <w:r w:rsidRPr="00315B30">
        <w:rPr>
          <w:rFonts w:ascii="Verdana" w:hAnsi="Verdana" w:cs="Calibri"/>
          <w:spacing w:val="-6"/>
          <w:w w:val="95"/>
          <w:sz w:val="20"/>
          <w:szCs w:val="20"/>
        </w:rPr>
        <w:t xml:space="preserve"> de septiembre de 2004 la Supervisora Auxiliar del Ministerio Público resolvió la queja de la señora Franco </w:t>
      </w:r>
      <w:r w:rsidRPr="00315B30">
        <w:rPr>
          <w:rFonts w:ascii="Verdana" w:hAnsi="Verdana" w:cs="Calibri"/>
          <w:spacing w:val="-6"/>
          <w:w w:val="95"/>
          <w:sz w:val="20"/>
          <w:szCs w:val="20"/>
        </w:rPr>
        <w:lastRenderedPageBreak/>
        <w:t>concluyendo que no se abrirá proceso administrativo disciplinario</w:t>
      </w:r>
      <w:r w:rsidRPr="00315B30">
        <w:rPr>
          <w:rFonts w:ascii="Verdana" w:hAnsi="Verdana" w:cs="Calibri"/>
          <w:spacing w:val="-6"/>
          <w:w w:val="95"/>
          <w:sz w:val="20"/>
          <w:szCs w:val="20"/>
          <w:vertAlign w:val="superscript"/>
        </w:rPr>
        <w:footnoteReference w:id="185"/>
      </w:r>
      <w:r w:rsidR="00E75669" w:rsidRPr="00315B30">
        <w:rPr>
          <w:rFonts w:ascii="Verdana" w:hAnsi="Verdana" w:cs="Calibri"/>
          <w:spacing w:val="-6"/>
          <w:w w:val="95"/>
          <w:sz w:val="20"/>
          <w:szCs w:val="20"/>
        </w:rPr>
        <w:t xml:space="preserve"> y el 28 de octubre de 2004 se </w:t>
      </w:r>
      <w:r w:rsidRPr="00315B30">
        <w:rPr>
          <w:rFonts w:ascii="Verdana" w:hAnsi="Verdana" w:cs="Calibri"/>
          <w:spacing w:val="-6"/>
          <w:w w:val="95"/>
          <w:sz w:val="20"/>
          <w:szCs w:val="20"/>
        </w:rPr>
        <w:t>designó un nuevo Auxiliar Fiscal</w:t>
      </w:r>
      <w:r w:rsidRPr="00315B30">
        <w:rPr>
          <w:rFonts w:ascii="Verdana" w:hAnsi="Verdana" w:cs="Calibri"/>
          <w:spacing w:val="-6"/>
          <w:w w:val="95"/>
          <w:sz w:val="20"/>
          <w:szCs w:val="20"/>
          <w:vertAlign w:val="superscript"/>
        </w:rPr>
        <w:footnoteReference w:id="186"/>
      </w:r>
      <w:r w:rsidRPr="00315B30">
        <w:rPr>
          <w:rFonts w:ascii="Verdana" w:hAnsi="Verdana" w:cs="Calibri"/>
          <w:spacing w:val="-6"/>
          <w:w w:val="95"/>
          <w:sz w:val="20"/>
          <w:szCs w:val="20"/>
        </w:rPr>
        <w:t xml:space="preserve"> y</w:t>
      </w:r>
    </w:p>
    <w:p w:rsidR="00DF15C3" w:rsidRPr="00315B30" w:rsidRDefault="00DF15C3" w:rsidP="003F26FD">
      <w:pPr>
        <w:pStyle w:val="Prrafodelista"/>
        <w:numPr>
          <w:ilvl w:val="0"/>
          <w:numId w:val="23"/>
        </w:numPr>
        <w:spacing w:after="0" w:line="216" w:lineRule="auto"/>
        <w:ind w:left="709" w:right="-174" w:firstLine="0"/>
        <w:jc w:val="both"/>
        <w:rPr>
          <w:rFonts w:ascii="Verdana" w:hAnsi="Verdana"/>
          <w:spacing w:val="-6"/>
          <w:w w:val="95"/>
          <w:sz w:val="20"/>
          <w:szCs w:val="20"/>
          <w:lang w:val="es-CR"/>
        </w:rPr>
      </w:pPr>
      <w:r w:rsidRPr="00315B30">
        <w:rPr>
          <w:rFonts w:ascii="Verdana" w:hAnsi="Verdana" w:cs="Calibri"/>
          <w:spacing w:val="-6"/>
          <w:w w:val="95"/>
          <w:sz w:val="20"/>
          <w:szCs w:val="20"/>
          <w:lang w:val="es-CR"/>
        </w:rPr>
        <w:t xml:space="preserve">en enero de 2006 la Fiscal de Distrito </w:t>
      </w:r>
      <w:r w:rsidR="00763813" w:rsidRPr="00315B30">
        <w:rPr>
          <w:rFonts w:ascii="Verdana" w:hAnsi="Verdana" w:cs="Calibri"/>
          <w:spacing w:val="-6"/>
          <w:w w:val="95"/>
          <w:sz w:val="20"/>
          <w:szCs w:val="20"/>
          <w:lang w:val="es-CR"/>
        </w:rPr>
        <w:t xml:space="preserve">Adjunto </w:t>
      </w:r>
      <w:r w:rsidRPr="00315B30">
        <w:rPr>
          <w:rFonts w:ascii="Verdana" w:hAnsi="Verdana" w:cs="Calibri"/>
          <w:spacing w:val="-6"/>
          <w:w w:val="95"/>
          <w:sz w:val="20"/>
          <w:szCs w:val="20"/>
          <w:lang w:val="es-CR"/>
        </w:rPr>
        <w:t xml:space="preserve">de </w:t>
      </w:r>
      <w:r w:rsidR="00763813" w:rsidRPr="00315B30">
        <w:rPr>
          <w:rFonts w:ascii="Verdana" w:hAnsi="Verdana" w:cs="Calibri"/>
          <w:spacing w:val="-6"/>
          <w:w w:val="95"/>
          <w:sz w:val="20"/>
          <w:szCs w:val="20"/>
          <w:lang w:val="es-CR"/>
        </w:rPr>
        <w:t xml:space="preserve">la Agencia No. 5 de Mixco </w:t>
      </w:r>
      <w:r w:rsidRPr="00315B30">
        <w:rPr>
          <w:rFonts w:ascii="Verdana" w:hAnsi="Verdana" w:cs="Calibri"/>
          <w:spacing w:val="-6"/>
          <w:w w:val="95"/>
          <w:sz w:val="20"/>
          <w:szCs w:val="20"/>
          <w:lang w:val="es-CR"/>
        </w:rPr>
        <w:t>solicitó investigadores de tiempo completo para avanzar en encontrar a los responsables de la muerte de María Isabel</w:t>
      </w:r>
      <w:r w:rsidR="00763813" w:rsidRPr="00315B30">
        <w:rPr>
          <w:rFonts w:ascii="Verdana" w:hAnsi="Verdana" w:cs="Calibri"/>
          <w:spacing w:val="-6"/>
          <w:w w:val="95"/>
          <w:sz w:val="20"/>
          <w:szCs w:val="20"/>
          <w:lang w:val="es-CR"/>
        </w:rPr>
        <w:t xml:space="preserve">, </w:t>
      </w:r>
      <w:r w:rsidR="00F77273" w:rsidRPr="00315B30">
        <w:rPr>
          <w:rFonts w:ascii="Verdana" w:hAnsi="Verdana" w:cs="Calibri"/>
          <w:spacing w:val="-6"/>
          <w:w w:val="95"/>
          <w:sz w:val="20"/>
          <w:szCs w:val="20"/>
          <w:lang w:val="es-CR"/>
        </w:rPr>
        <w:t>así como también se dieron a conocer nuevos lineamientos para la investigación</w:t>
      </w:r>
      <w:r w:rsidRPr="00315B30">
        <w:rPr>
          <w:rStyle w:val="Refdenotaalpie"/>
          <w:rFonts w:ascii="Verdana" w:hAnsi="Verdana" w:cs="Calibri"/>
          <w:spacing w:val="-6"/>
          <w:w w:val="95"/>
          <w:sz w:val="20"/>
          <w:szCs w:val="20"/>
        </w:rPr>
        <w:footnoteReference w:id="187"/>
      </w:r>
      <w:r w:rsidRPr="00315B30">
        <w:rPr>
          <w:rFonts w:ascii="Verdana" w:hAnsi="Verdana" w:cs="Calibri"/>
          <w:spacing w:val="-6"/>
          <w:w w:val="95"/>
          <w:sz w:val="20"/>
          <w:szCs w:val="20"/>
          <w:lang w:val="es-CR"/>
        </w:rPr>
        <w:t>.</w:t>
      </w:r>
    </w:p>
    <w:p w:rsidR="00DF15C3" w:rsidRPr="009C0057" w:rsidRDefault="00DF15C3" w:rsidP="003F26FD">
      <w:pPr>
        <w:pStyle w:val="Prrafodelista"/>
        <w:spacing w:after="0" w:line="216" w:lineRule="auto"/>
        <w:ind w:left="-142" w:right="-174"/>
        <w:jc w:val="both"/>
        <w:rPr>
          <w:rFonts w:ascii="Verdana" w:hAnsi="Verdana"/>
          <w:b/>
          <w:i/>
          <w:w w:val="95"/>
          <w:sz w:val="20"/>
          <w:szCs w:val="20"/>
          <w:lang w:val="es-CR"/>
        </w:rPr>
      </w:pPr>
    </w:p>
    <w:p w:rsidR="00DF15C3" w:rsidRDefault="00DF15C3" w:rsidP="003F26FD">
      <w:pPr>
        <w:pStyle w:val="Prrafodelista"/>
        <w:numPr>
          <w:ilvl w:val="0"/>
          <w:numId w:val="17"/>
        </w:numPr>
        <w:spacing w:after="0" w:line="216" w:lineRule="auto"/>
        <w:ind w:left="-142" w:right="-174" w:firstLine="0"/>
        <w:jc w:val="both"/>
        <w:rPr>
          <w:rFonts w:ascii="Verdana" w:hAnsi="Verdana"/>
          <w:w w:val="95"/>
          <w:sz w:val="20"/>
          <w:szCs w:val="20"/>
          <w:lang w:val="es-CR"/>
        </w:rPr>
      </w:pPr>
      <w:r w:rsidRPr="003622B1">
        <w:rPr>
          <w:rFonts w:ascii="Verdana" w:hAnsi="Verdana"/>
          <w:b/>
          <w:i/>
          <w:w w:val="95"/>
          <w:sz w:val="20"/>
          <w:szCs w:val="20"/>
          <w:lang w:val="es-CR"/>
        </w:rPr>
        <w:t>Denuncia ante el Procurador de los Derechos Humanos de Guatemala.–</w:t>
      </w:r>
      <w:r w:rsidRPr="003622B1">
        <w:rPr>
          <w:rFonts w:ascii="Verdana" w:hAnsi="Verdana"/>
          <w:w w:val="95"/>
          <w:sz w:val="20"/>
          <w:szCs w:val="20"/>
          <w:lang w:val="es-CR"/>
        </w:rPr>
        <w:t xml:space="preserve"> </w:t>
      </w:r>
      <w:r w:rsidRPr="003622B1">
        <w:rPr>
          <w:rFonts w:ascii="Verdana" w:hAnsi="Verdana" w:cs="Calibri"/>
          <w:spacing w:val="-6"/>
          <w:w w:val="95"/>
          <w:sz w:val="20"/>
          <w:szCs w:val="20"/>
          <w:lang w:val="es-CR"/>
        </w:rPr>
        <w:t xml:space="preserve">El 31 de enero de 2003 la señora Rosa Elvira Franco presentó una denuncia ante el Procurador de los Derechos Humanos de Guatemala (en adelante “el Procurador”) “referente a la violación del Derecho Humano al Debido Proceso, que fue objeto de la </w:t>
      </w:r>
      <w:r w:rsidRPr="00727EBB">
        <w:rPr>
          <w:rFonts w:ascii="Verdana" w:hAnsi="Verdana" w:cs="Calibri"/>
          <w:spacing w:val="-6"/>
          <w:w w:val="95"/>
          <w:sz w:val="20"/>
          <w:szCs w:val="20"/>
          <w:lang w:val="es-CR"/>
        </w:rPr>
        <w:t>Auxiliar Fiscal</w:t>
      </w:r>
      <w:r w:rsidR="00763813" w:rsidRPr="00727EBB">
        <w:rPr>
          <w:rFonts w:ascii="Verdana" w:hAnsi="Verdana" w:cs="Calibri"/>
          <w:spacing w:val="-6"/>
          <w:w w:val="95"/>
          <w:sz w:val="20"/>
          <w:szCs w:val="20"/>
          <w:lang w:val="es-CR"/>
        </w:rPr>
        <w:t xml:space="preserve"> […]</w:t>
      </w:r>
      <w:r w:rsidRPr="00727EBB">
        <w:rPr>
          <w:rFonts w:ascii="Verdana" w:hAnsi="Verdana" w:cs="Calibri"/>
          <w:spacing w:val="-6"/>
          <w:w w:val="95"/>
          <w:sz w:val="20"/>
          <w:szCs w:val="20"/>
          <w:lang w:val="es-CR"/>
        </w:rPr>
        <w:t xml:space="preserve"> de la Fiscalía [No. 5] del Municipio de Mixco</w:t>
      </w:r>
      <w:r w:rsidRPr="003622B1">
        <w:rPr>
          <w:rFonts w:ascii="Verdana" w:hAnsi="Verdana" w:cs="Calibri"/>
          <w:spacing w:val="-6"/>
          <w:w w:val="95"/>
          <w:sz w:val="20"/>
          <w:szCs w:val="20"/>
          <w:lang w:val="es-CR"/>
        </w:rPr>
        <w:t xml:space="preserve"> del departamento de Guatemala” debido a que la investigación del homicidio de su hija no avanzaba y estaba estancado</w:t>
      </w:r>
      <w:r>
        <w:rPr>
          <w:rStyle w:val="Refdenotaalpie"/>
          <w:rFonts w:ascii="Verdana" w:hAnsi="Verdana" w:cs="Calibri"/>
          <w:spacing w:val="-6"/>
          <w:w w:val="95"/>
          <w:sz w:val="20"/>
          <w:szCs w:val="20"/>
          <w:lang w:val="es-CR"/>
        </w:rPr>
        <w:footnoteReference w:id="188"/>
      </w:r>
      <w:r w:rsidRPr="003622B1">
        <w:rPr>
          <w:rFonts w:ascii="Verdana" w:hAnsi="Verdana" w:cs="Calibri"/>
          <w:spacing w:val="-6"/>
          <w:w w:val="95"/>
          <w:sz w:val="20"/>
          <w:szCs w:val="20"/>
          <w:lang w:val="es-CR"/>
        </w:rPr>
        <w:t>.  El 2 de noviembre de 2004 el Procurador emitió una resolución, en la cual señaló que había existido violación al derecho a la seguridad y al debido proces</w:t>
      </w:r>
      <w:r w:rsidR="00440D0F">
        <w:rPr>
          <w:rFonts w:ascii="Verdana" w:hAnsi="Verdana" w:cs="Calibri"/>
          <w:spacing w:val="-6"/>
          <w:w w:val="95"/>
          <w:sz w:val="20"/>
          <w:szCs w:val="20"/>
          <w:lang w:val="es-CR"/>
        </w:rPr>
        <w:t xml:space="preserve">o de la señora Franco Sandoval </w:t>
      </w:r>
      <w:r w:rsidR="003E4EF2">
        <w:rPr>
          <w:rFonts w:ascii="Verdana" w:hAnsi="Verdana" w:cs="Calibri"/>
          <w:spacing w:val="-6"/>
          <w:w w:val="95"/>
          <w:sz w:val="20"/>
          <w:szCs w:val="20"/>
          <w:lang w:val="es-CR"/>
        </w:rPr>
        <w:t>dado</w:t>
      </w:r>
      <w:r w:rsidRPr="003622B1">
        <w:rPr>
          <w:rFonts w:ascii="Verdana" w:hAnsi="Verdana" w:cs="Calibri"/>
          <w:spacing w:val="-6"/>
          <w:w w:val="95"/>
          <w:sz w:val="20"/>
          <w:szCs w:val="20"/>
          <w:lang w:val="es-CR"/>
        </w:rPr>
        <w:t xml:space="preserve"> que </w:t>
      </w:r>
      <w:r w:rsidR="00440D0F">
        <w:rPr>
          <w:rFonts w:ascii="Verdana" w:hAnsi="Verdana" w:cs="Calibri"/>
          <w:spacing w:val="-6"/>
          <w:w w:val="95"/>
          <w:sz w:val="20"/>
          <w:szCs w:val="20"/>
          <w:lang w:val="es-CR"/>
        </w:rPr>
        <w:t>“</w:t>
      </w:r>
      <w:r w:rsidRPr="003622B1">
        <w:rPr>
          <w:rFonts w:ascii="Verdana" w:hAnsi="Verdana" w:cs="Calibri"/>
          <w:spacing w:val="-6"/>
          <w:w w:val="95"/>
          <w:sz w:val="20"/>
          <w:szCs w:val="20"/>
          <w:lang w:val="es-CR"/>
        </w:rPr>
        <w:t>el Ministerio Público no procedió acorde al principio de objetividad en el ejercicio de la acción penal</w:t>
      </w:r>
      <w:r w:rsidR="00440D0F">
        <w:rPr>
          <w:rFonts w:ascii="Verdana" w:hAnsi="Verdana" w:cs="Calibri"/>
          <w:spacing w:val="-6"/>
          <w:w w:val="95"/>
          <w:sz w:val="20"/>
          <w:szCs w:val="20"/>
          <w:lang w:val="es-CR"/>
        </w:rPr>
        <w:t xml:space="preserve"> </w:t>
      </w:r>
      <w:r w:rsidRPr="003622B1">
        <w:rPr>
          <w:rFonts w:ascii="Verdana" w:hAnsi="Verdana" w:cs="Calibri"/>
          <w:spacing w:val="-6"/>
          <w:w w:val="95"/>
          <w:sz w:val="20"/>
          <w:szCs w:val="20"/>
          <w:lang w:val="es-CR"/>
        </w:rPr>
        <w:t>[…]</w:t>
      </w:r>
      <w:r w:rsidR="00440D0F">
        <w:rPr>
          <w:rFonts w:ascii="Verdana" w:hAnsi="Verdana" w:cs="Calibri"/>
          <w:spacing w:val="-6"/>
          <w:w w:val="95"/>
          <w:sz w:val="20"/>
          <w:szCs w:val="20"/>
          <w:lang w:val="es-CR"/>
        </w:rPr>
        <w:t xml:space="preserve"> </w:t>
      </w:r>
      <w:r w:rsidRPr="003622B1">
        <w:rPr>
          <w:rFonts w:ascii="Verdana" w:hAnsi="Verdana" w:cs="Calibri"/>
          <w:spacing w:val="-6"/>
          <w:w w:val="95"/>
          <w:sz w:val="20"/>
          <w:szCs w:val="20"/>
          <w:lang w:val="es-CR"/>
        </w:rPr>
        <w:t xml:space="preserve">dentro de los plazos establecidos por la ley” y los fiscales de la Agencia No. 32 de Guatemala y la Agencia No. 5 de Mixco </w:t>
      </w:r>
      <w:r w:rsidRPr="003622B1">
        <w:rPr>
          <w:rFonts w:ascii="Verdana" w:hAnsi="Verdana" w:cs="Calibri"/>
          <w:spacing w:val="-6"/>
          <w:w w:val="95"/>
          <w:sz w:val="20"/>
          <w:szCs w:val="20"/>
          <w:lang w:val="es-CL"/>
        </w:rPr>
        <w:t>“</w:t>
      </w:r>
      <w:r w:rsidRPr="003622B1">
        <w:rPr>
          <w:rFonts w:ascii="Verdana" w:hAnsi="Verdana" w:cs="Calibri"/>
          <w:spacing w:val="-6"/>
          <w:w w:val="95"/>
          <w:sz w:val="20"/>
          <w:szCs w:val="20"/>
          <w:lang w:val="es-CR"/>
        </w:rPr>
        <w:t>incurrieron en dilación de justicia al solicitar y tramitar la inhibitoria para conocer el caso en razón de territorio que al final se declaró sin lugar”. Recomendó al Fiscal General de la República y al Jefe del Ministerio Público ejercer mayor control a fin de que los asuntos se lleven en forma ágil y eficiente</w:t>
      </w:r>
      <w:r>
        <w:rPr>
          <w:rStyle w:val="Refdenotaalpie"/>
          <w:rFonts w:ascii="Verdana" w:hAnsi="Verdana" w:cs="Calibri"/>
          <w:spacing w:val="-6"/>
          <w:w w:val="95"/>
          <w:sz w:val="20"/>
          <w:szCs w:val="20"/>
          <w:lang w:val="es-CR"/>
        </w:rPr>
        <w:footnoteReference w:id="189"/>
      </w:r>
      <w:r w:rsidRPr="003622B1">
        <w:rPr>
          <w:rFonts w:ascii="Verdana" w:hAnsi="Verdana" w:cs="Calibri"/>
          <w:spacing w:val="-6"/>
          <w:w w:val="95"/>
          <w:sz w:val="20"/>
          <w:szCs w:val="20"/>
          <w:lang w:val="es-CR"/>
        </w:rPr>
        <w:t>.</w:t>
      </w:r>
    </w:p>
    <w:p w:rsidR="00DF15C3" w:rsidRDefault="00DF15C3" w:rsidP="003F26FD">
      <w:pPr>
        <w:pStyle w:val="Prrafodelista"/>
        <w:spacing w:after="0" w:line="216" w:lineRule="auto"/>
        <w:ind w:left="-142" w:right="-174"/>
        <w:jc w:val="both"/>
        <w:rPr>
          <w:rFonts w:ascii="Verdana" w:hAnsi="Verdana"/>
          <w:w w:val="95"/>
          <w:sz w:val="20"/>
          <w:szCs w:val="20"/>
          <w:lang w:val="es-CR"/>
        </w:rPr>
      </w:pPr>
    </w:p>
    <w:p w:rsidR="00DF15C3" w:rsidRDefault="00DF15C3" w:rsidP="003F26FD">
      <w:pPr>
        <w:pStyle w:val="Prrafodelista"/>
        <w:numPr>
          <w:ilvl w:val="0"/>
          <w:numId w:val="17"/>
        </w:numPr>
        <w:spacing w:after="0" w:line="216" w:lineRule="auto"/>
        <w:ind w:left="-142" w:right="-174" w:firstLine="0"/>
        <w:jc w:val="both"/>
        <w:rPr>
          <w:rFonts w:ascii="Verdana" w:hAnsi="Verdana"/>
          <w:w w:val="95"/>
          <w:sz w:val="20"/>
          <w:szCs w:val="20"/>
          <w:lang w:val="es-CR"/>
        </w:rPr>
      </w:pPr>
      <w:r w:rsidRPr="00BA5EFA">
        <w:rPr>
          <w:rFonts w:ascii="Verdana" w:hAnsi="Verdana"/>
          <w:b/>
          <w:i/>
          <w:w w:val="95"/>
          <w:sz w:val="20"/>
          <w:szCs w:val="20"/>
          <w:lang w:val="es-CR"/>
        </w:rPr>
        <w:t>Solicitud de informes a bomberos y policía.-</w:t>
      </w:r>
      <w:r w:rsidRPr="00BA5EFA">
        <w:rPr>
          <w:rFonts w:ascii="Verdana" w:hAnsi="Verdana"/>
          <w:w w:val="95"/>
          <w:sz w:val="20"/>
          <w:szCs w:val="20"/>
          <w:lang w:val="es-CR"/>
        </w:rPr>
        <w:t xml:space="preserve"> D</w:t>
      </w:r>
      <w:r w:rsidRPr="00BA5EFA">
        <w:rPr>
          <w:rFonts w:ascii="Verdana" w:hAnsi="Verdana" w:cs="Calibri"/>
          <w:spacing w:val="-6"/>
          <w:w w:val="95"/>
          <w:sz w:val="20"/>
          <w:szCs w:val="20"/>
          <w:lang w:val="es-CR"/>
        </w:rPr>
        <w:t>urante el mes de julio de 2009 el Auxiliar Fiscal de la Agencia No. 5 de Mixco requirió información al Jefe de Bomberos y a un agente policial, en relación a lo actuado el 18 de diciembre de 2001</w:t>
      </w:r>
      <w:r>
        <w:rPr>
          <w:rStyle w:val="Refdenotaalpie"/>
          <w:rFonts w:ascii="Verdana" w:hAnsi="Verdana" w:cs="Calibri"/>
          <w:spacing w:val="-6"/>
          <w:w w:val="95"/>
          <w:sz w:val="20"/>
          <w:szCs w:val="20"/>
          <w:lang w:val="es-CR"/>
        </w:rPr>
        <w:footnoteReference w:id="190"/>
      </w:r>
      <w:r w:rsidRPr="00BA5EFA">
        <w:rPr>
          <w:rFonts w:ascii="Verdana" w:hAnsi="Verdana" w:cs="Calibri"/>
          <w:spacing w:val="-6"/>
          <w:w w:val="95"/>
          <w:sz w:val="20"/>
          <w:szCs w:val="20"/>
          <w:lang w:val="es-CR"/>
        </w:rPr>
        <w:t xml:space="preserve"> (</w:t>
      </w:r>
      <w:r w:rsidRPr="00BA5EFA">
        <w:rPr>
          <w:rFonts w:ascii="Verdana" w:hAnsi="Verdana" w:cs="Calibri"/>
          <w:i/>
          <w:spacing w:val="-6"/>
          <w:w w:val="95"/>
          <w:sz w:val="20"/>
          <w:szCs w:val="20"/>
          <w:lang w:val="es-CR"/>
        </w:rPr>
        <w:t>infra</w:t>
      </w:r>
      <w:r w:rsidRPr="00BA5EFA">
        <w:rPr>
          <w:rFonts w:ascii="Verdana" w:hAnsi="Verdana" w:cs="Calibri"/>
          <w:spacing w:val="-6"/>
          <w:w w:val="95"/>
          <w:sz w:val="20"/>
          <w:szCs w:val="20"/>
          <w:lang w:val="es-CR"/>
        </w:rPr>
        <w:t xml:space="preserve"> párr. </w:t>
      </w:r>
      <w:r w:rsidR="00D721C5">
        <w:rPr>
          <w:rFonts w:ascii="Verdana" w:hAnsi="Verdana" w:cs="Calibri"/>
          <w:spacing w:val="-6"/>
          <w:w w:val="95"/>
          <w:sz w:val="20"/>
          <w:szCs w:val="20"/>
          <w:lang w:val="es-CR"/>
        </w:rPr>
        <w:t>1</w:t>
      </w:r>
      <w:r w:rsidR="00BB3679">
        <w:rPr>
          <w:rFonts w:ascii="Verdana" w:hAnsi="Verdana" w:cs="Calibri"/>
          <w:spacing w:val="-6"/>
          <w:w w:val="95"/>
          <w:sz w:val="20"/>
          <w:szCs w:val="20"/>
          <w:lang w:val="es-CR"/>
        </w:rPr>
        <w:t>96</w:t>
      </w:r>
      <w:r w:rsidR="00763813">
        <w:rPr>
          <w:rFonts w:ascii="Verdana" w:hAnsi="Verdana" w:cs="Calibri"/>
          <w:spacing w:val="-6"/>
          <w:w w:val="95"/>
          <w:sz w:val="20"/>
          <w:szCs w:val="20"/>
          <w:lang w:val="es-CR"/>
        </w:rPr>
        <w:t>.d</w:t>
      </w:r>
      <w:r w:rsidR="00D721C5" w:rsidRPr="00BA5EFA">
        <w:rPr>
          <w:rFonts w:ascii="Verdana" w:hAnsi="Verdana" w:cs="Calibri"/>
          <w:spacing w:val="-6"/>
          <w:w w:val="95"/>
          <w:sz w:val="20"/>
          <w:szCs w:val="20"/>
          <w:lang w:val="es-CR"/>
        </w:rPr>
        <w:t>)</w:t>
      </w:r>
      <w:r w:rsidR="00D721C5">
        <w:rPr>
          <w:rFonts w:ascii="Verdana" w:hAnsi="Verdana" w:cs="Calibri"/>
          <w:spacing w:val="-6"/>
          <w:w w:val="95"/>
          <w:sz w:val="20"/>
          <w:szCs w:val="20"/>
          <w:lang w:val="es-CR"/>
        </w:rPr>
        <w:t>.</w:t>
      </w:r>
    </w:p>
    <w:p w:rsidR="00DF15C3" w:rsidRPr="00853D4F" w:rsidRDefault="00DF15C3" w:rsidP="003F26FD">
      <w:pPr>
        <w:spacing w:after="0" w:line="216" w:lineRule="auto"/>
        <w:ind w:right="-174"/>
        <w:jc w:val="both"/>
        <w:rPr>
          <w:rFonts w:ascii="Verdana" w:hAnsi="Verdana"/>
          <w:i/>
          <w:strike/>
          <w:w w:val="95"/>
          <w:sz w:val="20"/>
          <w:szCs w:val="20"/>
          <w:lang w:val="es-CR"/>
        </w:rPr>
      </w:pPr>
    </w:p>
    <w:p w:rsidR="00DF15C3" w:rsidRPr="009C0057" w:rsidRDefault="00DF15C3" w:rsidP="003F26FD">
      <w:pPr>
        <w:pStyle w:val="Prrafodelista"/>
        <w:numPr>
          <w:ilvl w:val="0"/>
          <w:numId w:val="17"/>
        </w:numPr>
        <w:spacing w:after="0" w:line="216" w:lineRule="auto"/>
        <w:ind w:left="-142" w:right="-174" w:firstLine="0"/>
        <w:jc w:val="both"/>
        <w:rPr>
          <w:rFonts w:ascii="Verdana" w:hAnsi="Verdana"/>
          <w:i/>
          <w:strike/>
          <w:w w:val="95"/>
          <w:sz w:val="20"/>
          <w:szCs w:val="20"/>
          <w:lang w:val="es-CR"/>
        </w:rPr>
      </w:pPr>
      <w:r w:rsidRPr="003622B1">
        <w:rPr>
          <w:rFonts w:ascii="Verdana" w:hAnsi="Verdana"/>
          <w:b/>
          <w:i/>
          <w:w w:val="95"/>
          <w:sz w:val="20"/>
          <w:szCs w:val="20"/>
          <w:lang w:val="es-CR"/>
        </w:rPr>
        <w:t xml:space="preserve">Búsqueda infructuosa de pruebas extraviadas.– </w:t>
      </w:r>
      <w:r w:rsidRPr="003622B1">
        <w:rPr>
          <w:rFonts w:ascii="Verdana" w:hAnsi="Verdana"/>
          <w:w w:val="95"/>
          <w:sz w:val="20"/>
          <w:szCs w:val="20"/>
          <w:lang w:val="es-CR"/>
        </w:rPr>
        <w:t>Se han buscado, sin éxito, varias piezas probatorias extraviadas</w:t>
      </w:r>
      <w:r w:rsidRPr="003622B1">
        <w:rPr>
          <w:rFonts w:ascii="Verdana" w:hAnsi="Verdana"/>
          <w:i/>
          <w:w w:val="95"/>
          <w:sz w:val="20"/>
          <w:szCs w:val="20"/>
          <w:lang w:val="es-CR"/>
        </w:rPr>
        <w:t xml:space="preserve">: </w:t>
      </w:r>
    </w:p>
    <w:p w:rsidR="00DF15C3" w:rsidRPr="009C0057" w:rsidRDefault="00DF15C3" w:rsidP="003F26FD">
      <w:pPr>
        <w:spacing w:after="0" w:line="216" w:lineRule="auto"/>
        <w:ind w:right="-174"/>
        <w:jc w:val="both"/>
        <w:rPr>
          <w:rFonts w:ascii="Verdana" w:hAnsi="Verdana"/>
          <w:b/>
          <w:i/>
          <w:strike/>
          <w:w w:val="95"/>
          <w:sz w:val="20"/>
          <w:szCs w:val="20"/>
          <w:lang w:val="es-CR"/>
        </w:rPr>
      </w:pPr>
    </w:p>
    <w:p w:rsidR="00DF15C3" w:rsidRPr="00727EBB" w:rsidRDefault="00DF15C3" w:rsidP="003F26FD">
      <w:pPr>
        <w:pStyle w:val="Prrafodelista"/>
        <w:numPr>
          <w:ilvl w:val="0"/>
          <w:numId w:val="25"/>
        </w:numPr>
        <w:spacing w:after="0" w:line="216" w:lineRule="auto"/>
        <w:ind w:left="709" w:right="-174" w:firstLine="0"/>
        <w:jc w:val="both"/>
        <w:rPr>
          <w:rFonts w:ascii="Verdana" w:hAnsi="Verdana" w:cs="Arial"/>
          <w:spacing w:val="-6"/>
          <w:w w:val="95"/>
          <w:sz w:val="20"/>
          <w:szCs w:val="20"/>
          <w:lang w:val="es-CR"/>
        </w:rPr>
      </w:pPr>
      <w:r w:rsidRPr="003622B1">
        <w:rPr>
          <w:rFonts w:ascii="Verdana" w:hAnsi="Verdana" w:cs="Arial"/>
          <w:spacing w:val="-6"/>
          <w:w w:val="95"/>
          <w:sz w:val="20"/>
          <w:szCs w:val="20"/>
          <w:lang w:val="es-CR"/>
        </w:rPr>
        <w:t xml:space="preserve">el 5 de enero de 2011 el Auxiliar </w:t>
      </w:r>
      <w:r w:rsidRPr="00727EBB">
        <w:rPr>
          <w:rFonts w:ascii="Verdana" w:hAnsi="Verdana" w:cs="Arial"/>
          <w:spacing w:val="-6"/>
          <w:w w:val="95"/>
          <w:sz w:val="20"/>
          <w:szCs w:val="20"/>
          <w:lang w:val="es-CR"/>
        </w:rPr>
        <w:t xml:space="preserve">Fiscal </w:t>
      </w:r>
      <w:r w:rsidR="00F77273" w:rsidRPr="00727EBB">
        <w:rPr>
          <w:rFonts w:ascii="Verdana" w:hAnsi="Verdana" w:cs="Arial"/>
          <w:spacing w:val="-6"/>
          <w:w w:val="95"/>
          <w:sz w:val="20"/>
          <w:szCs w:val="20"/>
          <w:lang w:val="es-CR"/>
        </w:rPr>
        <w:t xml:space="preserve">de la </w:t>
      </w:r>
      <w:r w:rsidR="00F77273" w:rsidRPr="00315B30">
        <w:rPr>
          <w:rFonts w:ascii="Verdana" w:hAnsi="Verdana" w:cs="Arial"/>
          <w:spacing w:val="-6"/>
          <w:w w:val="95"/>
          <w:sz w:val="20"/>
          <w:szCs w:val="20"/>
          <w:lang w:val="es-CR"/>
        </w:rPr>
        <w:t>Agencia No. 1 de la Fiscalía</w:t>
      </w:r>
      <w:r w:rsidR="00F77273" w:rsidRPr="00727EBB">
        <w:rPr>
          <w:rFonts w:ascii="Verdana" w:hAnsi="Verdana" w:cs="Arial"/>
          <w:spacing w:val="-6"/>
          <w:w w:val="95"/>
          <w:sz w:val="20"/>
          <w:szCs w:val="20"/>
          <w:lang w:val="es-CR"/>
        </w:rPr>
        <w:t xml:space="preserve"> Municipal de Mixco</w:t>
      </w:r>
      <w:r w:rsidRPr="00727EBB">
        <w:rPr>
          <w:rFonts w:ascii="Verdana" w:hAnsi="Verdana" w:cs="Arial"/>
          <w:spacing w:val="-6"/>
          <w:w w:val="95"/>
          <w:sz w:val="20"/>
          <w:szCs w:val="20"/>
          <w:lang w:val="es-CR"/>
        </w:rPr>
        <w:t xml:space="preserve"> envió un oficio al Jefe del Almacén de Evidencias del Ministerio Público para solicitarle que informara acerca del paradero de las pruebas que no se localizaban</w:t>
      </w:r>
      <w:r w:rsidRPr="00727EBB">
        <w:rPr>
          <w:rStyle w:val="Refdenotaalpie"/>
          <w:rFonts w:ascii="Verdana" w:hAnsi="Verdana" w:cs="Arial"/>
          <w:spacing w:val="-6"/>
          <w:w w:val="95"/>
          <w:sz w:val="20"/>
          <w:szCs w:val="20"/>
          <w:lang w:val="es-CR"/>
        </w:rPr>
        <w:footnoteReference w:id="191"/>
      </w:r>
      <w:r w:rsidRPr="00727EBB">
        <w:rPr>
          <w:rFonts w:ascii="Verdana" w:hAnsi="Verdana" w:cs="Arial"/>
          <w:spacing w:val="-6"/>
          <w:w w:val="95"/>
          <w:sz w:val="20"/>
          <w:szCs w:val="20"/>
          <w:lang w:val="es-CR"/>
        </w:rPr>
        <w:t xml:space="preserve">; </w:t>
      </w:r>
    </w:p>
    <w:p w:rsidR="00DF15C3" w:rsidRPr="00727EBB" w:rsidRDefault="00DF15C3" w:rsidP="003F26FD">
      <w:pPr>
        <w:pStyle w:val="Prrafodelista"/>
        <w:numPr>
          <w:ilvl w:val="0"/>
          <w:numId w:val="25"/>
        </w:numPr>
        <w:spacing w:after="0" w:line="216" w:lineRule="auto"/>
        <w:ind w:left="709" w:right="-174" w:firstLine="0"/>
        <w:jc w:val="both"/>
        <w:rPr>
          <w:rFonts w:ascii="Verdana" w:hAnsi="Verdana" w:cs="Arial"/>
          <w:spacing w:val="-6"/>
          <w:w w:val="95"/>
          <w:sz w:val="20"/>
          <w:szCs w:val="20"/>
          <w:lang w:val="es-CR"/>
        </w:rPr>
      </w:pPr>
      <w:r w:rsidRPr="00727EBB">
        <w:rPr>
          <w:rFonts w:ascii="Verdana" w:hAnsi="Verdana" w:cs="Arial"/>
          <w:spacing w:val="-6"/>
          <w:w w:val="95"/>
          <w:sz w:val="20"/>
          <w:szCs w:val="20"/>
          <w:lang w:val="es-CR"/>
        </w:rPr>
        <w:t>el mismo 5 de enero el jefe del Almacén de Evidencia respondió que el pantalón de lona, las dos toallas y las calcetas no habían ingresado al almacén, y posteriormente reiteró su respuesta el 24 de enero de 2011, indicando que las tres pruebas habrían quedado a cargo de un químico farmacéutico de la Subdirección Técnico Científica que posteriormente se constituyó como el Instituto Nacional de Ciencias Forenses (en adelante INACIF)</w:t>
      </w:r>
      <w:r w:rsidRPr="00727EBB">
        <w:rPr>
          <w:rFonts w:ascii="Verdana" w:hAnsi="Verdana" w:cs="Arabic Typesetting"/>
          <w:sz w:val="20"/>
          <w:szCs w:val="20"/>
          <w:vertAlign w:val="superscript"/>
        </w:rPr>
        <w:footnoteReference w:id="192"/>
      </w:r>
      <w:r w:rsidRPr="00727EBB">
        <w:rPr>
          <w:rFonts w:ascii="Verdana" w:hAnsi="Verdana" w:cs="Arial"/>
          <w:spacing w:val="-6"/>
          <w:w w:val="95"/>
          <w:sz w:val="20"/>
          <w:szCs w:val="20"/>
          <w:lang w:val="es-CR"/>
        </w:rPr>
        <w:t xml:space="preserve">; </w:t>
      </w:r>
    </w:p>
    <w:p w:rsidR="00DF15C3" w:rsidRPr="00727EBB" w:rsidRDefault="00DF15C3" w:rsidP="003F26FD">
      <w:pPr>
        <w:pStyle w:val="Prrafodelista"/>
        <w:numPr>
          <w:ilvl w:val="0"/>
          <w:numId w:val="25"/>
        </w:numPr>
        <w:spacing w:after="0" w:line="216" w:lineRule="auto"/>
        <w:ind w:left="709" w:right="-174" w:firstLine="0"/>
        <w:jc w:val="both"/>
        <w:rPr>
          <w:rFonts w:ascii="Verdana" w:hAnsi="Verdana" w:cs="Arial"/>
          <w:spacing w:val="-6"/>
          <w:w w:val="95"/>
          <w:sz w:val="20"/>
          <w:szCs w:val="20"/>
          <w:lang w:val="es-CR"/>
        </w:rPr>
      </w:pPr>
      <w:r w:rsidRPr="00727EBB">
        <w:rPr>
          <w:rFonts w:ascii="Verdana" w:hAnsi="Verdana" w:cs="Arial"/>
          <w:spacing w:val="-6"/>
          <w:w w:val="95"/>
          <w:sz w:val="20"/>
          <w:szCs w:val="20"/>
          <w:lang w:val="es-CR"/>
        </w:rPr>
        <w:t xml:space="preserve">el 14 de enero de 2011 </w:t>
      </w:r>
      <w:r w:rsidR="003D58FC" w:rsidRPr="009C371B">
        <w:rPr>
          <w:rFonts w:ascii="Verdana" w:hAnsi="Verdana" w:cs="Arial"/>
          <w:spacing w:val="-6"/>
          <w:w w:val="95"/>
          <w:sz w:val="20"/>
          <w:szCs w:val="20"/>
          <w:lang w:val="es-CR"/>
        </w:rPr>
        <w:t>el Agente Fiscal de</w:t>
      </w:r>
      <w:r w:rsidR="003D58FC" w:rsidRPr="00727EBB">
        <w:rPr>
          <w:rFonts w:ascii="Verdana" w:hAnsi="Verdana" w:cs="Arial"/>
          <w:spacing w:val="-6"/>
          <w:w w:val="95"/>
          <w:sz w:val="20"/>
          <w:szCs w:val="20"/>
          <w:lang w:val="es-CR"/>
        </w:rPr>
        <w:t xml:space="preserve"> </w:t>
      </w:r>
      <w:r w:rsidRPr="00727EBB">
        <w:rPr>
          <w:rFonts w:ascii="Verdana" w:hAnsi="Verdana" w:cs="Arial"/>
          <w:spacing w:val="-6"/>
          <w:w w:val="95"/>
          <w:sz w:val="20"/>
          <w:szCs w:val="20"/>
          <w:lang w:val="es-CR"/>
        </w:rPr>
        <w:t xml:space="preserve">la Agencia No. 1 de la </w:t>
      </w:r>
      <w:r w:rsidR="00F77273" w:rsidRPr="00727EBB">
        <w:rPr>
          <w:rFonts w:ascii="Verdana" w:hAnsi="Verdana" w:cs="Arial"/>
          <w:spacing w:val="-6"/>
          <w:w w:val="95"/>
          <w:sz w:val="20"/>
          <w:szCs w:val="20"/>
          <w:lang w:val="es-CR"/>
        </w:rPr>
        <w:t>Fiscalía Municipal de Mixco</w:t>
      </w:r>
      <w:r w:rsidRPr="00727EBB">
        <w:rPr>
          <w:rFonts w:ascii="Verdana" w:hAnsi="Verdana" w:cs="Arial"/>
          <w:spacing w:val="-6"/>
          <w:w w:val="95"/>
          <w:sz w:val="20"/>
          <w:szCs w:val="20"/>
          <w:lang w:val="es-CR"/>
        </w:rPr>
        <w:t xml:space="preserve"> envió una solicitud al jefe del Almacén Central de Evidencias del Ministerio </w:t>
      </w:r>
      <w:r w:rsidRPr="00727EBB">
        <w:rPr>
          <w:rFonts w:ascii="Verdana" w:hAnsi="Verdana" w:cs="Arial"/>
          <w:spacing w:val="-6"/>
          <w:w w:val="95"/>
          <w:sz w:val="20"/>
          <w:szCs w:val="20"/>
          <w:lang w:val="es-CR"/>
        </w:rPr>
        <w:lastRenderedPageBreak/>
        <w:t>Público para hacer “una búsqueda exhaustiva de la evidencia [extraviada], por ser un caso de impacto”</w:t>
      </w:r>
      <w:r w:rsidRPr="00727EBB">
        <w:rPr>
          <w:rFonts w:ascii="Verdana" w:hAnsi="Verdana" w:cs="Arial"/>
          <w:sz w:val="20"/>
          <w:szCs w:val="20"/>
          <w:vertAlign w:val="superscript"/>
        </w:rPr>
        <w:footnoteReference w:id="193"/>
      </w:r>
      <w:r w:rsidRPr="00727EBB">
        <w:rPr>
          <w:rFonts w:ascii="Verdana" w:hAnsi="Verdana" w:cs="Arial"/>
          <w:spacing w:val="-6"/>
          <w:w w:val="95"/>
          <w:sz w:val="20"/>
          <w:szCs w:val="20"/>
          <w:lang w:val="es-CR"/>
        </w:rPr>
        <w:t xml:space="preserve">, y </w:t>
      </w:r>
    </w:p>
    <w:p w:rsidR="00DF15C3" w:rsidRPr="00727EBB" w:rsidRDefault="00DF15C3" w:rsidP="003F26FD">
      <w:pPr>
        <w:pStyle w:val="Prrafodelista"/>
        <w:numPr>
          <w:ilvl w:val="0"/>
          <w:numId w:val="25"/>
        </w:numPr>
        <w:spacing w:after="0" w:line="216" w:lineRule="auto"/>
        <w:ind w:left="709" w:right="-174" w:firstLine="0"/>
        <w:jc w:val="both"/>
        <w:rPr>
          <w:rFonts w:ascii="Verdana" w:hAnsi="Verdana" w:cs="Arial"/>
          <w:spacing w:val="-6"/>
          <w:w w:val="95"/>
          <w:sz w:val="20"/>
          <w:szCs w:val="20"/>
          <w:lang w:val="es-CR"/>
        </w:rPr>
      </w:pPr>
      <w:r w:rsidRPr="00727EBB">
        <w:rPr>
          <w:rFonts w:ascii="Verdana" w:hAnsi="Verdana" w:cs="Arial"/>
          <w:spacing w:val="-6"/>
          <w:w w:val="95"/>
          <w:sz w:val="20"/>
          <w:szCs w:val="20"/>
          <w:lang w:val="es-CR"/>
        </w:rPr>
        <w:t xml:space="preserve">ante la reiteración de solicitud de esta prueba por el </w:t>
      </w:r>
      <w:r w:rsidR="00F77273" w:rsidRPr="00727EBB">
        <w:rPr>
          <w:rFonts w:ascii="Verdana" w:hAnsi="Verdana" w:cs="Arial"/>
          <w:spacing w:val="-6"/>
          <w:w w:val="95"/>
          <w:sz w:val="20"/>
          <w:szCs w:val="20"/>
          <w:lang w:val="es-CR"/>
        </w:rPr>
        <w:t>Agente Fiscal</w:t>
      </w:r>
      <w:r w:rsidR="003D58FC" w:rsidRPr="00727EBB">
        <w:rPr>
          <w:rFonts w:ascii="Verdana" w:hAnsi="Verdana" w:cs="Arial"/>
          <w:spacing w:val="-6"/>
          <w:w w:val="95"/>
          <w:sz w:val="20"/>
          <w:szCs w:val="20"/>
          <w:lang w:val="es-CR"/>
        </w:rPr>
        <w:t xml:space="preserve"> </w:t>
      </w:r>
      <w:r w:rsidR="003D58FC" w:rsidRPr="009C371B">
        <w:rPr>
          <w:rFonts w:ascii="Verdana" w:hAnsi="Verdana" w:cs="Arial"/>
          <w:spacing w:val="-6"/>
          <w:w w:val="95"/>
          <w:sz w:val="20"/>
          <w:szCs w:val="20"/>
          <w:lang w:val="es-CR"/>
        </w:rPr>
        <w:t>de la Agencia No. 1 de la Fiscalía Municipal de Mixco</w:t>
      </w:r>
      <w:r w:rsidRPr="00727EBB">
        <w:rPr>
          <w:rFonts w:ascii="Verdana" w:hAnsi="Verdana" w:cs="Arial"/>
          <w:spacing w:val="-6"/>
          <w:w w:val="95"/>
          <w:sz w:val="20"/>
          <w:szCs w:val="20"/>
          <w:lang w:val="es-CR"/>
        </w:rPr>
        <w:t xml:space="preserve"> los días 10 de junio de 2011</w:t>
      </w:r>
      <w:r w:rsidRPr="00727EBB">
        <w:rPr>
          <w:rFonts w:ascii="Verdana" w:hAnsi="Verdana" w:cs="Arial"/>
          <w:sz w:val="20"/>
          <w:szCs w:val="20"/>
          <w:vertAlign w:val="superscript"/>
        </w:rPr>
        <w:footnoteReference w:id="194"/>
      </w:r>
      <w:r w:rsidRPr="00727EBB">
        <w:rPr>
          <w:rFonts w:ascii="Verdana" w:hAnsi="Verdana" w:cs="Arial"/>
          <w:spacing w:val="-6"/>
          <w:w w:val="95"/>
          <w:sz w:val="20"/>
          <w:szCs w:val="20"/>
          <w:lang w:val="es-CR"/>
        </w:rPr>
        <w:t xml:space="preserve"> y el 11 de julio de 2011, la Secretaría General del INACIF remitió un escrito al Agente Fiscal de la </w:t>
      </w:r>
      <w:r w:rsidR="00F77273" w:rsidRPr="00727EBB">
        <w:rPr>
          <w:rFonts w:ascii="Verdana" w:hAnsi="Verdana" w:cs="Arial"/>
          <w:spacing w:val="-6"/>
          <w:w w:val="95"/>
          <w:sz w:val="20"/>
          <w:szCs w:val="20"/>
          <w:lang w:val="es-CR"/>
        </w:rPr>
        <w:t>Fiscalía Municipal de Mixco</w:t>
      </w:r>
      <w:r w:rsidRPr="00727EBB">
        <w:rPr>
          <w:rFonts w:ascii="Verdana" w:hAnsi="Verdana" w:cs="Arial"/>
          <w:spacing w:val="-6"/>
          <w:w w:val="95"/>
          <w:sz w:val="20"/>
          <w:szCs w:val="20"/>
          <w:lang w:val="es-CR"/>
        </w:rPr>
        <w:t>, en el cual informó a que “el INACIF habría iniciado labores en el área pericial de Laboratorios de Criminalística</w:t>
      </w:r>
      <w:r w:rsidR="00C627A1" w:rsidRPr="00727EBB">
        <w:rPr>
          <w:rFonts w:cs="Arial"/>
          <w:vertAlign w:val="superscript"/>
        </w:rPr>
        <w:footnoteReference w:id="195"/>
      </w:r>
      <w:r w:rsidRPr="00727EBB">
        <w:rPr>
          <w:rFonts w:ascii="Verdana" w:hAnsi="Verdana" w:cs="Arial"/>
          <w:spacing w:val="-6"/>
          <w:w w:val="95"/>
          <w:sz w:val="20"/>
          <w:szCs w:val="20"/>
          <w:lang w:val="es-CR"/>
        </w:rPr>
        <w:t xml:space="preserve"> el 12 de noviembre de 2007[,…] por lo que lamentablemente no podía darse respuesta a la petición planteada”</w:t>
      </w:r>
      <w:r w:rsidRPr="00727EBB">
        <w:rPr>
          <w:rFonts w:ascii="Verdana" w:hAnsi="Verdana" w:cs="Arial"/>
          <w:sz w:val="20"/>
          <w:szCs w:val="20"/>
          <w:vertAlign w:val="superscript"/>
        </w:rPr>
        <w:footnoteReference w:id="196"/>
      </w:r>
      <w:r w:rsidR="00BB3679" w:rsidRPr="00727EBB">
        <w:rPr>
          <w:rFonts w:ascii="Verdana" w:hAnsi="Verdana" w:cs="Arial"/>
          <w:spacing w:val="-6"/>
          <w:w w:val="95"/>
          <w:sz w:val="20"/>
          <w:szCs w:val="20"/>
          <w:lang w:val="es-CR"/>
        </w:rPr>
        <w:t xml:space="preserve">. </w:t>
      </w:r>
      <w:r w:rsidR="00BB3679" w:rsidRPr="00315B30">
        <w:rPr>
          <w:rFonts w:ascii="Verdana" w:hAnsi="Verdana" w:cs="Arial"/>
          <w:spacing w:val="-6"/>
          <w:w w:val="95"/>
          <w:sz w:val="20"/>
          <w:szCs w:val="20"/>
          <w:lang w:val="es-CR"/>
        </w:rPr>
        <w:t>A este</w:t>
      </w:r>
      <w:r w:rsidRPr="00315B30">
        <w:rPr>
          <w:rFonts w:ascii="Verdana" w:hAnsi="Verdana" w:cs="Arial"/>
          <w:spacing w:val="-6"/>
          <w:w w:val="95"/>
          <w:sz w:val="20"/>
          <w:szCs w:val="20"/>
          <w:lang w:val="es-CR"/>
        </w:rPr>
        <w:t xml:space="preserve"> momento</w:t>
      </w:r>
      <w:r w:rsidRPr="00727EBB">
        <w:rPr>
          <w:rFonts w:ascii="Verdana" w:hAnsi="Verdana" w:cs="Arial"/>
          <w:spacing w:val="-6"/>
          <w:w w:val="95"/>
          <w:sz w:val="20"/>
          <w:szCs w:val="20"/>
          <w:lang w:val="es-CR"/>
        </w:rPr>
        <w:t xml:space="preserve"> no obra en el expediente prueba de que se conozca el paradero de las prendas extraviadas.</w:t>
      </w:r>
    </w:p>
    <w:p w:rsidR="00DF15C3" w:rsidRPr="009C0057" w:rsidRDefault="00DF15C3" w:rsidP="003F26FD">
      <w:pPr>
        <w:tabs>
          <w:tab w:val="left" w:pos="993"/>
        </w:tabs>
        <w:spacing w:after="0" w:line="216" w:lineRule="auto"/>
        <w:ind w:left="709" w:right="-174"/>
        <w:jc w:val="both"/>
        <w:rPr>
          <w:rFonts w:ascii="Verdana" w:hAnsi="Verdana"/>
          <w:spacing w:val="-6"/>
          <w:w w:val="95"/>
          <w:sz w:val="20"/>
          <w:szCs w:val="20"/>
          <w:lang w:val="es-CR"/>
        </w:rPr>
      </w:pPr>
    </w:p>
    <w:p w:rsidR="00DF15C3" w:rsidRPr="009C0057" w:rsidRDefault="00DF15C3" w:rsidP="003F26FD">
      <w:pPr>
        <w:pStyle w:val="Prrafodelista"/>
        <w:numPr>
          <w:ilvl w:val="0"/>
          <w:numId w:val="17"/>
        </w:numPr>
        <w:spacing w:after="0" w:line="216" w:lineRule="auto"/>
        <w:ind w:left="-142" w:right="-174" w:firstLine="0"/>
        <w:jc w:val="both"/>
        <w:rPr>
          <w:rFonts w:ascii="Verdana" w:hAnsi="Verdana"/>
          <w:i/>
          <w:w w:val="95"/>
          <w:sz w:val="20"/>
          <w:szCs w:val="20"/>
          <w:lang w:val="es-CR"/>
        </w:rPr>
      </w:pPr>
      <w:r w:rsidRPr="003622B1">
        <w:rPr>
          <w:rFonts w:ascii="Verdana" w:hAnsi="Verdana"/>
          <w:b/>
          <w:i/>
          <w:w w:val="95"/>
          <w:sz w:val="20"/>
          <w:szCs w:val="20"/>
          <w:lang w:val="es-CR"/>
        </w:rPr>
        <w:t xml:space="preserve">Aspectos relacionados con las alegaciones de discriminación.– </w:t>
      </w:r>
      <w:r w:rsidRPr="003622B1">
        <w:rPr>
          <w:rFonts w:ascii="Verdana" w:hAnsi="Verdana"/>
          <w:w w:val="95"/>
          <w:sz w:val="20"/>
          <w:szCs w:val="20"/>
          <w:lang w:val="es-CR"/>
        </w:rPr>
        <w:t xml:space="preserve">Se han  formulado alegaciones de que en el caso existiría un sesgo discriminatorio que impediría el avance de las investigaciones. A tal efecto, pueden señalarse los hechos siguientes: </w:t>
      </w:r>
    </w:p>
    <w:p w:rsidR="00DF15C3" w:rsidRPr="009C0057" w:rsidRDefault="00DF15C3" w:rsidP="003F26FD">
      <w:pPr>
        <w:pStyle w:val="Prrafodelista"/>
        <w:spacing w:after="0" w:line="216" w:lineRule="auto"/>
        <w:ind w:left="-142" w:right="-174"/>
        <w:jc w:val="both"/>
        <w:rPr>
          <w:rFonts w:ascii="Verdana" w:hAnsi="Verdana"/>
          <w:b/>
          <w:i/>
          <w:w w:val="95"/>
          <w:sz w:val="20"/>
          <w:szCs w:val="20"/>
          <w:lang w:val="es-CR"/>
        </w:rPr>
      </w:pPr>
    </w:p>
    <w:p w:rsidR="00DF15C3" w:rsidRDefault="00DF15C3" w:rsidP="003F26FD">
      <w:pPr>
        <w:pStyle w:val="Prrafodelista"/>
        <w:numPr>
          <w:ilvl w:val="0"/>
          <w:numId w:val="35"/>
        </w:numPr>
        <w:tabs>
          <w:tab w:val="left" w:pos="993"/>
        </w:tabs>
        <w:spacing w:after="0" w:line="216" w:lineRule="auto"/>
        <w:ind w:left="810" w:right="-174" w:firstLine="0"/>
        <w:jc w:val="both"/>
        <w:rPr>
          <w:rFonts w:ascii="Verdana" w:hAnsi="Verdana" w:cs="Calibri"/>
          <w:spacing w:val="-6"/>
          <w:w w:val="95"/>
          <w:sz w:val="20"/>
          <w:szCs w:val="20"/>
          <w:lang w:val="es-CR"/>
        </w:rPr>
      </w:pPr>
      <w:r w:rsidRPr="003622B1">
        <w:rPr>
          <w:rFonts w:ascii="Verdana" w:hAnsi="Verdana" w:cs="Calibri"/>
          <w:spacing w:val="-6"/>
          <w:w w:val="95"/>
          <w:sz w:val="20"/>
          <w:szCs w:val="20"/>
          <w:lang w:val="es-CR"/>
        </w:rPr>
        <w:t xml:space="preserve">el 20 de febrero de 2002 los técnicos en investigaciones criminalísticas encargados del caso rindieron su informe acerca del resultado de las diligencias preliminares del homicidio de María Isabel.  Entre otras cosas los técnicos expresaron que el </w:t>
      </w:r>
      <w:r w:rsidRPr="00BB3679">
        <w:rPr>
          <w:rFonts w:ascii="Verdana" w:hAnsi="Verdana" w:cs="Calibri"/>
          <w:i/>
          <w:spacing w:val="-6"/>
          <w:w w:val="95"/>
          <w:sz w:val="20"/>
          <w:szCs w:val="20"/>
          <w:lang w:val="es-CR"/>
        </w:rPr>
        <w:t>alias</w:t>
      </w:r>
      <w:r w:rsidRPr="003622B1">
        <w:rPr>
          <w:rFonts w:ascii="Verdana" w:hAnsi="Verdana" w:cs="Calibri"/>
          <w:spacing w:val="-6"/>
          <w:w w:val="95"/>
          <w:sz w:val="20"/>
          <w:szCs w:val="20"/>
          <w:lang w:val="es-CR"/>
        </w:rPr>
        <w:t xml:space="preserve"> de María Isabel era “LA LOCA” y se refirieron a aspectos de su comportamiento, como su forma de vestir, su vida social y nocturna o sus creencias religiosas, así como a la falta de vigilancia por parte de su familia</w:t>
      </w:r>
      <w:r>
        <w:rPr>
          <w:rStyle w:val="Refdenotaalpie"/>
          <w:rFonts w:ascii="Verdana" w:hAnsi="Verdana" w:cs="Calibri"/>
          <w:spacing w:val="-6"/>
          <w:w w:val="95"/>
          <w:sz w:val="20"/>
          <w:szCs w:val="20"/>
          <w:lang w:val="es-CR"/>
        </w:rPr>
        <w:footnoteReference w:id="197"/>
      </w:r>
      <w:r w:rsidRPr="003622B1">
        <w:rPr>
          <w:rFonts w:ascii="Verdana" w:hAnsi="Verdana" w:cs="Calibri"/>
          <w:spacing w:val="-6"/>
          <w:w w:val="95"/>
          <w:sz w:val="20"/>
          <w:szCs w:val="20"/>
          <w:lang w:val="es-CR"/>
        </w:rPr>
        <w:t>. El 21 de febrero de 2002 el investigador del Servicio de Investigación Criminal de la PNC, de la Sección</w:t>
      </w:r>
      <w:r w:rsidRPr="003622B1">
        <w:rPr>
          <w:rFonts w:ascii="Verdana" w:hAnsi="Verdana" w:cs="Calibri"/>
          <w:b/>
          <w:spacing w:val="-6"/>
          <w:w w:val="95"/>
          <w:sz w:val="20"/>
          <w:szCs w:val="20"/>
          <w:lang w:val="es-CR"/>
        </w:rPr>
        <w:t xml:space="preserve"> </w:t>
      </w:r>
      <w:r w:rsidRPr="003622B1">
        <w:rPr>
          <w:rFonts w:ascii="Verdana" w:hAnsi="Verdana" w:cs="Calibri"/>
          <w:spacing w:val="-6"/>
          <w:w w:val="95"/>
          <w:sz w:val="20"/>
          <w:szCs w:val="20"/>
          <w:lang w:val="es-CR"/>
        </w:rPr>
        <w:t>contra Homicidios, presentó un informe de las diligencias practicadas hasta ese momento concluyó que el móvil del homicidio de María Isabel había sido la “posible infidelidad con algún novio”</w:t>
      </w:r>
      <w:r>
        <w:rPr>
          <w:rStyle w:val="Refdenotaalpie"/>
          <w:rFonts w:ascii="Verdana" w:hAnsi="Verdana" w:cs="Calibri"/>
          <w:spacing w:val="-6"/>
          <w:w w:val="95"/>
          <w:sz w:val="20"/>
          <w:szCs w:val="20"/>
          <w:lang w:val="es-CR"/>
        </w:rPr>
        <w:footnoteReference w:id="198"/>
      </w:r>
      <w:r w:rsidRPr="003622B1">
        <w:rPr>
          <w:rFonts w:ascii="Verdana" w:hAnsi="Verdana" w:cs="Calibri"/>
          <w:spacing w:val="-6"/>
          <w:w w:val="95"/>
          <w:sz w:val="20"/>
          <w:szCs w:val="20"/>
          <w:lang w:val="es-CR"/>
        </w:rPr>
        <w:t xml:space="preserve">; </w:t>
      </w:r>
    </w:p>
    <w:p w:rsidR="00DF15C3" w:rsidRPr="00F04D11" w:rsidRDefault="00DF15C3" w:rsidP="003F26FD">
      <w:pPr>
        <w:pStyle w:val="Prrafodelista"/>
        <w:numPr>
          <w:ilvl w:val="0"/>
          <w:numId w:val="35"/>
        </w:numPr>
        <w:tabs>
          <w:tab w:val="left" w:pos="993"/>
        </w:tabs>
        <w:spacing w:after="0" w:line="216" w:lineRule="auto"/>
        <w:ind w:left="810" w:right="-174" w:firstLine="0"/>
        <w:jc w:val="both"/>
        <w:rPr>
          <w:rFonts w:ascii="Verdana" w:hAnsi="Verdana"/>
          <w:spacing w:val="-6"/>
          <w:w w:val="95"/>
          <w:sz w:val="20"/>
          <w:szCs w:val="20"/>
          <w:lang w:val="es-CR"/>
        </w:rPr>
      </w:pPr>
      <w:r w:rsidRPr="003622B1">
        <w:rPr>
          <w:rFonts w:ascii="Verdana" w:hAnsi="Verdana" w:cs="Calibri"/>
          <w:spacing w:val="-6"/>
          <w:w w:val="95"/>
          <w:sz w:val="20"/>
          <w:szCs w:val="20"/>
          <w:lang w:val="es-CR"/>
        </w:rPr>
        <w:t xml:space="preserve">el 18 de marzo de 2003 el investigador encargado emitió un informe para la Auxiliar Fiscal de </w:t>
      </w:r>
      <w:r w:rsidRPr="00F04D11">
        <w:rPr>
          <w:rFonts w:ascii="Verdana" w:hAnsi="Verdana" w:cs="Calibri"/>
          <w:spacing w:val="-6"/>
          <w:w w:val="95"/>
          <w:sz w:val="20"/>
          <w:szCs w:val="20"/>
          <w:lang w:val="es-CR"/>
        </w:rPr>
        <w:t xml:space="preserve">la </w:t>
      </w:r>
      <w:r w:rsidR="00F77273" w:rsidRPr="00F04D11">
        <w:rPr>
          <w:rFonts w:ascii="Verdana" w:hAnsi="Verdana" w:cs="Calibri"/>
          <w:spacing w:val="-6"/>
          <w:w w:val="95"/>
          <w:sz w:val="20"/>
          <w:szCs w:val="20"/>
          <w:lang w:val="es-CR"/>
        </w:rPr>
        <w:t>Agencia No. 5</w:t>
      </w:r>
      <w:r w:rsidR="00401799" w:rsidRPr="00F04D11">
        <w:rPr>
          <w:rFonts w:ascii="Verdana" w:hAnsi="Verdana" w:cs="Calibri"/>
          <w:spacing w:val="-6"/>
          <w:w w:val="95"/>
          <w:sz w:val="20"/>
          <w:szCs w:val="20"/>
          <w:lang w:val="es-CR"/>
        </w:rPr>
        <w:t xml:space="preserve"> de Mixco</w:t>
      </w:r>
      <w:r w:rsidRPr="00F04D11">
        <w:rPr>
          <w:rFonts w:ascii="Verdana" w:hAnsi="Verdana" w:cs="Calibri"/>
          <w:spacing w:val="-6"/>
          <w:w w:val="95"/>
          <w:sz w:val="20"/>
          <w:szCs w:val="20"/>
          <w:lang w:val="es-CR"/>
        </w:rPr>
        <w:t xml:space="preserve"> en el que recomendó que se citara a la mamá de María Isabel para interrogarla sobre la vida de su hija en especial sobre “sus actividades nocturnas, la relación con mareros, adicción a alguna droga y relación con su padrastro”</w:t>
      </w:r>
      <w:r w:rsidRPr="00F04D11">
        <w:rPr>
          <w:rStyle w:val="Refdenotaalpie"/>
          <w:rFonts w:ascii="Verdana" w:hAnsi="Verdana" w:cs="Calibri"/>
          <w:spacing w:val="-6"/>
          <w:w w:val="95"/>
          <w:sz w:val="20"/>
          <w:szCs w:val="20"/>
          <w:lang w:val="es-CR"/>
        </w:rPr>
        <w:footnoteReference w:id="199"/>
      </w:r>
      <w:r w:rsidRPr="00F04D11">
        <w:rPr>
          <w:rFonts w:ascii="Verdana" w:hAnsi="Verdana" w:cs="Calibri"/>
          <w:spacing w:val="-6"/>
          <w:w w:val="95"/>
          <w:sz w:val="20"/>
          <w:szCs w:val="20"/>
          <w:lang w:val="es-CR"/>
        </w:rPr>
        <w:t>;</w:t>
      </w:r>
    </w:p>
    <w:p w:rsidR="00DF15C3" w:rsidRDefault="00DF15C3" w:rsidP="003F26FD">
      <w:pPr>
        <w:pStyle w:val="Prrafodelista"/>
        <w:numPr>
          <w:ilvl w:val="0"/>
          <w:numId w:val="35"/>
        </w:numPr>
        <w:tabs>
          <w:tab w:val="left" w:pos="993"/>
        </w:tabs>
        <w:spacing w:after="0" w:line="216" w:lineRule="auto"/>
        <w:ind w:left="810" w:right="-174" w:firstLine="0"/>
        <w:jc w:val="both"/>
        <w:rPr>
          <w:rFonts w:ascii="Verdana" w:hAnsi="Verdana" w:cs="Calibri"/>
          <w:spacing w:val="-6"/>
          <w:w w:val="95"/>
          <w:sz w:val="20"/>
          <w:szCs w:val="20"/>
          <w:lang w:val="es-CR"/>
        </w:rPr>
      </w:pPr>
      <w:r w:rsidRPr="00F04D11">
        <w:rPr>
          <w:rFonts w:ascii="Verdana" w:hAnsi="Verdana" w:cs="Calibri"/>
          <w:spacing w:val="-6"/>
          <w:w w:val="95"/>
          <w:sz w:val="20"/>
          <w:szCs w:val="20"/>
          <w:lang w:val="es-CR"/>
        </w:rPr>
        <w:t xml:space="preserve">        el 30 de agosto de</w:t>
      </w:r>
      <w:r w:rsidR="00C4690D">
        <w:rPr>
          <w:rFonts w:ascii="Verdana" w:hAnsi="Verdana" w:cs="Calibri"/>
          <w:spacing w:val="-6"/>
          <w:w w:val="95"/>
          <w:sz w:val="20"/>
          <w:szCs w:val="20"/>
          <w:lang w:val="es-CR"/>
        </w:rPr>
        <w:t xml:space="preserve"> 2004 la señora </w:t>
      </w:r>
      <w:r w:rsidRPr="00F04D11">
        <w:rPr>
          <w:rFonts w:ascii="Verdana" w:hAnsi="Verdana" w:cs="Calibri"/>
          <w:spacing w:val="-6"/>
          <w:w w:val="95"/>
          <w:sz w:val="20"/>
          <w:szCs w:val="20"/>
          <w:lang w:val="es-CR"/>
        </w:rPr>
        <w:t>Franco</w:t>
      </w:r>
      <w:r w:rsidR="00C4690D">
        <w:rPr>
          <w:rFonts w:ascii="Verdana" w:hAnsi="Verdana" w:cs="Calibri"/>
          <w:spacing w:val="-6"/>
          <w:w w:val="95"/>
          <w:sz w:val="20"/>
          <w:szCs w:val="20"/>
          <w:lang w:val="es-CR"/>
        </w:rPr>
        <w:t xml:space="preserve"> Sandoval</w:t>
      </w:r>
      <w:r w:rsidRPr="00F04D11">
        <w:rPr>
          <w:rFonts w:ascii="Verdana" w:hAnsi="Verdana" w:cs="Calibri"/>
          <w:spacing w:val="-6"/>
          <w:w w:val="95"/>
          <w:sz w:val="20"/>
          <w:szCs w:val="20"/>
          <w:lang w:val="es-CR"/>
        </w:rPr>
        <w:t xml:space="preserve"> remitió un escrito al Fiscal General y Jefe del Ministerio Público para informarle que la Auxiliar Fiscal </w:t>
      </w:r>
      <w:r w:rsidR="00F77273" w:rsidRPr="00F04D11">
        <w:rPr>
          <w:rFonts w:ascii="Verdana" w:hAnsi="Verdana" w:cs="Calibri"/>
          <w:spacing w:val="-6"/>
          <w:w w:val="95"/>
          <w:sz w:val="20"/>
          <w:szCs w:val="20"/>
          <w:lang w:val="es-CR"/>
        </w:rPr>
        <w:t xml:space="preserve">de </w:t>
      </w:r>
      <w:r w:rsidR="009C371B" w:rsidRPr="009C371B">
        <w:rPr>
          <w:rFonts w:ascii="Verdana" w:hAnsi="Verdana" w:cs="Calibri"/>
          <w:spacing w:val="-6"/>
          <w:w w:val="95"/>
          <w:sz w:val="20"/>
          <w:szCs w:val="20"/>
          <w:lang w:val="es-CR"/>
        </w:rPr>
        <w:t xml:space="preserve">la </w:t>
      </w:r>
      <w:r w:rsidR="002D6EFF" w:rsidRPr="009C371B">
        <w:rPr>
          <w:rFonts w:ascii="Verdana" w:hAnsi="Verdana" w:cs="Calibri"/>
          <w:spacing w:val="-6"/>
          <w:w w:val="95"/>
          <w:sz w:val="20"/>
          <w:szCs w:val="20"/>
          <w:lang w:val="es-CR"/>
        </w:rPr>
        <w:t>Agencia</w:t>
      </w:r>
      <w:r w:rsidR="00F77273" w:rsidRPr="00F04D11">
        <w:rPr>
          <w:rFonts w:ascii="Verdana" w:hAnsi="Verdana" w:cs="Calibri"/>
          <w:spacing w:val="-6"/>
          <w:w w:val="95"/>
          <w:sz w:val="20"/>
          <w:szCs w:val="20"/>
          <w:lang w:val="es-CR"/>
        </w:rPr>
        <w:t xml:space="preserve"> No. 5 de Mixco</w:t>
      </w:r>
      <w:r w:rsidRPr="00F04D11">
        <w:rPr>
          <w:rFonts w:ascii="Verdana" w:hAnsi="Verdana" w:cs="Calibri"/>
          <w:spacing w:val="-6"/>
          <w:w w:val="95"/>
          <w:sz w:val="20"/>
          <w:szCs w:val="20"/>
          <w:lang w:val="es-CR"/>
        </w:rPr>
        <w:t xml:space="preserve"> le había dicho que María Isabel “era una cualquiera”, por lo que solicitó que no se continuara</w:t>
      </w:r>
      <w:r w:rsidRPr="003622B1">
        <w:rPr>
          <w:rFonts w:ascii="Verdana" w:hAnsi="Verdana" w:cs="Calibri"/>
          <w:spacing w:val="-6"/>
          <w:w w:val="95"/>
          <w:sz w:val="20"/>
          <w:szCs w:val="20"/>
          <w:lang w:val="es-CR"/>
        </w:rPr>
        <w:t xml:space="preserve"> hablando mal de su hija</w:t>
      </w:r>
      <w:r w:rsidR="00F15CBE" w:rsidRPr="0066104A">
        <w:rPr>
          <w:rFonts w:ascii="Verdana" w:hAnsi="Verdana"/>
          <w:sz w:val="20"/>
          <w:szCs w:val="20"/>
          <w:vertAlign w:val="superscript"/>
        </w:rPr>
        <w:footnoteReference w:id="200"/>
      </w:r>
      <w:r w:rsidR="00F15CBE" w:rsidRPr="0066104A">
        <w:rPr>
          <w:rFonts w:ascii="Verdana" w:hAnsi="Verdana" w:cs="Calibri"/>
          <w:spacing w:val="-6"/>
          <w:w w:val="95"/>
          <w:sz w:val="20"/>
          <w:szCs w:val="20"/>
          <w:lang w:val="es-CR"/>
        </w:rPr>
        <w:t>.</w:t>
      </w:r>
      <w:r w:rsidRPr="003622B1">
        <w:rPr>
          <w:rFonts w:ascii="Verdana" w:hAnsi="Verdana" w:cs="Calibri"/>
          <w:spacing w:val="-6"/>
          <w:w w:val="95"/>
          <w:sz w:val="20"/>
          <w:szCs w:val="20"/>
          <w:lang w:val="es-CR"/>
        </w:rPr>
        <w:t xml:space="preserve"> En el Informe de Fondo</w:t>
      </w:r>
      <w:r w:rsidR="00030315">
        <w:rPr>
          <w:rFonts w:ascii="Verdana" w:hAnsi="Verdana" w:cs="Calibri"/>
          <w:spacing w:val="-6"/>
          <w:w w:val="95"/>
          <w:sz w:val="20"/>
          <w:szCs w:val="20"/>
          <w:lang w:val="es-CR"/>
        </w:rPr>
        <w:t>,</w:t>
      </w:r>
      <w:r w:rsidR="007C6BA8">
        <w:rPr>
          <w:rFonts w:ascii="Verdana" w:hAnsi="Verdana" w:cs="Calibri"/>
          <w:spacing w:val="-6"/>
          <w:w w:val="95"/>
          <w:sz w:val="20"/>
          <w:szCs w:val="20"/>
          <w:lang w:val="es-CR"/>
        </w:rPr>
        <w:t xml:space="preserve"> la Comisión se refi</w:t>
      </w:r>
      <w:r w:rsidRPr="003622B1">
        <w:rPr>
          <w:rFonts w:ascii="Verdana" w:hAnsi="Verdana" w:cs="Calibri"/>
          <w:spacing w:val="-6"/>
          <w:w w:val="95"/>
          <w:sz w:val="20"/>
          <w:szCs w:val="20"/>
          <w:lang w:val="es-CR"/>
        </w:rPr>
        <w:t>r</w:t>
      </w:r>
      <w:r w:rsidR="007C6BA8">
        <w:rPr>
          <w:rFonts w:ascii="Verdana" w:hAnsi="Verdana" w:cs="Calibri"/>
          <w:spacing w:val="-6"/>
          <w:w w:val="95"/>
          <w:sz w:val="20"/>
          <w:szCs w:val="20"/>
          <w:lang w:val="es-CR"/>
        </w:rPr>
        <w:t>ió</w:t>
      </w:r>
      <w:r w:rsidRPr="003622B1">
        <w:rPr>
          <w:rFonts w:ascii="Verdana" w:hAnsi="Verdana" w:cs="Calibri"/>
          <w:spacing w:val="-6"/>
          <w:w w:val="95"/>
          <w:sz w:val="20"/>
          <w:szCs w:val="20"/>
          <w:lang w:val="es-CR"/>
        </w:rPr>
        <w:t xml:space="preserve"> a las declaraciones de Rosa Elvira Franco durante la audiencia ante la C</w:t>
      </w:r>
      <w:r>
        <w:rPr>
          <w:rFonts w:ascii="Verdana" w:hAnsi="Verdana" w:cs="Calibri"/>
          <w:spacing w:val="-6"/>
          <w:w w:val="95"/>
          <w:sz w:val="20"/>
          <w:szCs w:val="20"/>
          <w:lang w:val="es-CR"/>
        </w:rPr>
        <w:t>omisión</w:t>
      </w:r>
      <w:r w:rsidR="00030315">
        <w:rPr>
          <w:rFonts w:ascii="Verdana" w:hAnsi="Verdana" w:cs="Calibri"/>
          <w:spacing w:val="-6"/>
          <w:w w:val="95"/>
          <w:sz w:val="20"/>
          <w:szCs w:val="20"/>
          <w:lang w:val="es-CR"/>
        </w:rPr>
        <w:t>,</w:t>
      </w:r>
      <w:r w:rsidRPr="003622B1">
        <w:rPr>
          <w:rFonts w:ascii="Verdana" w:hAnsi="Verdana" w:cs="Calibri"/>
          <w:spacing w:val="-6"/>
          <w:w w:val="95"/>
          <w:sz w:val="20"/>
          <w:szCs w:val="20"/>
          <w:lang w:val="es-CR"/>
        </w:rPr>
        <w:t xml:space="preserve"> y a la comunicación de la misma dirigida a la C</w:t>
      </w:r>
      <w:r>
        <w:rPr>
          <w:rFonts w:ascii="Verdana" w:hAnsi="Verdana" w:cs="Calibri"/>
          <w:spacing w:val="-6"/>
          <w:w w:val="95"/>
          <w:sz w:val="20"/>
          <w:szCs w:val="20"/>
          <w:lang w:val="es-CR"/>
        </w:rPr>
        <w:t>omisión</w:t>
      </w:r>
      <w:r w:rsidRPr="003622B1">
        <w:rPr>
          <w:rFonts w:ascii="Verdana" w:hAnsi="Verdana" w:cs="Calibri"/>
          <w:spacing w:val="-6"/>
          <w:w w:val="95"/>
          <w:sz w:val="20"/>
          <w:szCs w:val="20"/>
          <w:lang w:val="es-CR"/>
        </w:rPr>
        <w:t xml:space="preserve"> </w:t>
      </w:r>
      <w:r w:rsidR="007C6BA8">
        <w:rPr>
          <w:rFonts w:ascii="Verdana" w:hAnsi="Verdana" w:cs="Calibri"/>
          <w:spacing w:val="-6"/>
          <w:w w:val="95"/>
          <w:sz w:val="20"/>
          <w:szCs w:val="20"/>
          <w:lang w:val="es-CR"/>
        </w:rPr>
        <w:t>el 27 de abril de 2007,</w:t>
      </w:r>
      <w:r w:rsidRPr="003622B1">
        <w:rPr>
          <w:rFonts w:ascii="Verdana" w:hAnsi="Verdana" w:cs="Calibri"/>
          <w:spacing w:val="-6"/>
          <w:w w:val="95"/>
          <w:sz w:val="20"/>
          <w:szCs w:val="20"/>
          <w:lang w:val="es-CR"/>
        </w:rPr>
        <w:t xml:space="preserve"> </w:t>
      </w:r>
      <w:r w:rsidR="007C6BA8">
        <w:rPr>
          <w:rFonts w:ascii="Verdana" w:hAnsi="Verdana" w:cs="Calibri"/>
          <w:spacing w:val="-6"/>
          <w:w w:val="95"/>
          <w:sz w:val="20"/>
          <w:szCs w:val="20"/>
          <w:lang w:val="es-CR"/>
        </w:rPr>
        <w:t>donde</w:t>
      </w:r>
      <w:r w:rsidR="00BB3679">
        <w:rPr>
          <w:rFonts w:ascii="Verdana" w:hAnsi="Verdana" w:cs="Calibri"/>
          <w:spacing w:val="-6"/>
          <w:w w:val="95"/>
          <w:sz w:val="20"/>
          <w:szCs w:val="20"/>
          <w:lang w:val="es-CR"/>
        </w:rPr>
        <w:t xml:space="preserve"> manifestó</w:t>
      </w:r>
      <w:r w:rsidR="007C6BA8">
        <w:rPr>
          <w:rFonts w:ascii="Verdana" w:hAnsi="Verdana" w:cs="Calibri"/>
          <w:spacing w:val="-6"/>
          <w:w w:val="95"/>
          <w:sz w:val="20"/>
          <w:szCs w:val="20"/>
          <w:lang w:val="es-CR"/>
        </w:rPr>
        <w:t xml:space="preserve"> que</w:t>
      </w:r>
      <w:r w:rsidRPr="003622B1">
        <w:rPr>
          <w:rFonts w:ascii="Verdana" w:hAnsi="Verdana" w:cs="Calibri"/>
          <w:spacing w:val="-6"/>
          <w:w w:val="95"/>
          <w:sz w:val="20"/>
          <w:szCs w:val="20"/>
          <w:lang w:val="es-CR"/>
        </w:rPr>
        <w:t xml:space="preserve"> aproximadamente la semana anterior del 28 de agosto de 2004, cuando fue a preguntar sobre el avance de las investigaciones, la Auxiliar Fiscal “sacó de lo último de una de sus gavetas de </w:t>
      </w:r>
      <w:r w:rsidR="009C371B">
        <w:rPr>
          <w:rFonts w:ascii="Verdana" w:hAnsi="Verdana" w:cs="Calibri"/>
          <w:spacing w:val="-6"/>
          <w:w w:val="95"/>
          <w:sz w:val="20"/>
          <w:szCs w:val="20"/>
          <w:lang w:val="es-CR"/>
        </w:rPr>
        <w:t xml:space="preserve">su archivo, el expediente de [su] </w:t>
      </w:r>
      <w:r w:rsidRPr="003622B1">
        <w:rPr>
          <w:rFonts w:ascii="Verdana" w:hAnsi="Verdana" w:cs="Calibri"/>
          <w:spacing w:val="-6"/>
          <w:w w:val="95"/>
          <w:sz w:val="20"/>
          <w:szCs w:val="20"/>
          <w:lang w:val="es-CR"/>
        </w:rPr>
        <w:t>hija, y</w:t>
      </w:r>
      <w:r w:rsidR="009C371B">
        <w:rPr>
          <w:rFonts w:ascii="Verdana" w:hAnsi="Verdana" w:cs="Calibri"/>
          <w:spacing w:val="-6"/>
          <w:w w:val="95"/>
          <w:sz w:val="20"/>
          <w:szCs w:val="20"/>
          <w:lang w:val="es-CR"/>
        </w:rPr>
        <w:t xml:space="preserve"> enfrente del que era su jefe, [l]</w:t>
      </w:r>
      <w:r w:rsidRPr="003622B1">
        <w:rPr>
          <w:rFonts w:ascii="Verdana" w:hAnsi="Verdana" w:cs="Calibri"/>
          <w:spacing w:val="-6"/>
          <w:w w:val="95"/>
          <w:sz w:val="20"/>
          <w:szCs w:val="20"/>
          <w:lang w:val="es-CR"/>
        </w:rPr>
        <w:t xml:space="preserve">e dijo ‘a su hija la mataron porque era una cualquiera, una prostituta’, incluso hizo ademanes con sus hombros y cabeza riéndose de mi hija y de mi dolor. El </w:t>
      </w:r>
      <w:r w:rsidR="009C371B">
        <w:rPr>
          <w:rFonts w:ascii="Verdana" w:hAnsi="Verdana" w:cs="Calibri"/>
          <w:spacing w:val="-6"/>
          <w:w w:val="95"/>
          <w:sz w:val="20"/>
          <w:szCs w:val="20"/>
          <w:lang w:val="es-CR"/>
        </w:rPr>
        <w:t>jefe agachó la cabeza no [l]</w:t>
      </w:r>
      <w:r w:rsidRPr="003622B1">
        <w:rPr>
          <w:rFonts w:ascii="Verdana" w:hAnsi="Verdana" w:cs="Calibri"/>
          <w:spacing w:val="-6"/>
          <w:w w:val="95"/>
          <w:sz w:val="20"/>
          <w:szCs w:val="20"/>
          <w:lang w:val="es-CR"/>
        </w:rPr>
        <w:t xml:space="preserve">e dijo disculpe, solo la observó, y </w:t>
      </w:r>
      <w:r w:rsidR="00BB3679">
        <w:rPr>
          <w:rFonts w:ascii="Verdana" w:hAnsi="Verdana" w:cs="Calibri"/>
          <w:spacing w:val="-6"/>
          <w:w w:val="95"/>
          <w:sz w:val="20"/>
          <w:szCs w:val="20"/>
          <w:lang w:val="es-CR"/>
        </w:rPr>
        <w:t>[</w:t>
      </w:r>
      <w:r w:rsidR="00BB3679" w:rsidRPr="00727EBB">
        <w:rPr>
          <w:rFonts w:ascii="Verdana" w:hAnsi="Verdana" w:cs="Calibri"/>
          <w:spacing w:val="-6"/>
          <w:w w:val="95"/>
          <w:sz w:val="20"/>
          <w:szCs w:val="20"/>
          <w:lang w:val="es-CR"/>
        </w:rPr>
        <w:t xml:space="preserve">la </w:t>
      </w:r>
      <w:r w:rsidR="00F77273" w:rsidRPr="00727EBB">
        <w:rPr>
          <w:rFonts w:ascii="Verdana" w:hAnsi="Verdana" w:cs="Calibri"/>
          <w:spacing w:val="-6"/>
          <w:w w:val="95"/>
          <w:sz w:val="20"/>
          <w:szCs w:val="20"/>
          <w:lang w:val="es-CR"/>
        </w:rPr>
        <w:t>Auxiliar Fiscal</w:t>
      </w:r>
      <w:r w:rsidR="00BB3679" w:rsidRPr="00727EBB">
        <w:rPr>
          <w:rFonts w:ascii="Verdana" w:hAnsi="Verdana" w:cs="Calibri"/>
          <w:spacing w:val="-6"/>
          <w:w w:val="95"/>
          <w:sz w:val="20"/>
          <w:szCs w:val="20"/>
          <w:lang w:val="es-CR"/>
        </w:rPr>
        <w:t xml:space="preserve">] </w:t>
      </w:r>
      <w:r w:rsidRPr="00727EBB">
        <w:rPr>
          <w:rFonts w:ascii="Verdana" w:hAnsi="Verdana" w:cs="Calibri"/>
          <w:spacing w:val="-6"/>
          <w:w w:val="95"/>
          <w:sz w:val="20"/>
          <w:szCs w:val="20"/>
          <w:lang w:val="es-CR"/>
        </w:rPr>
        <w:t>comen</w:t>
      </w:r>
      <w:r w:rsidRPr="003622B1">
        <w:rPr>
          <w:rFonts w:ascii="Verdana" w:hAnsi="Verdana" w:cs="Calibri"/>
          <w:spacing w:val="-6"/>
          <w:w w:val="95"/>
          <w:sz w:val="20"/>
          <w:szCs w:val="20"/>
          <w:lang w:val="es-CR"/>
        </w:rPr>
        <w:t>zó a reírse a carcajadas”</w:t>
      </w:r>
      <w:r>
        <w:rPr>
          <w:rStyle w:val="Refdenotaalpie"/>
          <w:rFonts w:ascii="Verdana" w:hAnsi="Verdana" w:cs="Calibri"/>
          <w:spacing w:val="-6"/>
          <w:w w:val="95"/>
          <w:sz w:val="20"/>
          <w:szCs w:val="20"/>
          <w:lang w:val="es-CR"/>
        </w:rPr>
        <w:footnoteReference w:id="201"/>
      </w:r>
      <w:r w:rsidR="00904DBD">
        <w:rPr>
          <w:rFonts w:ascii="Verdana" w:hAnsi="Verdana" w:cs="Calibri"/>
          <w:spacing w:val="-6"/>
          <w:w w:val="95"/>
          <w:sz w:val="20"/>
          <w:szCs w:val="20"/>
          <w:lang w:val="es-CR"/>
        </w:rPr>
        <w:t>, y</w:t>
      </w:r>
      <w:r w:rsidRPr="003622B1">
        <w:rPr>
          <w:rFonts w:ascii="Verdana" w:hAnsi="Verdana" w:cs="Calibri"/>
          <w:spacing w:val="-6"/>
          <w:w w:val="95"/>
          <w:sz w:val="20"/>
          <w:szCs w:val="20"/>
          <w:lang w:val="es-CR"/>
        </w:rPr>
        <w:t xml:space="preserve"> </w:t>
      </w:r>
    </w:p>
    <w:p w:rsidR="00DF15C3" w:rsidRDefault="00DF15C3" w:rsidP="003F26FD">
      <w:pPr>
        <w:pStyle w:val="Prrafodelista"/>
        <w:numPr>
          <w:ilvl w:val="0"/>
          <w:numId w:val="35"/>
        </w:numPr>
        <w:tabs>
          <w:tab w:val="left" w:pos="993"/>
        </w:tabs>
        <w:spacing w:after="0" w:line="216" w:lineRule="auto"/>
        <w:ind w:left="810" w:right="-174" w:firstLine="0"/>
        <w:jc w:val="both"/>
        <w:rPr>
          <w:rFonts w:ascii="Verdana" w:hAnsi="Verdana"/>
          <w:spacing w:val="-6"/>
          <w:w w:val="95"/>
          <w:sz w:val="20"/>
          <w:szCs w:val="20"/>
          <w:lang w:val="es-CR"/>
        </w:rPr>
      </w:pPr>
      <w:r w:rsidRPr="003622B1">
        <w:rPr>
          <w:rFonts w:ascii="Verdana" w:hAnsi="Verdana"/>
          <w:spacing w:val="-6"/>
          <w:w w:val="95"/>
          <w:sz w:val="20"/>
          <w:szCs w:val="20"/>
          <w:lang w:val="es-CR"/>
        </w:rPr>
        <w:lastRenderedPageBreak/>
        <w:t>el 14 de septiembre de 2011 un perito del Instituto Nacional de Ciencias Forenses de Guatemala emitió un informe de evaluación psicológica practicada a una amiga de María Isabel, en el que concluyó que la víctima había manifestado “inestabilidad emocional al andar con varios novios y amigos”</w:t>
      </w:r>
      <w:r>
        <w:rPr>
          <w:rStyle w:val="Refdenotaalpie"/>
          <w:rFonts w:ascii="Verdana" w:hAnsi="Verdana"/>
          <w:spacing w:val="-6"/>
          <w:w w:val="95"/>
          <w:sz w:val="20"/>
          <w:szCs w:val="20"/>
          <w:lang w:val="es-CR"/>
        </w:rPr>
        <w:footnoteReference w:id="202"/>
      </w:r>
      <w:r w:rsidRPr="003622B1">
        <w:rPr>
          <w:rFonts w:ascii="Verdana" w:hAnsi="Verdana"/>
          <w:spacing w:val="-6"/>
          <w:w w:val="95"/>
          <w:sz w:val="20"/>
          <w:szCs w:val="20"/>
          <w:lang w:val="es-CR"/>
        </w:rPr>
        <w:t xml:space="preserve">.  </w:t>
      </w:r>
    </w:p>
    <w:p w:rsidR="00DF15C3" w:rsidRPr="009C0057" w:rsidRDefault="00DF15C3" w:rsidP="003F26FD">
      <w:pPr>
        <w:pStyle w:val="Prrafodelista"/>
        <w:tabs>
          <w:tab w:val="left" w:pos="993"/>
        </w:tabs>
        <w:spacing w:after="0" w:line="216" w:lineRule="auto"/>
        <w:ind w:left="709" w:right="-174"/>
        <w:jc w:val="both"/>
        <w:rPr>
          <w:rFonts w:ascii="Verdana" w:hAnsi="Verdana"/>
          <w:spacing w:val="-6"/>
          <w:w w:val="95"/>
          <w:sz w:val="20"/>
          <w:szCs w:val="20"/>
          <w:lang w:val="es-CR"/>
        </w:rPr>
      </w:pPr>
    </w:p>
    <w:p w:rsidR="00DF15C3" w:rsidRPr="009C0057" w:rsidRDefault="00DF15C3" w:rsidP="003F26FD">
      <w:pPr>
        <w:pStyle w:val="Prrafodelista"/>
        <w:numPr>
          <w:ilvl w:val="0"/>
          <w:numId w:val="17"/>
        </w:numPr>
        <w:spacing w:after="0" w:line="216" w:lineRule="auto"/>
        <w:ind w:left="-142" w:right="-174" w:firstLine="0"/>
        <w:jc w:val="both"/>
        <w:rPr>
          <w:rFonts w:ascii="Verdana" w:hAnsi="Verdana"/>
          <w:b/>
          <w:i/>
          <w:strike/>
          <w:w w:val="95"/>
          <w:sz w:val="20"/>
          <w:szCs w:val="20"/>
          <w:lang w:val="es-CR"/>
        </w:rPr>
      </w:pPr>
      <w:r w:rsidRPr="003622B1">
        <w:rPr>
          <w:rFonts w:ascii="Verdana" w:hAnsi="Verdana"/>
          <w:b/>
          <w:i/>
          <w:w w:val="95"/>
          <w:sz w:val="20"/>
          <w:szCs w:val="20"/>
          <w:lang w:val="es-CR"/>
        </w:rPr>
        <w:t>Estado actual de la investigación.</w:t>
      </w:r>
      <w:r w:rsidR="00F04D11">
        <w:rPr>
          <w:rFonts w:ascii="Verdana" w:hAnsi="Verdana"/>
          <w:i/>
          <w:w w:val="95"/>
          <w:sz w:val="20"/>
          <w:szCs w:val="20"/>
          <w:lang w:val="es-CR"/>
        </w:rPr>
        <w:t>-</w:t>
      </w:r>
      <w:r w:rsidRPr="003622B1">
        <w:rPr>
          <w:rFonts w:ascii="Verdana" w:hAnsi="Verdana"/>
          <w:i/>
          <w:w w:val="95"/>
          <w:sz w:val="20"/>
          <w:szCs w:val="20"/>
          <w:lang w:val="es-CR"/>
        </w:rPr>
        <w:t xml:space="preserve"> </w:t>
      </w:r>
      <w:r w:rsidRPr="003622B1">
        <w:rPr>
          <w:rFonts w:ascii="Verdana" w:hAnsi="Verdana"/>
          <w:w w:val="95"/>
          <w:sz w:val="20"/>
          <w:szCs w:val="20"/>
          <w:lang w:val="es-CR"/>
        </w:rPr>
        <w:t>Como ya se indicó (</w:t>
      </w:r>
      <w:r w:rsidRPr="003622B1">
        <w:rPr>
          <w:rFonts w:ascii="Verdana" w:hAnsi="Verdana"/>
          <w:i/>
          <w:w w:val="95"/>
          <w:sz w:val="20"/>
          <w:szCs w:val="20"/>
          <w:lang w:val="es-CR"/>
        </w:rPr>
        <w:t xml:space="preserve">supra </w:t>
      </w:r>
      <w:r w:rsidR="00F15CBE" w:rsidRPr="0066104A">
        <w:rPr>
          <w:rFonts w:ascii="Verdana" w:hAnsi="Verdana"/>
          <w:w w:val="95"/>
          <w:sz w:val="20"/>
          <w:szCs w:val="20"/>
          <w:lang w:val="es-CR"/>
        </w:rPr>
        <w:t>párr.</w:t>
      </w:r>
      <w:r w:rsidRPr="003622B1">
        <w:rPr>
          <w:rFonts w:ascii="Verdana" w:hAnsi="Verdana"/>
          <w:w w:val="95"/>
          <w:sz w:val="20"/>
          <w:szCs w:val="20"/>
          <w:lang w:val="es-CR"/>
        </w:rPr>
        <w:t xml:space="preserve"> </w:t>
      </w:r>
      <w:r w:rsidR="00D721C5">
        <w:rPr>
          <w:rFonts w:ascii="Verdana" w:hAnsi="Verdana"/>
          <w:w w:val="95"/>
          <w:sz w:val="20"/>
          <w:szCs w:val="20"/>
          <w:lang w:val="es-CR"/>
        </w:rPr>
        <w:t>10</w:t>
      </w:r>
      <w:r w:rsidR="00A8730F">
        <w:rPr>
          <w:rFonts w:ascii="Verdana" w:hAnsi="Verdana"/>
          <w:w w:val="95"/>
          <w:sz w:val="20"/>
          <w:szCs w:val="20"/>
          <w:lang w:val="es-CR"/>
        </w:rPr>
        <w:t>6</w:t>
      </w:r>
      <w:r w:rsidR="00D721C5" w:rsidRPr="003622B1">
        <w:rPr>
          <w:rFonts w:ascii="Verdana" w:hAnsi="Verdana"/>
          <w:w w:val="95"/>
          <w:sz w:val="20"/>
          <w:szCs w:val="20"/>
          <w:lang w:val="es-CR"/>
        </w:rPr>
        <w:t xml:space="preserve">), </w:t>
      </w:r>
      <w:r w:rsidRPr="003622B1">
        <w:rPr>
          <w:rFonts w:ascii="Verdana" w:hAnsi="Verdana"/>
          <w:w w:val="95"/>
          <w:sz w:val="20"/>
          <w:szCs w:val="20"/>
          <w:lang w:val="es-CR"/>
        </w:rPr>
        <w:t>las actuaciones de investigación no han llevado a resultados positivos. A más de doce años del homicidio de María Isabel, no se ha pasado de la etapa preparatoria o de investigación. Las últimas actuaciones relacionadas con el trámite son las siguientes:</w:t>
      </w:r>
      <w:r w:rsidRPr="003622B1">
        <w:rPr>
          <w:rFonts w:ascii="Verdana" w:hAnsi="Verdana"/>
          <w:b/>
          <w:w w:val="95"/>
          <w:sz w:val="20"/>
          <w:szCs w:val="20"/>
          <w:lang w:val="es-CR"/>
        </w:rPr>
        <w:t xml:space="preserve"> </w:t>
      </w:r>
    </w:p>
    <w:p w:rsidR="00DF15C3" w:rsidRPr="009C0057" w:rsidRDefault="00DF15C3" w:rsidP="003F26FD">
      <w:pPr>
        <w:pStyle w:val="Prrafodelista"/>
        <w:spacing w:after="0" w:line="216" w:lineRule="auto"/>
        <w:ind w:left="-142" w:right="-174"/>
        <w:jc w:val="both"/>
        <w:rPr>
          <w:rFonts w:ascii="Verdana" w:hAnsi="Verdana"/>
          <w:b/>
          <w:i/>
          <w:w w:val="95"/>
          <w:sz w:val="20"/>
          <w:szCs w:val="20"/>
          <w:lang w:val="es-CR"/>
        </w:rPr>
      </w:pPr>
    </w:p>
    <w:p w:rsidR="00DF15C3" w:rsidRDefault="00DF15C3" w:rsidP="003F26FD">
      <w:pPr>
        <w:pStyle w:val="Prrafodelista"/>
        <w:numPr>
          <w:ilvl w:val="0"/>
          <w:numId w:val="33"/>
        </w:numPr>
        <w:spacing w:after="0" w:line="216" w:lineRule="auto"/>
        <w:ind w:left="720" w:right="-174" w:firstLine="0"/>
        <w:jc w:val="both"/>
        <w:rPr>
          <w:rFonts w:ascii="Verdana" w:hAnsi="Verdana" w:cs="Arial"/>
          <w:spacing w:val="-6"/>
          <w:w w:val="95"/>
          <w:sz w:val="20"/>
          <w:szCs w:val="20"/>
          <w:lang w:val="es-CR"/>
        </w:rPr>
      </w:pPr>
      <w:r w:rsidRPr="003622B1">
        <w:rPr>
          <w:rFonts w:ascii="Verdana" w:hAnsi="Verdana" w:cs="Arial"/>
          <w:spacing w:val="-6"/>
          <w:w w:val="95"/>
          <w:sz w:val="20"/>
          <w:szCs w:val="20"/>
          <w:lang w:val="es-CR"/>
        </w:rPr>
        <w:t>el 12 de octubre de 2009 el Juzgado Primero de Mixco solicitó información a la Agencia Fiscal respecto a “qué se encontraba pendiente de investigar” y “qué se ha investigado hasta la fecha”</w:t>
      </w:r>
      <w:r>
        <w:rPr>
          <w:rStyle w:val="Refdenotaalpie"/>
          <w:rFonts w:ascii="Verdana" w:hAnsi="Verdana" w:cs="Arial"/>
          <w:spacing w:val="-6"/>
          <w:w w:val="95"/>
          <w:sz w:val="20"/>
          <w:szCs w:val="20"/>
          <w:lang w:val="es-CR"/>
        </w:rPr>
        <w:footnoteReference w:id="203"/>
      </w:r>
      <w:r w:rsidRPr="003622B1">
        <w:rPr>
          <w:rFonts w:ascii="Verdana" w:hAnsi="Verdana" w:cs="Arial"/>
          <w:spacing w:val="-6"/>
          <w:w w:val="95"/>
          <w:sz w:val="20"/>
          <w:szCs w:val="20"/>
          <w:lang w:val="es-CR"/>
        </w:rPr>
        <w:t xml:space="preserve"> </w:t>
      </w:r>
      <w:r w:rsidR="00030315">
        <w:rPr>
          <w:rFonts w:ascii="Verdana" w:hAnsi="Verdana" w:cs="Arial"/>
          <w:spacing w:val="-6"/>
          <w:w w:val="95"/>
          <w:sz w:val="20"/>
          <w:szCs w:val="20"/>
          <w:lang w:val="es-CR"/>
        </w:rPr>
        <w:t xml:space="preserve">, </w:t>
      </w:r>
      <w:r w:rsidRPr="003622B1">
        <w:rPr>
          <w:rFonts w:ascii="Verdana" w:hAnsi="Verdana" w:cs="Arial"/>
          <w:spacing w:val="-6"/>
          <w:w w:val="95"/>
          <w:sz w:val="20"/>
          <w:szCs w:val="20"/>
          <w:lang w:val="es-CR"/>
        </w:rPr>
        <w:t>y el 21 de octubre de 2009 el Auxiliar Fiscal solicitó dejar el caso en el estado que se encuentra “en virtud de que la [investigación] se encuentra en proceso en la Corte Interamericana” y tenía conocimiento de ello la Comisión Presidencial Coordinadora de la Política del Ejecutivo en materia de Derechos Humanos (COPREDH) así como el Centro por la Justicia y Derecho Internacional (CEJIL)[,] por lo que a la presente fecha [sería] uno de los casos que encabeza los Femicidios impunes en Guatemala”</w:t>
      </w:r>
      <w:r>
        <w:rPr>
          <w:rStyle w:val="Refdenotaalpie"/>
          <w:rFonts w:ascii="Verdana" w:hAnsi="Verdana" w:cs="Arial"/>
          <w:spacing w:val="-6"/>
          <w:w w:val="95"/>
          <w:sz w:val="20"/>
          <w:szCs w:val="20"/>
          <w:lang w:val="es-CR"/>
        </w:rPr>
        <w:footnoteReference w:id="204"/>
      </w:r>
      <w:r w:rsidRPr="003622B1">
        <w:rPr>
          <w:rFonts w:ascii="Verdana" w:hAnsi="Verdana" w:cs="Arial"/>
          <w:spacing w:val="-6"/>
          <w:w w:val="95"/>
          <w:sz w:val="20"/>
          <w:szCs w:val="20"/>
          <w:lang w:val="es-CR"/>
        </w:rPr>
        <w:t>;</w:t>
      </w:r>
    </w:p>
    <w:p w:rsidR="00DF15C3" w:rsidRDefault="00DF15C3" w:rsidP="003F26FD">
      <w:pPr>
        <w:pStyle w:val="Prrafodelista"/>
        <w:numPr>
          <w:ilvl w:val="0"/>
          <w:numId w:val="33"/>
        </w:numPr>
        <w:spacing w:after="0" w:line="216" w:lineRule="auto"/>
        <w:ind w:left="720" w:right="-174" w:firstLine="0"/>
        <w:jc w:val="both"/>
        <w:rPr>
          <w:rFonts w:ascii="Verdana" w:hAnsi="Verdana"/>
          <w:spacing w:val="-6"/>
          <w:w w:val="95"/>
          <w:sz w:val="20"/>
          <w:szCs w:val="20"/>
          <w:lang w:val="es-CR"/>
        </w:rPr>
      </w:pPr>
      <w:r w:rsidRPr="003622B1">
        <w:rPr>
          <w:rFonts w:ascii="Verdana" w:hAnsi="Verdana" w:cs="Calibri"/>
          <w:spacing w:val="-6"/>
          <w:w w:val="95"/>
          <w:sz w:val="20"/>
          <w:szCs w:val="20"/>
          <w:lang w:val="es-CR"/>
        </w:rPr>
        <w:t>el 16 de mayo de 2012 la Fiscalía Municipal de Mixco solicitó al Secretario General del Ministerio Público que le fueran asignados tres investigadores para dar seguimiento al caso debido a que “la fiscalía ya no contaba con los investigadores que venían trabajando en el mismo”</w:t>
      </w:r>
      <w:r>
        <w:rPr>
          <w:rStyle w:val="Refdenotaalpie"/>
          <w:rFonts w:ascii="Verdana" w:hAnsi="Verdana" w:cs="Calibri"/>
          <w:spacing w:val="-6"/>
          <w:w w:val="95"/>
          <w:sz w:val="20"/>
          <w:szCs w:val="20"/>
          <w:lang w:val="es-CR"/>
        </w:rPr>
        <w:footnoteReference w:id="205"/>
      </w:r>
      <w:r w:rsidRPr="003622B1">
        <w:rPr>
          <w:rFonts w:ascii="Verdana" w:hAnsi="Verdana" w:cs="Calibri"/>
          <w:spacing w:val="-6"/>
          <w:w w:val="95"/>
          <w:sz w:val="20"/>
          <w:szCs w:val="20"/>
          <w:lang w:val="es-CR"/>
        </w:rPr>
        <w:t>;</w:t>
      </w:r>
    </w:p>
    <w:p w:rsidR="00DF15C3" w:rsidRPr="0066104A" w:rsidRDefault="00DF15C3" w:rsidP="003F26FD">
      <w:pPr>
        <w:pStyle w:val="Prrafodelista"/>
        <w:numPr>
          <w:ilvl w:val="0"/>
          <w:numId w:val="33"/>
        </w:numPr>
        <w:spacing w:after="0" w:line="216" w:lineRule="auto"/>
        <w:ind w:left="720" w:right="-174" w:firstLine="0"/>
        <w:jc w:val="both"/>
        <w:rPr>
          <w:rFonts w:ascii="Verdana" w:hAnsi="Verdana"/>
          <w:b/>
          <w:i/>
          <w:w w:val="95"/>
          <w:sz w:val="20"/>
          <w:szCs w:val="20"/>
          <w:lang w:val="es-CR"/>
        </w:rPr>
      </w:pPr>
      <w:r w:rsidRPr="003622B1">
        <w:rPr>
          <w:rFonts w:ascii="Verdana" w:hAnsi="Verdana" w:cs="Calibri"/>
          <w:spacing w:val="-6"/>
          <w:w w:val="95"/>
          <w:sz w:val="20"/>
          <w:szCs w:val="20"/>
          <w:lang w:val="es-CR"/>
        </w:rPr>
        <w:t>el 8 de febrero de 2012 el Juzgado de Primera Instancia de Mixco emitió un requerimiento conclusivo en el proceso y le otorgó ocho días al Ministerio Público para que se</w:t>
      </w:r>
      <w:r w:rsidRPr="008E41B3">
        <w:rPr>
          <w:rFonts w:ascii="Verdana" w:hAnsi="Verdana" w:cs="Calibri"/>
          <w:spacing w:val="-6"/>
          <w:w w:val="95"/>
          <w:sz w:val="20"/>
          <w:szCs w:val="20"/>
          <w:lang w:val="es-CR"/>
        </w:rPr>
        <w:t xml:space="preserve"> pronunciara al respecto. El 23 de febrero de 2012 el Agente Fiscal solicitó al Juez no cerrar el </w:t>
      </w:r>
      <w:r w:rsidRPr="0066104A">
        <w:rPr>
          <w:rFonts w:ascii="Verdana" w:hAnsi="Verdana" w:cs="Calibri"/>
          <w:spacing w:val="-6"/>
          <w:w w:val="95"/>
          <w:sz w:val="20"/>
          <w:szCs w:val="20"/>
          <w:lang w:val="es-CR"/>
        </w:rPr>
        <w:t>caso y reiteró esta solicitud en una audiencia realizada el 29 de marzo de 2012</w:t>
      </w:r>
      <w:r w:rsidRPr="0066104A">
        <w:rPr>
          <w:rStyle w:val="Refdenotaalpie"/>
          <w:rFonts w:ascii="Verdana" w:hAnsi="Verdana" w:cs="Calibri"/>
          <w:spacing w:val="-6"/>
          <w:w w:val="95"/>
          <w:sz w:val="20"/>
          <w:szCs w:val="20"/>
          <w:lang w:val="es-CR"/>
        </w:rPr>
        <w:footnoteReference w:id="206"/>
      </w:r>
      <w:r w:rsidR="00904DBD" w:rsidRPr="0066104A">
        <w:rPr>
          <w:rFonts w:ascii="Verdana" w:hAnsi="Verdana" w:cs="Calibri"/>
          <w:spacing w:val="-6"/>
          <w:w w:val="95"/>
          <w:sz w:val="20"/>
          <w:szCs w:val="20"/>
          <w:lang w:val="es-CR"/>
        </w:rPr>
        <w:t>, y</w:t>
      </w:r>
    </w:p>
    <w:p w:rsidR="00FB575D" w:rsidRPr="00315B30" w:rsidRDefault="00F15CBE" w:rsidP="003F26FD">
      <w:pPr>
        <w:pStyle w:val="Prrafodelista"/>
        <w:numPr>
          <w:ilvl w:val="0"/>
          <w:numId w:val="33"/>
        </w:numPr>
        <w:spacing w:after="0" w:line="216" w:lineRule="auto"/>
        <w:ind w:left="720" w:right="-174" w:firstLine="0"/>
        <w:jc w:val="both"/>
        <w:rPr>
          <w:rFonts w:ascii="Verdana" w:hAnsi="Verdana"/>
          <w:i/>
          <w:strike/>
          <w:w w:val="95"/>
          <w:sz w:val="20"/>
          <w:szCs w:val="20"/>
          <w:lang w:val="es-CR"/>
        </w:rPr>
      </w:pPr>
      <w:r w:rsidRPr="00315B30">
        <w:rPr>
          <w:rFonts w:ascii="Verdana" w:hAnsi="Verdana" w:cs="Calibri"/>
          <w:spacing w:val="-6"/>
          <w:w w:val="95"/>
          <w:sz w:val="20"/>
          <w:szCs w:val="20"/>
          <w:lang w:val="es-CL"/>
        </w:rPr>
        <w:t>el 27 de septiembre de 2012</w:t>
      </w:r>
      <w:r w:rsidR="0066104A" w:rsidRPr="00315B30">
        <w:rPr>
          <w:rFonts w:ascii="Verdana" w:hAnsi="Verdana" w:cs="Calibri"/>
          <w:spacing w:val="-6"/>
          <w:w w:val="95"/>
          <w:sz w:val="20"/>
          <w:szCs w:val="20"/>
          <w:lang w:val="es-CL"/>
        </w:rPr>
        <w:t xml:space="preserve"> </w:t>
      </w:r>
      <w:r w:rsidRPr="00315B30">
        <w:rPr>
          <w:rFonts w:ascii="Verdana" w:hAnsi="Verdana" w:cs="Calibri"/>
          <w:spacing w:val="-6"/>
          <w:w w:val="95"/>
          <w:sz w:val="20"/>
          <w:szCs w:val="20"/>
          <w:lang w:val="es-CL"/>
        </w:rPr>
        <w:t>se celebró una “audiencia oral de acto conclusivo” en la que el Ministerio Público solicitó que el “proceso continúe en etapa de investigación toda vez que queda[ba] pendiente [una] declaración”. El Juez “resolvió […c]on lugar la solicitud” y “señal[ó] fecha de audiencia de acto conclusivo para el día [3] de diciembre de [2012]”</w:t>
      </w:r>
      <w:r w:rsidRPr="00315B30">
        <w:rPr>
          <w:rStyle w:val="Refdenotaalpie"/>
          <w:rFonts w:ascii="Verdana" w:hAnsi="Verdana" w:cs="Calibri"/>
          <w:spacing w:val="-6"/>
          <w:w w:val="95"/>
          <w:sz w:val="20"/>
          <w:szCs w:val="20"/>
          <w:lang w:val="es-CR"/>
        </w:rPr>
        <w:footnoteReference w:id="207"/>
      </w:r>
      <w:r w:rsidRPr="00315B30">
        <w:rPr>
          <w:rFonts w:ascii="Verdana" w:hAnsi="Verdana" w:cs="Calibri"/>
          <w:spacing w:val="-6"/>
          <w:w w:val="95"/>
          <w:sz w:val="20"/>
          <w:szCs w:val="20"/>
          <w:lang w:val="es-CR"/>
        </w:rPr>
        <w:t>.</w:t>
      </w:r>
    </w:p>
    <w:p w:rsidR="00FB575D" w:rsidRDefault="00FB575D" w:rsidP="003F26FD">
      <w:pPr>
        <w:spacing w:after="0" w:line="216" w:lineRule="auto"/>
        <w:ind w:right="-174"/>
        <w:jc w:val="both"/>
        <w:rPr>
          <w:rFonts w:ascii="Verdana" w:hAnsi="Verdana" w:cs="Arial"/>
          <w:w w:val="95"/>
          <w:sz w:val="20"/>
          <w:szCs w:val="20"/>
          <w:lang w:val="es-CR"/>
        </w:rPr>
      </w:pPr>
    </w:p>
    <w:p w:rsidR="00FB575D" w:rsidRDefault="00FB575D" w:rsidP="003F26FD">
      <w:pPr>
        <w:spacing w:after="0" w:line="216" w:lineRule="auto"/>
        <w:ind w:right="-174"/>
        <w:jc w:val="both"/>
        <w:rPr>
          <w:rFonts w:ascii="Verdana" w:hAnsi="Verdana" w:cs="Arial"/>
          <w:w w:val="95"/>
          <w:sz w:val="20"/>
          <w:szCs w:val="20"/>
          <w:lang w:val="es-CR"/>
        </w:rPr>
      </w:pPr>
    </w:p>
    <w:p w:rsidR="001B24D9" w:rsidRDefault="001B24D9" w:rsidP="003F26FD">
      <w:pPr>
        <w:spacing w:after="0" w:line="216" w:lineRule="auto"/>
        <w:ind w:right="-174"/>
        <w:jc w:val="both"/>
        <w:rPr>
          <w:rFonts w:ascii="Verdana" w:hAnsi="Verdana" w:cs="Arial"/>
          <w:w w:val="95"/>
          <w:sz w:val="20"/>
          <w:szCs w:val="20"/>
          <w:lang w:val="es-CR"/>
        </w:rPr>
      </w:pPr>
    </w:p>
    <w:p w:rsidR="001B24D9" w:rsidRDefault="001B24D9" w:rsidP="003F26FD">
      <w:pPr>
        <w:spacing w:after="0" w:line="216" w:lineRule="auto"/>
        <w:ind w:right="-174"/>
        <w:jc w:val="both"/>
        <w:rPr>
          <w:rFonts w:ascii="Verdana" w:hAnsi="Verdana" w:cs="Arial"/>
          <w:w w:val="95"/>
          <w:sz w:val="20"/>
          <w:szCs w:val="20"/>
          <w:lang w:val="es-CR"/>
        </w:rPr>
      </w:pPr>
    </w:p>
    <w:p w:rsidR="001B24D9" w:rsidRDefault="001B24D9" w:rsidP="003F26FD">
      <w:pPr>
        <w:spacing w:after="0" w:line="216" w:lineRule="auto"/>
        <w:ind w:right="-174"/>
        <w:jc w:val="both"/>
        <w:rPr>
          <w:rFonts w:ascii="Verdana" w:hAnsi="Verdana" w:cs="Arial"/>
          <w:w w:val="95"/>
          <w:sz w:val="20"/>
          <w:szCs w:val="20"/>
          <w:lang w:val="es-CR"/>
        </w:rPr>
      </w:pPr>
    </w:p>
    <w:p w:rsidR="001B24D9" w:rsidRDefault="001B24D9" w:rsidP="003F26FD">
      <w:pPr>
        <w:spacing w:after="0" w:line="216" w:lineRule="auto"/>
        <w:ind w:right="-174"/>
        <w:jc w:val="both"/>
        <w:rPr>
          <w:rFonts w:ascii="Verdana" w:hAnsi="Verdana" w:cs="Arial"/>
          <w:w w:val="95"/>
          <w:sz w:val="20"/>
          <w:szCs w:val="20"/>
          <w:lang w:val="es-CR"/>
        </w:rPr>
      </w:pPr>
    </w:p>
    <w:p w:rsidR="001B24D9" w:rsidRDefault="001B24D9" w:rsidP="003F26FD">
      <w:pPr>
        <w:spacing w:after="0" w:line="216" w:lineRule="auto"/>
        <w:ind w:right="-174"/>
        <w:jc w:val="both"/>
        <w:rPr>
          <w:rFonts w:ascii="Verdana" w:hAnsi="Verdana" w:cs="Arial"/>
          <w:w w:val="95"/>
          <w:sz w:val="20"/>
          <w:szCs w:val="20"/>
          <w:lang w:val="es-CR"/>
        </w:rPr>
      </w:pPr>
    </w:p>
    <w:p w:rsidR="001B24D9" w:rsidRDefault="001B24D9" w:rsidP="003F26FD">
      <w:pPr>
        <w:spacing w:after="0" w:line="216" w:lineRule="auto"/>
        <w:ind w:right="-174"/>
        <w:jc w:val="both"/>
        <w:rPr>
          <w:rFonts w:ascii="Verdana" w:hAnsi="Verdana" w:cs="Arial"/>
          <w:w w:val="95"/>
          <w:sz w:val="20"/>
          <w:szCs w:val="20"/>
          <w:lang w:val="es-CR"/>
        </w:rPr>
      </w:pPr>
    </w:p>
    <w:p w:rsidR="001B24D9" w:rsidRPr="002B1610" w:rsidRDefault="001B24D9" w:rsidP="003F26FD">
      <w:pPr>
        <w:spacing w:after="0" w:line="216" w:lineRule="auto"/>
        <w:ind w:right="-174"/>
        <w:jc w:val="both"/>
        <w:rPr>
          <w:rFonts w:ascii="Verdana" w:hAnsi="Verdana" w:cs="Arial"/>
          <w:w w:val="95"/>
          <w:sz w:val="20"/>
          <w:szCs w:val="20"/>
          <w:lang w:val="es-CR"/>
        </w:rPr>
      </w:pPr>
    </w:p>
    <w:p w:rsidR="00DF15C3" w:rsidRPr="002B1610" w:rsidRDefault="00DF15C3" w:rsidP="003F26FD">
      <w:pPr>
        <w:pStyle w:val="Ttulo1"/>
        <w:spacing w:before="0" w:after="0" w:line="216" w:lineRule="auto"/>
        <w:ind w:right="-174"/>
        <w:rPr>
          <w:w w:val="95"/>
          <w:szCs w:val="20"/>
          <w:lang w:val="es-CR"/>
        </w:rPr>
      </w:pPr>
      <w:bookmarkStart w:id="78" w:name="_Toc384711973"/>
      <w:bookmarkStart w:id="79" w:name="_Toc394313667"/>
      <w:r w:rsidRPr="002B1610">
        <w:rPr>
          <w:w w:val="95"/>
          <w:szCs w:val="20"/>
          <w:lang w:val="es-CR"/>
        </w:rPr>
        <w:lastRenderedPageBreak/>
        <w:t>VII</w:t>
      </w:r>
      <w:r>
        <w:rPr>
          <w:w w:val="95"/>
          <w:szCs w:val="20"/>
          <w:lang w:val="es-CR"/>
        </w:rPr>
        <w:t>I</w:t>
      </w:r>
      <w:bookmarkEnd w:id="78"/>
      <w:bookmarkEnd w:id="79"/>
    </w:p>
    <w:p w:rsidR="00DF15C3" w:rsidRPr="002B1610" w:rsidRDefault="00DF15C3" w:rsidP="003F26FD">
      <w:pPr>
        <w:pStyle w:val="Ttulo1"/>
        <w:spacing w:before="0" w:after="0" w:line="216" w:lineRule="auto"/>
        <w:ind w:right="-174"/>
        <w:rPr>
          <w:w w:val="95"/>
          <w:szCs w:val="20"/>
          <w:lang w:val="es-CR"/>
        </w:rPr>
      </w:pPr>
      <w:bookmarkStart w:id="80" w:name="_Toc394313668"/>
      <w:r w:rsidRPr="002B1610">
        <w:rPr>
          <w:w w:val="95"/>
          <w:szCs w:val="20"/>
          <w:lang w:val="es-CR"/>
        </w:rPr>
        <w:t>DERECHOS A LA VIDA, A LA INTEGRIDAD PERSONAL Y A LA LIBERTAD PERSONAL</w:t>
      </w:r>
      <w:r w:rsidR="00030315">
        <w:rPr>
          <w:w w:val="95"/>
          <w:szCs w:val="20"/>
          <w:lang w:val="es-CR"/>
        </w:rPr>
        <w:t>,</w:t>
      </w:r>
      <w:r w:rsidRPr="002B1610">
        <w:rPr>
          <w:w w:val="95"/>
          <w:szCs w:val="20"/>
          <w:lang w:val="es-CR"/>
        </w:rPr>
        <w:t xml:space="preserve"> EN RELACIÓN CON LOS DERECHOS DEL NIÑO, Y LAS OBLIGACIONES DE RESPETAR Y GARANTIZAR LOS DERECHOS SIN DISCRIMINACIÓN, Y PREVENIR LA VIOLENCIA CONTRA LA MUJER</w:t>
      </w:r>
      <w:bookmarkEnd w:id="80"/>
    </w:p>
    <w:p w:rsidR="00DF15C3" w:rsidRPr="002B1610" w:rsidRDefault="00DF15C3" w:rsidP="003F26FD">
      <w:pPr>
        <w:spacing w:after="0" w:line="216" w:lineRule="auto"/>
        <w:ind w:left="-142" w:right="-174"/>
        <w:jc w:val="center"/>
        <w:rPr>
          <w:rFonts w:ascii="Verdana" w:hAnsi="Verdana"/>
          <w:b/>
          <w:w w:val="95"/>
          <w:sz w:val="20"/>
          <w:szCs w:val="20"/>
          <w:lang w:val="es-CR"/>
        </w:rPr>
      </w:pPr>
    </w:p>
    <w:p w:rsidR="00DF15C3" w:rsidRPr="002B1610" w:rsidRDefault="00DF15C3" w:rsidP="003F26FD">
      <w:pPr>
        <w:pStyle w:val="Prrafodelista"/>
        <w:numPr>
          <w:ilvl w:val="0"/>
          <w:numId w:val="9"/>
        </w:numPr>
        <w:spacing w:after="0" w:line="216" w:lineRule="auto"/>
        <w:ind w:left="284" w:right="-174" w:hanging="11"/>
        <w:jc w:val="both"/>
        <w:outlineLvl w:val="1"/>
        <w:rPr>
          <w:rFonts w:ascii="Verdana" w:hAnsi="Verdana"/>
          <w:b/>
          <w:w w:val="95"/>
          <w:sz w:val="20"/>
          <w:szCs w:val="20"/>
          <w:lang w:val="es-CR"/>
        </w:rPr>
      </w:pPr>
      <w:bookmarkStart w:id="81" w:name="_Toc394313669"/>
      <w:r w:rsidRPr="002B1610">
        <w:rPr>
          <w:rFonts w:ascii="Verdana" w:hAnsi="Verdana"/>
          <w:b/>
          <w:w w:val="95"/>
          <w:sz w:val="20"/>
          <w:szCs w:val="20"/>
          <w:lang w:val="es-CR"/>
        </w:rPr>
        <w:t>Argumentos de la Comisión y de las partes</w:t>
      </w:r>
      <w:bookmarkEnd w:id="81"/>
    </w:p>
    <w:p w:rsidR="00DF15C3" w:rsidRPr="002B1610" w:rsidRDefault="00DF15C3" w:rsidP="003F26FD">
      <w:pPr>
        <w:pStyle w:val="Prrafodelista"/>
        <w:spacing w:after="0" w:line="216" w:lineRule="auto"/>
        <w:ind w:left="-180" w:right="-174"/>
        <w:jc w:val="both"/>
        <w:rPr>
          <w:rFonts w:ascii="Verdana" w:hAnsi="Verdana"/>
          <w:w w:val="95"/>
          <w:sz w:val="20"/>
          <w:szCs w:val="20"/>
          <w:lang w:val="es-CR"/>
        </w:rPr>
      </w:pPr>
    </w:p>
    <w:p w:rsidR="00DF15C3" w:rsidRPr="00BE7AE8" w:rsidRDefault="00DF15C3" w:rsidP="003F26FD">
      <w:pPr>
        <w:pStyle w:val="Prrafodelista"/>
        <w:numPr>
          <w:ilvl w:val="0"/>
          <w:numId w:val="17"/>
        </w:numPr>
        <w:spacing w:after="0" w:line="216" w:lineRule="auto"/>
        <w:ind w:left="-180" w:right="-174" w:firstLine="0"/>
        <w:jc w:val="both"/>
        <w:rPr>
          <w:rFonts w:ascii="Verdana" w:hAnsi="Verdana"/>
          <w:w w:val="95"/>
          <w:sz w:val="20"/>
          <w:szCs w:val="20"/>
          <w:lang w:val="es-CR"/>
        </w:rPr>
      </w:pPr>
      <w:r w:rsidRPr="00BE7AE8">
        <w:rPr>
          <w:rFonts w:ascii="Verdana" w:hAnsi="Verdana"/>
          <w:w w:val="95"/>
          <w:sz w:val="20"/>
          <w:szCs w:val="20"/>
          <w:lang w:val="es-CR"/>
        </w:rPr>
        <w:t xml:space="preserve">La </w:t>
      </w:r>
      <w:r w:rsidRPr="00BE7AE8">
        <w:rPr>
          <w:rFonts w:ascii="Verdana" w:hAnsi="Verdana"/>
          <w:b/>
          <w:i/>
          <w:w w:val="95"/>
          <w:sz w:val="20"/>
          <w:szCs w:val="20"/>
          <w:lang w:val="es-CR"/>
        </w:rPr>
        <w:t>Comisión Interamericana</w:t>
      </w:r>
      <w:r w:rsidRPr="00BE7AE8">
        <w:rPr>
          <w:rFonts w:ascii="Verdana" w:hAnsi="Verdana"/>
          <w:w w:val="95"/>
          <w:sz w:val="20"/>
          <w:szCs w:val="20"/>
          <w:lang w:val="es-CR"/>
        </w:rPr>
        <w:t xml:space="preserve"> señaló que la observancia del artículo 4 de la Convención, en relación con su artículo 1.1, no sólo presupone que ninguna persona sea privada de su vida arbitrariamente, sino que además requiere que los Estados adopten todas las medidas apropiadas para proteger y preservar el derecho a la vida</w:t>
      </w:r>
      <w:r>
        <w:rPr>
          <w:rFonts w:ascii="Verdana" w:hAnsi="Verdana"/>
          <w:w w:val="95"/>
          <w:sz w:val="20"/>
          <w:szCs w:val="20"/>
          <w:lang w:val="es-CR"/>
        </w:rPr>
        <w:t xml:space="preserve"> y a</w:t>
      </w:r>
      <w:r w:rsidRPr="00BE7AE8">
        <w:rPr>
          <w:rFonts w:ascii="Verdana" w:hAnsi="Verdana"/>
          <w:w w:val="95"/>
          <w:sz w:val="20"/>
          <w:szCs w:val="20"/>
          <w:lang w:val="es-CR"/>
        </w:rPr>
        <w:t>gregó que</w:t>
      </w:r>
      <w:r>
        <w:rPr>
          <w:rFonts w:ascii="Verdana" w:hAnsi="Verdana"/>
          <w:w w:val="95"/>
          <w:sz w:val="20"/>
          <w:szCs w:val="20"/>
          <w:lang w:val="es-CR"/>
        </w:rPr>
        <w:t xml:space="preserve">: </w:t>
      </w:r>
    </w:p>
    <w:p w:rsidR="00DF15C3" w:rsidRPr="00BE7AE8" w:rsidRDefault="00DF15C3" w:rsidP="003F26FD">
      <w:pPr>
        <w:pStyle w:val="Prrafodelista"/>
        <w:spacing w:after="0" w:line="216" w:lineRule="auto"/>
        <w:ind w:left="-142" w:right="-174"/>
        <w:jc w:val="both"/>
        <w:rPr>
          <w:rFonts w:ascii="Verdana" w:hAnsi="Verdana"/>
          <w:w w:val="95"/>
          <w:lang w:val="es-CR"/>
        </w:rPr>
      </w:pPr>
    </w:p>
    <w:p w:rsidR="00DF15C3" w:rsidRPr="0098482B" w:rsidRDefault="00DF15C3" w:rsidP="003F26FD">
      <w:pPr>
        <w:pStyle w:val="Prrafodelista"/>
        <w:spacing w:after="0" w:line="216" w:lineRule="auto"/>
        <w:ind w:left="284" w:right="-174"/>
        <w:jc w:val="both"/>
        <w:rPr>
          <w:rFonts w:ascii="Verdana" w:hAnsi="Verdana"/>
          <w:w w:val="95"/>
          <w:sz w:val="16"/>
          <w:szCs w:val="16"/>
          <w:lang w:val="es-CR"/>
        </w:rPr>
      </w:pPr>
      <w:r w:rsidRPr="002B1610">
        <w:rPr>
          <w:rFonts w:ascii="Verdana" w:hAnsi="Verdana"/>
          <w:w w:val="95"/>
          <w:sz w:val="16"/>
          <w:szCs w:val="16"/>
          <w:lang w:val="es-CR"/>
        </w:rPr>
        <w:t xml:space="preserve">la protección del derecho a la vida es un componente crítico del deber de debida diligencia de parte de los Estados para proteger a la mujer de actos de violencia [y que dicha obligación] pertenece a todo la estructura estatal y comprende igualmente las obligaciones que puede tener el Estado para prevenir y responder a las acciones de actores no estatales y particulares. </w:t>
      </w:r>
    </w:p>
    <w:p w:rsidR="00DF15C3" w:rsidRPr="0098482B" w:rsidRDefault="00DF15C3" w:rsidP="003F26FD">
      <w:pPr>
        <w:pStyle w:val="Prrafodelista"/>
        <w:spacing w:after="0" w:line="216" w:lineRule="auto"/>
        <w:ind w:left="-142" w:right="-174"/>
        <w:jc w:val="both"/>
        <w:rPr>
          <w:rFonts w:ascii="Verdana" w:hAnsi="Verdana"/>
          <w:i/>
          <w:w w:val="95"/>
          <w:sz w:val="20"/>
          <w:szCs w:val="20"/>
          <w:lang w:val="es-CR"/>
        </w:rPr>
      </w:pPr>
    </w:p>
    <w:p w:rsidR="00DF15C3" w:rsidRPr="002B1610" w:rsidRDefault="00DF15C3" w:rsidP="003F26FD">
      <w:pPr>
        <w:pStyle w:val="Prrafodelista"/>
        <w:numPr>
          <w:ilvl w:val="0"/>
          <w:numId w:val="17"/>
        </w:numPr>
        <w:spacing w:after="0" w:line="216" w:lineRule="auto"/>
        <w:ind w:left="-142" w:right="-174" w:firstLine="0"/>
        <w:jc w:val="both"/>
        <w:rPr>
          <w:rFonts w:ascii="Verdana" w:hAnsi="Verdana"/>
          <w:w w:val="95"/>
          <w:sz w:val="20"/>
          <w:szCs w:val="20"/>
          <w:lang w:val="es-CR"/>
        </w:rPr>
      </w:pPr>
      <w:r w:rsidRPr="002B1610">
        <w:rPr>
          <w:rFonts w:ascii="Verdana" w:hAnsi="Verdana"/>
          <w:w w:val="95"/>
          <w:sz w:val="20"/>
          <w:szCs w:val="20"/>
          <w:lang w:val="es-CR"/>
        </w:rPr>
        <w:t>Además, consideró que los Estados deben “contar con un adecuado marco jurídico de protección, con una aplicación efectiva del mismo y con políticas de prevención y prácticas que permitan actuar de m</w:t>
      </w:r>
      <w:r>
        <w:rPr>
          <w:rFonts w:ascii="Verdana" w:hAnsi="Verdana"/>
          <w:w w:val="95"/>
          <w:sz w:val="20"/>
          <w:szCs w:val="20"/>
          <w:lang w:val="es-CR"/>
        </w:rPr>
        <w:t>anera eficaz ante las denuncias</w:t>
      </w:r>
      <w:r w:rsidRPr="002B1610">
        <w:rPr>
          <w:rFonts w:ascii="Verdana" w:hAnsi="Verdana"/>
          <w:w w:val="95"/>
          <w:sz w:val="20"/>
          <w:szCs w:val="20"/>
          <w:lang w:val="es-CR"/>
        </w:rPr>
        <w:t>”</w:t>
      </w:r>
      <w:r>
        <w:rPr>
          <w:rFonts w:ascii="Verdana" w:hAnsi="Verdana"/>
          <w:w w:val="95"/>
          <w:sz w:val="20"/>
          <w:szCs w:val="20"/>
          <w:lang w:val="es-CR"/>
        </w:rPr>
        <w:t>.</w:t>
      </w:r>
      <w:r w:rsidR="004360A9">
        <w:rPr>
          <w:rFonts w:ascii="Verdana" w:hAnsi="Verdana"/>
          <w:w w:val="95"/>
          <w:sz w:val="20"/>
          <w:szCs w:val="20"/>
          <w:lang w:val="es-CR"/>
        </w:rPr>
        <w:t xml:space="preserve"> </w:t>
      </w:r>
      <w:r w:rsidRPr="002B1610">
        <w:rPr>
          <w:rFonts w:ascii="Verdana" w:hAnsi="Verdana"/>
          <w:w w:val="95"/>
          <w:sz w:val="20"/>
          <w:szCs w:val="20"/>
          <w:lang w:val="es-CR"/>
        </w:rPr>
        <w:t xml:space="preserve">Al respecto señaló que la Convención de Belém do Pará establece obligaciones para los Estados de “adoptar medidas razonables y diligentes para prevenir la violencia contra mujeres y niñas independientemente de si ocurre en el hogar, la comunidad o la esfera pública”. </w:t>
      </w:r>
    </w:p>
    <w:p w:rsidR="00DF15C3" w:rsidRPr="002B1610" w:rsidRDefault="00DF15C3" w:rsidP="003F26FD">
      <w:pPr>
        <w:pStyle w:val="Prrafodelista"/>
        <w:spacing w:after="0" w:line="216" w:lineRule="auto"/>
        <w:ind w:left="-142" w:right="-174"/>
        <w:rPr>
          <w:rFonts w:ascii="Verdana" w:hAnsi="Verdana"/>
          <w:w w:val="95"/>
          <w:lang w:val="es-CR"/>
        </w:rPr>
      </w:pPr>
    </w:p>
    <w:p w:rsidR="00DF15C3" w:rsidRPr="002B1610" w:rsidRDefault="00DF15C3" w:rsidP="003F26FD">
      <w:pPr>
        <w:pStyle w:val="Prrafodelista"/>
        <w:numPr>
          <w:ilvl w:val="0"/>
          <w:numId w:val="17"/>
        </w:numPr>
        <w:spacing w:after="0" w:line="216" w:lineRule="auto"/>
        <w:ind w:left="-142" w:right="-174" w:firstLine="0"/>
        <w:jc w:val="both"/>
        <w:rPr>
          <w:rFonts w:ascii="Verdana" w:hAnsi="Verdana"/>
          <w:w w:val="95"/>
          <w:sz w:val="20"/>
          <w:szCs w:val="20"/>
        </w:rPr>
      </w:pPr>
      <w:r w:rsidRPr="002B1610">
        <w:rPr>
          <w:rFonts w:ascii="Verdana" w:hAnsi="Verdana"/>
          <w:w w:val="95"/>
          <w:sz w:val="20"/>
          <w:szCs w:val="20"/>
        </w:rPr>
        <w:t>Asimismo, indicó que</w:t>
      </w:r>
      <w:r>
        <w:rPr>
          <w:rFonts w:ascii="Verdana" w:hAnsi="Verdana"/>
          <w:w w:val="95"/>
          <w:sz w:val="20"/>
          <w:szCs w:val="20"/>
        </w:rPr>
        <w:t xml:space="preserve">: </w:t>
      </w:r>
    </w:p>
    <w:p w:rsidR="00DF15C3" w:rsidRPr="002B1610" w:rsidRDefault="00DF15C3" w:rsidP="003F26FD">
      <w:pPr>
        <w:pStyle w:val="Prrafodelista"/>
        <w:tabs>
          <w:tab w:val="left" w:pos="9923"/>
        </w:tabs>
        <w:spacing w:after="0" w:line="216" w:lineRule="auto"/>
        <w:ind w:left="-142" w:right="-174"/>
        <w:jc w:val="both"/>
        <w:rPr>
          <w:rFonts w:ascii="Verdana" w:hAnsi="Verdana"/>
          <w:w w:val="95"/>
          <w:sz w:val="16"/>
          <w:szCs w:val="16"/>
        </w:rPr>
      </w:pPr>
    </w:p>
    <w:p w:rsidR="00DF15C3" w:rsidRPr="0098482B" w:rsidRDefault="00DF15C3" w:rsidP="003F26FD">
      <w:pPr>
        <w:pStyle w:val="Prrafodelista"/>
        <w:tabs>
          <w:tab w:val="left" w:pos="9923"/>
        </w:tabs>
        <w:spacing w:after="0" w:line="216" w:lineRule="auto"/>
        <w:ind w:left="284" w:right="-174"/>
        <w:jc w:val="both"/>
        <w:rPr>
          <w:rFonts w:ascii="Verdana" w:hAnsi="Verdana"/>
          <w:b/>
          <w:w w:val="95"/>
          <w:sz w:val="16"/>
          <w:szCs w:val="16"/>
          <w:lang w:val="es-CR"/>
        </w:rPr>
      </w:pPr>
      <w:r w:rsidRPr="002B1610">
        <w:rPr>
          <w:rFonts w:ascii="Verdana" w:hAnsi="Verdana"/>
          <w:w w:val="95"/>
          <w:sz w:val="16"/>
          <w:szCs w:val="16"/>
          <w:lang w:val="es-CR"/>
        </w:rPr>
        <w:t>en casos de violencia contra mujeres, surge un deber de debida diligencia estricta frente a denuncias de desaparición, respecto a su búsqueda durante las primeras horas y primeros días [que] exige una respuesta inmediata y eficaz por parte de las autoridades ante las denuncias de desaparición y prevenir adecuadamente la violencia contra la mujer.</w:t>
      </w:r>
    </w:p>
    <w:p w:rsidR="00DF15C3" w:rsidRPr="0098482B" w:rsidRDefault="00DF15C3" w:rsidP="003F26FD">
      <w:pPr>
        <w:pStyle w:val="Prrafodelista"/>
        <w:spacing w:after="0" w:line="216" w:lineRule="auto"/>
        <w:ind w:left="-142" w:right="-174"/>
        <w:rPr>
          <w:rFonts w:ascii="Verdana" w:hAnsi="Verdana"/>
          <w:w w:val="95"/>
          <w:lang w:val="es-CR"/>
        </w:rPr>
      </w:pPr>
    </w:p>
    <w:p w:rsidR="00DF15C3" w:rsidRPr="006E501B" w:rsidRDefault="00DF15C3" w:rsidP="003F26FD">
      <w:pPr>
        <w:pStyle w:val="Prrafodelista"/>
        <w:numPr>
          <w:ilvl w:val="0"/>
          <w:numId w:val="17"/>
        </w:numPr>
        <w:spacing w:after="0" w:line="216" w:lineRule="auto"/>
        <w:ind w:left="-142" w:right="-174" w:firstLine="0"/>
        <w:jc w:val="both"/>
        <w:rPr>
          <w:rFonts w:ascii="Verdana" w:hAnsi="Verdana"/>
          <w:w w:val="95"/>
          <w:sz w:val="20"/>
          <w:szCs w:val="20"/>
          <w:lang w:val="es-CR"/>
        </w:rPr>
      </w:pPr>
      <w:r w:rsidRPr="002B1610">
        <w:rPr>
          <w:rFonts w:ascii="Verdana" w:hAnsi="Verdana"/>
          <w:w w:val="95"/>
          <w:sz w:val="20"/>
          <w:szCs w:val="20"/>
          <w:lang w:val="es-CR"/>
        </w:rPr>
        <w:t>También la Comisión manifestó que “en casos de violencia contra niñas, el deber de protección estatal vinculado al derecho a la vida se considera especialmente riguroso”</w:t>
      </w:r>
      <w:r w:rsidRPr="002B1610">
        <w:rPr>
          <w:rStyle w:val="Refdenotaalpie"/>
          <w:rFonts w:ascii="Verdana" w:hAnsi="Verdana"/>
          <w:w w:val="95"/>
          <w:sz w:val="20"/>
        </w:rPr>
        <w:footnoteReference w:id="208"/>
      </w:r>
      <w:r w:rsidRPr="002B1610">
        <w:rPr>
          <w:rFonts w:ascii="Verdana" w:hAnsi="Verdana"/>
          <w:w w:val="95"/>
          <w:sz w:val="20"/>
          <w:szCs w:val="20"/>
          <w:lang w:val="es-CR"/>
        </w:rPr>
        <w:t xml:space="preserve">.  Expresó que “los Estados tienen el deber de asegurar que las niñas sean encontradas a la brevedad una vez </w:t>
      </w:r>
      <w:r w:rsidRPr="0060474A">
        <w:rPr>
          <w:rFonts w:ascii="Verdana" w:hAnsi="Verdana"/>
          <w:w w:val="95"/>
          <w:sz w:val="20"/>
          <w:szCs w:val="20"/>
          <w:lang w:val="es-CR"/>
        </w:rPr>
        <w:t>que los familiares</w:t>
      </w:r>
      <w:r w:rsidRPr="002B1610">
        <w:rPr>
          <w:rFonts w:ascii="Verdana" w:hAnsi="Verdana"/>
          <w:w w:val="95"/>
          <w:sz w:val="20"/>
          <w:szCs w:val="20"/>
          <w:lang w:val="es-CR"/>
        </w:rPr>
        <w:t xml:space="preserve"> reportaran su ausencia. Para ello</w:t>
      </w:r>
      <w:r w:rsidR="00030315">
        <w:rPr>
          <w:rFonts w:ascii="Verdana" w:hAnsi="Verdana"/>
          <w:w w:val="95"/>
          <w:sz w:val="20"/>
          <w:szCs w:val="20"/>
          <w:lang w:val="es-CR"/>
        </w:rPr>
        <w:t>,</w:t>
      </w:r>
      <w:r w:rsidRPr="002B1610">
        <w:rPr>
          <w:rFonts w:ascii="Verdana" w:hAnsi="Verdana"/>
          <w:w w:val="95"/>
          <w:sz w:val="20"/>
          <w:szCs w:val="20"/>
          <w:lang w:val="es-CR"/>
        </w:rPr>
        <w:t xml:space="preserve"> deben de activar todos los recursos para movilizar a las diferentes instituciones y desplegar mecanismos internos para obtener información que permita localizar a las niñas con rapidez”. </w:t>
      </w:r>
    </w:p>
    <w:p w:rsidR="00DF15C3" w:rsidRPr="002B1610" w:rsidRDefault="00DF15C3" w:rsidP="003F26FD">
      <w:pPr>
        <w:pStyle w:val="Prrafodelista"/>
        <w:spacing w:after="0" w:line="216" w:lineRule="auto"/>
        <w:ind w:left="-142" w:right="-174"/>
        <w:rPr>
          <w:rFonts w:ascii="Verdana" w:hAnsi="Verdana"/>
          <w:w w:val="95"/>
          <w:sz w:val="20"/>
          <w:szCs w:val="20"/>
          <w:lang w:val="es-CR"/>
        </w:rPr>
      </w:pPr>
    </w:p>
    <w:p w:rsidR="00DF15C3" w:rsidRPr="002B1610" w:rsidRDefault="00DF15C3" w:rsidP="003F26FD">
      <w:pPr>
        <w:pStyle w:val="Prrafodelista"/>
        <w:numPr>
          <w:ilvl w:val="0"/>
          <w:numId w:val="17"/>
        </w:numPr>
        <w:spacing w:after="0" w:line="216" w:lineRule="auto"/>
        <w:ind w:left="-142" w:right="-174" w:firstLine="0"/>
        <w:jc w:val="both"/>
        <w:rPr>
          <w:rFonts w:ascii="Verdana" w:hAnsi="Verdana"/>
          <w:w w:val="95"/>
          <w:sz w:val="20"/>
          <w:szCs w:val="20"/>
          <w:lang w:val="es-CR"/>
        </w:rPr>
      </w:pPr>
      <w:r w:rsidRPr="002B1610">
        <w:rPr>
          <w:rFonts w:ascii="Verdana" w:hAnsi="Verdana"/>
          <w:w w:val="95"/>
          <w:sz w:val="20"/>
          <w:szCs w:val="20"/>
          <w:lang w:val="es-CR"/>
        </w:rPr>
        <w:t xml:space="preserve">En el caso particular, afirmó que “el Estado tenía un deber reforzado de proteger los derechos de María Isabel </w:t>
      </w:r>
      <w:r>
        <w:rPr>
          <w:rFonts w:ascii="Verdana" w:hAnsi="Verdana"/>
          <w:w w:val="95"/>
          <w:sz w:val="20"/>
          <w:szCs w:val="20"/>
          <w:lang w:val="es-CR"/>
        </w:rPr>
        <w:t>Veliz</w:t>
      </w:r>
      <w:r w:rsidRPr="002B1610">
        <w:rPr>
          <w:rFonts w:ascii="Verdana" w:hAnsi="Verdana"/>
          <w:w w:val="95"/>
          <w:sz w:val="20"/>
          <w:szCs w:val="20"/>
          <w:lang w:val="es-CR"/>
        </w:rPr>
        <w:t xml:space="preserve"> Franco por su minoría de edad y obligación d</w:t>
      </w:r>
      <w:r w:rsidR="002362AF">
        <w:rPr>
          <w:rFonts w:ascii="Verdana" w:hAnsi="Verdana"/>
          <w:w w:val="95"/>
          <w:sz w:val="20"/>
          <w:szCs w:val="20"/>
          <w:lang w:val="es-CR"/>
        </w:rPr>
        <w:t>e adoptar medidas especiales de</w:t>
      </w:r>
      <w:r>
        <w:rPr>
          <w:rFonts w:ascii="Verdana" w:hAnsi="Verdana"/>
          <w:w w:val="95"/>
          <w:sz w:val="20"/>
          <w:szCs w:val="20"/>
          <w:lang w:val="es-CR"/>
        </w:rPr>
        <w:t xml:space="preserve"> cuidado</w:t>
      </w:r>
      <w:r w:rsidRPr="002B1610">
        <w:rPr>
          <w:rFonts w:ascii="Verdana" w:hAnsi="Verdana"/>
          <w:w w:val="95"/>
          <w:sz w:val="20"/>
          <w:szCs w:val="20"/>
          <w:lang w:val="es-CR"/>
        </w:rPr>
        <w:t xml:space="preserve">, prevención y garantía”. En específico, señaló que “correspondía que el Estado frente a una situación de riesgo que enfrentaba la niña María Isabel </w:t>
      </w:r>
      <w:r>
        <w:rPr>
          <w:rFonts w:ascii="Verdana" w:hAnsi="Verdana"/>
          <w:w w:val="95"/>
          <w:sz w:val="20"/>
          <w:szCs w:val="20"/>
          <w:lang w:val="es-CR"/>
        </w:rPr>
        <w:t>Veliz</w:t>
      </w:r>
      <w:r w:rsidRPr="002B1610">
        <w:rPr>
          <w:rFonts w:ascii="Verdana" w:hAnsi="Verdana"/>
          <w:w w:val="95"/>
          <w:sz w:val="20"/>
          <w:szCs w:val="20"/>
          <w:lang w:val="es-CR"/>
        </w:rPr>
        <w:t xml:space="preserve"> Franco al ser reportada como desaparecida, adopt[ar</w:t>
      </w:r>
      <w:r>
        <w:rPr>
          <w:rFonts w:ascii="Verdana" w:hAnsi="Verdana"/>
          <w:w w:val="95"/>
          <w:sz w:val="20"/>
          <w:szCs w:val="20"/>
          <w:lang w:val="es-CR"/>
        </w:rPr>
        <w:t>a</w:t>
      </w:r>
      <w:r w:rsidRPr="002B1610">
        <w:rPr>
          <w:rFonts w:ascii="Verdana" w:hAnsi="Verdana"/>
          <w:w w:val="95"/>
          <w:sz w:val="20"/>
          <w:szCs w:val="20"/>
          <w:lang w:val="es-CR"/>
        </w:rPr>
        <w:t>] m</w:t>
      </w:r>
      <w:r w:rsidR="00CB5F33">
        <w:rPr>
          <w:rFonts w:ascii="Verdana" w:hAnsi="Verdana"/>
          <w:w w:val="95"/>
          <w:sz w:val="20"/>
          <w:szCs w:val="20"/>
          <w:lang w:val="es-CR"/>
        </w:rPr>
        <w:t xml:space="preserve">edidas inmediatas de búsqueda”. Afirmó </w:t>
      </w:r>
      <w:r w:rsidRPr="002B1610">
        <w:rPr>
          <w:rFonts w:ascii="Verdana" w:hAnsi="Verdana"/>
          <w:w w:val="95"/>
          <w:sz w:val="20"/>
          <w:szCs w:val="20"/>
          <w:lang w:val="es-CR"/>
        </w:rPr>
        <w:t>que funcionarios estales le indicaron a la señora Rosa Elvira que “no podían tomar la denuncia en tanto no habían transcurrido 48 horas de la desaparición” de su hija. La Comisión destacó que el Estado “</w:t>
      </w:r>
      <w:r w:rsidR="00C627A1" w:rsidRPr="000D4EA9">
        <w:rPr>
          <w:rFonts w:ascii="Verdana" w:hAnsi="Verdana"/>
          <w:w w:val="95"/>
          <w:sz w:val="20"/>
          <w:szCs w:val="20"/>
          <w:lang w:val="es-CR"/>
        </w:rPr>
        <w:t xml:space="preserve">no tomó la declaración de [Rosa Elvira Franco] </w:t>
      </w:r>
      <w:r w:rsidR="000D4EA9" w:rsidRPr="00122C63">
        <w:rPr>
          <w:rFonts w:ascii="Verdana" w:hAnsi="Verdana"/>
          <w:w w:val="95"/>
          <w:sz w:val="20"/>
          <w:szCs w:val="20"/>
          <w:lang w:val="es-CR"/>
        </w:rPr>
        <w:t>la cual pudo</w:t>
      </w:r>
      <w:r w:rsidR="00C627A1" w:rsidRPr="000D4EA9">
        <w:rPr>
          <w:rFonts w:ascii="Verdana" w:hAnsi="Verdana"/>
          <w:w w:val="95"/>
          <w:sz w:val="20"/>
          <w:szCs w:val="20"/>
          <w:lang w:val="es-CR"/>
        </w:rPr>
        <w:t xml:space="preserve"> arrojar algunas pistas, no se apersonó al último lugar en donde se</w:t>
      </w:r>
      <w:r w:rsidRPr="002B1610">
        <w:rPr>
          <w:rFonts w:ascii="Verdana" w:hAnsi="Verdana"/>
          <w:w w:val="95"/>
          <w:sz w:val="20"/>
          <w:szCs w:val="20"/>
          <w:lang w:val="es-CR"/>
        </w:rPr>
        <w:t xml:space="preserve"> […]</w:t>
      </w:r>
      <w:r>
        <w:rPr>
          <w:rFonts w:ascii="Verdana" w:hAnsi="Verdana"/>
          <w:w w:val="95"/>
          <w:sz w:val="20"/>
          <w:szCs w:val="20"/>
          <w:lang w:val="es-CR"/>
        </w:rPr>
        <w:t xml:space="preserve"> </w:t>
      </w:r>
      <w:r w:rsidRPr="002B1610">
        <w:rPr>
          <w:rFonts w:ascii="Verdana" w:hAnsi="Verdana"/>
          <w:w w:val="95"/>
          <w:sz w:val="20"/>
          <w:szCs w:val="20"/>
          <w:lang w:val="es-CR"/>
        </w:rPr>
        <w:t xml:space="preserve">vio con vida [a María Isabel] y no se entrevistaron inmediatamente a las últimas personas que la vieron el día de su desaparición y/o las personas más cercanas a la víctima”. </w:t>
      </w:r>
    </w:p>
    <w:p w:rsidR="00DF15C3" w:rsidRPr="002B1610" w:rsidRDefault="00DF15C3" w:rsidP="003F26FD">
      <w:pPr>
        <w:pStyle w:val="Prrafodelista"/>
        <w:spacing w:after="0" w:line="216" w:lineRule="auto"/>
        <w:ind w:left="-142" w:right="-174"/>
        <w:rPr>
          <w:rFonts w:ascii="Verdana" w:hAnsi="Verdana"/>
          <w:w w:val="95"/>
          <w:sz w:val="20"/>
          <w:szCs w:val="20"/>
          <w:lang w:val="es-CR"/>
        </w:rPr>
      </w:pPr>
    </w:p>
    <w:p w:rsidR="00DF15C3" w:rsidRPr="001E6F1B" w:rsidRDefault="00DF15C3" w:rsidP="003F26FD">
      <w:pPr>
        <w:pStyle w:val="Prrafodelista"/>
        <w:numPr>
          <w:ilvl w:val="0"/>
          <w:numId w:val="17"/>
        </w:numPr>
        <w:spacing w:after="0" w:line="216" w:lineRule="auto"/>
        <w:ind w:left="-142" w:right="-174" w:firstLine="0"/>
        <w:jc w:val="both"/>
        <w:rPr>
          <w:rFonts w:ascii="Verdana" w:hAnsi="Verdana"/>
          <w:w w:val="95"/>
          <w:sz w:val="20"/>
          <w:szCs w:val="20"/>
          <w:lang w:val="es-CR"/>
        </w:rPr>
      </w:pPr>
      <w:r w:rsidRPr="002B1610">
        <w:rPr>
          <w:rFonts w:ascii="Verdana" w:hAnsi="Verdana"/>
          <w:w w:val="95"/>
          <w:sz w:val="20"/>
          <w:szCs w:val="20"/>
          <w:lang w:val="es-CR"/>
        </w:rPr>
        <w:t>Por todo lo anterior, concluyó que “el Estado no demostró haber adoptado me</w:t>
      </w:r>
      <w:r w:rsidR="002362AF">
        <w:rPr>
          <w:rFonts w:ascii="Verdana" w:hAnsi="Verdana"/>
          <w:w w:val="95"/>
          <w:sz w:val="20"/>
          <w:szCs w:val="20"/>
          <w:lang w:val="es-CR"/>
        </w:rPr>
        <w:t xml:space="preserve">didas razonables de búsqueda”. </w:t>
      </w:r>
      <w:r w:rsidRPr="002B1610">
        <w:rPr>
          <w:rFonts w:ascii="Verdana" w:hAnsi="Verdana"/>
          <w:w w:val="95"/>
          <w:sz w:val="20"/>
          <w:szCs w:val="20"/>
          <w:lang w:val="es-CR"/>
        </w:rPr>
        <w:t>Igualmente destacó que “[e]ste incumplimiento al deber de garantía es particularmente serio debido a un contexto de violencia contra las mujeres y las niñas conocido por el Estado”.</w:t>
      </w:r>
      <w:r w:rsidRPr="002B1610">
        <w:rPr>
          <w:rFonts w:ascii="Verdana" w:hAnsi="Verdana"/>
          <w:b/>
          <w:w w:val="95"/>
          <w:sz w:val="20"/>
          <w:szCs w:val="20"/>
          <w:lang w:val="es-CR"/>
        </w:rPr>
        <w:t xml:space="preserve"> </w:t>
      </w:r>
      <w:r w:rsidRPr="002B1610">
        <w:rPr>
          <w:rFonts w:ascii="Verdana" w:hAnsi="Verdana"/>
          <w:w w:val="95"/>
          <w:sz w:val="20"/>
          <w:szCs w:val="20"/>
          <w:lang w:val="es-CR"/>
        </w:rPr>
        <w:t xml:space="preserve">Además, consideró que “el Estado no demostró haber adoptado normas o implementado medidas necesarias conforme a la Convención de Belém do Pará, que </w:t>
      </w:r>
      <w:r w:rsidRPr="002B1610">
        <w:rPr>
          <w:rFonts w:ascii="Verdana" w:hAnsi="Verdana"/>
          <w:w w:val="95"/>
          <w:sz w:val="20"/>
          <w:szCs w:val="20"/>
          <w:lang w:val="es-CR"/>
        </w:rPr>
        <w:lastRenderedPageBreak/>
        <w:t>permitieran a las autoridades ofrecer una respuesta inmediata y eficaz ante las denuncias de desaparición y prevenir adecuadamente la violencia contra la mujer en la época de los hechos”. La Comisión concluyó que, por lo expuesto, el Estado violó, en relación con el artículo 1.1 de la Convención, sus artículos 4, 5, 19 y 24,</w:t>
      </w:r>
      <w:r w:rsidRPr="002B1610">
        <w:rPr>
          <w:rFonts w:ascii="Verdana" w:hAnsi="Verdana"/>
          <w:b/>
          <w:w w:val="95"/>
          <w:sz w:val="20"/>
          <w:szCs w:val="20"/>
          <w:lang w:val="es-CR"/>
        </w:rPr>
        <w:t xml:space="preserve"> </w:t>
      </w:r>
      <w:r w:rsidRPr="002B1610">
        <w:rPr>
          <w:rFonts w:ascii="Verdana" w:hAnsi="Verdana"/>
          <w:w w:val="95"/>
          <w:sz w:val="20"/>
          <w:szCs w:val="20"/>
          <w:lang w:val="es-CR"/>
        </w:rPr>
        <w:t>así como el artículo</w:t>
      </w:r>
      <w:r w:rsidRPr="002B1610">
        <w:rPr>
          <w:rFonts w:ascii="Verdana" w:hAnsi="Verdana"/>
          <w:b/>
          <w:w w:val="95"/>
          <w:sz w:val="20"/>
          <w:szCs w:val="20"/>
          <w:lang w:val="es-CR"/>
        </w:rPr>
        <w:t xml:space="preserve"> </w:t>
      </w:r>
      <w:r w:rsidRPr="002B1610">
        <w:rPr>
          <w:rFonts w:ascii="Verdana" w:hAnsi="Verdana"/>
          <w:w w:val="95"/>
          <w:sz w:val="20"/>
          <w:szCs w:val="20"/>
          <w:lang w:val="es-CR"/>
        </w:rPr>
        <w:t xml:space="preserve">7 de la Convención de Belém do Pará. </w:t>
      </w:r>
    </w:p>
    <w:p w:rsidR="00DF15C3" w:rsidRPr="001E6F1B" w:rsidRDefault="00DF15C3" w:rsidP="003F26FD">
      <w:pPr>
        <w:pStyle w:val="Prrafodelista"/>
        <w:spacing w:after="0" w:line="216" w:lineRule="auto"/>
        <w:ind w:left="-142" w:right="-174"/>
        <w:rPr>
          <w:rFonts w:ascii="Verdana" w:hAnsi="Verdana"/>
          <w:w w:val="95"/>
          <w:sz w:val="20"/>
          <w:szCs w:val="20"/>
          <w:lang w:val="es-CR"/>
        </w:rPr>
      </w:pPr>
    </w:p>
    <w:p w:rsidR="00DF15C3" w:rsidRPr="002B1610" w:rsidRDefault="00DF15C3" w:rsidP="003F26FD">
      <w:pPr>
        <w:pStyle w:val="Prrafodelista"/>
        <w:numPr>
          <w:ilvl w:val="0"/>
          <w:numId w:val="17"/>
        </w:numPr>
        <w:spacing w:after="0" w:line="216" w:lineRule="auto"/>
        <w:ind w:left="-142" w:right="-174" w:firstLine="0"/>
        <w:jc w:val="both"/>
        <w:rPr>
          <w:rFonts w:ascii="Verdana" w:hAnsi="Verdana"/>
          <w:w w:val="95"/>
          <w:sz w:val="20"/>
          <w:szCs w:val="20"/>
          <w:lang w:val="es-CR"/>
        </w:rPr>
      </w:pPr>
      <w:r w:rsidRPr="002B1610">
        <w:rPr>
          <w:rFonts w:ascii="Verdana" w:hAnsi="Verdana"/>
          <w:w w:val="95"/>
          <w:sz w:val="20"/>
          <w:szCs w:val="20"/>
          <w:lang w:val="es-CR"/>
        </w:rPr>
        <w:t xml:space="preserve">La </w:t>
      </w:r>
      <w:r w:rsidRPr="002B1610">
        <w:rPr>
          <w:rFonts w:ascii="Verdana" w:hAnsi="Verdana"/>
          <w:b/>
          <w:i/>
          <w:w w:val="95"/>
          <w:sz w:val="20"/>
          <w:szCs w:val="20"/>
          <w:lang w:val="es-CR"/>
        </w:rPr>
        <w:t>representante</w:t>
      </w:r>
      <w:r w:rsidRPr="002B1610">
        <w:rPr>
          <w:rFonts w:ascii="Verdana" w:hAnsi="Verdana"/>
          <w:w w:val="95"/>
          <w:sz w:val="20"/>
          <w:szCs w:val="20"/>
          <w:lang w:val="es-CR"/>
        </w:rPr>
        <w:t xml:space="preserve"> señal</w:t>
      </w:r>
      <w:r>
        <w:rPr>
          <w:rFonts w:ascii="Verdana" w:hAnsi="Verdana"/>
          <w:w w:val="95"/>
          <w:sz w:val="20"/>
          <w:szCs w:val="20"/>
          <w:lang w:val="es-CR"/>
        </w:rPr>
        <w:t>ó</w:t>
      </w:r>
      <w:r w:rsidRPr="002B1610">
        <w:rPr>
          <w:rFonts w:ascii="Verdana" w:hAnsi="Verdana"/>
          <w:w w:val="95"/>
          <w:sz w:val="20"/>
          <w:szCs w:val="20"/>
          <w:lang w:val="es-CR"/>
        </w:rPr>
        <w:t xml:space="preserve"> que el “Estado incumplió de forma absoluta con su deber de prevenir violaciones a los derechos a la libertad personal, la integridad </w:t>
      </w:r>
      <w:r>
        <w:rPr>
          <w:rFonts w:ascii="Verdana" w:hAnsi="Verdana"/>
          <w:w w:val="95"/>
          <w:sz w:val="20"/>
          <w:szCs w:val="20"/>
          <w:lang w:val="es-CR"/>
        </w:rPr>
        <w:t xml:space="preserve">y </w:t>
      </w:r>
      <w:r w:rsidRPr="002B1610">
        <w:rPr>
          <w:rFonts w:ascii="Verdana" w:hAnsi="Verdana"/>
          <w:w w:val="95"/>
          <w:sz w:val="20"/>
          <w:szCs w:val="20"/>
          <w:lang w:val="es-CR"/>
        </w:rPr>
        <w:t xml:space="preserve">la vida de la niña </w:t>
      </w:r>
      <w:r w:rsidR="008C146D">
        <w:rPr>
          <w:rFonts w:ascii="Verdana" w:hAnsi="Verdana"/>
          <w:w w:val="95"/>
          <w:sz w:val="20"/>
          <w:szCs w:val="20"/>
          <w:lang w:val="es-CR"/>
        </w:rPr>
        <w:t>María Isabel</w:t>
      </w:r>
      <w:r>
        <w:rPr>
          <w:rFonts w:ascii="Verdana" w:hAnsi="Verdana"/>
          <w:w w:val="95"/>
          <w:sz w:val="20"/>
          <w:szCs w:val="20"/>
          <w:lang w:val="es-CR"/>
        </w:rPr>
        <w:t xml:space="preserve"> Veliz </w:t>
      </w:r>
      <w:r w:rsidRPr="002B1610">
        <w:rPr>
          <w:rFonts w:ascii="Verdana" w:hAnsi="Verdana"/>
          <w:w w:val="95"/>
          <w:sz w:val="20"/>
          <w:szCs w:val="20"/>
          <w:lang w:val="es-CR"/>
        </w:rPr>
        <w:t>Franco a pesar de conocer la situación de riesgo real e inminente en la que se encontraba”. Al respecto, indic</w:t>
      </w:r>
      <w:r>
        <w:rPr>
          <w:rFonts w:ascii="Verdana" w:hAnsi="Verdana"/>
          <w:w w:val="95"/>
          <w:sz w:val="20"/>
          <w:szCs w:val="20"/>
          <w:lang w:val="es-CR"/>
        </w:rPr>
        <w:t>ó</w:t>
      </w:r>
      <w:r w:rsidRPr="002B1610">
        <w:rPr>
          <w:rFonts w:ascii="Verdana" w:hAnsi="Verdana"/>
          <w:w w:val="95"/>
          <w:sz w:val="20"/>
          <w:szCs w:val="20"/>
          <w:lang w:val="es-CR"/>
        </w:rPr>
        <w:t xml:space="preserve"> que frente a </w:t>
      </w:r>
      <w:r w:rsidRPr="00507192">
        <w:rPr>
          <w:rFonts w:ascii="Verdana" w:hAnsi="Verdana"/>
          <w:w w:val="95"/>
          <w:sz w:val="20"/>
          <w:szCs w:val="20"/>
          <w:lang w:val="es-CR"/>
        </w:rPr>
        <w:t>la denuncia presentada por la mamá de María Isabel, el Estado “no adoptó una sola acción para proteger a María Isabel y prevenir lo</w:t>
      </w:r>
      <w:r w:rsidRPr="002B1610">
        <w:rPr>
          <w:rFonts w:ascii="Verdana" w:hAnsi="Verdana"/>
          <w:w w:val="95"/>
          <w:sz w:val="20"/>
          <w:szCs w:val="20"/>
          <w:lang w:val="es-CR"/>
        </w:rPr>
        <w:t xml:space="preserve"> ocurrido”. Lo anterior, según la representante, “resulta especialmente grave en virtud de las obligaciones de protección que el Estado estaba obligado a procurar a María Isabel en razón de su condición de niña y del incremento de asesinatos de mujeres que se registraba desde la época de los hechos de acuerdo a la información de la Policía Nacional, órgano que recibió la denuncia por su desaparición”</w:t>
      </w:r>
      <w:r>
        <w:rPr>
          <w:rFonts w:ascii="Verdana" w:hAnsi="Verdana"/>
          <w:w w:val="95"/>
          <w:sz w:val="20"/>
          <w:szCs w:val="20"/>
          <w:lang w:val="es-CR"/>
        </w:rPr>
        <w:t>.</w:t>
      </w:r>
      <w:r w:rsidRPr="002B1610">
        <w:rPr>
          <w:rFonts w:ascii="Verdana" w:hAnsi="Verdana"/>
          <w:w w:val="95"/>
          <w:sz w:val="20"/>
          <w:szCs w:val="20"/>
          <w:lang w:val="es-CR"/>
        </w:rPr>
        <w:t xml:space="preserve"> </w:t>
      </w:r>
    </w:p>
    <w:p w:rsidR="00DF15C3" w:rsidRPr="002B1610" w:rsidRDefault="00DF15C3" w:rsidP="003F26FD">
      <w:pPr>
        <w:pStyle w:val="Prrafodelista"/>
        <w:spacing w:after="0" w:line="216" w:lineRule="auto"/>
        <w:ind w:left="-142" w:right="-174"/>
        <w:rPr>
          <w:rFonts w:ascii="Verdana" w:hAnsi="Verdana"/>
          <w:w w:val="95"/>
          <w:sz w:val="20"/>
          <w:szCs w:val="20"/>
          <w:lang w:val="es-CR"/>
        </w:rPr>
      </w:pPr>
    </w:p>
    <w:p w:rsidR="00DF15C3" w:rsidRPr="002B1610" w:rsidRDefault="00DF15C3" w:rsidP="003F26FD">
      <w:pPr>
        <w:pStyle w:val="Prrafodelista"/>
        <w:numPr>
          <w:ilvl w:val="0"/>
          <w:numId w:val="17"/>
        </w:numPr>
        <w:spacing w:after="0" w:line="216" w:lineRule="auto"/>
        <w:ind w:left="-142" w:right="-174" w:firstLine="0"/>
        <w:jc w:val="both"/>
        <w:rPr>
          <w:rFonts w:ascii="Verdana" w:hAnsi="Verdana"/>
          <w:w w:val="95"/>
          <w:sz w:val="20"/>
          <w:szCs w:val="20"/>
          <w:lang w:val="es-CR"/>
        </w:rPr>
      </w:pPr>
      <w:r w:rsidRPr="002B1610">
        <w:rPr>
          <w:rFonts w:ascii="Verdana" w:hAnsi="Verdana"/>
          <w:w w:val="95"/>
          <w:sz w:val="20"/>
          <w:szCs w:val="20"/>
          <w:lang w:val="es-CR"/>
        </w:rPr>
        <w:t>Igualmente, manifest</w:t>
      </w:r>
      <w:r>
        <w:rPr>
          <w:rFonts w:ascii="Verdana" w:hAnsi="Verdana"/>
          <w:w w:val="95"/>
          <w:sz w:val="20"/>
          <w:szCs w:val="20"/>
          <w:lang w:val="es-CR"/>
        </w:rPr>
        <w:t>ó</w:t>
      </w:r>
      <w:r w:rsidRPr="002B1610">
        <w:rPr>
          <w:rFonts w:ascii="Verdana" w:hAnsi="Verdana"/>
          <w:w w:val="95"/>
          <w:sz w:val="20"/>
          <w:szCs w:val="20"/>
          <w:lang w:val="es-CR"/>
        </w:rPr>
        <w:t xml:space="preserve"> que el “Estado incumplió sus obligaciones procesales en relación con una efectiva garantía de los derechos a la libertad, a la integridad y a la vida de la niña María Isabel </w:t>
      </w:r>
      <w:r>
        <w:rPr>
          <w:rFonts w:ascii="Verdana" w:hAnsi="Verdana"/>
          <w:w w:val="95"/>
          <w:sz w:val="20"/>
          <w:szCs w:val="20"/>
          <w:lang w:val="es-CR"/>
        </w:rPr>
        <w:t xml:space="preserve">Veliz </w:t>
      </w:r>
      <w:r w:rsidRPr="002B1610">
        <w:rPr>
          <w:rFonts w:ascii="Verdana" w:hAnsi="Verdana"/>
          <w:w w:val="95"/>
          <w:sz w:val="20"/>
          <w:szCs w:val="20"/>
          <w:lang w:val="es-CR"/>
        </w:rPr>
        <w:t>Franco”.</w:t>
      </w:r>
      <w:r w:rsidRPr="002B1610">
        <w:rPr>
          <w:rFonts w:ascii="Verdana" w:hAnsi="Verdana"/>
          <w:b/>
          <w:w w:val="95"/>
          <w:sz w:val="20"/>
          <w:szCs w:val="20"/>
          <w:lang w:val="es-CR"/>
        </w:rPr>
        <w:t xml:space="preserve"> </w:t>
      </w:r>
      <w:r w:rsidRPr="002B1610">
        <w:rPr>
          <w:rFonts w:ascii="Verdana" w:hAnsi="Verdana"/>
          <w:w w:val="95"/>
          <w:sz w:val="20"/>
          <w:szCs w:val="20"/>
          <w:lang w:val="es-CR"/>
        </w:rPr>
        <w:t xml:space="preserve">Sobre el particular, argumentaron que “las autoridades a cargo de la investigación han violado el deber de debida diligencia de forma flagrante desde las más tempranas fases de la investigación”. </w:t>
      </w:r>
    </w:p>
    <w:p w:rsidR="00DF15C3" w:rsidRPr="002B1610" w:rsidRDefault="00DF15C3" w:rsidP="003F26FD">
      <w:pPr>
        <w:pStyle w:val="Prrafodelista"/>
        <w:spacing w:after="0" w:line="216" w:lineRule="auto"/>
        <w:ind w:left="-142" w:right="-174"/>
        <w:jc w:val="both"/>
        <w:rPr>
          <w:rFonts w:ascii="Verdana" w:hAnsi="Verdana"/>
          <w:w w:val="95"/>
          <w:sz w:val="20"/>
          <w:szCs w:val="20"/>
          <w:lang w:val="es-CR"/>
        </w:rPr>
      </w:pPr>
    </w:p>
    <w:p w:rsidR="00DF15C3" w:rsidRPr="002B1610" w:rsidRDefault="00DF15C3" w:rsidP="003F26FD">
      <w:pPr>
        <w:pStyle w:val="Prrafodelista"/>
        <w:numPr>
          <w:ilvl w:val="0"/>
          <w:numId w:val="17"/>
        </w:numPr>
        <w:spacing w:after="0" w:line="216" w:lineRule="auto"/>
        <w:ind w:left="-142" w:right="-174" w:firstLine="0"/>
        <w:jc w:val="both"/>
        <w:rPr>
          <w:rFonts w:ascii="Verdana" w:hAnsi="Verdana"/>
          <w:w w:val="95"/>
          <w:sz w:val="20"/>
          <w:szCs w:val="20"/>
        </w:rPr>
      </w:pPr>
      <w:r w:rsidRPr="002B1610">
        <w:rPr>
          <w:rFonts w:ascii="Verdana" w:hAnsi="Verdana"/>
          <w:w w:val="95"/>
          <w:sz w:val="20"/>
          <w:szCs w:val="20"/>
          <w:lang w:val="es-CR"/>
        </w:rPr>
        <w:t xml:space="preserve">Por el aducido “incumpli[miento del] deber de prevención” y por “no investigar de manera efectiva los hechos relativos a [la] desaparición, maltrato y muerte” de María Isabel </w:t>
      </w:r>
      <w:r>
        <w:rPr>
          <w:rFonts w:ascii="Verdana" w:hAnsi="Verdana"/>
          <w:w w:val="95"/>
          <w:sz w:val="20"/>
          <w:szCs w:val="20"/>
          <w:lang w:val="es-CR"/>
        </w:rPr>
        <w:t xml:space="preserve">Veliz </w:t>
      </w:r>
      <w:r w:rsidRPr="002B1610">
        <w:rPr>
          <w:rFonts w:ascii="Verdana" w:hAnsi="Verdana"/>
          <w:w w:val="95"/>
          <w:sz w:val="20"/>
          <w:szCs w:val="20"/>
          <w:lang w:val="es-CR"/>
        </w:rPr>
        <w:t>Franco, la representante afirm</w:t>
      </w:r>
      <w:r>
        <w:rPr>
          <w:rFonts w:ascii="Verdana" w:hAnsi="Verdana"/>
          <w:w w:val="95"/>
          <w:sz w:val="20"/>
          <w:szCs w:val="20"/>
          <w:lang w:val="es-CR"/>
        </w:rPr>
        <w:t>ó</w:t>
      </w:r>
      <w:r w:rsidRPr="002B1610">
        <w:rPr>
          <w:rFonts w:ascii="Verdana" w:hAnsi="Verdana"/>
          <w:w w:val="95"/>
          <w:sz w:val="20"/>
          <w:szCs w:val="20"/>
          <w:lang w:val="es-CR"/>
        </w:rPr>
        <w:t xml:space="preserve"> que el Estado vulneró, en perjuicio de la persona nombrada, los artículos “7, 5 y 4 de la C[onvención Americana</w:t>
      </w:r>
      <w:r>
        <w:rPr>
          <w:rFonts w:ascii="Verdana" w:hAnsi="Verdana"/>
          <w:w w:val="95"/>
          <w:sz w:val="20"/>
          <w:szCs w:val="20"/>
          <w:lang w:val="es-CR"/>
        </w:rPr>
        <w:t>,</w:t>
      </w:r>
      <w:r w:rsidRPr="002B1610">
        <w:rPr>
          <w:rFonts w:ascii="Verdana" w:hAnsi="Verdana"/>
          <w:w w:val="95"/>
          <w:sz w:val="20"/>
          <w:szCs w:val="20"/>
          <w:lang w:val="es-CR"/>
        </w:rPr>
        <w:t>] en concordancia con el incumplimiento de […] los artículos 1.1, 2 y 19 del mismo instrumento y 7 de la Convención de Belém do Pará”.</w:t>
      </w:r>
    </w:p>
    <w:p w:rsidR="00DF15C3" w:rsidRPr="002B1610" w:rsidRDefault="00DF15C3" w:rsidP="003F26FD">
      <w:pPr>
        <w:pStyle w:val="Prrafodelista"/>
        <w:spacing w:after="0" w:line="216" w:lineRule="auto"/>
        <w:ind w:left="-142" w:right="-174"/>
        <w:rPr>
          <w:rFonts w:ascii="Verdana" w:hAnsi="Verdana"/>
          <w:w w:val="95"/>
          <w:sz w:val="20"/>
          <w:szCs w:val="20"/>
        </w:rPr>
      </w:pPr>
    </w:p>
    <w:p w:rsidR="00DF15C3" w:rsidRPr="001E6F1B" w:rsidRDefault="00DF15C3" w:rsidP="003F26FD">
      <w:pPr>
        <w:pStyle w:val="Prrafodelista"/>
        <w:numPr>
          <w:ilvl w:val="0"/>
          <w:numId w:val="17"/>
        </w:numPr>
        <w:spacing w:after="0" w:line="216" w:lineRule="auto"/>
        <w:ind w:left="-142" w:right="-174" w:firstLine="0"/>
        <w:jc w:val="both"/>
        <w:rPr>
          <w:rFonts w:ascii="Verdana" w:hAnsi="Verdana"/>
          <w:w w:val="95"/>
          <w:sz w:val="20"/>
          <w:szCs w:val="20"/>
          <w:lang w:val="es-CR"/>
        </w:rPr>
      </w:pPr>
      <w:r w:rsidRPr="002B1610">
        <w:rPr>
          <w:rFonts w:ascii="Verdana" w:hAnsi="Verdana"/>
          <w:w w:val="95"/>
          <w:sz w:val="20"/>
          <w:szCs w:val="20"/>
          <w:lang w:val="es-CR"/>
        </w:rPr>
        <w:t xml:space="preserve">El </w:t>
      </w:r>
      <w:r w:rsidRPr="002B1610">
        <w:rPr>
          <w:rFonts w:ascii="Verdana" w:hAnsi="Verdana"/>
          <w:b/>
          <w:i/>
          <w:w w:val="95"/>
          <w:sz w:val="20"/>
          <w:szCs w:val="20"/>
          <w:lang w:val="es-CR"/>
        </w:rPr>
        <w:t>Estado</w:t>
      </w:r>
      <w:r w:rsidRPr="002B1610">
        <w:rPr>
          <w:rFonts w:ascii="Verdana" w:hAnsi="Verdana"/>
          <w:w w:val="95"/>
          <w:sz w:val="20"/>
          <w:szCs w:val="20"/>
          <w:lang w:val="es-CR"/>
        </w:rPr>
        <w:t xml:space="preserve"> señaló que “el derecho a la vida es respetado y garantizado por […] Guatemala, ya que está reconocido en el ordenamiento jurídico guatemalteco, como en la Política de la República” y que es “consciente de que la obligación de los Estados en la protección del derecho a la vida es tanto negativa como positiva”. Por ello, conforme expresó, “ha tomado las medidas pertinentes para garantizar la vida de su población, brindándole a todos el acceso a la justicia para obtener ya sea medidas de seguridad o investigación por parte del Ministerio </w:t>
      </w:r>
      <w:r>
        <w:rPr>
          <w:rFonts w:ascii="Verdana" w:hAnsi="Verdana"/>
          <w:w w:val="95"/>
          <w:sz w:val="20"/>
          <w:szCs w:val="20"/>
          <w:lang w:val="es-CR"/>
        </w:rPr>
        <w:t>P</w:t>
      </w:r>
      <w:r w:rsidRPr="002B1610">
        <w:rPr>
          <w:rFonts w:ascii="Verdana" w:hAnsi="Verdana"/>
          <w:w w:val="95"/>
          <w:sz w:val="20"/>
          <w:szCs w:val="20"/>
          <w:lang w:val="es-CR"/>
        </w:rPr>
        <w:t>úblico para procesar a los sindicatos que sea posible individualizar”.</w:t>
      </w:r>
    </w:p>
    <w:p w:rsidR="00DF15C3" w:rsidRPr="001E6F1B" w:rsidRDefault="00DF15C3" w:rsidP="003F26FD">
      <w:pPr>
        <w:pStyle w:val="Prrafodelista"/>
        <w:spacing w:after="0" w:line="216" w:lineRule="auto"/>
        <w:ind w:left="-142" w:right="-174"/>
        <w:rPr>
          <w:rFonts w:ascii="Verdana" w:hAnsi="Verdana"/>
          <w:w w:val="95"/>
          <w:sz w:val="20"/>
          <w:szCs w:val="20"/>
          <w:lang w:val="es-CR"/>
        </w:rPr>
      </w:pPr>
    </w:p>
    <w:p w:rsidR="00DF15C3" w:rsidRPr="00B47773" w:rsidRDefault="00DF15C3" w:rsidP="003F26FD">
      <w:pPr>
        <w:pStyle w:val="Prrafodelista"/>
        <w:numPr>
          <w:ilvl w:val="0"/>
          <w:numId w:val="17"/>
        </w:numPr>
        <w:spacing w:after="0" w:line="216" w:lineRule="auto"/>
        <w:ind w:left="-142" w:right="-174" w:firstLine="0"/>
        <w:jc w:val="both"/>
        <w:rPr>
          <w:rFonts w:ascii="Verdana" w:hAnsi="Verdana"/>
          <w:w w:val="95"/>
          <w:sz w:val="20"/>
          <w:szCs w:val="20"/>
        </w:rPr>
      </w:pPr>
      <w:r w:rsidRPr="00315B30">
        <w:rPr>
          <w:rFonts w:ascii="Verdana" w:hAnsi="Verdana"/>
          <w:w w:val="95"/>
          <w:sz w:val="20"/>
          <w:szCs w:val="20"/>
          <w:lang w:val="es-CR"/>
        </w:rPr>
        <w:t>Además</w:t>
      </w:r>
      <w:r w:rsidR="00F0030C" w:rsidRPr="00315B30">
        <w:rPr>
          <w:rFonts w:ascii="Verdana" w:hAnsi="Verdana"/>
          <w:w w:val="95"/>
          <w:sz w:val="20"/>
          <w:szCs w:val="20"/>
          <w:lang w:val="es-CR"/>
        </w:rPr>
        <w:t>,</w:t>
      </w:r>
      <w:r>
        <w:rPr>
          <w:rFonts w:ascii="Verdana" w:hAnsi="Verdana"/>
          <w:w w:val="95"/>
          <w:sz w:val="20"/>
          <w:szCs w:val="20"/>
          <w:lang w:val="es-CR"/>
        </w:rPr>
        <w:t xml:space="preserve"> </w:t>
      </w:r>
      <w:r w:rsidRPr="002B1610">
        <w:rPr>
          <w:rFonts w:ascii="Verdana" w:hAnsi="Verdana"/>
          <w:w w:val="95"/>
          <w:sz w:val="20"/>
          <w:szCs w:val="20"/>
          <w:lang w:val="es-CR"/>
        </w:rPr>
        <w:t xml:space="preserve">manifestó que en el presente caso no violó el derecho a la vida de María Isabel </w:t>
      </w:r>
      <w:r>
        <w:rPr>
          <w:rFonts w:ascii="Verdana" w:hAnsi="Verdana"/>
          <w:w w:val="95"/>
          <w:sz w:val="20"/>
          <w:szCs w:val="20"/>
          <w:lang w:val="es-CR"/>
        </w:rPr>
        <w:t xml:space="preserve">Veliz </w:t>
      </w:r>
      <w:r w:rsidRPr="002B1610">
        <w:rPr>
          <w:rFonts w:ascii="Verdana" w:hAnsi="Verdana"/>
          <w:w w:val="95"/>
          <w:sz w:val="20"/>
          <w:szCs w:val="20"/>
          <w:lang w:val="es-CR"/>
        </w:rPr>
        <w:t>Franco</w:t>
      </w:r>
      <w:r>
        <w:rPr>
          <w:rFonts w:ascii="Verdana" w:hAnsi="Verdana"/>
          <w:w w:val="95"/>
          <w:sz w:val="20"/>
          <w:szCs w:val="20"/>
          <w:lang w:val="es-CR"/>
        </w:rPr>
        <w:t>,</w:t>
      </w:r>
      <w:r w:rsidRPr="002B1610">
        <w:rPr>
          <w:rFonts w:ascii="Verdana" w:hAnsi="Verdana"/>
          <w:w w:val="95"/>
          <w:sz w:val="20"/>
          <w:szCs w:val="20"/>
          <w:lang w:val="es-CR"/>
        </w:rPr>
        <w:t xml:space="preserve"> ya que “en cumplimiento de sus obligaciones para respetar y proteger el derecho en cuestión, consciente del fenómeno de violencia, contempla en su legislación las instituciones de la Tutela y la Patria </w:t>
      </w:r>
      <w:r>
        <w:rPr>
          <w:rFonts w:ascii="Verdana" w:hAnsi="Verdana"/>
          <w:w w:val="95"/>
          <w:sz w:val="20"/>
          <w:szCs w:val="20"/>
          <w:lang w:val="es-CR"/>
        </w:rPr>
        <w:t>P</w:t>
      </w:r>
      <w:r w:rsidRPr="002B1610">
        <w:rPr>
          <w:rFonts w:ascii="Verdana" w:hAnsi="Verdana"/>
          <w:w w:val="95"/>
          <w:sz w:val="20"/>
          <w:szCs w:val="20"/>
          <w:lang w:val="es-CR"/>
        </w:rPr>
        <w:t>otestad”. Asimismo, indicó que “ha […] crea[do] instituciones que velan y fiscalizan el pleno goce de los derechos de las personas, así como aquellas a las que se puede acudir para tener acceso al sistema de justicia”.</w:t>
      </w:r>
      <w:r w:rsidR="00BB0D81">
        <w:rPr>
          <w:rFonts w:ascii="Verdana" w:hAnsi="Verdana"/>
          <w:w w:val="95"/>
          <w:sz w:val="20"/>
          <w:szCs w:val="20"/>
          <w:lang w:val="es-CR"/>
        </w:rPr>
        <w:t xml:space="preserve"> </w:t>
      </w:r>
      <w:r w:rsidRPr="002B1610">
        <w:rPr>
          <w:rFonts w:ascii="Verdana" w:hAnsi="Verdana"/>
          <w:w w:val="95"/>
          <w:sz w:val="20"/>
          <w:szCs w:val="20"/>
          <w:lang w:val="es-CR"/>
        </w:rPr>
        <w:t xml:space="preserve">Esto con el fin de “compartir con los padres o tutores, la eficaz supervisión de la garantía y respeto de los derechos de los menores […] resguardando así de manera especial la garantía y respeto del derecho a la vida de María Isabel”. </w:t>
      </w:r>
      <w:r w:rsidR="00F15CBE" w:rsidRPr="0066104A">
        <w:rPr>
          <w:rFonts w:ascii="Verdana" w:hAnsi="Verdana"/>
          <w:w w:val="95"/>
          <w:sz w:val="20"/>
          <w:szCs w:val="20"/>
        </w:rPr>
        <w:t xml:space="preserve">Explicó que: </w:t>
      </w:r>
    </w:p>
    <w:p w:rsidR="00DF15C3" w:rsidRPr="000D3634" w:rsidRDefault="00DF15C3" w:rsidP="003F26FD">
      <w:pPr>
        <w:pStyle w:val="Prrafodelista"/>
        <w:spacing w:after="0" w:line="216" w:lineRule="auto"/>
        <w:ind w:left="-142" w:right="-174"/>
        <w:rPr>
          <w:rFonts w:ascii="Verdana" w:hAnsi="Verdana"/>
          <w:w w:val="95"/>
        </w:rPr>
      </w:pPr>
    </w:p>
    <w:p w:rsidR="00DF15C3" w:rsidRPr="00576FBF" w:rsidRDefault="00DF15C3" w:rsidP="003F26FD">
      <w:pPr>
        <w:pStyle w:val="Prrafodelista"/>
        <w:spacing w:after="0" w:line="216" w:lineRule="auto"/>
        <w:ind w:left="284" w:right="-174"/>
        <w:jc w:val="both"/>
        <w:rPr>
          <w:rFonts w:ascii="Verdana" w:hAnsi="Verdana"/>
          <w:w w:val="95"/>
          <w:sz w:val="16"/>
          <w:szCs w:val="16"/>
          <w:lang w:val="es-ES"/>
        </w:rPr>
      </w:pPr>
      <w:r w:rsidRPr="002B1610">
        <w:rPr>
          <w:rFonts w:ascii="Verdana" w:hAnsi="Verdana"/>
          <w:w w:val="95"/>
          <w:sz w:val="16"/>
          <w:szCs w:val="16"/>
          <w:lang w:val="es-CR"/>
        </w:rPr>
        <w:t xml:space="preserve">en principio, la familia debe proporcionar la mejor protección de los niños contra el abuso, el descuido y la explotación, y que para cuando se dio aviso al Estado de la desaparición de María Isabel, es cuando empieza su obligación de interferir en la protección directa de la niña, debido a que se salió de las manos de su familia su resguardo efectivo, y el Estado si tenía contempladas las políticas y los medios adecuados para que la madre solicitara el apoyo del Estado. </w:t>
      </w:r>
    </w:p>
    <w:p w:rsidR="00DF15C3" w:rsidRPr="00576FBF" w:rsidRDefault="00DF15C3" w:rsidP="003F26FD">
      <w:pPr>
        <w:pStyle w:val="Prrafodelista"/>
        <w:spacing w:after="0" w:line="216" w:lineRule="auto"/>
        <w:ind w:left="-142" w:right="-174"/>
        <w:rPr>
          <w:rFonts w:ascii="Verdana" w:hAnsi="Verdana"/>
          <w:w w:val="95"/>
          <w:sz w:val="20"/>
          <w:szCs w:val="20"/>
          <w:lang w:val="es-ES"/>
        </w:rPr>
      </w:pPr>
    </w:p>
    <w:p w:rsidR="00DF15C3" w:rsidRPr="002B1610" w:rsidRDefault="00DF15C3" w:rsidP="003F26FD">
      <w:pPr>
        <w:pStyle w:val="Prrafodelista"/>
        <w:numPr>
          <w:ilvl w:val="0"/>
          <w:numId w:val="17"/>
        </w:numPr>
        <w:spacing w:after="0" w:line="216" w:lineRule="auto"/>
        <w:ind w:left="-142" w:right="-174" w:firstLine="0"/>
        <w:jc w:val="both"/>
        <w:rPr>
          <w:rFonts w:ascii="Verdana" w:hAnsi="Verdana"/>
          <w:w w:val="95"/>
          <w:sz w:val="20"/>
          <w:szCs w:val="20"/>
        </w:rPr>
      </w:pPr>
      <w:r w:rsidRPr="002B1610">
        <w:rPr>
          <w:rFonts w:ascii="Verdana" w:hAnsi="Verdana"/>
          <w:w w:val="95"/>
          <w:sz w:val="20"/>
          <w:szCs w:val="20"/>
        </w:rPr>
        <w:t>Además, Guatemala afirmó que</w:t>
      </w:r>
      <w:r>
        <w:rPr>
          <w:rFonts w:ascii="Verdana" w:hAnsi="Verdana"/>
          <w:w w:val="95"/>
          <w:sz w:val="20"/>
          <w:szCs w:val="20"/>
        </w:rPr>
        <w:t>:</w:t>
      </w:r>
      <w:r w:rsidRPr="002B1610">
        <w:rPr>
          <w:rFonts w:ascii="Verdana" w:hAnsi="Verdana"/>
          <w:w w:val="95"/>
          <w:sz w:val="20"/>
          <w:szCs w:val="20"/>
        </w:rPr>
        <w:t xml:space="preserve"> </w:t>
      </w:r>
    </w:p>
    <w:p w:rsidR="00DF15C3" w:rsidRPr="002B1610" w:rsidRDefault="00DF15C3" w:rsidP="003F26FD">
      <w:pPr>
        <w:pStyle w:val="Prrafodelista"/>
        <w:spacing w:after="0" w:line="216" w:lineRule="auto"/>
        <w:ind w:left="-142" w:right="-174"/>
        <w:jc w:val="both"/>
        <w:rPr>
          <w:rFonts w:ascii="Verdana" w:hAnsi="Verdana"/>
          <w:w w:val="95"/>
        </w:rPr>
      </w:pPr>
    </w:p>
    <w:p w:rsidR="00DF15C3" w:rsidRPr="0098482B" w:rsidRDefault="00DF15C3" w:rsidP="003F26FD">
      <w:pPr>
        <w:pStyle w:val="Prrafodelista"/>
        <w:spacing w:after="0" w:line="216" w:lineRule="auto"/>
        <w:ind w:left="284" w:right="-174"/>
        <w:jc w:val="both"/>
        <w:rPr>
          <w:rFonts w:ascii="Verdana" w:hAnsi="Verdana"/>
          <w:w w:val="95"/>
          <w:sz w:val="16"/>
          <w:szCs w:val="16"/>
          <w:lang w:val="es-CR"/>
        </w:rPr>
      </w:pPr>
      <w:r w:rsidRPr="002B1610">
        <w:rPr>
          <w:rFonts w:ascii="Verdana" w:hAnsi="Verdana"/>
          <w:w w:val="95"/>
          <w:sz w:val="16"/>
          <w:szCs w:val="16"/>
          <w:lang w:val="es-CR"/>
        </w:rPr>
        <w:t xml:space="preserve">de haber sido posible individualizar al o los responsables del trágico resultado de la desaparición de María Isabel, habría aplicado la legislación vigente en el momento de cometido el delito, para sancionarlos; no obstante […] no ha sido posible independientemente de la ardua labor del ente investigador […], por lo que no se puede condenar arbitrariamente a ningún individuo aunque el Estado repudie lo ocurrido a la menor. </w:t>
      </w:r>
    </w:p>
    <w:p w:rsidR="00DF15C3" w:rsidRPr="0098482B" w:rsidRDefault="00DF15C3" w:rsidP="003F26FD">
      <w:pPr>
        <w:pStyle w:val="Prrafodelista"/>
        <w:spacing w:after="0" w:line="216" w:lineRule="auto"/>
        <w:ind w:left="-142" w:right="-174"/>
        <w:jc w:val="both"/>
        <w:rPr>
          <w:rFonts w:ascii="Verdana" w:hAnsi="Verdana"/>
          <w:i/>
          <w:w w:val="95"/>
          <w:sz w:val="20"/>
          <w:szCs w:val="20"/>
          <w:lang w:val="es-CR"/>
        </w:rPr>
      </w:pPr>
    </w:p>
    <w:p w:rsidR="00DF15C3" w:rsidRPr="002B1610" w:rsidRDefault="00DF15C3" w:rsidP="003F26FD">
      <w:pPr>
        <w:pStyle w:val="Prrafodelista"/>
        <w:numPr>
          <w:ilvl w:val="0"/>
          <w:numId w:val="9"/>
        </w:numPr>
        <w:spacing w:after="0" w:line="216" w:lineRule="auto"/>
        <w:ind w:left="284" w:right="-174" w:firstLine="0"/>
        <w:jc w:val="both"/>
        <w:outlineLvl w:val="1"/>
        <w:rPr>
          <w:rFonts w:ascii="Verdana" w:hAnsi="Verdana"/>
          <w:b/>
          <w:w w:val="95"/>
          <w:sz w:val="20"/>
          <w:szCs w:val="20"/>
        </w:rPr>
      </w:pPr>
      <w:bookmarkStart w:id="82" w:name="_Toc394313670"/>
      <w:r w:rsidRPr="002B1610">
        <w:rPr>
          <w:rFonts w:ascii="Verdana" w:hAnsi="Verdana"/>
          <w:b/>
          <w:w w:val="95"/>
          <w:sz w:val="20"/>
          <w:szCs w:val="20"/>
        </w:rPr>
        <w:lastRenderedPageBreak/>
        <w:t>Consideraciones de la Corte</w:t>
      </w:r>
      <w:bookmarkEnd w:id="82"/>
    </w:p>
    <w:p w:rsidR="00DF15C3" w:rsidRPr="002B1610" w:rsidRDefault="00DF15C3" w:rsidP="003F26FD">
      <w:pPr>
        <w:pStyle w:val="Prrafodelista"/>
        <w:spacing w:after="0" w:line="216" w:lineRule="auto"/>
        <w:ind w:left="-142" w:right="-174"/>
        <w:rPr>
          <w:rFonts w:ascii="Verdana" w:hAnsi="Verdana"/>
          <w:w w:val="95"/>
          <w:sz w:val="20"/>
          <w:szCs w:val="20"/>
        </w:rPr>
      </w:pPr>
    </w:p>
    <w:p w:rsidR="00DF15C3" w:rsidRPr="00473D8B" w:rsidRDefault="00DF15C3" w:rsidP="003F26FD">
      <w:pPr>
        <w:pStyle w:val="Prrafodelista"/>
        <w:numPr>
          <w:ilvl w:val="0"/>
          <w:numId w:val="17"/>
        </w:numPr>
        <w:spacing w:after="0" w:line="216" w:lineRule="auto"/>
        <w:ind w:left="-142" w:right="-174" w:firstLine="0"/>
        <w:jc w:val="both"/>
        <w:rPr>
          <w:rFonts w:ascii="Verdana" w:eastAsia="Calibri" w:hAnsi="Verdana"/>
          <w:w w:val="95"/>
          <w:sz w:val="20"/>
          <w:szCs w:val="20"/>
          <w:lang w:val="es-ES_tradnl"/>
        </w:rPr>
      </w:pPr>
      <w:r w:rsidRPr="002B1610">
        <w:rPr>
          <w:rFonts w:ascii="Verdana" w:hAnsi="Verdana"/>
          <w:w w:val="95"/>
          <w:sz w:val="20"/>
          <w:szCs w:val="20"/>
          <w:lang w:val="es-CR"/>
        </w:rPr>
        <w:t>La Corte nota que la representante aduj</w:t>
      </w:r>
      <w:r w:rsidR="00030315">
        <w:rPr>
          <w:rFonts w:ascii="Verdana" w:hAnsi="Verdana"/>
          <w:w w:val="95"/>
          <w:sz w:val="20"/>
          <w:szCs w:val="20"/>
          <w:lang w:val="es-CR"/>
        </w:rPr>
        <w:t>o</w:t>
      </w:r>
      <w:r w:rsidRPr="002B1610">
        <w:rPr>
          <w:rFonts w:ascii="Verdana" w:hAnsi="Verdana"/>
          <w:w w:val="95"/>
          <w:sz w:val="20"/>
          <w:szCs w:val="20"/>
          <w:lang w:val="es-CR"/>
        </w:rPr>
        <w:t xml:space="preserve">, </w:t>
      </w:r>
      <w:r w:rsidRPr="002B1610">
        <w:rPr>
          <w:rFonts w:ascii="Verdana" w:hAnsi="Verdana"/>
          <w:i/>
          <w:w w:val="95"/>
          <w:sz w:val="20"/>
          <w:szCs w:val="20"/>
          <w:lang w:val="es-CR"/>
        </w:rPr>
        <w:t>inter alia</w:t>
      </w:r>
      <w:r w:rsidRPr="002B1610">
        <w:rPr>
          <w:rFonts w:ascii="Verdana" w:hAnsi="Verdana"/>
          <w:w w:val="95"/>
          <w:sz w:val="20"/>
          <w:szCs w:val="20"/>
          <w:lang w:val="es-CR"/>
        </w:rPr>
        <w:t>, la inobservancia del artíc</w:t>
      </w:r>
      <w:r w:rsidR="00F0030C">
        <w:rPr>
          <w:rFonts w:ascii="Verdana" w:hAnsi="Verdana"/>
          <w:w w:val="95"/>
          <w:sz w:val="20"/>
          <w:szCs w:val="20"/>
          <w:lang w:val="es-CR"/>
        </w:rPr>
        <w:t>ulo 2 de la Convención American</w:t>
      </w:r>
      <w:r w:rsidRPr="002B1610">
        <w:rPr>
          <w:rStyle w:val="Refdenotaalpie"/>
          <w:rFonts w:ascii="Verdana" w:hAnsi="Verdana"/>
          <w:w w:val="95"/>
          <w:sz w:val="20"/>
          <w:szCs w:val="20"/>
          <w:lang w:val="es-CR"/>
        </w:rPr>
        <w:footnoteReference w:id="209"/>
      </w:r>
      <w:r w:rsidRPr="002B1610">
        <w:rPr>
          <w:rFonts w:ascii="Verdana" w:hAnsi="Verdana"/>
          <w:w w:val="95"/>
          <w:sz w:val="20"/>
          <w:szCs w:val="20"/>
          <w:lang w:val="es-CR"/>
        </w:rPr>
        <w:t>. Dicha norma no fue señalada como violada por la Comisión Interamericana en su escrito de sometimiento ni en el Informe de Fondo. Al respecto, la Corte reitera que “</w:t>
      </w:r>
      <w:r w:rsidRPr="002B1610">
        <w:rPr>
          <w:rFonts w:ascii="Verdana" w:eastAsia="Calibri" w:hAnsi="Verdana"/>
          <w:w w:val="95"/>
          <w:sz w:val="20"/>
          <w:szCs w:val="20"/>
          <w:lang w:val="es-ES_tradnl"/>
        </w:rPr>
        <w:t>las presuntas víctimas o sus representantes pueden invocar derechos distintos de los comprendidos por la Comisión, sobre la base de los hechos presentados por ésta</w:t>
      </w:r>
      <w:r w:rsidRPr="002B1610">
        <w:rPr>
          <w:rFonts w:ascii="Verdana" w:hAnsi="Verdana"/>
          <w:w w:val="95"/>
          <w:sz w:val="20"/>
          <w:szCs w:val="20"/>
          <w:lang w:val="es-ES_tradnl"/>
        </w:rPr>
        <w:t>”</w:t>
      </w:r>
      <w:r w:rsidRPr="002B1610">
        <w:rPr>
          <w:rFonts w:ascii="Verdana" w:eastAsia="Calibri" w:hAnsi="Verdana"/>
          <w:w w:val="95"/>
          <w:sz w:val="20"/>
          <w:szCs w:val="20"/>
          <w:vertAlign w:val="superscript"/>
          <w:lang w:val="es-ES_tradnl"/>
        </w:rPr>
        <w:footnoteReference w:id="210"/>
      </w:r>
      <w:r w:rsidRPr="002B1610">
        <w:rPr>
          <w:rFonts w:ascii="Verdana" w:eastAsia="Calibri" w:hAnsi="Verdana"/>
          <w:w w:val="95"/>
          <w:sz w:val="20"/>
          <w:szCs w:val="20"/>
          <w:lang w:val="es-ES_tradnl"/>
        </w:rPr>
        <w:t>. Por otra parte, la representante aleg</w:t>
      </w:r>
      <w:r w:rsidR="00030315">
        <w:rPr>
          <w:rFonts w:ascii="Verdana" w:eastAsia="Calibri" w:hAnsi="Verdana"/>
          <w:w w:val="95"/>
          <w:sz w:val="20"/>
          <w:szCs w:val="20"/>
          <w:lang w:val="es-ES_tradnl"/>
        </w:rPr>
        <w:t>ó</w:t>
      </w:r>
      <w:r w:rsidRPr="002B1610">
        <w:rPr>
          <w:rFonts w:ascii="Verdana" w:eastAsia="Calibri" w:hAnsi="Verdana"/>
          <w:w w:val="95"/>
          <w:sz w:val="20"/>
          <w:szCs w:val="20"/>
          <w:lang w:val="es-ES_tradnl"/>
        </w:rPr>
        <w:t xml:space="preserve"> </w:t>
      </w:r>
      <w:r w:rsidRPr="002B1610">
        <w:rPr>
          <w:rFonts w:ascii="Verdana" w:hAnsi="Verdana"/>
          <w:w w:val="95"/>
          <w:sz w:val="20"/>
          <w:szCs w:val="20"/>
          <w:lang w:val="es-CR"/>
        </w:rPr>
        <w:t xml:space="preserve">la vulneración de los derechos a la </w:t>
      </w:r>
      <w:r w:rsidR="00B84F33" w:rsidRPr="00315B30">
        <w:rPr>
          <w:rFonts w:ascii="Verdana" w:hAnsi="Verdana"/>
          <w:w w:val="95"/>
          <w:sz w:val="20"/>
          <w:szCs w:val="20"/>
          <w:lang w:val="es-CR"/>
        </w:rPr>
        <w:t xml:space="preserve">integridad </w:t>
      </w:r>
      <w:r w:rsidR="00E75669" w:rsidRPr="00315B30">
        <w:rPr>
          <w:rFonts w:ascii="Verdana" w:hAnsi="Verdana"/>
          <w:w w:val="95"/>
          <w:sz w:val="20"/>
          <w:szCs w:val="20"/>
          <w:lang w:val="es-CR"/>
        </w:rPr>
        <w:t>y</w:t>
      </w:r>
      <w:r w:rsidRPr="00315B30">
        <w:rPr>
          <w:rFonts w:ascii="Verdana" w:hAnsi="Verdana"/>
          <w:w w:val="95"/>
          <w:sz w:val="20"/>
          <w:szCs w:val="20"/>
          <w:lang w:val="es-CR"/>
        </w:rPr>
        <w:t xml:space="preserve"> libertad personal</w:t>
      </w:r>
      <w:r w:rsidR="00E75669" w:rsidRPr="00315B30">
        <w:rPr>
          <w:rFonts w:ascii="Verdana" w:hAnsi="Verdana"/>
          <w:w w:val="95"/>
          <w:sz w:val="20"/>
          <w:szCs w:val="20"/>
          <w:lang w:val="es-CR"/>
        </w:rPr>
        <w:t>es</w:t>
      </w:r>
      <w:r w:rsidRPr="00315B30">
        <w:rPr>
          <w:rFonts w:ascii="Verdana" w:hAnsi="Verdana"/>
          <w:w w:val="95"/>
          <w:sz w:val="20"/>
          <w:szCs w:val="20"/>
          <w:lang w:val="es-CR"/>
        </w:rPr>
        <w:t xml:space="preserve">, </w:t>
      </w:r>
      <w:r w:rsidRPr="002B1610">
        <w:rPr>
          <w:rFonts w:ascii="Verdana" w:hAnsi="Verdana"/>
          <w:w w:val="95"/>
          <w:sz w:val="20"/>
          <w:szCs w:val="20"/>
          <w:lang w:val="es-CR"/>
        </w:rPr>
        <w:t>recogidos, respectivamente, en los artículos 5 y 7 de la Convención Americana</w:t>
      </w:r>
      <w:r w:rsidRPr="002B1610">
        <w:rPr>
          <w:rStyle w:val="Refdenotaalpie"/>
          <w:rFonts w:ascii="Verdana" w:hAnsi="Verdana"/>
          <w:w w:val="95"/>
          <w:sz w:val="20"/>
          <w:szCs w:val="20"/>
          <w:lang w:val="es-CR"/>
        </w:rPr>
        <w:footnoteReference w:id="211"/>
      </w:r>
      <w:r w:rsidRPr="002B1610">
        <w:rPr>
          <w:rFonts w:ascii="Verdana" w:hAnsi="Verdana"/>
          <w:w w:val="95"/>
          <w:sz w:val="20"/>
          <w:szCs w:val="20"/>
          <w:lang w:val="es-CR"/>
        </w:rPr>
        <w:t>, en perjuicio de María Isabel</w:t>
      </w:r>
      <w:r>
        <w:rPr>
          <w:rFonts w:ascii="Verdana" w:hAnsi="Verdana"/>
          <w:w w:val="95"/>
          <w:sz w:val="20"/>
          <w:szCs w:val="20"/>
          <w:lang w:val="es-CR"/>
        </w:rPr>
        <w:t xml:space="preserve"> Veliz</w:t>
      </w:r>
      <w:r w:rsidRPr="002B1610">
        <w:rPr>
          <w:rFonts w:ascii="Verdana" w:hAnsi="Verdana"/>
          <w:w w:val="95"/>
          <w:sz w:val="20"/>
          <w:szCs w:val="20"/>
          <w:lang w:val="es-CR"/>
        </w:rPr>
        <w:t xml:space="preserve"> Franco. </w:t>
      </w:r>
      <w:r w:rsidRPr="002B1610">
        <w:rPr>
          <w:rFonts w:ascii="Verdana" w:eastAsia="Calibri" w:hAnsi="Verdana"/>
          <w:w w:val="95"/>
          <w:sz w:val="20"/>
          <w:szCs w:val="20"/>
          <w:lang w:val="es-ES_tradnl"/>
        </w:rPr>
        <w:t>La Corte advierte que la petición inicial presentada ante la Comisión, en lo atinente a la aducida violación de ambas normas en perjuicio de la niña, había</w:t>
      </w:r>
      <w:r>
        <w:rPr>
          <w:rFonts w:ascii="Verdana" w:eastAsia="Calibri" w:hAnsi="Verdana"/>
          <w:w w:val="95"/>
          <w:sz w:val="20"/>
          <w:szCs w:val="20"/>
          <w:lang w:val="es-ES_tradnl"/>
        </w:rPr>
        <w:t>n</w:t>
      </w:r>
      <w:r w:rsidRPr="002B1610">
        <w:rPr>
          <w:rFonts w:ascii="Verdana" w:eastAsia="Calibri" w:hAnsi="Verdana"/>
          <w:w w:val="95"/>
          <w:sz w:val="20"/>
          <w:szCs w:val="20"/>
          <w:lang w:val="es-ES_tradnl"/>
        </w:rPr>
        <w:t xml:space="preserve"> sido declarada</w:t>
      </w:r>
      <w:r>
        <w:rPr>
          <w:rFonts w:ascii="Verdana" w:eastAsia="Calibri" w:hAnsi="Verdana"/>
          <w:w w:val="95"/>
          <w:sz w:val="20"/>
          <w:szCs w:val="20"/>
          <w:lang w:val="es-ES_tradnl"/>
        </w:rPr>
        <w:t>s</w:t>
      </w:r>
      <w:r w:rsidRPr="002B1610">
        <w:rPr>
          <w:rFonts w:ascii="Verdana" w:eastAsia="Calibri" w:hAnsi="Verdana"/>
          <w:w w:val="95"/>
          <w:sz w:val="20"/>
          <w:szCs w:val="20"/>
          <w:lang w:val="es-ES_tradnl"/>
        </w:rPr>
        <w:t xml:space="preserve"> inadmisible</w:t>
      </w:r>
      <w:r>
        <w:rPr>
          <w:rFonts w:ascii="Verdana" w:eastAsia="Calibri" w:hAnsi="Verdana"/>
          <w:w w:val="95"/>
          <w:sz w:val="20"/>
          <w:szCs w:val="20"/>
          <w:lang w:val="es-ES_tradnl"/>
        </w:rPr>
        <w:t>s</w:t>
      </w:r>
      <w:r w:rsidRPr="002B1610">
        <w:rPr>
          <w:rFonts w:ascii="Verdana" w:eastAsia="Calibri" w:hAnsi="Verdana"/>
          <w:w w:val="95"/>
          <w:sz w:val="20"/>
          <w:szCs w:val="20"/>
          <w:lang w:val="es-ES_tradnl"/>
        </w:rPr>
        <w:t xml:space="preserve"> en el Informe de Admisibilidad del caso. No obstante, dicha inadmisión se hizo sobre la base de una apreciación </w:t>
      </w:r>
      <w:r w:rsidRPr="002B1610">
        <w:rPr>
          <w:rFonts w:ascii="Verdana" w:eastAsia="Calibri" w:hAnsi="Verdana"/>
          <w:i/>
          <w:w w:val="95"/>
          <w:sz w:val="20"/>
          <w:szCs w:val="20"/>
          <w:lang w:val="es-ES_tradnl"/>
        </w:rPr>
        <w:t>prima facie</w:t>
      </w:r>
      <w:r w:rsidRPr="002B1610">
        <w:rPr>
          <w:rFonts w:ascii="Verdana" w:eastAsia="Calibri" w:hAnsi="Verdana"/>
          <w:w w:val="95"/>
          <w:sz w:val="20"/>
          <w:szCs w:val="20"/>
          <w:lang w:val="es-ES_tradnl"/>
        </w:rPr>
        <w:t xml:space="preserve"> de los hechos por parte de la Comisión. Luego, en el Informe de Fondo, aunque no se consideró vulnerado el citado artículo 7 en perjuicio de María Isabel, sí se concluyó que ella fue víctima de la transgresión del referido artículo 5. En el presente caso, dados los fundamentos expresados por la Comisión en el Informe de Admisibilidad, es procedente que la Corte analice la alegada inobservancia de las normas indicadas</w:t>
      </w:r>
      <w:r w:rsidRPr="002B1610">
        <w:rPr>
          <w:rStyle w:val="Refdenotaalpie"/>
          <w:rFonts w:ascii="Verdana" w:eastAsia="Calibri" w:hAnsi="Verdana"/>
          <w:w w:val="95"/>
          <w:sz w:val="20"/>
          <w:szCs w:val="20"/>
          <w:lang w:val="es-ES_tradnl"/>
        </w:rPr>
        <w:footnoteReference w:id="212"/>
      </w:r>
      <w:r w:rsidRPr="002B1610">
        <w:rPr>
          <w:rFonts w:ascii="Verdana" w:eastAsia="Calibri" w:hAnsi="Verdana"/>
          <w:w w:val="95"/>
          <w:sz w:val="20"/>
          <w:szCs w:val="20"/>
          <w:lang w:val="es-ES_tradnl"/>
        </w:rPr>
        <w:t>. Al respecto, l</w:t>
      </w:r>
      <w:r w:rsidRPr="002B1610">
        <w:rPr>
          <w:rFonts w:ascii="Verdana" w:eastAsia="Calibri" w:hAnsi="Verdana"/>
          <w:w w:val="95"/>
          <w:sz w:val="20"/>
          <w:szCs w:val="20"/>
          <w:lang w:val="es-CR"/>
        </w:rPr>
        <w:t>a Corte estima pertinente realizar un análisis conjunto de las</w:t>
      </w:r>
      <w:r w:rsidRPr="00AA5F26">
        <w:rPr>
          <w:rFonts w:ascii="Verdana" w:eastAsia="Calibri" w:hAnsi="Verdana"/>
          <w:w w:val="95"/>
          <w:sz w:val="20"/>
          <w:szCs w:val="20"/>
          <w:lang w:val="es-CR"/>
        </w:rPr>
        <w:t xml:space="preserve"> </w:t>
      </w:r>
      <w:r w:rsidRPr="006E501B">
        <w:rPr>
          <w:rFonts w:ascii="Verdana" w:eastAsia="Calibri" w:hAnsi="Verdana"/>
          <w:w w:val="95"/>
          <w:sz w:val="20"/>
          <w:szCs w:val="20"/>
          <w:lang w:val="es-CR"/>
        </w:rPr>
        <w:t>alegadas</w:t>
      </w:r>
      <w:r w:rsidRPr="002B1610">
        <w:rPr>
          <w:rFonts w:ascii="Verdana" w:eastAsia="Calibri" w:hAnsi="Verdana"/>
          <w:w w:val="95"/>
          <w:sz w:val="20"/>
          <w:szCs w:val="20"/>
          <w:lang w:val="es-CR"/>
        </w:rPr>
        <w:t xml:space="preserve"> violaciones a los derechos a la vida</w:t>
      </w:r>
      <w:r w:rsidRPr="009675E6">
        <w:rPr>
          <w:rStyle w:val="Refdenotaalpie"/>
          <w:rFonts w:ascii="Verdana" w:eastAsia="Calibri" w:hAnsi="Verdana"/>
          <w:w w:val="95"/>
          <w:sz w:val="20"/>
          <w:szCs w:val="20"/>
          <w:lang w:val="es-CR"/>
        </w:rPr>
        <w:footnoteReference w:id="213"/>
      </w:r>
      <w:r w:rsidRPr="002B1610">
        <w:rPr>
          <w:rFonts w:ascii="Verdana" w:eastAsia="Calibri" w:hAnsi="Verdana"/>
          <w:w w:val="95"/>
          <w:sz w:val="20"/>
          <w:szCs w:val="20"/>
          <w:lang w:val="es-CR"/>
        </w:rPr>
        <w:t>, integridad personal y libertad personal, en relación con los derechos del niño</w:t>
      </w:r>
      <w:r w:rsidRPr="002B1610">
        <w:rPr>
          <w:rStyle w:val="Refdenotaalpie"/>
          <w:rFonts w:ascii="Verdana" w:eastAsia="Calibri" w:hAnsi="Verdana"/>
          <w:w w:val="95"/>
          <w:sz w:val="20"/>
          <w:szCs w:val="20"/>
          <w:lang w:val="es-CR"/>
        </w:rPr>
        <w:footnoteReference w:id="214"/>
      </w:r>
      <w:r w:rsidRPr="002B1610">
        <w:rPr>
          <w:rFonts w:ascii="Verdana" w:eastAsia="Calibri" w:hAnsi="Verdana"/>
          <w:w w:val="95"/>
          <w:sz w:val="20"/>
          <w:szCs w:val="20"/>
          <w:lang w:val="es-CR"/>
        </w:rPr>
        <w:t>, el derecho a la igual protección de la ley</w:t>
      </w:r>
      <w:r w:rsidRPr="002B1610">
        <w:rPr>
          <w:rStyle w:val="Refdenotaalpie"/>
          <w:rFonts w:ascii="Verdana" w:eastAsia="Calibri" w:hAnsi="Verdana"/>
          <w:w w:val="95"/>
          <w:sz w:val="20"/>
          <w:szCs w:val="20"/>
          <w:lang w:val="es-CR"/>
        </w:rPr>
        <w:footnoteReference w:id="215"/>
      </w:r>
      <w:r w:rsidRPr="002B1610">
        <w:rPr>
          <w:rFonts w:ascii="Verdana" w:eastAsia="Calibri" w:hAnsi="Verdana"/>
          <w:w w:val="95"/>
          <w:sz w:val="20"/>
          <w:szCs w:val="20"/>
          <w:lang w:val="es-CR"/>
        </w:rPr>
        <w:t>, y las obligaciones de garantizar los derechos sin discriminación</w:t>
      </w:r>
      <w:r w:rsidRPr="002B1610">
        <w:rPr>
          <w:rStyle w:val="Refdenotaalpie"/>
          <w:rFonts w:ascii="Verdana" w:eastAsia="Calibri" w:hAnsi="Verdana"/>
          <w:w w:val="95"/>
          <w:sz w:val="20"/>
          <w:szCs w:val="20"/>
          <w:lang w:val="es-CR"/>
        </w:rPr>
        <w:footnoteReference w:id="216"/>
      </w:r>
      <w:r w:rsidRPr="002B1610">
        <w:rPr>
          <w:rFonts w:ascii="Verdana" w:eastAsia="Calibri" w:hAnsi="Verdana"/>
          <w:w w:val="95"/>
          <w:sz w:val="20"/>
          <w:szCs w:val="20"/>
          <w:lang w:val="es-CR"/>
        </w:rPr>
        <w:t xml:space="preserve">, adoptar disposiciones de derecho interno y </w:t>
      </w:r>
      <w:r>
        <w:rPr>
          <w:rFonts w:ascii="Verdana" w:eastAsia="Calibri" w:hAnsi="Verdana"/>
          <w:w w:val="95"/>
          <w:sz w:val="20"/>
          <w:szCs w:val="20"/>
          <w:lang w:val="es-CR"/>
        </w:rPr>
        <w:t>prevenir, sancionar y erradicar</w:t>
      </w:r>
      <w:r w:rsidRPr="002B1610">
        <w:rPr>
          <w:rFonts w:ascii="Verdana" w:eastAsia="Calibri" w:hAnsi="Verdana"/>
          <w:w w:val="95"/>
          <w:sz w:val="20"/>
          <w:szCs w:val="20"/>
          <w:lang w:val="es-CR"/>
        </w:rPr>
        <w:t xml:space="preserve"> la violencia contra la mujer</w:t>
      </w:r>
      <w:r w:rsidRPr="002B1610">
        <w:rPr>
          <w:rStyle w:val="Refdenotaalpie"/>
          <w:rFonts w:ascii="Verdana" w:eastAsia="Calibri" w:hAnsi="Verdana"/>
          <w:w w:val="95"/>
          <w:sz w:val="20"/>
          <w:szCs w:val="20"/>
          <w:lang w:val="es-CR"/>
        </w:rPr>
        <w:footnoteReference w:id="217"/>
      </w:r>
      <w:r w:rsidRPr="002B1610">
        <w:rPr>
          <w:rFonts w:ascii="Verdana" w:eastAsia="Calibri" w:hAnsi="Verdana"/>
          <w:w w:val="95"/>
          <w:sz w:val="20"/>
          <w:szCs w:val="20"/>
          <w:lang w:val="es-CR"/>
        </w:rPr>
        <w:t xml:space="preserve">. Ello, en razón de que las circunstancias propias de los hechos ocurridos en este caso </w:t>
      </w:r>
      <w:r w:rsidRPr="002B1610">
        <w:rPr>
          <w:rFonts w:ascii="Verdana" w:eastAsia="Calibri" w:hAnsi="Verdana"/>
          <w:w w:val="95"/>
          <w:sz w:val="20"/>
          <w:szCs w:val="20"/>
          <w:lang w:val="es-CR"/>
        </w:rPr>
        <w:lastRenderedPageBreak/>
        <w:t xml:space="preserve">evidencian la interrelación de las aducidas afectaciones a diversos derechos y obligaciones, haciendo conveniente un examen conjunto. </w:t>
      </w:r>
    </w:p>
    <w:p w:rsidR="00DF15C3" w:rsidRPr="002B1610" w:rsidRDefault="00DF15C3" w:rsidP="003F26FD">
      <w:pPr>
        <w:pStyle w:val="Prrafodelista"/>
        <w:spacing w:after="0" w:line="216" w:lineRule="auto"/>
        <w:ind w:left="-142" w:right="-174"/>
        <w:jc w:val="both"/>
        <w:rPr>
          <w:rFonts w:ascii="Verdana" w:eastAsia="Calibri" w:hAnsi="Verdana"/>
          <w:w w:val="95"/>
          <w:sz w:val="20"/>
          <w:szCs w:val="20"/>
          <w:lang w:val="es-ES_tradnl"/>
        </w:rPr>
      </w:pPr>
    </w:p>
    <w:p w:rsidR="00DF15C3" w:rsidRPr="00B35D7D" w:rsidRDefault="00DF15C3" w:rsidP="003F26FD">
      <w:pPr>
        <w:pStyle w:val="Prrafodelista"/>
        <w:spacing w:after="0" w:line="216" w:lineRule="auto"/>
        <w:ind w:left="567" w:right="-174"/>
        <w:outlineLvl w:val="2"/>
        <w:rPr>
          <w:rFonts w:ascii="Verdana" w:eastAsia="Calibri" w:hAnsi="Verdana"/>
          <w:b/>
          <w:i/>
          <w:w w:val="95"/>
          <w:sz w:val="20"/>
          <w:szCs w:val="20"/>
          <w:lang w:val="es-ES_tradnl"/>
        </w:rPr>
      </w:pPr>
      <w:bookmarkStart w:id="83" w:name="_Toc394313671"/>
      <w:r w:rsidRPr="002B1610">
        <w:rPr>
          <w:rFonts w:ascii="Verdana" w:eastAsia="Calibri" w:hAnsi="Verdana"/>
          <w:b/>
          <w:i/>
          <w:w w:val="95"/>
          <w:sz w:val="20"/>
          <w:szCs w:val="20"/>
          <w:lang w:val="es-ES_tradnl"/>
        </w:rPr>
        <w:t>B.1) Obligaci</w:t>
      </w:r>
      <w:r>
        <w:rPr>
          <w:rFonts w:ascii="Verdana" w:eastAsia="Calibri" w:hAnsi="Verdana"/>
          <w:b/>
          <w:i/>
          <w:w w:val="95"/>
          <w:sz w:val="20"/>
          <w:szCs w:val="20"/>
          <w:lang w:val="es-ES_tradnl"/>
        </w:rPr>
        <w:t>o</w:t>
      </w:r>
      <w:r w:rsidRPr="002B1610">
        <w:rPr>
          <w:rFonts w:ascii="Verdana" w:eastAsia="Calibri" w:hAnsi="Verdana"/>
          <w:b/>
          <w:i/>
          <w:w w:val="95"/>
          <w:sz w:val="20"/>
          <w:szCs w:val="20"/>
          <w:lang w:val="es-ES_tradnl"/>
        </w:rPr>
        <w:t>n</w:t>
      </w:r>
      <w:r>
        <w:rPr>
          <w:rFonts w:ascii="Verdana" w:eastAsia="Calibri" w:hAnsi="Verdana"/>
          <w:b/>
          <w:i/>
          <w:w w:val="95"/>
          <w:sz w:val="20"/>
          <w:szCs w:val="20"/>
          <w:lang w:val="es-ES_tradnl"/>
        </w:rPr>
        <w:t>es</w:t>
      </w:r>
      <w:r w:rsidRPr="002B1610">
        <w:rPr>
          <w:rFonts w:ascii="Verdana" w:eastAsia="Calibri" w:hAnsi="Verdana"/>
          <w:b/>
          <w:i/>
          <w:w w:val="95"/>
          <w:sz w:val="20"/>
          <w:szCs w:val="20"/>
          <w:lang w:val="es-ES_tradnl"/>
        </w:rPr>
        <w:t xml:space="preserve"> de garantía</w:t>
      </w:r>
      <w:bookmarkEnd w:id="83"/>
    </w:p>
    <w:p w:rsidR="00DF15C3" w:rsidRPr="002B1610" w:rsidRDefault="00DF15C3" w:rsidP="003F26FD">
      <w:pPr>
        <w:pStyle w:val="Prrafodelista"/>
        <w:spacing w:after="0" w:line="216" w:lineRule="auto"/>
        <w:ind w:left="-142" w:right="-174"/>
        <w:jc w:val="both"/>
        <w:rPr>
          <w:rFonts w:ascii="Verdana" w:hAnsi="Verdana"/>
          <w:bCs/>
          <w:w w:val="95"/>
          <w:sz w:val="20"/>
          <w:szCs w:val="20"/>
          <w:lang w:val="es-CR"/>
        </w:rPr>
      </w:pPr>
    </w:p>
    <w:p w:rsidR="00DF15C3" w:rsidRPr="002B1610" w:rsidRDefault="004360A9" w:rsidP="003F26FD">
      <w:pPr>
        <w:pStyle w:val="Prrafodelista"/>
        <w:numPr>
          <w:ilvl w:val="0"/>
          <w:numId w:val="17"/>
        </w:numPr>
        <w:spacing w:after="0" w:line="216" w:lineRule="auto"/>
        <w:ind w:left="-142" w:right="-174" w:firstLine="0"/>
        <w:jc w:val="both"/>
        <w:rPr>
          <w:rFonts w:ascii="Verdana" w:hAnsi="Verdana"/>
          <w:bCs/>
          <w:w w:val="95"/>
          <w:sz w:val="20"/>
          <w:szCs w:val="20"/>
          <w:lang w:val="es-CR"/>
        </w:rPr>
      </w:pPr>
      <w:r>
        <w:rPr>
          <w:rFonts w:ascii="Verdana" w:hAnsi="Verdana"/>
          <w:w w:val="95"/>
          <w:sz w:val="20"/>
          <w:szCs w:val="20"/>
          <w:lang w:val="es-CR"/>
        </w:rPr>
        <w:t>De conformidad con</w:t>
      </w:r>
      <w:r w:rsidR="00DF15C3" w:rsidRPr="002B1610">
        <w:rPr>
          <w:rFonts w:ascii="Verdana" w:hAnsi="Verdana"/>
          <w:w w:val="95"/>
          <w:sz w:val="20"/>
          <w:szCs w:val="20"/>
          <w:lang w:val="es-CR"/>
        </w:rPr>
        <w:t xml:space="preserve"> las características del caso </w:t>
      </w:r>
      <w:r w:rsidR="00DF15C3" w:rsidRPr="002B1610">
        <w:rPr>
          <w:rFonts w:ascii="Verdana" w:hAnsi="Verdana"/>
          <w:i/>
          <w:w w:val="95"/>
          <w:sz w:val="20"/>
          <w:szCs w:val="20"/>
          <w:lang w:val="es-CR"/>
        </w:rPr>
        <w:t>sub examine</w:t>
      </w:r>
      <w:r w:rsidR="00DF15C3" w:rsidRPr="002B1610">
        <w:rPr>
          <w:rFonts w:ascii="Verdana" w:hAnsi="Verdana"/>
          <w:w w:val="95"/>
          <w:sz w:val="20"/>
          <w:szCs w:val="20"/>
          <w:lang w:val="es-CR"/>
        </w:rPr>
        <w:t xml:space="preserve">, debe señalarse que, en relación con niñas, los derechos y obligaciones antedichos deben observarse en el marco del acatamiento del artículo 19 de la Convención Americana y, siendo pertinente, atendiendo a lo dispuesto en la Convención de Belém do Pará. El artículo 19 </w:t>
      </w:r>
      <w:r w:rsidR="00DF15C3">
        <w:rPr>
          <w:rFonts w:ascii="Verdana" w:hAnsi="Verdana"/>
          <w:w w:val="95"/>
          <w:sz w:val="20"/>
          <w:szCs w:val="20"/>
          <w:lang w:val="es-CR"/>
        </w:rPr>
        <w:t xml:space="preserve">de la Convención </w:t>
      </w:r>
      <w:r w:rsidR="00DF15C3" w:rsidRPr="002B1610">
        <w:rPr>
          <w:rFonts w:ascii="Verdana" w:hAnsi="Verdana"/>
          <w:w w:val="95"/>
          <w:sz w:val="20"/>
          <w:szCs w:val="20"/>
          <w:lang w:val="es-CR"/>
        </w:rPr>
        <w:t>establece, como se ha dicho en otras oportunidades, el derec</w:t>
      </w:r>
      <w:r w:rsidR="000355DF">
        <w:rPr>
          <w:rFonts w:ascii="Verdana" w:hAnsi="Verdana"/>
          <w:w w:val="95"/>
          <w:sz w:val="20"/>
          <w:szCs w:val="20"/>
          <w:lang w:val="es-CR"/>
        </w:rPr>
        <w:t xml:space="preserve">ho de “[l]os niños y las niñas </w:t>
      </w:r>
      <w:r w:rsidR="00DF15C3" w:rsidRPr="002B1610">
        <w:rPr>
          <w:rFonts w:ascii="Verdana" w:hAnsi="Verdana"/>
          <w:w w:val="95"/>
          <w:sz w:val="20"/>
          <w:szCs w:val="20"/>
          <w:lang w:val="es-CR"/>
        </w:rPr>
        <w:t>a […] medidas especiales d</w:t>
      </w:r>
      <w:r w:rsidR="000355DF">
        <w:rPr>
          <w:rFonts w:ascii="Verdana" w:hAnsi="Verdana"/>
          <w:w w:val="95"/>
          <w:sz w:val="20"/>
          <w:szCs w:val="20"/>
          <w:lang w:val="es-CR"/>
        </w:rPr>
        <w:t xml:space="preserve">e protección </w:t>
      </w:r>
      <w:r w:rsidR="00DF15C3" w:rsidRPr="002B1610">
        <w:rPr>
          <w:rFonts w:ascii="Verdana" w:hAnsi="Verdana"/>
          <w:w w:val="95"/>
          <w:sz w:val="20"/>
          <w:szCs w:val="20"/>
          <w:lang w:val="es-CR"/>
        </w:rPr>
        <w:t>[que] deben ser definidas según las circunstancias particulares de cada caso concreto”</w:t>
      </w:r>
      <w:r w:rsidR="00DF15C3" w:rsidRPr="002B1610">
        <w:rPr>
          <w:rStyle w:val="Refdenotaalpie"/>
          <w:rFonts w:ascii="Verdana" w:hAnsi="Verdana"/>
          <w:w w:val="95"/>
          <w:sz w:val="20"/>
        </w:rPr>
        <w:footnoteReference w:id="218"/>
      </w:r>
      <w:r w:rsidR="00DF15C3" w:rsidRPr="002B1610">
        <w:rPr>
          <w:rFonts w:ascii="Verdana" w:hAnsi="Verdana"/>
          <w:w w:val="95"/>
          <w:sz w:val="20"/>
          <w:szCs w:val="20"/>
          <w:lang w:val="es-CR"/>
        </w:rPr>
        <w:t>. El Tribunal ha indicado, asimismo, que “[l]a adopción de [tales] medidas […] corresponde tanto al Estado como a la familia, la comunidad y la sociedad a la que [el niño o la niña] pertenece”</w:t>
      </w:r>
      <w:r w:rsidR="00DF15C3" w:rsidRPr="002B1610">
        <w:rPr>
          <w:rStyle w:val="Refdenotaalpie"/>
          <w:rFonts w:ascii="Verdana" w:hAnsi="Verdana"/>
          <w:w w:val="95"/>
          <w:sz w:val="20"/>
        </w:rPr>
        <w:footnoteReference w:id="219"/>
      </w:r>
      <w:r w:rsidR="00DF15C3">
        <w:rPr>
          <w:rFonts w:ascii="Verdana" w:hAnsi="Verdana"/>
          <w:w w:val="95"/>
          <w:sz w:val="20"/>
          <w:szCs w:val="20"/>
          <w:lang w:val="es-CR"/>
        </w:rPr>
        <w:t xml:space="preserve">. </w:t>
      </w:r>
      <w:r w:rsidR="00DF15C3" w:rsidRPr="002B1610">
        <w:rPr>
          <w:rFonts w:ascii="Verdana" w:hAnsi="Verdana"/>
          <w:w w:val="95"/>
          <w:sz w:val="20"/>
          <w:szCs w:val="20"/>
          <w:lang w:val="es-CR"/>
        </w:rPr>
        <w:t>Además, la Corte ha “reitera[do] que revisten especial gravedad los casos en los cuales las víctimas de violaciones a derechos humanos son niñas y niños”</w:t>
      </w:r>
      <w:r w:rsidR="00DF15C3" w:rsidRPr="002B1610">
        <w:rPr>
          <w:rStyle w:val="Refdenotaalpie"/>
          <w:rFonts w:ascii="Verdana" w:hAnsi="Verdana"/>
          <w:w w:val="95"/>
          <w:sz w:val="20"/>
        </w:rPr>
        <w:footnoteReference w:id="220"/>
      </w:r>
      <w:r w:rsidR="00DF15C3" w:rsidRPr="002B1610">
        <w:rPr>
          <w:rFonts w:ascii="Verdana" w:hAnsi="Verdana"/>
          <w:w w:val="95"/>
          <w:sz w:val="20"/>
          <w:szCs w:val="20"/>
          <w:lang w:val="es-CR"/>
        </w:rPr>
        <w:t>, quienes, “[e]n razón de su nivel de desarrollo y vulnerabilidad, requieren protección que garantice el ejercicio de sus derechos dentro de la familia, de la sociedad y con respecto al Estado”</w:t>
      </w:r>
      <w:r w:rsidR="00DF15C3" w:rsidRPr="002B1610">
        <w:rPr>
          <w:rStyle w:val="Refdenotaalpie"/>
          <w:rFonts w:ascii="Verdana" w:hAnsi="Verdana"/>
          <w:w w:val="95"/>
          <w:sz w:val="20"/>
        </w:rPr>
        <w:footnoteReference w:id="221"/>
      </w:r>
      <w:r w:rsidR="00DF15C3" w:rsidRPr="002B1610">
        <w:rPr>
          <w:rFonts w:ascii="Verdana" w:hAnsi="Verdana"/>
          <w:w w:val="95"/>
          <w:sz w:val="20"/>
          <w:szCs w:val="20"/>
          <w:lang w:val="es-CR"/>
        </w:rPr>
        <w:t>. En ese sentido, “</w:t>
      </w:r>
      <w:r w:rsidR="00DF15C3" w:rsidRPr="002B1610">
        <w:rPr>
          <w:rFonts w:ascii="Verdana" w:hAnsi="Verdana"/>
          <w:w w:val="95"/>
          <w:sz w:val="20"/>
          <w:szCs w:val="20"/>
          <w:lang w:val="es-PE"/>
        </w:rPr>
        <w:t>han de ceñirse [al criterio del interés superior del niño] las acciones del Estado y de la sociedad en lo que respecta a la protección de los niños y a la promoción y preservación de sus derechos”</w:t>
      </w:r>
      <w:r w:rsidR="00DF15C3" w:rsidRPr="002B1610">
        <w:rPr>
          <w:rFonts w:ascii="Verdana" w:hAnsi="Verdana"/>
          <w:w w:val="95"/>
          <w:sz w:val="20"/>
          <w:szCs w:val="20"/>
          <w:vertAlign w:val="superscript"/>
          <w:lang w:val="es-PE"/>
        </w:rPr>
        <w:footnoteReference w:id="222"/>
      </w:r>
      <w:r w:rsidR="00DF15C3" w:rsidRPr="002B1610">
        <w:rPr>
          <w:rFonts w:ascii="Verdana" w:hAnsi="Verdana"/>
          <w:w w:val="95"/>
          <w:sz w:val="20"/>
          <w:szCs w:val="20"/>
          <w:lang w:val="es-PE"/>
        </w:rPr>
        <w:t xml:space="preserve">. </w:t>
      </w:r>
      <w:r w:rsidR="00DF15C3" w:rsidRPr="002B1610">
        <w:rPr>
          <w:rFonts w:ascii="Verdana" w:hAnsi="Verdana"/>
          <w:w w:val="95"/>
          <w:sz w:val="20"/>
          <w:szCs w:val="20"/>
          <w:lang w:val="es-CR"/>
        </w:rPr>
        <w:t>Por otra parte, el artículo 7 de la a Convención de Belém do Pará, sobre el que el Tribunal es competente (</w:t>
      </w:r>
      <w:r w:rsidR="00DF15C3" w:rsidRPr="002B1610">
        <w:rPr>
          <w:rFonts w:ascii="Verdana" w:hAnsi="Verdana"/>
          <w:i/>
          <w:w w:val="95"/>
          <w:sz w:val="20"/>
          <w:szCs w:val="20"/>
          <w:lang w:val="es-CR"/>
        </w:rPr>
        <w:t>supra</w:t>
      </w:r>
      <w:r w:rsidR="00DF15C3" w:rsidRPr="002B1610">
        <w:rPr>
          <w:rFonts w:ascii="Verdana" w:hAnsi="Verdana"/>
          <w:w w:val="95"/>
          <w:sz w:val="20"/>
          <w:szCs w:val="20"/>
          <w:lang w:val="es-CR"/>
        </w:rPr>
        <w:t xml:space="preserve"> párr.</w:t>
      </w:r>
      <w:r w:rsidR="00D721C5">
        <w:rPr>
          <w:rFonts w:ascii="Verdana" w:hAnsi="Verdana"/>
          <w:w w:val="95"/>
          <w:sz w:val="20"/>
          <w:szCs w:val="20"/>
          <w:lang w:val="es-CR"/>
        </w:rPr>
        <w:t xml:space="preserve"> </w:t>
      </w:r>
      <w:r w:rsidR="00A571C9">
        <w:rPr>
          <w:rFonts w:ascii="Verdana" w:hAnsi="Verdana"/>
          <w:w w:val="95"/>
          <w:sz w:val="20"/>
          <w:szCs w:val="20"/>
          <w:lang w:val="es-CR"/>
        </w:rPr>
        <w:t>32</w:t>
      </w:r>
      <w:r w:rsidR="00DF15C3" w:rsidRPr="002B1610">
        <w:rPr>
          <w:rFonts w:ascii="Verdana" w:hAnsi="Verdana"/>
          <w:w w:val="95"/>
          <w:sz w:val="20"/>
          <w:szCs w:val="20"/>
          <w:lang w:val="es-CR"/>
        </w:rPr>
        <w:t>), instituye deberes estatales para “prevenir, sancionar y erradicar [la] violencia [contra la mujer]”</w:t>
      </w:r>
      <w:r w:rsidR="00DF15C3" w:rsidRPr="002B1610">
        <w:rPr>
          <w:rStyle w:val="Refdenotaalpie"/>
          <w:rFonts w:ascii="Verdana" w:hAnsi="Verdana"/>
          <w:w w:val="95"/>
          <w:sz w:val="20"/>
        </w:rPr>
        <w:footnoteReference w:id="223"/>
      </w:r>
      <w:r w:rsidR="00DF15C3" w:rsidRPr="002B1610">
        <w:rPr>
          <w:rFonts w:ascii="Verdana" w:hAnsi="Verdana"/>
          <w:w w:val="95"/>
          <w:sz w:val="20"/>
          <w:szCs w:val="20"/>
          <w:lang w:val="es-CR"/>
        </w:rPr>
        <w:t xml:space="preserve"> que especifican y complementan las obligaciones que tiene el Estado respecto al cumplimiento de los derechos consagrados en la Convención Americana, tales como los establecidos en los artículos 4, 5 y 7</w:t>
      </w:r>
      <w:r w:rsidR="00DF15C3" w:rsidRPr="002B1610">
        <w:rPr>
          <w:rStyle w:val="Refdenotaalpie"/>
          <w:rFonts w:ascii="Verdana" w:hAnsi="Verdana"/>
          <w:w w:val="95"/>
          <w:sz w:val="20"/>
        </w:rPr>
        <w:footnoteReference w:id="224"/>
      </w:r>
      <w:r w:rsidR="00DF15C3" w:rsidRPr="002B1610">
        <w:rPr>
          <w:rFonts w:ascii="Verdana" w:hAnsi="Verdana"/>
          <w:w w:val="95"/>
          <w:sz w:val="20"/>
          <w:szCs w:val="20"/>
          <w:lang w:val="es-CR"/>
        </w:rPr>
        <w:t xml:space="preserve">. </w:t>
      </w:r>
    </w:p>
    <w:p w:rsidR="00DF15C3" w:rsidRPr="002B1610" w:rsidRDefault="00DF15C3" w:rsidP="003F26FD">
      <w:pPr>
        <w:pStyle w:val="Prrafodelista"/>
        <w:spacing w:after="0" w:line="216" w:lineRule="auto"/>
        <w:ind w:left="-142" w:right="-174"/>
        <w:jc w:val="both"/>
        <w:rPr>
          <w:rFonts w:ascii="Verdana" w:hAnsi="Verdana"/>
          <w:bCs/>
          <w:w w:val="95"/>
          <w:sz w:val="20"/>
          <w:szCs w:val="20"/>
          <w:lang w:val="es-CR"/>
        </w:rPr>
      </w:pPr>
    </w:p>
    <w:p w:rsidR="00DF15C3" w:rsidRPr="00B35D7D" w:rsidRDefault="00DF15C3" w:rsidP="003F26FD">
      <w:pPr>
        <w:pStyle w:val="Prrafodelista"/>
        <w:numPr>
          <w:ilvl w:val="0"/>
          <w:numId w:val="17"/>
        </w:numPr>
        <w:spacing w:after="0" w:line="216" w:lineRule="auto"/>
        <w:ind w:left="-142" w:right="-174" w:firstLine="0"/>
        <w:jc w:val="both"/>
        <w:rPr>
          <w:rFonts w:ascii="Verdana" w:hAnsi="Verdana"/>
          <w:w w:val="95"/>
          <w:sz w:val="20"/>
          <w:szCs w:val="20"/>
          <w:lang w:val="es-CR"/>
        </w:rPr>
      </w:pPr>
      <w:r w:rsidRPr="00B35D7D">
        <w:rPr>
          <w:rFonts w:ascii="Verdana" w:hAnsi="Verdana"/>
          <w:w w:val="95"/>
          <w:sz w:val="20"/>
          <w:szCs w:val="20"/>
          <w:lang w:val="es-CR"/>
        </w:rPr>
        <w:t>De lo anterior se colige que, conforme el marco normativo expuesto, en relación con la violencia contra la mujer</w:t>
      </w:r>
      <w:r w:rsidR="004360A9">
        <w:rPr>
          <w:rFonts w:ascii="Verdana" w:hAnsi="Verdana"/>
          <w:w w:val="95"/>
          <w:sz w:val="20"/>
          <w:szCs w:val="20"/>
          <w:lang w:val="es-CR"/>
        </w:rPr>
        <w:t>,</w:t>
      </w:r>
      <w:r w:rsidRPr="00B35D7D">
        <w:rPr>
          <w:rFonts w:ascii="Verdana" w:hAnsi="Verdana"/>
          <w:w w:val="95"/>
          <w:sz w:val="20"/>
          <w:szCs w:val="20"/>
          <w:lang w:val="es-CR"/>
        </w:rPr>
        <w:t xml:space="preserve"> el deber de garantía adquiere especial intensidad en relación con niñas. Esto es así debido a que la vulnerabilidad consustancial a la niñez</w:t>
      </w:r>
      <w:r w:rsidRPr="002B1610">
        <w:rPr>
          <w:rStyle w:val="Refdenotaalpie"/>
          <w:rFonts w:ascii="Verdana" w:hAnsi="Verdana"/>
          <w:w w:val="95"/>
          <w:sz w:val="20"/>
        </w:rPr>
        <w:footnoteReference w:id="225"/>
      </w:r>
      <w:r w:rsidRPr="00B35D7D">
        <w:rPr>
          <w:rFonts w:ascii="Verdana" w:hAnsi="Verdana"/>
          <w:w w:val="95"/>
          <w:sz w:val="20"/>
          <w:szCs w:val="20"/>
          <w:lang w:val="es-CR"/>
        </w:rPr>
        <w:t xml:space="preserve"> puede verse enmarcada y potenciada debido a la condición </w:t>
      </w:r>
      <w:r w:rsidRPr="00C8440D">
        <w:rPr>
          <w:rFonts w:ascii="Verdana" w:hAnsi="Verdana"/>
          <w:w w:val="95"/>
          <w:sz w:val="20"/>
          <w:szCs w:val="20"/>
          <w:lang w:val="es-CR"/>
        </w:rPr>
        <w:t>de ser mujer</w:t>
      </w:r>
      <w:r w:rsidRPr="00B35D7D">
        <w:rPr>
          <w:rFonts w:ascii="Verdana" w:hAnsi="Verdana"/>
          <w:w w:val="95"/>
          <w:sz w:val="20"/>
          <w:szCs w:val="20"/>
          <w:lang w:val="es-CR"/>
        </w:rPr>
        <w:t xml:space="preserve">. En ese sentido, debe advertirse </w:t>
      </w:r>
      <w:r w:rsidRPr="00B35D7D">
        <w:rPr>
          <w:rFonts w:ascii="Verdana" w:hAnsi="Verdana"/>
          <w:w w:val="95"/>
          <w:sz w:val="20"/>
          <w:szCs w:val="20"/>
          <w:lang w:val="es-CR"/>
        </w:rPr>
        <w:lastRenderedPageBreak/>
        <w:t>que las niñas son, como se ha aseverado, “particularmente vulnerables a la violencia”</w:t>
      </w:r>
      <w:r w:rsidRPr="002B1610">
        <w:rPr>
          <w:rStyle w:val="Refdenotaalpie"/>
          <w:rFonts w:ascii="Verdana" w:hAnsi="Verdana"/>
          <w:w w:val="95"/>
          <w:sz w:val="20"/>
        </w:rPr>
        <w:footnoteReference w:id="226"/>
      </w:r>
      <w:r w:rsidRPr="00B35D7D">
        <w:rPr>
          <w:rFonts w:ascii="Verdana" w:hAnsi="Verdana"/>
          <w:w w:val="95"/>
          <w:sz w:val="20"/>
          <w:szCs w:val="20"/>
          <w:lang w:val="es-CR"/>
        </w:rPr>
        <w:t>. La especial intensidad mencionada se traduce en el deber estatal de actuar con la mayor y más estricta diligencia para proteger y asegurar el ejercicio y goce de los derechos de las niñas frente al hecho o mera posibilidad de su vulneración por actos que, en forma actual o potencial implicaren violencia por razones de género o pudieren derivar en tal violencia.</w:t>
      </w:r>
    </w:p>
    <w:p w:rsidR="00DF15C3" w:rsidRPr="00B35D7D" w:rsidRDefault="00DF15C3" w:rsidP="003F26FD">
      <w:pPr>
        <w:pStyle w:val="Prrafodelista"/>
        <w:ind w:right="-174"/>
        <w:rPr>
          <w:rFonts w:ascii="Verdana" w:hAnsi="Verdana"/>
          <w:w w:val="95"/>
          <w:sz w:val="20"/>
          <w:szCs w:val="20"/>
          <w:lang w:val="es-CR"/>
        </w:rPr>
      </w:pPr>
    </w:p>
    <w:p w:rsidR="00DF15C3" w:rsidRPr="003A591C" w:rsidRDefault="00DF15C3" w:rsidP="003F26FD">
      <w:pPr>
        <w:pStyle w:val="Prrafodelista"/>
        <w:numPr>
          <w:ilvl w:val="0"/>
          <w:numId w:val="17"/>
        </w:numPr>
        <w:spacing w:after="0" w:line="216" w:lineRule="auto"/>
        <w:ind w:left="-142" w:right="-174" w:firstLine="0"/>
        <w:jc w:val="both"/>
        <w:rPr>
          <w:rFonts w:ascii="Verdana" w:hAnsi="Verdana"/>
          <w:w w:val="95"/>
          <w:sz w:val="20"/>
          <w:szCs w:val="20"/>
          <w:lang w:val="es-CR"/>
        </w:rPr>
      </w:pPr>
      <w:r w:rsidRPr="003A591C">
        <w:rPr>
          <w:rFonts w:ascii="Verdana" w:hAnsi="Verdana"/>
          <w:w w:val="95"/>
          <w:sz w:val="20"/>
          <w:szCs w:val="20"/>
          <w:lang w:val="es-CR"/>
        </w:rPr>
        <w:t xml:space="preserve">Una manifestación del deber de garantía es el deber de prevención que, como </w:t>
      </w:r>
      <w:r w:rsidRPr="003A591C">
        <w:rPr>
          <w:rFonts w:ascii="Verdana" w:hAnsi="Verdana"/>
          <w:w w:val="95"/>
          <w:sz w:val="20"/>
          <w:szCs w:val="20"/>
          <w:lang w:val="es-EC"/>
        </w:rPr>
        <w:t>la Corte ha afirmado</w:t>
      </w:r>
      <w:r>
        <w:rPr>
          <w:rFonts w:ascii="Verdana" w:hAnsi="Verdana"/>
          <w:w w:val="95"/>
          <w:sz w:val="20"/>
          <w:szCs w:val="20"/>
          <w:lang w:val="es-EC"/>
        </w:rPr>
        <w:t xml:space="preserve">: </w:t>
      </w:r>
      <w:r w:rsidRPr="003A591C">
        <w:rPr>
          <w:rFonts w:ascii="Verdana" w:hAnsi="Verdana"/>
          <w:w w:val="95"/>
          <w:sz w:val="20"/>
          <w:szCs w:val="20"/>
          <w:lang w:val="es-EC"/>
        </w:rPr>
        <w:t xml:space="preserve"> </w:t>
      </w:r>
    </w:p>
    <w:p w:rsidR="00DF15C3" w:rsidRPr="003A591C" w:rsidRDefault="00DF15C3" w:rsidP="003F26FD">
      <w:pPr>
        <w:spacing w:after="0" w:line="216" w:lineRule="auto"/>
        <w:ind w:left="-142" w:right="-174"/>
        <w:jc w:val="both"/>
        <w:rPr>
          <w:rFonts w:ascii="Verdana" w:hAnsi="Verdana"/>
          <w:w w:val="95"/>
          <w:sz w:val="20"/>
          <w:szCs w:val="20"/>
          <w:lang w:val="es-EC"/>
        </w:rPr>
      </w:pPr>
    </w:p>
    <w:p w:rsidR="00DF15C3" w:rsidRPr="003A591C" w:rsidRDefault="00DF15C3" w:rsidP="00FB575D">
      <w:pPr>
        <w:spacing w:after="0" w:line="216" w:lineRule="auto"/>
        <w:ind w:left="284" w:right="186"/>
        <w:jc w:val="both"/>
        <w:rPr>
          <w:rFonts w:ascii="Verdana" w:hAnsi="Verdana"/>
          <w:strike/>
          <w:w w:val="95"/>
          <w:sz w:val="16"/>
          <w:szCs w:val="16"/>
          <w:lang w:val="es-EC"/>
        </w:rPr>
      </w:pPr>
      <w:r w:rsidRPr="003A591C">
        <w:rPr>
          <w:rFonts w:ascii="Verdana" w:hAnsi="Verdana"/>
          <w:w w:val="95"/>
          <w:sz w:val="16"/>
          <w:szCs w:val="16"/>
          <w:lang w:val="es-EC"/>
        </w:rPr>
        <w:t>abarca todas aquellas medidas de carácter jurídico, político, administrativo y cultural que promuevan la salvaguarda de los derechos humanos y que aseguren que las eventuales violaciones a los mismos sean efectivamente consideradas y tratadas como un hecho ilícito que, como tal, es susceptible de acarrear sanciones para quien las cometa, así como la obligación de indemnizar a las víctimas por sus consecuencias perjudiciales. Es claro, a su vez, que la obligación de prevenir es de medio o comportamiento y no se demuestra su incumplimiento por el mero hecho de que un derecho haya sido violado</w:t>
      </w:r>
      <w:r w:rsidRPr="003A591C">
        <w:rPr>
          <w:rFonts w:ascii="Verdana" w:hAnsi="Verdana"/>
          <w:w w:val="95"/>
          <w:sz w:val="16"/>
          <w:szCs w:val="16"/>
          <w:vertAlign w:val="superscript"/>
          <w:lang w:val="es-EC"/>
        </w:rPr>
        <w:footnoteReference w:id="227"/>
      </w:r>
      <w:r w:rsidRPr="003A591C">
        <w:rPr>
          <w:rFonts w:ascii="Verdana" w:hAnsi="Verdana"/>
          <w:w w:val="95"/>
          <w:sz w:val="16"/>
          <w:szCs w:val="16"/>
          <w:lang w:val="es-EC"/>
        </w:rPr>
        <w:t>.</w:t>
      </w:r>
      <w:r>
        <w:rPr>
          <w:rFonts w:ascii="Verdana" w:hAnsi="Verdana"/>
          <w:b/>
          <w:w w:val="95"/>
          <w:sz w:val="16"/>
          <w:szCs w:val="16"/>
          <w:lang w:val="es-EC"/>
        </w:rPr>
        <w:t xml:space="preserve"> </w:t>
      </w:r>
    </w:p>
    <w:p w:rsidR="00DF15C3" w:rsidRPr="00144486" w:rsidRDefault="00DF15C3" w:rsidP="003F26FD">
      <w:pPr>
        <w:pStyle w:val="Prrafodelista"/>
        <w:spacing w:after="0" w:line="216" w:lineRule="auto"/>
        <w:ind w:left="-142" w:right="-174"/>
        <w:rPr>
          <w:rFonts w:ascii="Verdana" w:hAnsi="Verdana"/>
          <w:bCs/>
          <w:w w:val="95"/>
          <w:sz w:val="20"/>
          <w:szCs w:val="20"/>
          <w:lang w:val="es-ES_tradnl"/>
        </w:rPr>
      </w:pPr>
    </w:p>
    <w:p w:rsidR="00DF15C3" w:rsidRPr="00383727" w:rsidRDefault="00DF15C3" w:rsidP="003F26FD">
      <w:pPr>
        <w:pStyle w:val="Prrafodelista"/>
        <w:numPr>
          <w:ilvl w:val="0"/>
          <w:numId w:val="17"/>
        </w:numPr>
        <w:spacing w:after="0" w:line="216" w:lineRule="auto"/>
        <w:ind w:left="-142" w:right="-174" w:firstLine="0"/>
        <w:jc w:val="both"/>
        <w:rPr>
          <w:rFonts w:ascii="Verdana" w:hAnsi="Verdana"/>
          <w:bCs/>
          <w:w w:val="95"/>
          <w:sz w:val="20"/>
          <w:szCs w:val="20"/>
          <w:lang w:val="es-CR"/>
        </w:rPr>
      </w:pPr>
      <w:r w:rsidRPr="003A591C">
        <w:rPr>
          <w:rFonts w:ascii="Verdana" w:hAnsi="Verdana"/>
          <w:bCs/>
          <w:w w:val="95"/>
          <w:sz w:val="20"/>
          <w:szCs w:val="20"/>
          <w:lang w:val="es-ES_tradnl"/>
        </w:rPr>
        <w:t>El deber de prevención</w:t>
      </w:r>
      <w:r>
        <w:rPr>
          <w:rFonts w:ascii="Verdana" w:hAnsi="Verdana"/>
          <w:bCs/>
          <w:w w:val="95"/>
          <w:sz w:val="20"/>
          <w:szCs w:val="20"/>
          <w:lang w:val="es-ES_tradnl"/>
        </w:rPr>
        <w:t xml:space="preserve"> </w:t>
      </w:r>
      <w:r w:rsidRPr="002B1610">
        <w:rPr>
          <w:rFonts w:ascii="Verdana" w:hAnsi="Verdana"/>
          <w:bCs/>
          <w:w w:val="95"/>
          <w:sz w:val="20"/>
          <w:szCs w:val="20"/>
          <w:lang w:val="es-ES_tradnl"/>
        </w:rPr>
        <w:t>ha sido específicamente señalado respecto a mujeres, inclusive niñas, desde antes de 2001 y mediante instrumentos distintos a la Convención de Belém do Pará</w:t>
      </w:r>
      <w:r w:rsidRPr="002B1610">
        <w:rPr>
          <w:rStyle w:val="Refdenotaalpie"/>
          <w:rFonts w:ascii="Verdana" w:hAnsi="Verdana"/>
          <w:w w:val="95"/>
          <w:sz w:val="20"/>
        </w:rPr>
        <w:footnoteReference w:id="228"/>
      </w:r>
      <w:r w:rsidRPr="002B1610">
        <w:rPr>
          <w:rFonts w:ascii="Verdana" w:hAnsi="Verdana"/>
          <w:bCs/>
          <w:w w:val="95"/>
          <w:sz w:val="20"/>
          <w:szCs w:val="20"/>
          <w:lang w:val="es-ES_tradnl"/>
        </w:rPr>
        <w:t>, tratado que expresamente lo co</w:t>
      </w:r>
      <w:r w:rsidR="00BA1AF7">
        <w:rPr>
          <w:rFonts w:ascii="Verdana" w:hAnsi="Verdana"/>
          <w:bCs/>
          <w:w w:val="95"/>
          <w:sz w:val="20"/>
          <w:szCs w:val="20"/>
          <w:lang w:val="es-ES_tradnl"/>
        </w:rPr>
        <w:t>ntempla en el citado artículo 7.</w:t>
      </w:r>
      <w:r w:rsidRPr="002B1610">
        <w:rPr>
          <w:rFonts w:ascii="Verdana" w:hAnsi="Verdana"/>
          <w:bCs/>
          <w:w w:val="95"/>
          <w:sz w:val="20"/>
          <w:szCs w:val="20"/>
          <w:lang w:val="es-ES_tradnl"/>
        </w:rPr>
        <w:t xml:space="preserve">b). Por otra </w:t>
      </w:r>
      <w:r w:rsidRPr="002B1610">
        <w:rPr>
          <w:rFonts w:ascii="Verdana" w:hAnsi="Verdana"/>
          <w:bCs/>
          <w:w w:val="95"/>
          <w:sz w:val="20"/>
          <w:szCs w:val="20"/>
          <w:lang w:val="es-ES_tradnl"/>
        </w:rPr>
        <w:lastRenderedPageBreak/>
        <w:t>parte, las niñas, entre ellas, las adolescentes, requieren medidas especiales de protección</w:t>
      </w:r>
      <w:r w:rsidR="00C627A1" w:rsidRPr="00122C63">
        <w:rPr>
          <w:rStyle w:val="Refdenotaalpie"/>
          <w:rFonts w:ascii="Verdana" w:hAnsi="Verdana"/>
          <w:w w:val="95"/>
          <w:sz w:val="20"/>
        </w:rPr>
        <w:footnoteReference w:id="229"/>
      </w:r>
      <w:r w:rsidRPr="002B1610">
        <w:rPr>
          <w:rFonts w:ascii="Verdana" w:hAnsi="Verdana"/>
          <w:bCs/>
          <w:w w:val="95"/>
          <w:sz w:val="20"/>
          <w:szCs w:val="20"/>
          <w:lang w:val="es-ES_tradnl"/>
        </w:rPr>
        <w:t>. La Corte ya ha tenido oportunidad de expresar, respecto a mujeres y niñas, que</w:t>
      </w:r>
      <w:r>
        <w:rPr>
          <w:rFonts w:ascii="Verdana" w:hAnsi="Verdana"/>
          <w:bCs/>
          <w:w w:val="95"/>
          <w:sz w:val="20"/>
          <w:szCs w:val="20"/>
          <w:lang w:val="es-ES_tradnl"/>
        </w:rPr>
        <w:t>:</w:t>
      </w:r>
    </w:p>
    <w:p w:rsidR="00DF15C3" w:rsidRPr="00C01B95" w:rsidRDefault="00DF15C3" w:rsidP="003F26FD">
      <w:pPr>
        <w:pStyle w:val="Prrafodelista"/>
        <w:spacing w:after="0" w:line="216" w:lineRule="auto"/>
        <w:ind w:left="-142" w:right="-174"/>
        <w:jc w:val="both"/>
        <w:rPr>
          <w:rFonts w:ascii="Verdana" w:hAnsi="Verdana"/>
          <w:bCs/>
          <w:w w:val="95"/>
          <w:sz w:val="20"/>
          <w:szCs w:val="20"/>
          <w:lang w:val="es-CR"/>
        </w:rPr>
      </w:pPr>
    </w:p>
    <w:p w:rsidR="00DF15C3" w:rsidRPr="002B1610" w:rsidRDefault="00DF15C3" w:rsidP="00FB575D">
      <w:pPr>
        <w:pStyle w:val="Prrafodelista"/>
        <w:spacing w:after="0" w:line="216" w:lineRule="auto"/>
        <w:ind w:left="360" w:right="186"/>
        <w:jc w:val="both"/>
        <w:rPr>
          <w:rFonts w:ascii="Verdana" w:hAnsi="Verdana"/>
          <w:bCs/>
          <w:w w:val="95"/>
          <w:sz w:val="16"/>
          <w:szCs w:val="16"/>
          <w:lang w:val="es-CR"/>
        </w:rPr>
      </w:pPr>
      <w:r w:rsidRPr="002B1610">
        <w:rPr>
          <w:rFonts w:ascii="Verdana" w:hAnsi="Verdana"/>
          <w:bCs/>
          <w:w w:val="95"/>
          <w:sz w:val="16"/>
          <w:szCs w:val="16"/>
          <w:lang w:val="es-ES_tradnl"/>
        </w:rPr>
        <w:t>[l]</w:t>
      </w:r>
      <w:r w:rsidRPr="002B1610">
        <w:rPr>
          <w:rFonts w:ascii="Verdana" w:hAnsi="Verdana"/>
          <w:bCs/>
          <w:w w:val="95"/>
          <w:sz w:val="16"/>
          <w:szCs w:val="16"/>
          <w:lang w:val="es-EC"/>
        </w:rPr>
        <w:t>a estrategia de prevención debe ser integral, es decir, debe prevenir los factores de riesgo y a la vez fortalecer las instituciones para que puedan proporcionar una respuesta efectiva a los casos de violencia contra la mujer. Asimismo, los Estados deben adoptar medidas preventivas en casos específicos en los que es evidente que determinadas mujeres y niñas pueden ser víctimas de violencia</w:t>
      </w:r>
      <w:r w:rsidRPr="002B1610">
        <w:rPr>
          <w:rStyle w:val="Refdenotaalpie"/>
          <w:rFonts w:ascii="Verdana" w:hAnsi="Verdana"/>
          <w:w w:val="95"/>
          <w:sz w:val="16"/>
          <w:szCs w:val="16"/>
          <w:lang w:val="es-EC"/>
        </w:rPr>
        <w:footnoteReference w:id="230"/>
      </w:r>
      <w:r w:rsidRPr="002B1610">
        <w:rPr>
          <w:rFonts w:ascii="Verdana" w:hAnsi="Verdana"/>
          <w:bCs/>
          <w:w w:val="95"/>
          <w:sz w:val="16"/>
          <w:szCs w:val="16"/>
          <w:lang w:val="es-EC"/>
        </w:rPr>
        <w:t>.</w:t>
      </w:r>
    </w:p>
    <w:p w:rsidR="00DF15C3" w:rsidRPr="00C01B95" w:rsidRDefault="00DF15C3" w:rsidP="003F26FD">
      <w:pPr>
        <w:spacing w:after="0" w:line="216" w:lineRule="auto"/>
        <w:ind w:right="-174"/>
        <w:jc w:val="both"/>
        <w:rPr>
          <w:rFonts w:ascii="Verdana" w:hAnsi="Verdana"/>
          <w:bCs/>
          <w:w w:val="95"/>
          <w:sz w:val="20"/>
          <w:szCs w:val="20"/>
          <w:lang w:val="es-CR"/>
        </w:rPr>
      </w:pPr>
    </w:p>
    <w:p w:rsidR="00DF15C3" w:rsidRPr="003A591C" w:rsidRDefault="00DF15C3" w:rsidP="003F26FD">
      <w:pPr>
        <w:pStyle w:val="Prrafodelista"/>
        <w:numPr>
          <w:ilvl w:val="0"/>
          <w:numId w:val="17"/>
        </w:numPr>
        <w:spacing w:after="0" w:line="216" w:lineRule="auto"/>
        <w:ind w:left="-180" w:right="-174" w:firstLine="0"/>
        <w:jc w:val="both"/>
        <w:rPr>
          <w:rFonts w:ascii="Verdana" w:hAnsi="Verdana"/>
          <w:bCs/>
          <w:w w:val="95"/>
          <w:sz w:val="20"/>
          <w:szCs w:val="20"/>
          <w:lang w:val="es-CR"/>
        </w:rPr>
      </w:pPr>
      <w:r w:rsidRPr="003A591C">
        <w:rPr>
          <w:rFonts w:ascii="Verdana" w:hAnsi="Verdana"/>
          <w:w w:val="95"/>
          <w:sz w:val="20"/>
          <w:szCs w:val="20"/>
          <w:lang w:val="es-EC"/>
        </w:rPr>
        <w:t xml:space="preserve">Ahora bien, como ha señalado el Tribunal, </w:t>
      </w:r>
    </w:p>
    <w:p w:rsidR="00DF15C3" w:rsidRPr="003A591C" w:rsidRDefault="00DF15C3" w:rsidP="003F26FD">
      <w:pPr>
        <w:pStyle w:val="Prrafodelista"/>
        <w:spacing w:after="0" w:line="216" w:lineRule="auto"/>
        <w:ind w:left="0" w:right="-174"/>
        <w:jc w:val="both"/>
        <w:rPr>
          <w:rFonts w:ascii="Verdana" w:hAnsi="Verdana"/>
          <w:bCs/>
          <w:w w:val="95"/>
          <w:sz w:val="20"/>
          <w:szCs w:val="20"/>
          <w:lang w:val="es-CR"/>
        </w:rPr>
      </w:pPr>
      <w:r w:rsidRPr="003A591C">
        <w:rPr>
          <w:rFonts w:ascii="Verdana" w:hAnsi="Verdana"/>
          <w:w w:val="95"/>
          <w:sz w:val="20"/>
          <w:szCs w:val="20"/>
          <w:lang w:val="es-EC"/>
        </w:rPr>
        <w:t xml:space="preserve"> </w:t>
      </w:r>
    </w:p>
    <w:p w:rsidR="00DF15C3" w:rsidRPr="003A591C" w:rsidRDefault="00DF15C3" w:rsidP="00FB575D">
      <w:pPr>
        <w:spacing w:after="0" w:line="216" w:lineRule="auto"/>
        <w:ind w:left="360" w:right="186"/>
        <w:jc w:val="both"/>
        <w:rPr>
          <w:rFonts w:ascii="Verdana" w:hAnsi="Verdana"/>
          <w:strike/>
          <w:w w:val="95"/>
          <w:sz w:val="16"/>
          <w:szCs w:val="16"/>
          <w:lang w:val="es-EC"/>
        </w:rPr>
      </w:pPr>
      <w:r w:rsidRPr="003A591C">
        <w:rPr>
          <w:rFonts w:ascii="Verdana" w:hAnsi="Verdana"/>
          <w:w w:val="95"/>
          <w:sz w:val="16"/>
          <w:szCs w:val="16"/>
          <w:lang w:val="es-EC"/>
        </w:rPr>
        <w:t>es claro que un Estado no puede ser responsable por cualquier violación de derechos humanos cometida entre particulares dentro de su jurisdicción. En efecto, las obligaciones convencionales de garantía a cargo de los Estados no implican una responsabilidad ilimitada de los Estados frente a cualquier acto o hecho de particulares, pues sus deberes de adoptar medidas de prevención y protección de los particulares en sus relaciones entre sí se encuentran condicionados al conocimiento de una situación de riesgo real e inmediato para un individuo o grupo de individuos determinado y a las posibilidades razonables de prevenir o evitar ese riesgo. Es decir, aunque un acto u omisión de un particular tenga como consecuencia jurídica la violación de determinados derechos humanos de otro particular, aquél no es automáticamente atribuible al Estado, pues debe atenderse a las circunstancias particulares del caso y a la concreción de dichas obligaciones de garantía</w:t>
      </w:r>
      <w:r w:rsidRPr="003A591C">
        <w:rPr>
          <w:rFonts w:ascii="Verdana" w:hAnsi="Verdana"/>
          <w:w w:val="95"/>
          <w:sz w:val="16"/>
          <w:szCs w:val="16"/>
          <w:vertAlign w:val="superscript"/>
          <w:lang w:val="es-EC"/>
        </w:rPr>
        <w:footnoteReference w:id="231"/>
      </w:r>
      <w:r w:rsidRPr="003A591C">
        <w:rPr>
          <w:rFonts w:ascii="Verdana" w:hAnsi="Verdana"/>
          <w:w w:val="95"/>
          <w:sz w:val="16"/>
          <w:szCs w:val="16"/>
          <w:lang w:val="es-EC"/>
        </w:rPr>
        <w:t>.</w:t>
      </w:r>
    </w:p>
    <w:p w:rsidR="00DF15C3" w:rsidRPr="00C01B95" w:rsidRDefault="00DF15C3" w:rsidP="003F26FD">
      <w:pPr>
        <w:spacing w:after="0" w:line="216" w:lineRule="auto"/>
        <w:ind w:left="720" w:right="-174"/>
        <w:jc w:val="both"/>
        <w:rPr>
          <w:rFonts w:ascii="Verdana" w:hAnsi="Verdana"/>
          <w:b/>
          <w:w w:val="95"/>
          <w:sz w:val="16"/>
          <w:szCs w:val="16"/>
          <w:lang w:val="es-EC"/>
        </w:rPr>
      </w:pPr>
    </w:p>
    <w:p w:rsidR="00DF15C3" w:rsidRPr="00C25CC8" w:rsidRDefault="00904DBD" w:rsidP="003F26FD">
      <w:pPr>
        <w:pStyle w:val="Prrafodelista"/>
        <w:numPr>
          <w:ilvl w:val="0"/>
          <w:numId w:val="17"/>
        </w:numPr>
        <w:spacing w:after="0" w:line="216" w:lineRule="auto"/>
        <w:ind w:left="-180" w:right="-174" w:firstLine="0"/>
        <w:jc w:val="both"/>
        <w:rPr>
          <w:rFonts w:ascii="Verdana" w:hAnsi="Verdana"/>
          <w:bCs/>
          <w:w w:val="95"/>
          <w:sz w:val="20"/>
          <w:szCs w:val="20"/>
          <w:lang w:val="es-CR"/>
        </w:rPr>
      </w:pPr>
      <w:r>
        <w:rPr>
          <w:rFonts w:ascii="Verdana" w:hAnsi="Verdana"/>
          <w:bCs/>
          <w:w w:val="95"/>
          <w:sz w:val="20"/>
          <w:szCs w:val="20"/>
          <w:lang w:val="es-EC"/>
        </w:rPr>
        <w:t xml:space="preserve"> </w:t>
      </w:r>
      <w:r w:rsidR="00DF15C3" w:rsidRPr="003A591C">
        <w:rPr>
          <w:rFonts w:ascii="Verdana" w:hAnsi="Verdana"/>
          <w:bCs/>
          <w:w w:val="95"/>
          <w:sz w:val="20"/>
          <w:szCs w:val="20"/>
          <w:lang w:val="es-EC"/>
        </w:rPr>
        <w:t>En el presente caso, existen dos momentos claves en los que el deber de prevención debe ser analizado. El primero es antes de la desaparición de la presunta víctima y el segundo antes de la localización de su cuerpo sin vida.</w:t>
      </w:r>
      <w:r w:rsidR="00DF15C3" w:rsidRPr="00C01B95">
        <w:rPr>
          <w:rFonts w:ascii="Verdana" w:hAnsi="Verdana"/>
          <w:bCs/>
          <w:w w:val="95"/>
          <w:sz w:val="20"/>
          <w:szCs w:val="20"/>
          <w:lang w:val="es-EC"/>
        </w:rPr>
        <w:t xml:space="preserve"> </w:t>
      </w:r>
    </w:p>
    <w:p w:rsidR="00DF15C3" w:rsidRPr="00C01B95" w:rsidRDefault="00DF15C3" w:rsidP="003F26FD">
      <w:pPr>
        <w:pStyle w:val="Prrafodelista"/>
        <w:spacing w:after="0" w:line="216" w:lineRule="auto"/>
        <w:ind w:left="-180" w:right="-174"/>
        <w:jc w:val="both"/>
        <w:rPr>
          <w:rFonts w:ascii="Verdana" w:hAnsi="Verdana"/>
          <w:bCs/>
          <w:w w:val="95"/>
          <w:sz w:val="20"/>
          <w:szCs w:val="20"/>
          <w:lang w:val="es-CR"/>
        </w:rPr>
      </w:pPr>
    </w:p>
    <w:p w:rsidR="00DF15C3" w:rsidRPr="00EF0A7B" w:rsidRDefault="00DF15C3" w:rsidP="003F26FD">
      <w:pPr>
        <w:pStyle w:val="Prrafodelista"/>
        <w:numPr>
          <w:ilvl w:val="0"/>
          <w:numId w:val="17"/>
        </w:numPr>
        <w:spacing w:after="0" w:line="216" w:lineRule="auto"/>
        <w:ind w:left="-180" w:right="-174" w:firstLine="0"/>
        <w:jc w:val="both"/>
        <w:rPr>
          <w:rFonts w:ascii="Verdana" w:hAnsi="Verdana"/>
          <w:bCs/>
          <w:w w:val="95"/>
          <w:sz w:val="20"/>
          <w:szCs w:val="20"/>
          <w:lang w:val="es-EC"/>
        </w:rPr>
      </w:pPr>
      <w:r w:rsidRPr="00203840">
        <w:rPr>
          <w:rFonts w:ascii="Verdana" w:hAnsi="Verdana"/>
          <w:bCs/>
          <w:w w:val="95"/>
          <w:sz w:val="20"/>
          <w:szCs w:val="20"/>
          <w:lang w:val="es-EC"/>
        </w:rPr>
        <w:t>Sobre el primer momento –antes de la desaparición de la víctima- la Corte, de modo análogo a cómo lo ha hecho con anterioridad</w:t>
      </w:r>
      <w:r w:rsidRPr="00203840">
        <w:rPr>
          <w:rStyle w:val="Refdenotaalpie"/>
          <w:rFonts w:ascii="Verdana" w:hAnsi="Verdana"/>
          <w:bCs/>
          <w:w w:val="95"/>
          <w:sz w:val="20"/>
          <w:szCs w:val="20"/>
          <w:lang w:val="es-EC"/>
        </w:rPr>
        <w:footnoteReference w:id="232"/>
      </w:r>
      <w:r w:rsidRPr="00203840">
        <w:rPr>
          <w:rFonts w:ascii="Verdana" w:hAnsi="Verdana"/>
          <w:bCs/>
          <w:w w:val="95"/>
          <w:sz w:val="20"/>
          <w:szCs w:val="20"/>
          <w:lang w:val="es-EC"/>
        </w:rPr>
        <w:t xml:space="preserve">, considera que la eventual falta de prevención de la desaparición no conlleva </w:t>
      </w:r>
      <w:r w:rsidRPr="00203840">
        <w:rPr>
          <w:rFonts w:ascii="Verdana" w:hAnsi="Verdana"/>
          <w:bCs/>
          <w:i/>
          <w:w w:val="95"/>
          <w:sz w:val="20"/>
          <w:szCs w:val="20"/>
          <w:lang w:val="es-EC"/>
        </w:rPr>
        <w:t xml:space="preserve">per se </w:t>
      </w:r>
      <w:r w:rsidRPr="00203840">
        <w:rPr>
          <w:rFonts w:ascii="Verdana" w:hAnsi="Verdana"/>
          <w:bCs/>
          <w:w w:val="95"/>
          <w:sz w:val="20"/>
          <w:szCs w:val="20"/>
          <w:lang w:val="es-EC"/>
        </w:rPr>
        <w:t>la responsabilidad internacional del Estado porque, a pesar de que éste conocía o debía conocer (</w:t>
      </w:r>
      <w:r w:rsidR="006B6E58">
        <w:rPr>
          <w:rFonts w:ascii="Verdana" w:hAnsi="Verdana"/>
          <w:bCs/>
          <w:i/>
          <w:w w:val="95"/>
          <w:sz w:val="20"/>
          <w:szCs w:val="20"/>
          <w:lang w:val="es-EC"/>
        </w:rPr>
        <w:t>supra</w:t>
      </w:r>
      <w:r w:rsidR="006B6E58" w:rsidRPr="00203840">
        <w:rPr>
          <w:rFonts w:ascii="Verdana" w:hAnsi="Verdana"/>
          <w:bCs/>
          <w:w w:val="95"/>
          <w:sz w:val="20"/>
          <w:szCs w:val="20"/>
          <w:lang w:val="es-EC"/>
        </w:rPr>
        <w:t xml:space="preserve"> </w:t>
      </w:r>
      <w:r w:rsidRPr="00203840">
        <w:rPr>
          <w:rFonts w:ascii="Verdana" w:hAnsi="Verdana"/>
          <w:bCs/>
          <w:w w:val="95"/>
          <w:sz w:val="20"/>
          <w:szCs w:val="20"/>
          <w:lang w:val="es-EC"/>
        </w:rPr>
        <w:t>párr.</w:t>
      </w:r>
      <w:r w:rsidR="00F0030C">
        <w:rPr>
          <w:rFonts w:ascii="Verdana" w:hAnsi="Verdana"/>
          <w:bCs/>
          <w:w w:val="95"/>
          <w:sz w:val="20"/>
          <w:szCs w:val="20"/>
          <w:lang w:val="es-EC"/>
        </w:rPr>
        <w:t xml:space="preserve"> </w:t>
      </w:r>
      <w:r w:rsidR="00F0030C" w:rsidRPr="001E0CE4">
        <w:rPr>
          <w:rFonts w:ascii="Verdana" w:hAnsi="Verdana"/>
          <w:bCs/>
          <w:w w:val="95"/>
          <w:sz w:val="20"/>
          <w:szCs w:val="20"/>
          <w:lang w:val="es-EC"/>
        </w:rPr>
        <w:t>79</w:t>
      </w:r>
      <w:r w:rsidRPr="00203840">
        <w:rPr>
          <w:rFonts w:ascii="Verdana" w:hAnsi="Verdana"/>
          <w:bCs/>
          <w:w w:val="95"/>
          <w:sz w:val="20"/>
          <w:szCs w:val="20"/>
          <w:lang w:val="es-EC"/>
        </w:rPr>
        <w:t>) una</w:t>
      </w:r>
      <w:r w:rsidRPr="00C01B95">
        <w:rPr>
          <w:rFonts w:ascii="Verdana" w:hAnsi="Verdana"/>
          <w:b/>
          <w:bCs/>
          <w:w w:val="95"/>
          <w:sz w:val="20"/>
          <w:szCs w:val="20"/>
          <w:lang w:val="es-EC"/>
        </w:rPr>
        <w:t xml:space="preserve"> </w:t>
      </w:r>
      <w:r w:rsidRPr="00203840">
        <w:rPr>
          <w:rFonts w:ascii="Verdana" w:hAnsi="Verdana"/>
          <w:bCs/>
          <w:w w:val="95"/>
          <w:sz w:val="20"/>
          <w:szCs w:val="20"/>
          <w:lang w:val="es-EC"/>
        </w:rPr>
        <w:t>situación de incremento de actos violentos que involucraba actos cometidos contra mujeres, inclusive niñas, no ha sido establecido que tenía conocimiento de un riesgo real e inmediato para la víctima de este caso.</w:t>
      </w:r>
      <w:r w:rsidRPr="00C01B95">
        <w:rPr>
          <w:rFonts w:ascii="Verdana" w:hAnsi="Verdana"/>
          <w:b/>
          <w:bCs/>
          <w:w w:val="95"/>
          <w:sz w:val="20"/>
          <w:szCs w:val="20"/>
          <w:lang w:val="es-EC"/>
        </w:rPr>
        <w:t xml:space="preserve"> </w:t>
      </w:r>
      <w:r>
        <w:rPr>
          <w:rFonts w:ascii="Verdana" w:hAnsi="Verdana"/>
          <w:bCs/>
          <w:w w:val="95"/>
          <w:sz w:val="20"/>
          <w:szCs w:val="20"/>
          <w:lang w:val="es-EC"/>
        </w:rPr>
        <w:t xml:space="preserve">Aunque el contexto </w:t>
      </w:r>
      <w:r w:rsidRPr="00203840">
        <w:rPr>
          <w:rFonts w:ascii="Verdana" w:hAnsi="Verdana"/>
          <w:bCs/>
          <w:w w:val="95"/>
          <w:sz w:val="20"/>
          <w:szCs w:val="20"/>
          <w:lang w:val="es-EC"/>
        </w:rPr>
        <w:t xml:space="preserve">en este caso y </w:t>
      </w:r>
      <w:r>
        <w:rPr>
          <w:rFonts w:ascii="Verdana" w:hAnsi="Verdana"/>
          <w:bCs/>
          <w:w w:val="95"/>
          <w:sz w:val="20"/>
          <w:szCs w:val="20"/>
          <w:lang w:val="es-EC"/>
        </w:rPr>
        <w:t xml:space="preserve">las </w:t>
      </w:r>
      <w:r w:rsidRPr="003622B1">
        <w:rPr>
          <w:rFonts w:ascii="Verdana" w:hAnsi="Verdana"/>
          <w:bCs/>
          <w:w w:val="95"/>
          <w:sz w:val="20"/>
          <w:szCs w:val="20"/>
          <w:lang w:val="es-EC"/>
        </w:rPr>
        <w:t>“</w:t>
      </w:r>
      <w:r w:rsidRPr="00A10883">
        <w:rPr>
          <w:rFonts w:ascii="Verdana" w:hAnsi="Verdana"/>
          <w:bCs/>
          <w:w w:val="95"/>
          <w:sz w:val="20"/>
          <w:szCs w:val="20"/>
          <w:lang w:val="es-EC"/>
        </w:rPr>
        <w:t>obligaciones internacionales le imponen al Estado una responsabilidad reforzada</w:t>
      </w:r>
      <w:r w:rsidRPr="00401C25">
        <w:rPr>
          <w:rFonts w:ascii="Verdana" w:hAnsi="Verdana"/>
          <w:bCs/>
          <w:w w:val="95"/>
          <w:sz w:val="20"/>
          <w:szCs w:val="20"/>
          <w:lang w:val="es-EC"/>
        </w:rPr>
        <w:t xml:space="preserve"> </w:t>
      </w:r>
      <w:r w:rsidRPr="003622B1">
        <w:rPr>
          <w:rFonts w:ascii="Verdana" w:hAnsi="Verdana"/>
          <w:bCs/>
          <w:w w:val="95"/>
          <w:sz w:val="20"/>
          <w:szCs w:val="20"/>
          <w:lang w:val="es-EC"/>
        </w:rPr>
        <w:t>con respecto a la protección de mujeres”</w:t>
      </w:r>
      <w:r w:rsidRPr="003622B1">
        <w:rPr>
          <w:rStyle w:val="Refdenotaalpie"/>
          <w:rFonts w:ascii="Verdana" w:hAnsi="Verdana"/>
          <w:bCs/>
          <w:w w:val="95"/>
          <w:sz w:val="20"/>
          <w:szCs w:val="20"/>
          <w:lang w:val="es-EC"/>
        </w:rPr>
        <w:footnoteReference w:id="233"/>
      </w:r>
      <w:r w:rsidRPr="003622B1">
        <w:rPr>
          <w:rFonts w:ascii="Verdana" w:hAnsi="Verdana"/>
          <w:bCs/>
          <w:w w:val="95"/>
          <w:sz w:val="20"/>
          <w:szCs w:val="20"/>
          <w:lang w:val="es-EC"/>
        </w:rPr>
        <w:t>, en especial las niñas</w:t>
      </w:r>
      <w:r w:rsidRPr="00401C25">
        <w:rPr>
          <w:rFonts w:ascii="Verdana" w:hAnsi="Verdana"/>
          <w:bCs/>
          <w:w w:val="95"/>
          <w:sz w:val="20"/>
          <w:szCs w:val="20"/>
          <w:lang w:val="es-EC"/>
        </w:rPr>
        <w:t xml:space="preserve">, </w:t>
      </w:r>
      <w:r w:rsidRPr="003622B1">
        <w:rPr>
          <w:rFonts w:ascii="Verdana" w:hAnsi="Verdana"/>
          <w:bCs/>
          <w:w w:val="95"/>
          <w:sz w:val="20"/>
          <w:szCs w:val="20"/>
          <w:lang w:val="es-EC"/>
        </w:rPr>
        <w:t xml:space="preserve">que incluye el deber de prevención </w:t>
      </w:r>
      <w:r w:rsidRPr="009703D4">
        <w:rPr>
          <w:rFonts w:ascii="Verdana" w:hAnsi="Verdana"/>
          <w:bCs/>
          <w:w w:val="95"/>
          <w:sz w:val="20"/>
          <w:szCs w:val="20"/>
          <w:lang w:val="es-EC"/>
        </w:rPr>
        <w:t>(</w:t>
      </w:r>
      <w:r w:rsidRPr="009703D4">
        <w:rPr>
          <w:rFonts w:ascii="Verdana" w:hAnsi="Verdana"/>
          <w:bCs/>
          <w:i/>
          <w:w w:val="95"/>
          <w:sz w:val="20"/>
          <w:szCs w:val="20"/>
          <w:lang w:val="es-EC"/>
        </w:rPr>
        <w:t>supra</w:t>
      </w:r>
      <w:r w:rsidRPr="009703D4">
        <w:rPr>
          <w:rFonts w:ascii="Verdana" w:hAnsi="Verdana"/>
          <w:bCs/>
          <w:w w:val="95"/>
          <w:sz w:val="20"/>
          <w:szCs w:val="20"/>
          <w:lang w:val="es-EC"/>
        </w:rPr>
        <w:t xml:space="preserve"> párr</w:t>
      </w:r>
      <w:r w:rsidR="00363458" w:rsidRPr="009703D4">
        <w:rPr>
          <w:rFonts w:ascii="Verdana" w:hAnsi="Verdana"/>
          <w:bCs/>
          <w:w w:val="95"/>
          <w:sz w:val="20"/>
          <w:szCs w:val="20"/>
          <w:lang w:val="es-EC"/>
        </w:rPr>
        <w:t>.</w:t>
      </w:r>
      <w:r w:rsidR="00363458">
        <w:rPr>
          <w:rFonts w:ascii="Verdana" w:hAnsi="Verdana"/>
          <w:bCs/>
          <w:w w:val="95"/>
          <w:sz w:val="20"/>
          <w:szCs w:val="20"/>
          <w:lang w:val="es-EC"/>
        </w:rPr>
        <w:t xml:space="preserve"> </w:t>
      </w:r>
      <w:r w:rsidR="003F5B9C">
        <w:rPr>
          <w:rFonts w:ascii="Verdana" w:hAnsi="Verdana"/>
          <w:bCs/>
          <w:w w:val="95"/>
          <w:sz w:val="20"/>
          <w:szCs w:val="20"/>
          <w:lang w:val="es-EC"/>
        </w:rPr>
        <w:t>136</w:t>
      </w:r>
      <w:r w:rsidR="00363458">
        <w:rPr>
          <w:rFonts w:ascii="Verdana" w:hAnsi="Verdana"/>
          <w:bCs/>
          <w:w w:val="95"/>
          <w:sz w:val="20"/>
          <w:szCs w:val="20"/>
          <w:lang w:val="es-EC"/>
        </w:rPr>
        <w:t>)</w:t>
      </w:r>
      <w:r w:rsidR="00363458" w:rsidRPr="00203840">
        <w:rPr>
          <w:rFonts w:ascii="Verdana" w:hAnsi="Verdana"/>
          <w:bCs/>
          <w:w w:val="95"/>
          <w:sz w:val="20"/>
          <w:szCs w:val="20"/>
          <w:lang w:val="es-EC"/>
        </w:rPr>
        <w:t xml:space="preserve">, </w:t>
      </w:r>
      <w:r w:rsidRPr="00203840">
        <w:rPr>
          <w:rFonts w:ascii="Verdana" w:hAnsi="Verdana"/>
          <w:bCs/>
          <w:w w:val="95"/>
          <w:sz w:val="20"/>
          <w:szCs w:val="20"/>
          <w:lang w:val="es-EC"/>
        </w:rPr>
        <w:t>no le imponen una responsabilidad ilimitada frente a cualquier hecho ilícito en contra de ellas.</w:t>
      </w:r>
      <w:r w:rsidRPr="00C01B95">
        <w:rPr>
          <w:rFonts w:ascii="Verdana" w:hAnsi="Verdana"/>
          <w:bCs/>
          <w:w w:val="95"/>
          <w:sz w:val="20"/>
          <w:szCs w:val="20"/>
          <w:lang w:val="es-EC"/>
        </w:rPr>
        <w:t xml:space="preserve"> </w:t>
      </w:r>
      <w:r w:rsidRPr="00203840">
        <w:rPr>
          <w:rFonts w:ascii="Verdana" w:hAnsi="Verdana"/>
          <w:bCs/>
          <w:w w:val="95"/>
          <w:sz w:val="20"/>
          <w:szCs w:val="20"/>
          <w:lang w:val="es-ES_tradnl"/>
        </w:rPr>
        <w:t>Además, en relación con este primer momento, el Tribunal nota que</w:t>
      </w:r>
      <w:r w:rsidRPr="00203840">
        <w:rPr>
          <w:rFonts w:ascii="Verdana" w:hAnsi="Verdana"/>
          <w:bCs/>
          <w:w w:val="95"/>
          <w:sz w:val="20"/>
          <w:szCs w:val="20"/>
          <w:lang w:val="es-CR"/>
        </w:rPr>
        <w:t xml:space="preserve"> con anterioridad a diciembre de 2001, se efectuaron acciones estatales vinculadas a la problemática de la violencia contra mujeres</w:t>
      </w:r>
      <w:r>
        <w:rPr>
          <w:rFonts w:ascii="Verdana" w:hAnsi="Verdana"/>
          <w:b/>
          <w:bCs/>
          <w:w w:val="95"/>
          <w:sz w:val="20"/>
          <w:szCs w:val="20"/>
          <w:lang w:val="es-CR"/>
        </w:rPr>
        <w:t xml:space="preserve"> </w:t>
      </w:r>
      <w:r w:rsidRPr="003622B1">
        <w:rPr>
          <w:rFonts w:ascii="Verdana" w:hAnsi="Verdana"/>
          <w:bCs/>
          <w:w w:val="95"/>
          <w:sz w:val="20"/>
          <w:szCs w:val="20"/>
          <w:lang w:val="es-CR"/>
        </w:rPr>
        <w:t>(</w:t>
      </w:r>
      <w:r w:rsidRPr="003622B1">
        <w:rPr>
          <w:rFonts w:ascii="Verdana" w:hAnsi="Verdana"/>
          <w:bCs/>
          <w:i/>
          <w:w w:val="95"/>
          <w:sz w:val="20"/>
          <w:szCs w:val="20"/>
          <w:lang w:val="es-CR"/>
        </w:rPr>
        <w:t>supra</w:t>
      </w:r>
      <w:r w:rsidRPr="003622B1">
        <w:rPr>
          <w:rFonts w:ascii="Verdana" w:hAnsi="Verdana"/>
          <w:bCs/>
          <w:w w:val="95"/>
          <w:sz w:val="20"/>
          <w:szCs w:val="20"/>
          <w:lang w:val="es-CR"/>
        </w:rPr>
        <w:t xml:space="preserve"> párr. </w:t>
      </w:r>
      <w:r w:rsidR="00F0030C">
        <w:rPr>
          <w:rFonts w:ascii="Verdana" w:hAnsi="Verdana"/>
          <w:bCs/>
          <w:w w:val="95"/>
          <w:sz w:val="20"/>
          <w:szCs w:val="20"/>
          <w:lang w:val="es-CR"/>
        </w:rPr>
        <w:t>82</w:t>
      </w:r>
      <w:r w:rsidRPr="003622B1">
        <w:rPr>
          <w:rFonts w:ascii="Verdana" w:hAnsi="Verdana"/>
          <w:bCs/>
          <w:w w:val="95"/>
          <w:sz w:val="20"/>
          <w:szCs w:val="20"/>
          <w:lang w:val="es-CR"/>
        </w:rPr>
        <w:t>)</w:t>
      </w:r>
      <w:r>
        <w:rPr>
          <w:rFonts w:ascii="Verdana" w:hAnsi="Verdana"/>
          <w:bCs/>
          <w:w w:val="95"/>
          <w:sz w:val="20"/>
          <w:szCs w:val="20"/>
          <w:lang w:val="es-CR"/>
        </w:rPr>
        <w:t>.</w:t>
      </w:r>
      <w:r w:rsidRPr="00203840">
        <w:rPr>
          <w:rFonts w:ascii="Verdana" w:hAnsi="Verdana"/>
          <w:b/>
          <w:bCs/>
          <w:strike/>
          <w:w w:val="95"/>
          <w:sz w:val="20"/>
          <w:szCs w:val="20"/>
          <w:lang w:val="es-CR"/>
        </w:rPr>
        <w:t xml:space="preserve"> </w:t>
      </w:r>
    </w:p>
    <w:p w:rsidR="00DF15C3" w:rsidRPr="00EF0A7B" w:rsidRDefault="00DF15C3" w:rsidP="003F26FD">
      <w:pPr>
        <w:spacing w:after="0" w:line="216" w:lineRule="auto"/>
        <w:ind w:right="-174"/>
        <w:jc w:val="both"/>
        <w:rPr>
          <w:rFonts w:ascii="Verdana" w:hAnsi="Verdana"/>
          <w:bCs/>
          <w:w w:val="95"/>
          <w:sz w:val="20"/>
          <w:szCs w:val="20"/>
          <w:lang w:val="es-EC"/>
        </w:rPr>
      </w:pPr>
    </w:p>
    <w:p w:rsidR="00DF15C3" w:rsidRPr="007741A4" w:rsidRDefault="00DF15C3" w:rsidP="003F26FD">
      <w:pPr>
        <w:pStyle w:val="Prrafodelista"/>
        <w:numPr>
          <w:ilvl w:val="0"/>
          <w:numId w:val="17"/>
        </w:numPr>
        <w:spacing w:after="0" w:line="216" w:lineRule="auto"/>
        <w:ind w:left="-142" w:right="-174" w:firstLine="0"/>
        <w:jc w:val="both"/>
        <w:rPr>
          <w:rFonts w:ascii="Verdana" w:hAnsi="Verdana"/>
          <w:bCs/>
          <w:w w:val="95"/>
          <w:sz w:val="20"/>
          <w:szCs w:val="20"/>
          <w:lang w:val="es-EC"/>
        </w:rPr>
      </w:pPr>
      <w:r>
        <w:rPr>
          <w:rFonts w:ascii="Verdana" w:hAnsi="Verdana"/>
          <w:bCs/>
          <w:w w:val="95"/>
          <w:sz w:val="20"/>
          <w:szCs w:val="20"/>
          <w:lang w:val="es-EC"/>
        </w:rPr>
        <w:t>E</w:t>
      </w:r>
      <w:r w:rsidRPr="007741A4">
        <w:rPr>
          <w:rFonts w:ascii="Verdana" w:hAnsi="Verdana"/>
          <w:bCs/>
          <w:w w:val="95"/>
          <w:sz w:val="20"/>
          <w:szCs w:val="20"/>
          <w:lang w:val="es-EC"/>
        </w:rPr>
        <w:t>n el</w:t>
      </w:r>
      <w:r>
        <w:rPr>
          <w:rFonts w:ascii="Verdana" w:hAnsi="Verdana"/>
          <w:bCs/>
          <w:w w:val="95"/>
          <w:sz w:val="20"/>
          <w:szCs w:val="20"/>
          <w:lang w:val="es-EC"/>
        </w:rPr>
        <w:t xml:space="preserve"> presente</w:t>
      </w:r>
      <w:r w:rsidRPr="007741A4">
        <w:rPr>
          <w:rFonts w:ascii="Verdana" w:hAnsi="Verdana"/>
          <w:bCs/>
          <w:w w:val="95"/>
          <w:sz w:val="20"/>
          <w:szCs w:val="20"/>
          <w:lang w:val="es-EC"/>
        </w:rPr>
        <w:t xml:space="preserve"> caso, la Corte observa que los alegatos de las representantes y la Comisión se vinculan al segundo moment</w:t>
      </w:r>
      <w:r w:rsidRPr="00203840">
        <w:rPr>
          <w:rFonts w:ascii="Verdana" w:hAnsi="Verdana"/>
          <w:bCs/>
          <w:w w:val="95"/>
          <w:sz w:val="20"/>
          <w:szCs w:val="20"/>
          <w:lang w:val="es-CR"/>
        </w:rPr>
        <w:t>o</w:t>
      </w:r>
      <w:r w:rsidRPr="007741A4">
        <w:rPr>
          <w:rFonts w:ascii="Verdana" w:hAnsi="Verdana"/>
          <w:bCs/>
          <w:w w:val="95"/>
          <w:sz w:val="20"/>
          <w:szCs w:val="20"/>
          <w:lang w:val="es-EC"/>
        </w:rPr>
        <w:t xml:space="preserve"> indicado; es decir, </w:t>
      </w:r>
      <w:r w:rsidR="00F0030C" w:rsidRPr="00315B30">
        <w:rPr>
          <w:rFonts w:ascii="Verdana" w:hAnsi="Verdana"/>
          <w:bCs/>
          <w:w w:val="95"/>
          <w:sz w:val="20"/>
          <w:szCs w:val="20"/>
          <w:lang w:val="es-EC"/>
        </w:rPr>
        <w:t xml:space="preserve">el tiempo </w:t>
      </w:r>
      <w:r w:rsidRPr="00315B30">
        <w:rPr>
          <w:rFonts w:ascii="Verdana" w:hAnsi="Verdana"/>
          <w:bCs/>
          <w:w w:val="95"/>
          <w:sz w:val="20"/>
          <w:szCs w:val="20"/>
          <w:lang w:val="es-EC"/>
        </w:rPr>
        <w:t>transcurrido</w:t>
      </w:r>
      <w:r w:rsidRPr="007741A4">
        <w:rPr>
          <w:rFonts w:ascii="Verdana" w:hAnsi="Verdana"/>
          <w:bCs/>
          <w:w w:val="95"/>
          <w:sz w:val="20"/>
          <w:szCs w:val="20"/>
          <w:lang w:val="es-EC"/>
        </w:rPr>
        <w:t xml:space="preserve"> entre la denuncia efectuada por la señora </w:t>
      </w:r>
      <w:r w:rsidR="00F15CBE" w:rsidRPr="00CB5F33">
        <w:rPr>
          <w:rFonts w:ascii="Verdana" w:hAnsi="Verdana"/>
          <w:bCs/>
          <w:w w:val="95"/>
          <w:sz w:val="20"/>
          <w:szCs w:val="20"/>
          <w:lang w:val="es-EC"/>
        </w:rPr>
        <w:t>Franco</w:t>
      </w:r>
      <w:r w:rsidRPr="007741A4">
        <w:rPr>
          <w:rFonts w:ascii="Verdana" w:hAnsi="Verdana"/>
          <w:bCs/>
          <w:i/>
          <w:w w:val="95"/>
          <w:sz w:val="20"/>
          <w:szCs w:val="20"/>
          <w:lang w:val="es-EC"/>
        </w:rPr>
        <w:t xml:space="preserve"> </w:t>
      </w:r>
      <w:r w:rsidRPr="007741A4">
        <w:rPr>
          <w:rFonts w:ascii="Verdana" w:hAnsi="Verdana"/>
          <w:bCs/>
          <w:w w:val="95"/>
          <w:sz w:val="20"/>
          <w:szCs w:val="20"/>
          <w:lang w:val="es-EC"/>
        </w:rPr>
        <w:t xml:space="preserve">Sandoval y el hallazgo del cuerpo sin vida de su hija. En tal sentido, aducen que el Estado tuvo </w:t>
      </w:r>
      <w:r w:rsidR="00F15CBE" w:rsidRPr="00CB5F33">
        <w:rPr>
          <w:rFonts w:ascii="Verdana" w:hAnsi="Verdana"/>
          <w:bCs/>
          <w:w w:val="95"/>
          <w:sz w:val="20"/>
          <w:szCs w:val="20"/>
          <w:lang w:val="es-EC"/>
        </w:rPr>
        <w:t>conoc</w:t>
      </w:r>
      <w:r w:rsidRPr="00B37887">
        <w:rPr>
          <w:rFonts w:ascii="Verdana" w:hAnsi="Verdana"/>
          <w:bCs/>
          <w:w w:val="95"/>
          <w:sz w:val="20"/>
          <w:szCs w:val="20"/>
          <w:lang w:val="es-EC"/>
        </w:rPr>
        <w:t>i</w:t>
      </w:r>
      <w:r w:rsidRPr="007741A4">
        <w:rPr>
          <w:rFonts w:ascii="Verdana" w:hAnsi="Verdana"/>
          <w:bCs/>
          <w:w w:val="95"/>
          <w:sz w:val="20"/>
          <w:szCs w:val="20"/>
          <w:lang w:val="es-EC"/>
        </w:rPr>
        <w:t>miento de una situación de riesgo a partir de la denuncia presentada por la madre de María Isabel a las autoridades (</w:t>
      </w:r>
      <w:r w:rsidRPr="007741A4">
        <w:rPr>
          <w:rFonts w:ascii="Verdana" w:hAnsi="Verdana"/>
          <w:bCs/>
          <w:i/>
          <w:w w:val="95"/>
          <w:sz w:val="20"/>
          <w:szCs w:val="20"/>
          <w:lang w:val="es-EC"/>
        </w:rPr>
        <w:t>supr</w:t>
      </w:r>
      <w:r w:rsidRPr="007741A4">
        <w:rPr>
          <w:rFonts w:ascii="Verdana" w:hAnsi="Verdana"/>
          <w:bCs/>
          <w:w w:val="95"/>
          <w:sz w:val="20"/>
          <w:szCs w:val="20"/>
          <w:lang w:val="es-EC"/>
        </w:rPr>
        <w:t xml:space="preserve">a párr. </w:t>
      </w:r>
      <w:r w:rsidR="00F0030C">
        <w:rPr>
          <w:rFonts w:ascii="Verdana" w:hAnsi="Verdana"/>
          <w:bCs/>
          <w:w w:val="95"/>
          <w:sz w:val="20"/>
          <w:szCs w:val="20"/>
          <w:lang w:val="es-EC"/>
        </w:rPr>
        <w:t>93</w:t>
      </w:r>
      <w:r w:rsidRPr="007741A4">
        <w:rPr>
          <w:rFonts w:ascii="Verdana" w:hAnsi="Verdana"/>
          <w:bCs/>
          <w:w w:val="95"/>
          <w:sz w:val="20"/>
          <w:szCs w:val="20"/>
          <w:lang w:val="es-EC"/>
        </w:rPr>
        <w:t xml:space="preserve">). </w:t>
      </w:r>
    </w:p>
    <w:p w:rsidR="00DF15C3" w:rsidRPr="007741A4" w:rsidRDefault="00DF15C3" w:rsidP="003F26FD">
      <w:pPr>
        <w:pStyle w:val="Prrafodelista"/>
        <w:spacing w:after="0" w:line="216" w:lineRule="auto"/>
        <w:ind w:left="-142" w:right="-174"/>
        <w:jc w:val="both"/>
        <w:rPr>
          <w:rFonts w:ascii="Verdana" w:hAnsi="Verdana"/>
          <w:bCs/>
          <w:w w:val="95"/>
          <w:sz w:val="20"/>
          <w:szCs w:val="20"/>
          <w:lang w:val="es-EC"/>
        </w:rPr>
      </w:pPr>
    </w:p>
    <w:p w:rsidR="00DF15C3" w:rsidRPr="00904DBD" w:rsidRDefault="00DF15C3" w:rsidP="003F26FD">
      <w:pPr>
        <w:pStyle w:val="Prrafodelista"/>
        <w:numPr>
          <w:ilvl w:val="0"/>
          <w:numId w:val="17"/>
        </w:numPr>
        <w:spacing w:after="0" w:line="216" w:lineRule="auto"/>
        <w:ind w:left="-142" w:right="-174" w:firstLine="0"/>
        <w:jc w:val="both"/>
        <w:rPr>
          <w:rFonts w:ascii="Verdana" w:hAnsi="Verdana"/>
          <w:b/>
          <w:bCs/>
          <w:w w:val="95"/>
          <w:sz w:val="20"/>
          <w:szCs w:val="20"/>
          <w:lang w:val="es-CR"/>
        </w:rPr>
      </w:pPr>
      <w:r w:rsidRPr="00904DBD">
        <w:rPr>
          <w:rFonts w:ascii="Verdana" w:hAnsi="Verdana"/>
          <w:bCs/>
          <w:w w:val="95"/>
          <w:sz w:val="20"/>
          <w:szCs w:val="20"/>
          <w:lang w:val="es-EC"/>
        </w:rPr>
        <w:t>En cuanto a este momento –antes del hallazgo del cuerpo- corresponde dilucidar si, dadas las</w:t>
      </w:r>
      <w:r w:rsidRPr="00904DBD">
        <w:rPr>
          <w:rFonts w:ascii="Verdana" w:hAnsi="Verdana"/>
          <w:b/>
          <w:bCs/>
          <w:w w:val="95"/>
          <w:sz w:val="20"/>
          <w:szCs w:val="20"/>
          <w:lang w:val="es-EC"/>
        </w:rPr>
        <w:t xml:space="preserve"> </w:t>
      </w:r>
      <w:r w:rsidRPr="00904DBD">
        <w:rPr>
          <w:rFonts w:ascii="Verdana" w:hAnsi="Verdana"/>
          <w:bCs/>
          <w:w w:val="95"/>
          <w:sz w:val="20"/>
          <w:szCs w:val="20"/>
          <w:lang w:val="es-EC"/>
        </w:rPr>
        <w:t>circunstancias particulares del caso y el contexto en que se inserta el Estado tuvo conocimiento de que existía un riesgo real e inmediato de que María Isabel fuera agredida y si, dado lo anterior, surgió un deber de debida diligencia que al ser más estricta, exige la realización exhaustiva de actividades de búsqueda. En particular, es</w:t>
      </w:r>
      <w:r w:rsidRPr="00904DBD">
        <w:rPr>
          <w:rFonts w:ascii="Verdana" w:hAnsi="Verdana"/>
          <w:bCs/>
          <w:w w:val="95"/>
          <w:sz w:val="20"/>
          <w:szCs w:val="20"/>
          <w:lang w:val="es-ES_tradnl"/>
        </w:rPr>
        <w:t xml:space="preserve"> imprescindible la </w:t>
      </w:r>
      <w:r w:rsidRPr="00904DBD">
        <w:rPr>
          <w:rFonts w:ascii="Verdana" w:hAnsi="Verdana"/>
          <w:bCs/>
          <w:w w:val="95"/>
          <w:sz w:val="20"/>
          <w:szCs w:val="20"/>
          <w:lang w:val="es-ES_tradnl"/>
        </w:rPr>
        <w:lastRenderedPageBreak/>
        <w:t>actuación pronta e inmediata de las autoridades policiales, fiscales y judiciales ordenando medidas oportunas y neces</w:t>
      </w:r>
      <w:r w:rsidRPr="00904DBD">
        <w:rPr>
          <w:rFonts w:ascii="Verdana" w:hAnsi="Verdana"/>
          <w:bCs/>
          <w:w w:val="95"/>
          <w:sz w:val="20"/>
          <w:szCs w:val="20"/>
          <w:lang w:val="es-CR"/>
        </w:rPr>
        <w:t>arias dirigidas a la determinación del paradero de la víctima. Deben existir procedimientos adecuados para las denuncias y que éstas conlleven una</w:t>
      </w:r>
      <w:r w:rsidRPr="00904DBD">
        <w:rPr>
          <w:rFonts w:ascii="Verdana" w:hAnsi="Verdana"/>
          <w:bCs/>
          <w:i/>
          <w:w w:val="95"/>
          <w:sz w:val="20"/>
          <w:szCs w:val="20"/>
          <w:lang w:val="es-CR"/>
        </w:rPr>
        <w:t xml:space="preserve"> </w:t>
      </w:r>
      <w:r w:rsidRPr="00904DBD">
        <w:rPr>
          <w:rFonts w:ascii="Verdana" w:hAnsi="Verdana"/>
          <w:bCs/>
          <w:w w:val="95"/>
          <w:sz w:val="20"/>
          <w:szCs w:val="20"/>
          <w:lang w:val="es-CR"/>
        </w:rPr>
        <w:t>i</w:t>
      </w:r>
      <w:r w:rsidRPr="00904DBD">
        <w:rPr>
          <w:rFonts w:ascii="Verdana" w:hAnsi="Verdana"/>
          <w:bCs/>
          <w:w w:val="95"/>
          <w:sz w:val="20"/>
          <w:szCs w:val="20"/>
          <w:lang w:val="es-EC"/>
        </w:rPr>
        <w:t>n</w:t>
      </w:r>
      <w:r w:rsidRPr="00904DBD">
        <w:rPr>
          <w:rFonts w:ascii="Verdana" w:hAnsi="Verdana"/>
          <w:bCs/>
          <w:w w:val="95"/>
          <w:sz w:val="20"/>
          <w:szCs w:val="20"/>
          <w:lang w:val="es-CR"/>
        </w:rPr>
        <w:t>ves</w:t>
      </w:r>
      <w:r w:rsidRPr="00904DBD">
        <w:rPr>
          <w:rFonts w:ascii="Verdana" w:hAnsi="Verdana"/>
          <w:bCs/>
          <w:w w:val="95"/>
          <w:sz w:val="20"/>
          <w:szCs w:val="20"/>
          <w:lang w:val="es-EC"/>
        </w:rPr>
        <w:t>tigación efectiva desde las primeras horas. Las autoridades deben presumir que la persona desaparecida sigue con vida hasta que se ponga fin a la incertidumbre sobre la suerte que ha corrido</w:t>
      </w:r>
      <w:r>
        <w:rPr>
          <w:rStyle w:val="Refdenotaalpie"/>
          <w:rFonts w:ascii="Verdana" w:hAnsi="Verdana"/>
          <w:bCs/>
          <w:w w:val="95"/>
          <w:sz w:val="20"/>
          <w:szCs w:val="20"/>
          <w:lang w:val="es-EC"/>
        </w:rPr>
        <w:footnoteReference w:id="234"/>
      </w:r>
      <w:r w:rsidRPr="00904DBD">
        <w:rPr>
          <w:rFonts w:ascii="Verdana" w:hAnsi="Verdana"/>
          <w:bCs/>
          <w:w w:val="95"/>
          <w:sz w:val="20"/>
          <w:szCs w:val="20"/>
          <w:lang w:val="es-EC"/>
        </w:rPr>
        <w:t>.</w:t>
      </w:r>
      <w:r w:rsidRPr="00904DBD">
        <w:rPr>
          <w:rFonts w:ascii="Verdana" w:hAnsi="Verdana"/>
          <w:b/>
          <w:bCs/>
          <w:w w:val="95"/>
          <w:sz w:val="20"/>
          <w:szCs w:val="20"/>
          <w:lang w:val="es-EC"/>
        </w:rPr>
        <w:t xml:space="preserve"> </w:t>
      </w:r>
    </w:p>
    <w:p w:rsidR="00904DBD" w:rsidRPr="00904DBD" w:rsidRDefault="00904DBD" w:rsidP="003F26FD">
      <w:pPr>
        <w:spacing w:after="0" w:line="216" w:lineRule="auto"/>
        <w:ind w:right="-174"/>
        <w:jc w:val="both"/>
        <w:rPr>
          <w:rFonts w:ascii="Verdana" w:hAnsi="Verdana"/>
          <w:b/>
          <w:bCs/>
          <w:w w:val="95"/>
          <w:sz w:val="20"/>
          <w:szCs w:val="20"/>
          <w:lang w:val="es-CR"/>
        </w:rPr>
      </w:pPr>
    </w:p>
    <w:p w:rsidR="00DF15C3" w:rsidRPr="00204AEA" w:rsidRDefault="00DF15C3" w:rsidP="003F26FD">
      <w:pPr>
        <w:pStyle w:val="Prrafodelista"/>
        <w:numPr>
          <w:ilvl w:val="0"/>
          <w:numId w:val="17"/>
        </w:numPr>
        <w:spacing w:after="0" w:line="216" w:lineRule="auto"/>
        <w:ind w:left="-142" w:right="-174" w:firstLine="0"/>
        <w:jc w:val="both"/>
        <w:rPr>
          <w:rFonts w:ascii="Verdana" w:hAnsi="Verdana"/>
          <w:bCs/>
          <w:w w:val="95"/>
          <w:sz w:val="20"/>
          <w:szCs w:val="20"/>
          <w:lang w:val="es-CR"/>
        </w:rPr>
      </w:pPr>
      <w:r w:rsidRPr="00203840">
        <w:rPr>
          <w:rFonts w:ascii="Verdana" w:hAnsi="Verdana"/>
          <w:bCs/>
          <w:w w:val="95"/>
          <w:sz w:val="20"/>
          <w:szCs w:val="20"/>
          <w:lang w:val="es-CR"/>
        </w:rPr>
        <w:t>Por lo expuesto, a</w:t>
      </w:r>
      <w:r w:rsidRPr="00204AEA">
        <w:rPr>
          <w:rFonts w:ascii="Verdana" w:hAnsi="Verdana"/>
          <w:bCs/>
          <w:w w:val="95"/>
          <w:sz w:val="20"/>
          <w:szCs w:val="20"/>
          <w:lang w:val="es-CR"/>
        </w:rPr>
        <w:t xml:space="preserve"> fin de dilucidar la existencia de responsabilidad internacional estatal, debe determinarse si, en el caso concreto, existía una situación de riesgo atinente a la niña y si, respecto de la misma, el Estado pudo adoptar, en el marco de sus atribuciones, medidas tendientes a prevenirla o evitarla </w:t>
      </w:r>
      <w:r>
        <w:rPr>
          <w:rFonts w:ascii="Verdana" w:hAnsi="Verdana"/>
          <w:bCs/>
          <w:w w:val="95"/>
          <w:sz w:val="20"/>
          <w:szCs w:val="20"/>
          <w:lang w:val="es-CR"/>
        </w:rPr>
        <w:t xml:space="preserve">y </w:t>
      </w:r>
      <w:r w:rsidRPr="00204AEA">
        <w:rPr>
          <w:rFonts w:ascii="Verdana" w:hAnsi="Verdana"/>
          <w:bCs/>
          <w:w w:val="95"/>
          <w:sz w:val="20"/>
          <w:szCs w:val="20"/>
          <w:lang w:val="es-CR"/>
        </w:rPr>
        <w:t xml:space="preserve">que razonablemente juzgadas, fueran susceptibles de lograr su cometido. A tal efecto, es necesario evaluar si: a) el Estado tuvo oportunamente, o debió tener, conocimiento de la situación de riesgo real e inmediato en que se encontraba a María Isabel </w:t>
      </w:r>
      <w:r w:rsidR="0050766B" w:rsidRPr="00204AEA">
        <w:rPr>
          <w:rFonts w:ascii="Verdana" w:hAnsi="Verdana"/>
          <w:bCs/>
          <w:w w:val="95"/>
          <w:sz w:val="20"/>
          <w:szCs w:val="20"/>
          <w:lang w:val="es-CR"/>
        </w:rPr>
        <w:t>V</w:t>
      </w:r>
      <w:r w:rsidR="0050766B">
        <w:rPr>
          <w:rFonts w:ascii="Verdana" w:hAnsi="Verdana"/>
          <w:bCs/>
          <w:w w:val="95"/>
          <w:sz w:val="20"/>
          <w:szCs w:val="20"/>
          <w:lang w:val="es-CR"/>
        </w:rPr>
        <w:t>e</w:t>
      </w:r>
      <w:r w:rsidR="0050766B" w:rsidRPr="00204AEA">
        <w:rPr>
          <w:rFonts w:ascii="Verdana" w:hAnsi="Verdana"/>
          <w:bCs/>
          <w:w w:val="95"/>
          <w:sz w:val="20"/>
          <w:szCs w:val="20"/>
          <w:lang w:val="es-CR"/>
        </w:rPr>
        <w:t xml:space="preserve">liz </w:t>
      </w:r>
      <w:r w:rsidRPr="00204AEA">
        <w:rPr>
          <w:rFonts w:ascii="Verdana" w:hAnsi="Verdana"/>
          <w:bCs/>
          <w:w w:val="95"/>
          <w:sz w:val="20"/>
          <w:szCs w:val="20"/>
          <w:lang w:val="es-CR"/>
        </w:rPr>
        <w:t>Franco</w:t>
      </w:r>
      <w:r>
        <w:rPr>
          <w:rStyle w:val="Refdenotaalpie"/>
          <w:rFonts w:ascii="Verdana" w:hAnsi="Verdana"/>
          <w:bCs/>
          <w:w w:val="95"/>
          <w:sz w:val="20"/>
          <w:szCs w:val="20"/>
          <w:lang w:val="es-CR"/>
        </w:rPr>
        <w:footnoteReference w:id="235"/>
      </w:r>
      <w:r w:rsidRPr="00204AEA">
        <w:rPr>
          <w:rFonts w:ascii="Verdana" w:hAnsi="Verdana"/>
          <w:bCs/>
          <w:w w:val="95"/>
          <w:sz w:val="20"/>
          <w:szCs w:val="20"/>
          <w:lang w:val="es-CR"/>
        </w:rPr>
        <w:t>; b) si, en su caso, tuvo posibilidades razonables de prevenir o evitar la consumación y, de ser así</w:t>
      </w:r>
      <w:r>
        <w:rPr>
          <w:rStyle w:val="Refdenotaalpie"/>
          <w:rFonts w:ascii="Verdana" w:hAnsi="Verdana"/>
          <w:bCs/>
          <w:w w:val="95"/>
          <w:sz w:val="20"/>
          <w:szCs w:val="20"/>
          <w:lang w:val="es-CR"/>
        </w:rPr>
        <w:footnoteReference w:id="236"/>
      </w:r>
      <w:r w:rsidR="00F0030C">
        <w:rPr>
          <w:rFonts w:ascii="Verdana" w:hAnsi="Verdana"/>
          <w:bCs/>
          <w:w w:val="95"/>
          <w:sz w:val="20"/>
          <w:szCs w:val="20"/>
          <w:lang w:val="es-CR"/>
        </w:rPr>
        <w:t xml:space="preserve">, c) si concretó </w:t>
      </w:r>
      <w:r w:rsidRPr="00204AEA">
        <w:rPr>
          <w:rFonts w:ascii="Verdana" w:hAnsi="Verdana"/>
          <w:bCs/>
          <w:w w:val="95"/>
          <w:sz w:val="20"/>
          <w:szCs w:val="20"/>
          <w:lang w:val="es-CR"/>
        </w:rPr>
        <w:t xml:space="preserve">la diligencia debida </w:t>
      </w:r>
      <w:r>
        <w:rPr>
          <w:rFonts w:ascii="Verdana" w:hAnsi="Verdana"/>
          <w:bCs/>
          <w:w w:val="95"/>
          <w:sz w:val="20"/>
          <w:szCs w:val="20"/>
          <w:lang w:val="es-CR"/>
        </w:rPr>
        <w:t xml:space="preserve">con </w:t>
      </w:r>
      <w:r w:rsidRPr="00204AEA">
        <w:rPr>
          <w:rFonts w:ascii="Verdana" w:hAnsi="Verdana"/>
          <w:bCs/>
          <w:w w:val="95"/>
          <w:sz w:val="20"/>
          <w:szCs w:val="20"/>
          <w:lang w:val="es-CR"/>
        </w:rPr>
        <w:t>medidas o acciones para evitar la lesión de los derechos de la niña nombrada</w:t>
      </w:r>
      <w:r w:rsidRPr="00204AEA">
        <w:rPr>
          <w:rStyle w:val="Refdenotaalpie"/>
          <w:rFonts w:ascii="Verdana" w:hAnsi="Verdana"/>
          <w:w w:val="95"/>
          <w:sz w:val="20"/>
          <w:szCs w:val="20"/>
        </w:rPr>
        <w:footnoteReference w:id="237"/>
      </w:r>
      <w:r w:rsidRPr="00204AEA">
        <w:rPr>
          <w:rFonts w:ascii="Verdana" w:hAnsi="Verdana"/>
          <w:bCs/>
          <w:w w:val="95"/>
          <w:sz w:val="20"/>
          <w:szCs w:val="20"/>
          <w:lang w:val="es-CR"/>
        </w:rPr>
        <w:t xml:space="preserve">. </w:t>
      </w:r>
    </w:p>
    <w:p w:rsidR="00DF15C3" w:rsidRPr="00943069" w:rsidRDefault="00DF15C3" w:rsidP="003F26FD">
      <w:pPr>
        <w:pStyle w:val="Prrafodelista"/>
        <w:spacing w:after="0" w:line="216" w:lineRule="auto"/>
        <w:ind w:left="-142" w:right="-174"/>
        <w:jc w:val="both"/>
        <w:rPr>
          <w:rFonts w:ascii="Verdana" w:hAnsi="Verdana"/>
          <w:bCs/>
          <w:w w:val="95"/>
          <w:sz w:val="20"/>
          <w:szCs w:val="20"/>
          <w:lang w:val="es-CR"/>
        </w:rPr>
      </w:pPr>
    </w:p>
    <w:p w:rsidR="00DF15C3" w:rsidRPr="00943069" w:rsidRDefault="00DF15C3" w:rsidP="003F26FD">
      <w:pPr>
        <w:pStyle w:val="Prrafodelista"/>
        <w:numPr>
          <w:ilvl w:val="0"/>
          <w:numId w:val="17"/>
        </w:numPr>
        <w:spacing w:after="0" w:line="216" w:lineRule="auto"/>
        <w:ind w:left="-142" w:right="-174" w:firstLine="0"/>
        <w:jc w:val="both"/>
        <w:rPr>
          <w:rFonts w:ascii="Verdana" w:hAnsi="Verdana"/>
          <w:bCs/>
          <w:w w:val="95"/>
          <w:sz w:val="20"/>
          <w:szCs w:val="20"/>
          <w:lang w:val="es-CR"/>
        </w:rPr>
      </w:pPr>
      <w:r w:rsidRPr="00AA5F26">
        <w:rPr>
          <w:rFonts w:ascii="Verdana" w:hAnsi="Verdana"/>
          <w:bCs/>
          <w:w w:val="95"/>
          <w:sz w:val="20"/>
          <w:szCs w:val="20"/>
          <w:lang w:val="es-CR"/>
        </w:rPr>
        <w:t>El examen referido debe hacerse teniendo en consideración lo dicho sobre el deber estatal de actuar con estricta diligencia en la garantía de los derechos de las niñas (</w:t>
      </w:r>
      <w:r w:rsidRPr="00AA5F26">
        <w:rPr>
          <w:rFonts w:ascii="Verdana" w:hAnsi="Verdana"/>
          <w:bCs/>
          <w:i/>
          <w:w w:val="95"/>
          <w:sz w:val="20"/>
          <w:szCs w:val="20"/>
          <w:lang w:val="es-CR"/>
        </w:rPr>
        <w:t>supra</w:t>
      </w:r>
      <w:r w:rsidRPr="00AA5F26">
        <w:rPr>
          <w:rFonts w:ascii="Verdana" w:hAnsi="Verdana"/>
          <w:bCs/>
          <w:w w:val="95"/>
          <w:sz w:val="20"/>
          <w:szCs w:val="20"/>
          <w:lang w:val="es-CR"/>
        </w:rPr>
        <w:t xml:space="preserve"> párr. </w:t>
      </w:r>
      <w:r w:rsidR="009C371B">
        <w:rPr>
          <w:rFonts w:ascii="Verdana" w:hAnsi="Verdana"/>
          <w:bCs/>
          <w:w w:val="95"/>
          <w:sz w:val="20"/>
          <w:szCs w:val="20"/>
          <w:lang w:val="es-CR"/>
        </w:rPr>
        <w:t>134</w:t>
      </w:r>
      <w:r w:rsidRPr="00AA5F26">
        <w:rPr>
          <w:rFonts w:ascii="Verdana" w:hAnsi="Verdana"/>
          <w:bCs/>
          <w:w w:val="95"/>
          <w:sz w:val="20"/>
          <w:szCs w:val="20"/>
          <w:lang w:val="es-CR"/>
        </w:rPr>
        <w:t xml:space="preserve">). </w:t>
      </w:r>
      <w:r w:rsidRPr="00AA5F26">
        <w:rPr>
          <w:rFonts w:ascii="Verdana" w:eastAsia="Batang" w:hAnsi="Verdana"/>
          <w:w w:val="95"/>
          <w:sz w:val="20"/>
          <w:szCs w:val="20"/>
          <w:lang w:val="es-CR"/>
        </w:rPr>
        <w:t xml:space="preserve">Por otra parte, de acuerdo a lo </w:t>
      </w:r>
      <w:r w:rsidR="00B95973">
        <w:rPr>
          <w:rFonts w:ascii="Verdana" w:eastAsia="Batang" w:hAnsi="Verdana"/>
          <w:w w:val="95"/>
          <w:sz w:val="20"/>
          <w:szCs w:val="20"/>
          <w:lang w:val="es-CR"/>
        </w:rPr>
        <w:t>fijado por la jurisprudencia de este</w:t>
      </w:r>
      <w:r w:rsidRPr="00AA5F26">
        <w:rPr>
          <w:rFonts w:ascii="Verdana" w:eastAsia="Batang" w:hAnsi="Verdana"/>
          <w:w w:val="95"/>
          <w:sz w:val="20"/>
          <w:szCs w:val="20"/>
          <w:lang w:val="es-CR"/>
        </w:rPr>
        <w:t xml:space="preserve"> Tribunal, para establecer que se ha producido una violación de los derechos consagrados en la Convención </w:t>
      </w:r>
      <w:r w:rsidRPr="00AA5F26">
        <w:rPr>
          <w:rFonts w:ascii="Verdana" w:eastAsia="Batang" w:hAnsi="Verdana"/>
          <w:iCs/>
          <w:w w:val="95"/>
          <w:sz w:val="20"/>
          <w:szCs w:val="20"/>
          <w:lang w:val="es-CR"/>
        </w:rPr>
        <w:t>no es necesario que se pruebe la responsabilidad del Estado más allá de toda duda razonable ni que</w:t>
      </w:r>
      <w:r w:rsidRPr="00AA5F26">
        <w:rPr>
          <w:rFonts w:ascii="Verdana" w:eastAsia="Batang" w:hAnsi="Verdana"/>
          <w:w w:val="95"/>
          <w:sz w:val="20"/>
          <w:szCs w:val="20"/>
          <w:lang w:val="es-CR"/>
        </w:rPr>
        <w:t xml:space="preserve"> se identifique individualmente a los agentes a los cuales se atribuyen los hechos violatorios</w:t>
      </w:r>
      <w:r w:rsidRPr="00AA5F26">
        <w:rPr>
          <w:rFonts w:ascii="Verdana" w:eastAsia="Batang" w:hAnsi="Verdana"/>
          <w:w w:val="95"/>
          <w:sz w:val="20"/>
          <w:szCs w:val="20"/>
          <w:vertAlign w:val="superscript"/>
        </w:rPr>
        <w:footnoteReference w:id="238"/>
      </w:r>
      <w:r w:rsidRPr="00943069">
        <w:rPr>
          <w:rFonts w:ascii="Verdana" w:eastAsia="Batang" w:hAnsi="Verdana"/>
          <w:w w:val="95"/>
          <w:sz w:val="20"/>
          <w:szCs w:val="20"/>
          <w:lang w:val="es-CR"/>
        </w:rPr>
        <w:t>, sino que es suficiente demostrar que se han verificado acciones u omisiones que hayan permitido la perpetración de esas violaciones o que, en relación con estas, exista una obligación del Estado que haya sido incumplida</w:t>
      </w:r>
      <w:r w:rsidRPr="00AA5F26">
        <w:rPr>
          <w:rFonts w:ascii="Verdana" w:eastAsia="Batang" w:hAnsi="Verdana"/>
          <w:w w:val="95"/>
          <w:sz w:val="20"/>
          <w:szCs w:val="20"/>
          <w:vertAlign w:val="superscript"/>
        </w:rPr>
        <w:footnoteReference w:id="239"/>
      </w:r>
      <w:r w:rsidRPr="00943069">
        <w:rPr>
          <w:rFonts w:ascii="Verdana" w:eastAsia="Batang" w:hAnsi="Verdana"/>
          <w:w w:val="95"/>
          <w:sz w:val="20"/>
          <w:szCs w:val="20"/>
          <w:lang w:val="es-CR"/>
        </w:rPr>
        <w:t>.</w:t>
      </w:r>
      <w:r w:rsidRPr="00943069">
        <w:rPr>
          <w:rFonts w:ascii="Verdana" w:eastAsia="Batang" w:hAnsi="Verdana"/>
          <w:b/>
          <w:w w:val="95"/>
          <w:sz w:val="20"/>
          <w:szCs w:val="20"/>
          <w:lang w:val="es-CR"/>
        </w:rPr>
        <w:t xml:space="preserve"> </w:t>
      </w:r>
    </w:p>
    <w:p w:rsidR="00BA1E79" w:rsidRPr="00F0030C" w:rsidRDefault="00BA1E79" w:rsidP="003F26FD">
      <w:pPr>
        <w:spacing w:after="0" w:line="216" w:lineRule="auto"/>
        <w:ind w:left="-142" w:right="-174"/>
        <w:jc w:val="both"/>
        <w:rPr>
          <w:rFonts w:ascii="Verdana" w:hAnsi="Verdana"/>
          <w:bCs/>
          <w:w w:val="95"/>
          <w:sz w:val="20"/>
          <w:szCs w:val="20"/>
          <w:lang w:val="es-CR"/>
        </w:rPr>
      </w:pPr>
    </w:p>
    <w:p w:rsidR="00904DBD" w:rsidRDefault="00DF15C3" w:rsidP="00315B30">
      <w:pPr>
        <w:pStyle w:val="Ttulo4"/>
        <w:ind w:left="709" w:right="-174"/>
        <w:rPr>
          <w:rFonts w:ascii="Verdana" w:hAnsi="Verdana"/>
          <w:b w:val="0"/>
          <w:color w:val="auto"/>
          <w:w w:val="95"/>
          <w:sz w:val="20"/>
          <w:u w:val="single"/>
        </w:rPr>
      </w:pPr>
      <w:bookmarkStart w:id="84" w:name="_Toc394313672"/>
      <w:r w:rsidRPr="00B457A2">
        <w:rPr>
          <w:rFonts w:ascii="Verdana" w:hAnsi="Verdana"/>
          <w:b w:val="0"/>
          <w:color w:val="auto"/>
          <w:w w:val="95"/>
          <w:sz w:val="20"/>
          <w:u w:val="single"/>
        </w:rPr>
        <w:t xml:space="preserve">B.1.1. Existencia de una situación de riesgo en perjuicio de María Isabel </w:t>
      </w:r>
      <w:r w:rsidR="0050766B" w:rsidRPr="00B457A2">
        <w:rPr>
          <w:rFonts w:ascii="Verdana" w:hAnsi="Verdana"/>
          <w:b w:val="0"/>
          <w:color w:val="auto"/>
          <w:w w:val="95"/>
          <w:sz w:val="20"/>
          <w:u w:val="single"/>
        </w:rPr>
        <w:t>V</w:t>
      </w:r>
      <w:r w:rsidR="0050766B">
        <w:rPr>
          <w:rFonts w:ascii="Verdana" w:hAnsi="Verdana"/>
          <w:b w:val="0"/>
          <w:color w:val="auto"/>
          <w:w w:val="95"/>
          <w:sz w:val="20"/>
          <w:u w:val="single"/>
        </w:rPr>
        <w:t>e</w:t>
      </w:r>
      <w:r w:rsidR="0050766B" w:rsidRPr="00B457A2">
        <w:rPr>
          <w:rFonts w:ascii="Verdana" w:hAnsi="Verdana"/>
          <w:b w:val="0"/>
          <w:color w:val="auto"/>
          <w:w w:val="95"/>
          <w:sz w:val="20"/>
          <w:u w:val="single"/>
        </w:rPr>
        <w:t xml:space="preserve">liz </w:t>
      </w:r>
      <w:r w:rsidRPr="00B457A2">
        <w:rPr>
          <w:rFonts w:ascii="Verdana" w:hAnsi="Verdana"/>
          <w:b w:val="0"/>
          <w:color w:val="auto"/>
          <w:w w:val="95"/>
          <w:sz w:val="20"/>
          <w:u w:val="single"/>
        </w:rPr>
        <w:t>Franco</w:t>
      </w:r>
      <w:bookmarkEnd w:id="84"/>
    </w:p>
    <w:p w:rsidR="00315B30" w:rsidRPr="00315B30" w:rsidRDefault="00315B30" w:rsidP="00315B30">
      <w:pPr>
        <w:rPr>
          <w:lang w:val="es-ES_tradnl"/>
        </w:rPr>
      </w:pPr>
    </w:p>
    <w:p w:rsidR="00DF15C3" w:rsidRPr="00943069" w:rsidRDefault="00DF15C3" w:rsidP="003F26FD">
      <w:pPr>
        <w:pStyle w:val="Prrafodelista"/>
        <w:numPr>
          <w:ilvl w:val="0"/>
          <w:numId w:val="17"/>
        </w:numPr>
        <w:spacing w:after="0" w:line="216" w:lineRule="auto"/>
        <w:ind w:left="-142" w:right="-174" w:firstLine="0"/>
        <w:jc w:val="both"/>
        <w:rPr>
          <w:rFonts w:ascii="Verdana" w:hAnsi="Verdana"/>
          <w:bCs/>
          <w:w w:val="95"/>
          <w:sz w:val="20"/>
          <w:szCs w:val="20"/>
          <w:lang w:val="es-CR"/>
        </w:rPr>
      </w:pPr>
      <w:r w:rsidRPr="00AA5F26">
        <w:rPr>
          <w:rFonts w:ascii="Verdana" w:hAnsi="Verdana"/>
          <w:bCs/>
          <w:w w:val="95"/>
          <w:sz w:val="20"/>
          <w:szCs w:val="20"/>
          <w:lang w:val="es-CR"/>
        </w:rPr>
        <w:t xml:space="preserve">Sentado lo anterior, debe resaltarse que corresponde asumir como una posibilidad cierta que cuándo el Estado tomó conocimiento de la desaparición de María Isabel </w:t>
      </w:r>
      <w:r w:rsidR="0050766B" w:rsidRPr="00AA5F26">
        <w:rPr>
          <w:rFonts w:ascii="Verdana" w:hAnsi="Verdana"/>
          <w:bCs/>
          <w:w w:val="95"/>
          <w:sz w:val="20"/>
          <w:szCs w:val="20"/>
          <w:lang w:val="es-CR"/>
        </w:rPr>
        <w:t>V</w:t>
      </w:r>
      <w:r w:rsidR="0050766B">
        <w:rPr>
          <w:rFonts w:ascii="Verdana" w:hAnsi="Verdana"/>
          <w:bCs/>
          <w:w w:val="95"/>
          <w:sz w:val="20"/>
          <w:szCs w:val="20"/>
          <w:lang w:val="es-CR"/>
        </w:rPr>
        <w:t>e</w:t>
      </w:r>
      <w:r w:rsidR="0050766B" w:rsidRPr="00AA5F26">
        <w:rPr>
          <w:rFonts w:ascii="Verdana" w:hAnsi="Verdana"/>
          <w:bCs/>
          <w:w w:val="95"/>
          <w:sz w:val="20"/>
          <w:szCs w:val="20"/>
          <w:lang w:val="es-CR"/>
        </w:rPr>
        <w:t xml:space="preserve">liz </w:t>
      </w:r>
      <w:r w:rsidRPr="00AA5F26">
        <w:rPr>
          <w:rFonts w:ascii="Verdana" w:hAnsi="Verdana"/>
          <w:bCs/>
          <w:w w:val="95"/>
          <w:sz w:val="20"/>
          <w:szCs w:val="20"/>
          <w:lang w:val="es-CR"/>
        </w:rPr>
        <w:t>Franco, ella se encontraba viva y en una situación de grave peligro. En tal sentido, no surge del acervo probatorio que en el curso de la investigación se determinara el momento de la muerte de la niña, y los únicos señalamientos que constan al respecto indican que no habría muerto antes de las 16:00 horas del 17 de diciembre de 2001</w:t>
      </w:r>
      <w:r w:rsidR="009C371B">
        <w:rPr>
          <w:rFonts w:ascii="Verdana" w:hAnsi="Verdana"/>
          <w:bCs/>
          <w:w w:val="95"/>
          <w:sz w:val="20"/>
          <w:szCs w:val="20"/>
          <w:lang w:val="es-CR"/>
        </w:rPr>
        <w:t xml:space="preserve">, </w:t>
      </w:r>
      <w:r w:rsidRPr="00AA5F26">
        <w:rPr>
          <w:rFonts w:ascii="Verdana" w:hAnsi="Verdana"/>
          <w:bCs/>
          <w:w w:val="95"/>
          <w:sz w:val="20"/>
          <w:szCs w:val="20"/>
          <w:lang w:val="es-CR"/>
        </w:rPr>
        <w:t>cuando el Servicio de Investigación de la PNC formalizó la recepción de la denuncia presentada por la madre de la niña</w:t>
      </w:r>
      <w:r w:rsidR="009C371B">
        <w:rPr>
          <w:rFonts w:ascii="Verdana" w:hAnsi="Verdana"/>
          <w:bCs/>
          <w:w w:val="95"/>
          <w:sz w:val="20"/>
          <w:szCs w:val="20"/>
          <w:lang w:val="es-CR"/>
        </w:rPr>
        <w:t xml:space="preserve"> </w:t>
      </w:r>
      <w:r w:rsidR="009C371B" w:rsidRPr="00904DBD">
        <w:rPr>
          <w:rFonts w:ascii="Verdana" w:hAnsi="Verdana"/>
          <w:bCs/>
          <w:w w:val="95"/>
          <w:sz w:val="20"/>
          <w:szCs w:val="20"/>
          <w:lang w:val="es-CR"/>
        </w:rPr>
        <w:t>(</w:t>
      </w:r>
      <w:r w:rsidR="009C371B" w:rsidRPr="00904DBD">
        <w:rPr>
          <w:rFonts w:ascii="Verdana" w:hAnsi="Verdana"/>
          <w:bCs/>
          <w:i/>
          <w:w w:val="95"/>
          <w:sz w:val="20"/>
          <w:szCs w:val="20"/>
          <w:lang w:val="es-CR"/>
        </w:rPr>
        <w:t>supra</w:t>
      </w:r>
      <w:r w:rsidR="009C371B" w:rsidRPr="00904DBD">
        <w:rPr>
          <w:rFonts w:ascii="Verdana" w:hAnsi="Verdana"/>
          <w:bCs/>
          <w:w w:val="95"/>
          <w:sz w:val="20"/>
          <w:szCs w:val="20"/>
          <w:lang w:val="es-CR"/>
        </w:rPr>
        <w:t xml:space="preserve"> párr</w:t>
      </w:r>
      <w:r w:rsidR="009C371B">
        <w:rPr>
          <w:rFonts w:ascii="Verdana" w:hAnsi="Verdana"/>
          <w:bCs/>
          <w:w w:val="95"/>
          <w:sz w:val="20"/>
          <w:szCs w:val="20"/>
          <w:lang w:val="es-CR"/>
        </w:rPr>
        <w:t>. 95)</w:t>
      </w:r>
      <w:r w:rsidRPr="00AA5F26">
        <w:rPr>
          <w:rFonts w:ascii="Verdana" w:hAnsi="Verdana"/>
          <w:bCs/>
          <w:w w:val="95"/>
          <w:sz w:val="20"/>
          <w:szCs w:val="20"/>
          <w:lang w:val="es-CR"/>
        </w:rPr>
        <w:t xml:space="preserve">. Por el contrario, de modo no conclusivo, los indicios existentes denotan que habría muerto en momentos cercanos a las primeras horas del día 18 de diciembre de 2001 </w:t>
      </w:r>
      <w:r w:rsidRPr="00904DBD">
        <w:rPr>
          <w:rFonts w:ascii="Verdana" w:hAnsi="Verdana"/>
          <w:bCs/>
          <w:w w:val="95"/>
          <w:sz w:val="20"/>
          <w:szCs w:val="20"/>
          <w:lang w:val="es-CR"/>
        </w:rPr>
        <w:t>(</w:t>
      </w:r>
      <w:r w:rsidRPr="00904DBD">
        <w:rPr>
          <w:rFonts w:ascii="Verdana" w:hAnsi="Verdana"/>
          <w:bCs/>
          <w:i/>
          <w:w w:val="95"/>
          <w:sz w:val="20"/>
          <w:szCs w:val="20"/>
          <w:lang w:val="es-CR"/>
        </w:rPr>
        <w:t>supra</w:t>
      </w:r>
      <w:r w:rsidR="00904DBD">
        <w:rPr>
          <w:rFonts w:ascii="Verdana" w:hAnsi="Verdana"/>
          <w:bCs/>
          <w:w w:val="95"/>
          <w:sz w:val="20"/>
          <w:szCs w:val="20"/>
          <w:lang w:val="es-CR"/>
        </w:rPr>
        <w:t xml:space="preserve"> párr</w:t>
      </w:r>
      <w:r w:rsidRPr="00904DBD">
        <w:rPr>
          <w:rFonts w:ascii="Verdana" w:hAnsi="Verdana"/>
          <w:bCs/>
          <w:w w:val="95"/>
          <w:sz w:val="20"/>
          <w:szCs w:val="20"/>
          <w:lang w:val="es-CR"/>
        </w:rPr>
        <w:t>.</w:t>
      </w:r>
      <w:r w:rsidR="00904DBD">
        <w:rPr>
          <w:rFonts w:ascii="Verdana" w:hAnsi="Verdana"/>
          <w:bCs/>
          <w:w w:val="95"/>
          <w:sz w:val="20"/>
          <w:szCs w:val="20"/>
          <w:lang w:val="es-CR"/>
        </w:rPr>
        <w:t xml:space="preserve"> </w:t>
      </w:r>
      <w:r w:rsidR="00635EC6">
        <w:rPr>
          <w:rFonts w:ascii="Verdana" w:hAnsi="Verdana"/>
          <w:bCs/>
          <w:w w:val="95"/>
          <w:sz w:val="20"/>
          <w:szCs w:val="20"/>
          <w:lang w:val="es-CR"/>
        </w:rPr>
        <w:t>98</w:t>
      </w:r>
      <w:r w:rsidR="009C371B">
        <w:rPr>
          <w:rFonts w:ascii="Verdana" w:hAnsi="Verdana"/>
          <w:bCs/>
          <w:w w:val="95"/>
          <w:sz w:val="20"/>
          <w:szCs w:val="20"/>
          <w:lang w:val="es-CR"/>
        </w:rPr>
        <w:t xml:space="preserve"> y 111</w:t>
      </w:r>
      <w:r w:rsidRPr="00904DBD">
        <w:rPr>
          <w:rFonts w:ascii="Verdana" w:hAnsi="Verdana"/>
          <w:bCs/>
          <w:w w:val="95"/>
          <w:sz w:val="20"/>
          <w:szCs w:val="20"/>
          <w:lang w:val="es-CR"/>
        </w:rPr>
        <w:t>).</w:t>
      </w:r>
      <w:r w:rsidRPr="00AA5F26">
        <w:rPr>
          <w:rFonts w:ascii="Verdana" w:hAnsi="Verdana"/>
          <w:bCs/>
          <w:w w:val="95"/>
          <w:sz w:val="20"/>
          <w:szCs w:val="20"/>
          <w:lang w:val="es-CR"/>
        </w:rPr>
        <w:t xml:space="preserve"> </w:t>
      </w:r>
    </w:p>
    <w:p w:rsidR="00DF15C3" w:rsidRPr="00943069" w:rsidRDefault="00DF15C3" w:rsidP="003F26FD">
      <w:pPr>
        <w:pStyle w:val="Prrafodelista"/>
        <w:spacing w:after="0" w:line="216" w:lineRule="auto"/>
        <w:ind w:left="-142" w:right="-174"/>
        <w:jc w:val="both"/>
        <w:rPr>
          <w:rFonts w:ascii="Verdana" w:hAnsi="Verdana"/>
          <w:bCs/>
          <w:w w:val="95"/>
          <w:sz w:val="20"/>
          <w:szCs w:val="20"/>
          <w:lang w:val="es-CR"/>
        </w:rPr>
      </w:pPr>
    </w:p>
    <w:p w:rsidR="00DF15C3" w:rsidRPr="002B1610" w:rsidRDefault="00DF15C3" w:rsidP="003F26FD">
      <w:pPr>
        <w:pStyle w:val="Prrafodelista"/>
        <w:numPr>
          <w:ilvl w:val="0"/>
          <w:numId w:val="17"/>
        </w:numPr>
        <w:spacing w:after="0" w:line="216" w:lineRule="auto"/>
        <w:ind w:left="-142" w:right="-174" w:firstLine="0"/>
        <w:jc w:val="both"/>
        <w:rPr>
          <w:rFonts w:ascii="Verdana" w:hAnsi="Verdana"/>
          <w:bCs/>
          <w:w w:val="95"/>
          <w:sz w:val="20"/>
          <w:szCs w:val="20"/>
          <w:lang w:val="es-CR"/>
        </w:rPr>
      </w:pPr>
      <w:r w:rsidRPr="00AA5F26">
        <w:rPr>
          <w:rFonts w:ascii="Verdana" w:hAnsi="Verdana"/>
          <w:bCs/>
          <w:w w:val="95"/>
          <w:sz w:val="20"/>
          <w:szCs w:val="20"/>
          <w:lang w:val="es-CR"/>
        </w:rPr>
        <w:t xml:space="preserve">Por otra parte, puede asumirse, dadas las características de los hechos y las circunstancias en que se encontró el cadáver, que María Isabel </w:t>
      </w:r>
      <w:r>
        <w:rPr>
          <w:rFonts w:ascii="Verdana" w:hAnsi="Verdana"/>
          <w:bCs/>
          <w:w w:val="95"/>
          <w:sz w:val="20"/>
          <w:szCs w:val="20"/>
          <w:lang w:val="es-CR"/>
        </w:rPr>
        <w:t>Veliz</w:t>
      </w:r>
      <w:r w:rsidRPr="00AA5F26">
        <w:rPr>
          <w:rFonts w:ascii="Verdana" w:hAnsi="Verdana"/>
          <w:bCs/>
          <w:w w:val="95"/>
          <w:sz w:val="20"/>
          <w:szCs w:val="20"/>
          <w:lang w:val="es-CR"/>
        </w:rPr>
        <w:t xml:space="preserve"> Franco padeció vejámenes antes de sufrir una muerte violenta. Por el contrario, no existen indicios concluyentes de que permaneciera privada de la libertad con antelación al momento en que sufrió los hechos que derivaron en su muerte. Por lo tanto, la Corte no encuentra elementos que justifiquen la aducida vinculación de acciones u omisiones estatales con la alegada </w:t>
      </w:r>
      <w:r w:rsidRPr="00AA5F26">
        <w:rPr>
          <w:rFonts w:ascii="Verdana" w:hAnsi="Verdana"/>
          <w:bCs/>
          <w:w w:val="95"/>
          <w:sz w:val="20"/>
          <w:szCs w:val="20"/>
          <w:lang w:val="es-CR"/>
        </w:rPr>
        <w:lastRenderedPageBreak/>
        <w:t>vulneración del derecho a la libertad personal de la niña, tutelado por el artículo 7 de la Convención Americana.</w:t>
      </w:r>
      <w:r w:rsidRPr="002B1610">
        <w:rPr>
          <w:rFonts w:ascii="Verdana" w:hAnsi="Verdana"/>
          <w:bCs/>
          <w:w w:val="95"/>
          <w:sz w:val="20"/>
          <w:szCs w:val="20"/>
          <w:lang w:val="es-CR"/>
        </w:rPr>
        <w:t xml:space="preserve"> </w:t>
      </w:r>
    </w:p>
    <w:p w:rsidR="00DF15C3" w:rsidRPr="002B1610" w:rsidRDefault="00DF15C3" w:rsidP="003F26FD">
      <w:pPr>
        <w:pStyle w:val="Prrafodelista"/>
        <w:spacing w:after="0" w:line="216" w:lineRule="auto"/>
        <w:ind w:left="-142" w:right="-174"/>
        <w:rPr>
          <w:rFonts w:ascii="Verdana" w:hAnsi="Verdana"/>
          <w:bCs/>
          <w:w w:val="95"/>
          <w:sz w:val="20"/>
          <w:szCs w:val="20"/>
          <w:lang w:val="es-CR"/>
        </w:rPr>
      </w:pPr>
    </w:p>
    <w:p w:rsidR="00DF15C3" w:rsidRPr="00943069" w:rsidRDefault="00DF15C3" w:rsidP="003F26FD">
      <w:pPr>
        <w:pStyle w:val="Prrafodelista"/>
        <w:numPr>
          <w:ilvl w:val="0"/>
          <w:numId w:val="17"/>
        </w:numPr>
        <w:spacing w:after="0" w:line="216" w:lineRule="auto"/>
        <w:ind w:left="-142" w:right="-174" w:firstLine="0"/>
        <w:jc w:val="both"/>
        <w:rPr>
          <w:rFonts w:ascii="Verdana" w:hAnsi="Verdana"/>
          <w:bCs/>
          <w:w w:val="95"/>
          <w:sz w:val="20"/>
          <w:szCs w:val="20"/>
          <w:lang w:val="es-CR"/>
        </w:rPr>
      </w:pPr>
      <w:r w:rsidRPr="00943069">
        <w:rPr>
          <w:rFonts w:ascii="Verdana" w:hAnsi="Verdana"/>
          <w:bCs/>
          <w:w w:val="95"/>
          <w:sz w:val="20"/>
          <w:szCs w:val="20"/>
          <w:lang w:val="es-CR"/>
        </w:rPr>
        <w:t>En cuanto al conocimiento estatal</w:t>
      </w:r>
      <w:r w:rsidRPr="00AA5F26">
        <w:rPr>
          <w:rFonts w:ascii="Verdana" w:hAnsi="Verdana"/>
          <w:bCs/>
          <w:w w:val="95"/>
          <w:sz w:val="20"/>
          <w:szCs w:val="20"/>
          <w:lang w:val="es-CR"/>
        </w:rPr>
        <w:t xml:space="preserve"> de dicha situación de riesgo, cabe atender las circunstancias particulares del caso en cuanto al modo en que el Estado tuvo noticia de los hechos relevantes. De los hechos probados surge que las autoridades, mediante la denuncia efectuada por la señora </w:t>
      </w:r>
      <w:r w:rsidR="00C63747" w:rsidRPr="00203840">
        <w:rPr>
          <w:rFonts w:ascii="Verdana" w:hAnsi="Verdana"/>
          <w:bCs/>
          <w:w w:val="95"/>
          <w:sz w:val="20"/>
          <w:szCs w:val="20"/>
          <w:lang w:val="es-CR"/>
        </w:rPr>
        <w:t xml:space="preserve">Rosa Elvira Franco </w:t>
      </w:r>
      <w:r w:rsidRPr="00AA5F26">
        <w:rPr>
          <w:rFonts w:ascii="Verdana" w:hAnsi="Verdana"/>
          <w:bCs/>
          <w:w w:val="95"/>
          <w:sz w:val="20"/>
          <w:szCs w:val="20"/>
          <w:lang w:val="es-CR"/>
        </w:rPr>
        <w:t xml:space="preserve">el 17 de diciembre de 2001, conocieron que María Isabel se encontraba desaparecida y que habían pasado cerca de 20 horas, incluyendo toda una noche, desde que debió regresar a su hogar. También supieron, en el mismo acto, que la madre de la niña ya </w:t>
      </w:r>
      <w:r w:rsidRPr="00203840">
        <w:rPr>
          <w:rFonts w:ascii="Verdana" w:hAnsi="Verdana"/>
          <w:bCs/>
          <w:w w:val="95"/>
          <w:sz w:val="20"/>
          <w:szCs w:val="20"/>
          <w:lang w:val="es-CR"/>
        </w:rPr>
        <w:t>la había buscado y que ésta búsqueda había resultado infructuosa. Asimismo,</w:t>
      </w:r>
      <w:r w:rsidR="00C63747">
        <w:rPr>
          <w:rFonts w:ascii="Verdana" w:hAnsi="Verdana"/>
          <w:bCs/>
          <w:w w:val="95"/>
          <w:sz w:val="20"/>
          <w:szCs w:val="20"/>
          <w:lang w:val="es-CR"/>
        </w:rPr>
        <w:t xml:space="preserve"> la señora</w:t>
      </w:r>
      <w:r w:rsidRPr="00203840">
        <w:rPr>
          <w:rFonts w:ascii="Verdana" w:hAnsi="Verdana"/>
          <w:bCs/>
          <w:w w:val="95"/>
          <w:sz w:val="20"/>
          <w:szCs w:val="20"/>
          <w:lang w:val="es-CR"/>
        </w:rPr>
        <w:t xml:space="preserve"> </w:t>
      </w:r>
      <w:r w:rsidR="00C63747" w:rsidRPr="00AA5F26">
        <w:rPr>
          <w:rFonts w:ascii="Verdana" w:hAnsi="Verdana"/>
          <w:bCs/>
          <w:w w:val="95"/>
          <w:sz w:val="20"/>
          <w:szCs w:val="20"/>
          <w:lang w:val="es-CR"/>
        </w:rPr>
        <w:t xml:space="preserve">Franco Sandoval </w:t>
      </w:r>
      <w:r w:rsidRPr="00203840">
        <w:rPr>
          <w:rFonts w:ascii="Verdana" w:hAnsi="Verdana"/>
          <w:bCs/>
          <w:w w:val="95"/>
          <w:sz w:val="20"/>
          <w:szCs w:val="20"/>
          <w:lang w:val="es-CR"/>
        </w:rPr>
        <w:t>expresó que, de acuerdo a la información que ella ha</w:t>
      </w:r>
      <w:r w:rsidR="00F0030C">
        <w:rPr>
          <w:rFonts w:ascii="Verdana" w:hAnsi="Verdana"/>
          <w:bCs/>
          <w:w w:val="95"/>
          <w:sz w:val="20"/>
          <w:szCs w:val="20"/>
          <w:lang w:val="es-CR"/>
        </w:rPr>
        <w:t>bía</w:t>
      </w:r>
      <w:r w:rsidRPr="00203840">
        <w:rPr>
          <w:rFonts w:ascii="Verdana" w:hAnsi="Verdana"/>
          <w:bCs/>
          <w:w w:val="95"/>
          <w:sz w:val="20"/>
          <w:szCs w:val="20"/>
          <w:lang w:val="es-CR"/>
        </w:rPr>
        <w:t xml:space="preserve"> podido recabar, era probable que su hija se hubiera encontrado, en las últimas horas de la tarde del día anterior al de la denuncia, con un hombre </w:t>
      </w:r>
      <w:r w:rsidR="00C63747" w:rsidRPr="00501AF1">
        <w:rPr>
          <w:rFonts w:ascii="Verdana" w:hAnsi="Verdana"/>
          <w:bCs/>
          <w:w w:val="95"/>
          <w:sz w:val="20"/>
          <w:szCs w:val="20"/>
          <w:lang w:val="es-CR"/>
        </w:rPr>
        <w:t>a quien ella (Rosa Elvira Franco) no conocía, sino que sólo tenía algunas referencias sobre su posible nombre.</w:t>
      </w:r>
      <w:r w:rsidR="00C63747">
        <w:t xml:space="preserve">   </w:t>
      </w:r>
    </w:p>
    <w:p w:rsidR="00DF15C3" w:rsidRPr="00943069" w:rsidRDefault="00DF15C3" w:rsidP="003F26FD">
      <w:pPr>
        <w:pStyle w:val="Prrafodelista"/>
        <w:spacing w:after="0" w:line="216" w:lineRule="auto"/>
        <w:ind w:right="-174"/>
        <w:rPr>
          <w:rFonts w:ascii="Verdana" w:hAnsi="Verdana"/>
          <w:bCs/>
          <w:w w:val="95"/>
          <w:sz w:val="20"/>
          <w:szCs w:val="20"/>
          <w:lang w:val="es-CR"/>
        </w:rPr>
      </w:pPr>
    </w:p>
    <w:p w:rsidR="00DF15C3" w:rsidRPr="00943069" w:rsidRDefault="00DF15C3" w:rsidP="003F26FD">
      <w:pPr>
        <w:pStyle w:val="Prrafodelista"/>
        <w:numPr>
          <w:ilvl w:val="0"/>
          <w:numId w:val="17"/>
        </w:numPr>
        <w:spacing w:after="0" w:line="216" w:lineRule="auto"/>
        <w:ind w:left="-142" w:right="-174" w:firstLine="0"/>
        <w:jc w:val="both"/>
        <w:rPr>
          <w:rFonts w:ascii="Verdana" w:hAnsi="Verdana"/>
          <w:bCs/>
          <w:w w:val="95"/>
          <w:sz w:val="20"/>
          <w:szCs w:val="20"/>
          <w:lang w:val="es-CR"/>
        </w:rPr>
      </w:pPr>
      <w:r w:rsidRPr="00AA5F26">
        <w:rPr>
          <w:rFonts w:ascii="Verdana" w:hAnsi="Verdana"/>
          <w:bCs/>
          <w:w w:val="95"/>
          <w:sz w:val="20"/>
          <w:szCs w:val="20"/>
          <w:lang w:val="es-CR"/>
        </w:rPr>
        <w:t>Teniendo en cuenta lo narrado en la denuncia presentada por la señora Franco Sandoval, considerando también que María Isabel era una niña y que, como fue señalado (</w:t>
      </w:r>
      <w:r w:rsidRPr="0066104A">
        <w:rPr>
          <w:rFonts w:ascii="Verdana" w:hAnsi="Verdana"/>
          <w:bCs/>
          <w:i/>
          <w:w w:val="95"/>
          <w:sz w:val="20"/>
          <w:szCs w:val="20"/>
          <w:lang w:val="es-CR"/>
        </w:rPr>
        <w:t>supr</w:t>
      </w:r>
      <w:r w:rsidR="00DA5CDD">
        <w:rPr>
          <w:rFonts w:ascii="Verdana" w:hAnsi="Verdana"/>
          <w:bCs/>
          <w:i/>
          <w:w w:val="95"/>
          <w:sz w:val="20"/>
          <w:szCs w:val="20"/>
          <w:lang w:val="es-CR"/>
        </w:rPr>
        <w:t xml:space="preserve">a </w:t>
      </w:r>
      <w:r w:rsidR="00DA5CDD" w:rsidRPr="00DA5CDD">
        <w:rPr>
          <w:rFonts w:ascii="Verdana" w:hAnsi="Verdana"/>
          <w:bCs/>
          <w:w w:val="95"/>
          <w:sz w:val="20"/>
          <w:szCs w:val="20"/>
          <w:lang w:val="es-CR"/>
        </w:rPr>
        <w:t>párr. 74</w:t>
      </w:r>
      <w:r w:rsidRPr="0066104A">
        <w:rPr>
          <w:rFonts w:ascii="Verdana" w:hAnsi="Verdana"/>
          <w:bCs/>
          <w:w w:val="95"/>
          <w:sz w:val="20"/>
          <w:szCs w:val="20"/>
          <w:lang w:val="es-CR"/>
        </w:rPr>
        <w:t>), el momento de los hechos se insertaba en un lapso en que la evolución de la</w:t>
      </w:r>
      <w:r w:rsidRPr="00AA5F26">
        <w:rPr>
          <w:rFonts w:ascii="Verdana" w:hAnsi="Verdana"/>
          <w:bCs/>
          <w:w w:val="95"/>
          <w:sz w:val="20"/>
          <w:szCs w:val="20"/>
          <w:lang w:val="es-CR"/>
        </w:rPr>
        <w:t xml:space="preserve"> violencia homicida por año crecía en Guatemala en forma superior al crecimiento poblacional, la Corte colige que las autoridades estatales debieron tener lo denunciado por Rosa Elvira Franco como una indicac</w:t>
      </w:r>
      <w:r>
        <w:rPr>
          <w:rFonts w:ascii="Verdana" w:hAnsi="Verdana"/>
          <w:bCs/>
          <w:w w:val="95"/>
          <w:sz w:val="20"/>
          <w:szCs w:val="20"/>
          <w:lang w:val="es-CR"/>
        </w:rPr>
        <w:t xml:space="preserve">ión de la probable vulneración </w:t>
      </w:r>
      <w:r w:rsidRPr="00AA5F26">
        <w:rPr>
          <w:rFonts w:ascii="Verdana" w:hAnsi="Verdana"/>
          <w:bCs/>
          <w:w w:val="95"/>
          <w:sz w:val="20"/>
          <w:szCs w:val="20"/>
          <w:lang w:val="es-CR"/>
        </w:rPr>
        <w:t xml:space="preserve">de </w:t>
      </w:r>
      <w:r>
        <w:rPr>
          <w:rFonts w:ascii="Verdana" w:hAnsi="Verdana"/>
          <w:bCs/>
          <w:w w:val="95"/>
          <w:sz w:val="20"/>
          <w:szCs w:val="20"/>
          <w:lang w:val="es-CR"/>
        </w:rPr>
        <w:t xml:space="preserve">los </w:t>
      </w:r>
      <w:r w:rsidRPr="00AA5F26">
        <w:rPr>
          <w:rFonts w:ascii="Verdana" w:hAnsi="Verdana"/>
          <w:bCs/>
          <w:w w:val="95"/>
          <w:sz w:val="20"/>
          <w:szCs w:val="20"/>
          <w:lang w:val="es-CR"/>
        </w:rPr>
        <w:t>derechos de la niña. Si bien la citada denuncia no indicó explícitamente que María Isabel había sido víctima de un acto ilícito, resultaba razonable desprender que se encontraba en riesgo. Este Tribunal entiende que, en el marco de la debida diligencia estricta que debe observar el Estado en la garantía de los derechos a la vida</w:t>
      </w:r>
      <w:r w:rsidRPr="00AA5F26">
        <w:rPr>
          <w:rFonts w:ascii="Verdana" w:hAnsi="Verdana"/>
          <w:b/>
          <w:bCs/>
          <w:w w:val="95"/>
          <w:sz w:val="20"/>
          <w:szCs w:val="20"/>
          <w:lang w:val="es-CR"/>
        </w:rPr>
        <w:t xml:space="preserve"> </w:t>
      </w:r>
      <w:r w:rsidRPr="00AA5F26">
        <w:rPr>
          <w:rFonts w:ascii="Verdana" w:hAnsi="Verdana"/>
          <w:bCs/>
          <w:w w:val="95"/>
          <w:sz w:val="20"/>
          <w:szCs w:val="20"/>
          <w:lang w:val="es-CR"/>
        </w:rPr>
        <w:t>e integridad personal</w:t>
      </w:r>
      <w:r w:rsidRPr="00AA5F26">
        <w:rPr>
          <w:rFonts w:ascii="Verdana" w:hAnsi="Verdana"/>
          <w:b/>
          <w:bCs/>
          <w:w w:val="95"/>
          <w:sz w:val="20"/>
          <w:szCs w:val="20"/>
          <w:lang w:val="es-CR"/>
        </w:rPr>
        <w:t xml:space="preserve"> </w:t>
      </w:r>
      <w:r w:rsidRPr="00AA5F26">
        <w:rPr>
          <w:rFonts w:ascii="Verdana" w:hAnsi="Verdana"/>
          <w:bCs/>
          <w:w w:val="95"/>
          <w:sz w:val="20"/>
          <w:szCs w:val="20"/>
          <w:lang w:val="es-CR"/>
        </w:rPr>
        <w:t>de las niñas (</w:t>
      </w:r>
      <w:r w:rsidRPr="00AA5F26">
        <w:rPr>
          <w:rFonts w:ascii="Verdana" w:hAnsi="Verdana"/>
          <w:bCs/>
          <w:i/>
          <w:w w:val="95"/>
          <w:sz w:val="20"/>
          <w:szCs w:val="20"/>
          <w:lang w:val="es-CR"/>
        </w:rPr>
        <w:t>supra</w:t>
      </w:r>
      <w:r w:rsidRPr="00AA5F26">
        <w:rPr>
          <w:rFonts w:ascii="Verdana" w:hAnsi="Verdana"/>
          <w:bCs/>
          <w:w w:val="95"/>
          <w:sz w:val="20"/>
          <w:szCs w:val="20"/>
          <w:lang w:val="es-CR"/>
        </w:rPr>
        <w:t xml:space="preserve"> párr. </w:t>
      </w:r>
      <w:r w:rsidR="00DA5CDD">
        <w:rPr>
          <w:rFonts w:ascii="Verdana" w:hAnsi="Verdana"/>
          <w:bCs/>
          <w:w w:val="95"/>
          <w:sz w:val="20"/>
          <w:szCs w:val="20"/>
          <w:lang w:val="es-CR"/>
        </w:rPr>
        <w:t>134</w:t>
      </w:r>
      <w:r w:rsidRPr="00AA5F26">
        <w:rPr>
          <w:rFonts w:ascii="Verdana" w:hAnsi="Verdana"/>
          <w:bCs/>
          <w:w w:val="95"/>
          <w:sz w:val="20"/>
          <w:szCs w:val="20"/>
          <w:lang w:val="es-CR"/>
        </w:rPr>
        <w:t xml:space="preserve">), en las circunstancias del caso, los señalamientos efectuados por Rosa Elvira Franco debían tomarse en cuenta, a efectos de la realización de acciones de prevención, como una noticia de la posibilidad cierta de que María Isabel sufriera atentados en su contra. </w:t>
      </w:r>
    </w:p>
    <w:p w:rsidR="00DF15C3" w:rsidRPr="00943069" w:rsidRDefault="00DF15C3" w:rsidP="003F26FD">
      <w:pPr>
        <w:pStyle w:val="Prrafodelista"/>
        <w:spacing w:after="0" w:line="216" w:lineRule="auto"/>
        <w:ind w:left="-142" w:right="-174"/>
        <w:jc w:val="both"/>
        <w:rPr>
          <w:rFonts w:ascii="Verdana" w:hAnsi="Verdana"/>
          <w:bCs/>
          <w:w w:val="95"/>
          <w:sz w:val="20"/>
          <w:szCs w:val="20"/>
          <w:lang w:val="es-CR"/>
        </w:rPr>
      </w:pPr>
    </w:p>
    <w:p w:rsidR="00DF15C3" w:rsidRPr="00943069" w:rsidRDefault="00DF15C3" w:rsidP="003F26FD">
      <w:pPr>
        <w:pStyle w:val="Prrafodelista"/>
        <w:numPr>
          <w:ilvl w:val="0"/>
          <w:numId w:val="17"/>
        </w:numPr>
        <w:spacing w:after="0" w:line="216" w:lineRule="auto"/>
        <w:ind w:left="-142" w:right="-174" w:firstLine="0"/>
        <w:jc w:val="both"/>
        <w:rPr>
          <w:rFonts w:ascii="Verdana" w:hAnsi="Verdana"/>
          <w:bCs/>
          <w:w w:val="95"/>
          <w:sz w:val="20"/>
          <w:szCs w:val="20"/>
          <w:lang w:val="es-CR"/>
        </w:rPr>
      </w:pPr>
      <w:r w:rsidRPr="00AA5F26">
        <w:rPr>
          <w:rFonts w:ascii="Verdana" w:hAnsi="Verdana"/>
          <w:bCs/>
          <w:w w:val="95"/>
          <w:sz w:val="20"/>
          <w:szCs w:val="20"/>
          <w:lang w:val="es-CR"/>
        </w:rPr>
        <w:t>En relación con lo anterior, cabe advertir que el Comité de los Derechos del Niño de las Naciones Unidas expresó respecto de Guatemala en julio de 2001, su “[p]reocupa[ción] profunda [por] las noticias del aumento de la violencia contra los niños”, y recomendó a Guatemala “d[ar] máxima prioridad a la adopción de todas las medidas necesarias para prevenir esas graves violaciones de los derechos del niño y para asegurar que se investiguen debidamente”</w:t>
      </w:r>
      <w:r w:rsidRPr="00AA5F26">
        <w:rPr>
          <w:rFonts w:ascii="Verdana" w:hAnsi="Verdana"/>
          <w:w w:val="95"/>
          <w:sz w:val="20"/>
          <w:szCs w:val="20"/>
          <w:vertAlign w:val="superscript"/>
        </w:rPr>
        <w:footnoteReference w:id="240"/>
      </w:r>
      <w:r w:rsidRPr="00943069">
        <w:rPr>
          <w:rFonts w:ascii="Verdana" w:hAnsi="Verdana"/>
          <w:bCs/>
          <w:w w:val="95"/>
          <w:sz w:val="20"/>
          <w:szCs w:val="20"/>
          <w:lang w:val="es-CR"/>
        </w:rPr>
        <w:t>.</w:t>
      </w:r>
    </w:p>
    <w:p w:rsidR="00DF15C3" w:rsidRPr="00943069" w:rsidRDefault="00DF15C3" w:rsidP="003F26FD">
      <w:pPr>
        <w:pStyle w:val="Prrafodelista"/>
        <w:spacing w:after="0" w:line="216" w:lineRule="auto"/>
        <w:ind w:left="-142" w:right="-174"/>
        <w:jc w:val="both"/>
        <w:rPr>
          <w:rFonts w:ascii="Verdana" w:hAnsi="Verdana"/>
          <w:bCs/>
          <w:w w:val="95"/>
          <w:sz w:val="20"/>
          <w:szCs w:val="20"/>
          <w:lang w:val="es-CR"/>
        </w:rPr>
      </w:pPr>
    </w:p>
    <w:p w:rsidR="00DF15C3" w:rsidRPr="00943069" w:rsidRDefault="00DF15C3" w:rsidP="003F26FD">
      <w:pPr>
        <w:pStyle w:val="Prrafodelista"/>
        <w:numPr>
          <w:ilvl w:val="0"/>
          <w:numId w:val="17"/>
        </w:numPr>
        <w:spacing w:after="0" w:line="216" w:lineRule="auto"/>
        <w:ind w:left="-142" w:right="-174" w:firstLine="0"/>
        <w:jc w:val="both"/>
        <w:rPr>
          <w:rFonts w:ascii="Verdana" w:hAnsi="Verdana"/>
          <w:bCs/>
          <w:w w:val="95"/>
          <w:sz w:val="20"/>
          <w:szCs w:val="20"/>
          <w:lang w:val="es-CR"/>
        </w:rPr>
      </w:pPr>
      <w:r w:rsidRPr="00AA5F26">
        <w:rPr>
          <w:rFonts w:ascii="Verdana" w:hAnsi="Verdana"/>
          <w:bCs/>
          <w:w w:val="95"/>
          <w:sz w:val="20"/>
          <w:szCs w:val="20"/>
          <w:lang w:val="es-CR"/>
        </w:rPr>
        <w:t>Coadyuva a la conclusión expresada, dado el contexto en que se insertaban los hechos del caso, que María Isabel fuera una mujer. En este sentido, como fue señalado (</w:t>
      </w:r>
      <w:r w:rsidRPr="00AA5F26">
        <w:rPr>
          <w:rFonts w:ascii="Verdana" w:hAnsi="Verdana"/>
          <w:bCs/>
          <w:i/>
          <w:w w:val="95"/>
          <w:sz w:val="20"/>
          <w:szCs w:val="20"/>
          <w:lang w:val="es-CR"/>
        </w:rPr>
        <w:t>supra</w:t>
      </w:r>
      <w:r w:rsidRPr="00AA5F26">
        <w:rPr>
          <w:rFonts w:ascii="Verdana" w:hAnsi="Verdana"/>
          <w:bCs/>
          <w:w w:val="95"/>
          <w:sz w:val="20"/>
          <w:szCs w:val="20"/>
          <w:lang w:val="es-CR"/>
        </w:rPr>
        <w:t xml:space="preserve"> párr.</w:t>
      </w:r>
      <w:r w:rsidR="00F0030C">
        <w:rPr>
          <w:rFonts w:ascii="Verdana" w:hAnsi="Verdana"/>
          <w:bCs/>
          <w:w w:val="95"/>
          <w:sz w:val="20"/>
          <w:szCs w:val="20"/>
          <w:lang w:val="es-CR"/>
        </w:rPr>
        <w:t xml:space="preserve"> 81</w:t>
      </w:r>
      <w:r w:rsidRPr="00AA5F26">
        <w:rPr>
          <w:rFonts w:ascii="Verdana" w:hAnsi="Verdana"/>
          <w:bCs/>
          <w:w w:val="95"/>
          <w:sz w:val="20"/>
          <w:szCs w:val="20"/>
          <w:lang w:val="es-CR"/>
        </w:rPr>
        <w:t>), en diciembre de 2001, en el marco del aumento de la cantidad de homicidios, no era excepcional el acaecimiento de homicidios de mujeres por razones de género. Debe destacarse al respecto, que la Comisión Interamericana, en abril de 2001, emitió un informe en que señaló su preocupac</w:t>
      </w:r>
      <w:r w:rsidR="00586509">
        <w:rPr>
          <w:rFonts w:ascii="Verdana" w:hAnsi="Verdana"/>
          <w:bCs/>
          <w:w w:val="95"/>
          <w:sz w:val="20"/>
          <w:szCs w:val="20"/>
          <w:lang w:val="es-CR"/>
        </w:rPr>
        <w:t xml:space="preserve">ión por la violencia basada en </w:t>
      </w:r>
      <w:r w:rsidRPr="00AA5F26">
        <w:rPr>
          <w:rFonts w:ascii="Verdana" w:hAnsi="Verdana"/>
          <w:bCs/>
          <w:w w:val="95"/>
          <w:sz w:val="20"/>
          <w:szCs w:val="20"/>
          <w:lang w:val="es-CR"/>
        </w:rPr>
        <w:t xml:space="preserve">género en Guatemala. </w:t>
      </w:r>
      <w:r>
        <w:rPr>
          <w:rFonts w:ascii="Verdana" w:hAnsi="Verdana"/>
          <w:w w:val="95"/>
          <w:sz w:val="20"/>
          <w:szCs w:val="20"/>
          <w:lang w:val="es-CR"/>
        </w:rPr>
        <w:t>En esa oportunidad</w:t>
      </w:r>
      <w:r w:rsidR="00B37887">
        <w:rPr>
          <w:rFonts w:ascii="Verdana" w:hAnsi="Verdana"/>
          <w:w w:val="95"/>
          <w:sz w:val="20"/>
          <w:szCs w:val="20"/>
          <w:lang w:val="es-CR"/>
        </w:rPr>
        <w:t>,</w:t>
      </w:r>
      <w:r w:rsidRPr="00AA5F26">
        <w:rPr>
          <w:rFonts w:ascii="Verdana" w:hAnsi="Verdana"/>
          <w:w w:val="95"/>
          <w:sz w:val="20"/>
          <w:szCs w:val="20"/>
          <w:lang w:val="es-CR"/>
        </w:rPr>
        <w:t xml:space="preserve"> la Comisión efectuó también recomendaciones a Guatemala a fin de lograr, respecto de las “víctimas” de la “violencia de género”, “</w:t>
      </w:r>
      <w:r>
        <w:rPr>
          <w:rFonts w:ascii="Verdana" w:hAnsi="Verdana"/>
          <w:w w:val="95"/>
          <w:sz w:val="20"/>
          <w:szCs w:val="20"/>
          <w:lang w:val="es-CR"/>
        </w:rPr>
        <w:t xml:space="preserve">[el incremento de] </w:t>
      </w:r>
      <w:r w:rsidRPr="00AA5F26">
        <w:rPr>
          <w:rFonts w:ascii="Verdana" w:hAnsi="Verdana"/>
          <w:w w:val="95"/>
          <w:sz w:val="20"/>
          <w:szCs w:val="20"/>
          <w:lang w:val="es-CR"/>
        </w:rPr>
        <w:t>la sensibilidad y eficacia de [la] respuesta” de “los funcionarios” que “se encargan de recibir las denuncias”, “particularmente [de] la Policía Nacional Civil y del Ministerio Público”</w:t>
      </w:r>
      <w:r w:rsidRPr="00C35AA0">
        <w:rPr>
          <w:rStyle w:val="Refdenotaalpie"/>
          <w:rFonts w:ascii="Verdana" w:hAnsi="Verdana"/>
          <w:w w:val="95"/>
          <w:sz w:val="20"/>
          <w:szCs w:val="20"/>
        </w:rPr>
        <w:footnoteReference w:id="241"/>
      </w:r>
      <w:r w:rsidRPr="00AA5F26">
        <w:rPr>
          <w:rFonts w:ascii="Verdana" w:hAnsi="Verdana"/>
          <w:w w:val="95"/>
          <w:sz w:val="20"/>
          <w:szCs w:val="20"/>
          <w:lang w:val="es-CR"/>
        </w:rPr>
        <w:t>.</w:t>
      </w:r>
      <w:r w:rsidRPr="00AA5F26">
        <w:rPr>
          <w:rFonts w:ascii="Verdana" w:hAnsi="Verdana"/>
          <w:bCs/>
          <w:w w:val="95"/>
          <w:sz w:val="20"/>
          <w:szCs w:val="20"/>
          <w:lang w:val="es-CR"/>
        </w:rPr>
        <w:t xml:space="preserve"> </w:t>
      </w:r>
    </w:p>
    <w:p w:rsidR="00DF15C3" w:rsidRPr="00943069" w:rsidRDefault="00DF15C3" w:rsidP="003F26FD">
      <w:pPr>
        <w:pStyle w:val="Prrafodelista"/>
        <w:spacing w:after="0" w:line="216" w:lineRule="auto"/>
        <w:ind w:left="-142" w:right="-174"/>
        <w:rPr>
          <w:rFonts w:ascii="Verdana" w:hAnsi="Verdana"/>
          <w:bCs/>
          <w:w w:val="95"/>
          <w:sz w:val="20"/>
          <w:szCs w:val="20"/>
          <w:lang w:val="es-CR"/>
        </w:rPr>
      </w:pPr>
    </w:p>
    <w:p w:rsidR="00DF15C3" w:rsidRDefault="00DB3A57" w:rsidP="003F26FD">
      <w:pPr>
        <w:pStyle w:val="Prrafodelista"/>
        <w:numPr>
          <w:ilvl w:val="0"/>
          <w:numId w:val="17"/>
        </w:numPr>
        <w:spacing w:after="0" w:line="216" w:lineRule="auto"/>
        <w:ind w:left="-142" w:right="-174" w:firstLine="0"/>
        <w:jc w:val="both"/>
        <w:rPr>
          <w:rFonts w:ascii="Verdana" w:hAnsi="Verdana"/>
          <w:bCs/>
          <w:w w:val="95"/>
          <w:sz w:val="20"/>
          <w:szCs w:val="20"/>
          <w:lang w:val="es-CR"/>
        </w:rPr>
      </w:pPr>
      <w:r w:rsidRPr="00AA5F26">
        <w:rPr>
          <w:rFonts w:ascii="Verdana" w:hAnsi="Verdana"/>
          <w:bCs/>
          <w:w w:val="95"/>
          <w:sz w:val="20"/>
          <w:szCs w:val="20"/>
          <w:lang w:val="es-CR"/>
        </w:rPr>
        <w:t xml:space="preserve">Ahora bien, se ha afirmado, incluso por </w:t>
      </w:r>
      <w:r w:rsidR="00DF19DB">
        <w:rPr>
          <w:rFonts w:ascii="Verdana" w:hAnsi="Verdana" w:cs="Calibri"/>
          <w:w w:val="95"/>
          <w:sz w:val="20"/>
          <w:szCs w:val="20"/>
          <w:lang w:val="es-CR"/>
        </w:rPr>
        <w:t>el Ó</w:t>
      </w:r>
      <w:r w:rsidRPr="00AA5F26">
        <w:rPr>
          <w:rFonts w:ascii="Verdana" w:hAnsi="Verdana" w:cs="Calibri"/>
          <w:w w:val="95"/>
          <w:sz w:val="20"/>
          <w:szCs w:val="20"/>
          <w:lang w:val="es-CR"/>
        </w:rPr>
        <w:t>rgano de Coordinación de la Prevención, el Castigo y la Erradicación de la Violencia Familiar y la Violencia contra la Mujer</w:t>
      </w:r>
      <w:r w:rsidR="00DF19DB">
        <w:rPr>
          <w:rFonts w:ascii="Verdana" w:hAnsi="Verdana"/>
          <w:bCs/>
          <w:w w:val="95"/>
          <w:sz w:val="20"/>
          <w:szCs w:val="20"/>
          <w:lang w:val="es-CR"/>
        </w:rPr>
        <w:t xml:space="preserve"> (CONAPREVI</w:t>
      </w:r>
      <w:r w:rsidRPr="00AA5F26">
        <w:rPr>
          <w:rFonts w:ascii="Verdana" w:hAnsi="Verdana"/>
          <w:bCs/>
          <w:w w:val="95"/>
          <w:sz w:val="20"/>
          <w:szCs w:val="20"/>
          <w:lang w:val="es-CR"/>
        </w:rPr>
        <w:t xml:space="preserve">) un ente estatal, la insuficiencia de la información estadística en relación con la violencia contra las mujeres </w:t>
      </w:r>
      <w:r w:rsidRPr="0066104A">
        <w:rPr>
          <w:rFonts w:ascii="Verdana" w:hAnsi="Verdana"/>
          <w:bCs/>
          <w:w w:val="95"/>
          <w:sz w:val="20"/>
          <w:szCs w:val="20"/>
          <w:lang w:val="es-CR"/>
        </w:rPr>
        <w:t>(</w:t>
      </w:r>
      <w:r w:rsidRPr="0066104A">
        <w:rPr>
          <w:rFonts w:ascii="Verdana" w:hAnsi="Verdana"/>
          <w:bCs/>
          <w:i/>
          <w:w w:val="95"/>
          <w:sz w:val="20"/>
          <w:szCs w:val="20"/>
          <w:lang w:val="es-CR"/>
        </w:rPr>
        <w:t>supra</w:t>
      </w:r>
      <w:r w:rsidRPr="0066104A">
        <w:rPr>
          <w:rFonts w:ascii="Verdana" w:hAnsi="Verdana"/>
          <w:bCs/>
          <w:w w:val="95"/>
          <w:sz w:val="20"/>
          <w:szCs w:val="20"/>
          <w:lang w:val="es-CR"/>
        </w:rPr>
        <w:t xml:space="preserve"> párr. </w:t>
      </w:r>
      <w:r w:rsidRPr="001E0CE4">
        <w:rPr>
          <w:rFonts w:ascii="Verdana" w:hAnsi="Verdana"/>
          <w:bCs/>
          <w:w w:val="95"/>
          <w:sz w:val="20"/>
          <w:szCs w:val="20"/>
          <w:lang w:val="es-CR"/>
        </w:rPr>
        <w:t>71</w:t>
      </w:r>
      <w:r w:rsidRPr="0066104A">
        <w:rPr>
          <w:rFonts w:ascii="Verdana" w:hAnsi="Verdana"/>
          <w:bCs/>
          <w:w w:val="95"/>
          <w:sz w:val="20"/>
          <w:szCs w:val="20"/>
          <w:lang w:val="es-CR"/>
        </w:rPr>
        <w:t xml:space="preserve">, </w:t>
      </w:r>
      <w:r>
        <w:rPr>
          <w:rFonts w:ascii="Verdana" w:hAnsi="Verdana"/>
          <w:bCs/>
          <w:w w:val="95"/>
          <w:sz w:val="20"/>
          <w:szCs w:val="20"/>
          <w:lang w:val="es-CR"/>
        </w:rPr>
        <w:t>e</w:t>
      </w:r>
      <w:r w:rsidRPr="0066104A">
        <w:rPr>
          <w:rFonts w:ascii="Verdana" w:hAnsi="Verdana"/>
          <w:bCs/>
          <w:w w:val="95"/>
          <w:sz w:val="20"/>
          <w:szCs w:val="20"/>
          <w:lang w:val="es-CR"/>
        </w:rPr>
        <w:t xml:space="preserve"> </w:t>
      </w:r>
      <w:r>
        <w:rPr>
          <w:rFonts w:ascii="Verdana" w:hAnsi="Verdana"/>
          <w:bCs/>
          <w:i/>
          <w:w w:val="95"/>
          <w:sz w:val="20"/>
          <w:szCs w:val="20"/>
          <w:lang w:val="es-CR"/>
        </w:rPr>
        <w:t xml:space="preserve">infra </w:t>
      </w:r>
      <w:r w:rsidRPr="0066104A">
        <w:rPr>
          <w:rFonts w:ascii="Verdana" w:hAnsi="Verdana"/>
          <w:bCs/>
          <w:w w:val="95"/>
          <w:sz w:val="20"/>
          <w:szCs w:val="20"/>
          <w:lang w:val="es-CR"/>
        </w:rPr>
        <w:t xml:space="preserve">nota al pie de página </w:t>
      </w:r>
      <w:r>
        <w:rPr>
          <w:rFonts w:ascii="Verdana" w:hAnsi="Verdana"/>
          <w:bCs/>
          <w:w w:val="95"/>
          <w:sz w:val="20"/>
          <w:szCs w:val="20"/>
          <w:lang w:val="es-CR"/>
        </w:rPr>
        <w:t>244</w:t>
      </w:r>
      <w:r w:rsidRPr="0066104A">
        <w:rPr>
          <w:rFonts w:ascii="Verdana" w:hAnsi="Verdana"/>
          <w:bCs/>
          <w:w w:val="95"/>
          <w:sz w:val="20"/>
          <w:szCs w:val="20"/>
          <w:lang w:val="es-CR"/>
        </w:rPr>
        <w:t xml:space="preserve">). </w:t>
      </w:r>
      <w:r>
        <w:rPr>
          <w:rFonts w:ascii="Verdana" w:hAnsi="Verdana"/>
          <w:bCs/>
          <w:w w:val="95"/>
          <w:sz w:val="20"/>
          <w:szCs w:val="20"/>
          <w:lang w:val="es-CR"/>
        </w:rPr>
        <w:t>De ello no se deriva necesariamente</w:t>
      </w:r>
      <w:r w:rsidRPr="00B75CC1">
        <w:rPr>
          <w:rFonts w:ascii="Verdana" w:hAnsi="Verdana"/>
          <w:bCs/>
          <w:w w:val="95"/>
          <w:sz w:val="20"/>
          <w:szCs w:val="20"/>
          <w:lang w:val="es-CR"/>
        </w:rPr>
        <w:t xml:space="preserve"> </w:t>
      </w:r>
      <w:r>
        <w:rPr>
          <w:rFonts w:ascii="Verdana" w:hAnsi="Verdana"/>
          <w:bCs/>
          <w:w w:val="95"/>
          <w:sz w:val="20"/>
          <w:szCs w:val="20"/>
          <w:lang w:val="es-CR"/>
        </w:rPr>
        <w:t xml:space="preserve">el desconocimiento del Estado </w:t>
      </w:r>
      <w:r w:rsidRPr="00315B30">
        <w:rPr>
          <w:rFonts w:ascii="Verdana" w:hAnsi="Verdana"/>
          <w:bCs/>
          <w:w w:val="95"/>
          <w:sz w:val="20"/>
          <w:szCs w:val="20"/>
          <w:lang w:val="es-CR"/>
        </w:rPr>
        <w:t xml:space="preserve">de dicho contexto para diciembre de 2001, ya que de la prueba surgen datos relevantes tanto de bases estatales como de </w:t>
      </w:r>
      <w:r w:rsidRPr="00315B30">
        <w:rPr>
          <w:rFonts w:ascii="Verdana" w:hAnsi="Verdana"/>
          <w:bCs/>
          <w:w w:val="95"/>
          <w:sz w:val="20"/>
          <w:szCs w:val="20"/>
          <w:lang w:val="es-CR"/>
        </w:rPr>
        <w:lastRenderedPageBreak/>
        <w:t>entidades estatales</w:t>
      </w:r>
      <w:r w:rsidR="00315B30">
        <w:rPr>
          <w:rFonts w:ascii="Verdana" w:hAnsi="Verdana"/>
          <w:bCs/>
          <w:w w:val="95"/>
          <w:sz w:val="20"/>
          <w:szCs w:val="20"/>
          <w:lang w:val="es-CR"/>
        </w:rPr>
        <w:t xml:space="preserve">, </w:t>
      </w:r>
      <w:r w:rsidRPr="00315B30">
        <w:rPr>
          <w:rFonts w:ascii="Verdana" w:hAnsi="Verdana"/>
          <w:bCs/>
          <w:w w:val="95"/>
          <w:sz w:val="20"/>
          <w:szCs w:val="20"/>
          <w:lang w:val="es-CR"/>
        </w:rPr>
        <w:t>así como del pronunciamiento de un organismo internacional, vinculado a la cuestión</w:t>
      </w:r>
      <w:r w:rsidR="00315B30">
        <w:rPr>
          <w:rFonts w:ascii="Verdana" w:hAnsi="Verdana"/>
          <w:bCs/>
          <w:w w:val="95"/>
          <w:sz w:val="20"/>
          <w:szCs w:val="20"/>
          <w:lang w:val="es-CR"/>
        </w:rPr>
        <w:t xml:space="preserve"> </w:t>
      </w:r>
      <w:r w:rsidRPr="00315B30">
        <w:rPr>
          <w:rFonts w:ascii="Verdana" w:hAnsi="Verdana"/>
          <w:bCs/>
          <w:w w:val="95"/>
          <w:sz w:val="20"/>
          <w:szCs w:val="20"/>
          <w:lang w:val="es-CR"/>
        </w:rPr>
        <w:t>(</w:t>
      </w:r>
      <w:r w:rsidRPr="00315B30">
        <w:rPr>
          <w:rFonts w:ascii="Verdana" w:hAnsi="Verdana"/>
          <w:bCs/>
          <w:i/>
          <w:w w:val="95"/>
          <w:sz w:val="20"/>
          <w:szCs w:val="20"/>
          <w:lang w:val="es-CR"/>
        </w:rPr>
        <w:t>supra</w:t>
      </w:r>
      <w:r w:rsidRPr="00315B30">
        <w:rPr>
          <w:rFonts w:ascii="Verdana" w:hAnsi="Verdana"/>
          <w:bCs/>
          <w:w w:val="95"/>
          <w:sz w:val="20"/>
          <w:szCs w:val="20"/>
          <w:lang w:val="es-CR"/>
        </w:rPr>
        <w:t xml:space="preserve"> párr</w:t>
      </w:r>
      <w:r w:rsidR="0030538D">
        <w:rPr>
          <w:rFonts w:ascii="Verdana" w:hAnsi="Verdana"/>
          <w:bCs/>
          <w:w w:val="95"/>
          <w:sz w:val="20"/>
          <w:szCs w:val="20"/>
          <w:lang w:val="es-CR"/>
        </w:rPr>
        <w:t>s</w:t>
      </w:r>
      <w:r w:rsidRPr="00315B30">
        <w:rPr>
          <w:rFonts w:ascii="Verdana" w:hAnsi="Verdana"/>
          <w:bCs/>
          <w:w w:val="95"/>
          <w:sz w:val="20"/>
          <w:szCs w:val="20"/>
          <w:lang w:val="es-CR"/>
        </w:rPr>
        <w:t xml:space="preserve">. </w:t>
      </w:r>
      <w:r w:rsidR="0030538D">
        <w:rPr>
          <w:rFonts w:ascii="Verdana" w:hAnsi="Verdana"/>
          <w:bCs/>
          <w:w w:val="95"/>
          <w:sz w:val="20"/>
          <w:szCs w:val="20"/>
          <w:lang w:val="es-CR"/>
        </w:rPr>
        <w:t xml:space="preserve">76 y </w:t>
      </w:r>
      <w:r w:rsidRPr="00315B30">
        <w:rPr>
          <w:rFonts w:ascii="Verdana" w:hAnsi="Verdana"/>
          <w:bCs/>
          <w:w w:val="95"/>
          <w:sz w:val="20"/>
          <w:szCs w:val="20"/>
          <w:lang w:val="es-CR"/>
        </w:rPr>
        <w:t>79).</w:t>
      </w:r>
      <w:r w:rsidRPr="0066104A">
        <w:rPr>
          <w:rFonts w:ascii="Verdana" w:hAnsi="Verdana"/>
          <w:bCs/>
          <w:w w:val="95"/>
          <w:sz w:val="20"/>
          <w:szCs w:val="20"/>
          <w:lang w:val="es-CR"/>
        </w:rPr>
        <w:t xml:space="preserve"> Además, el Estado había adoptado, antes de 2001, medidas relativas a la situación y discriminación contra la mujer, siendo especialmente atinente la problemática de la violencia contra la mujer la creación de la CONAPREVI en </w:t>
      </w:r>
      <w:r w:rsidRPr="00315B30">
        <w:rPr>
          <w:rFonts w:ascii="Verdana" w:hAnsi="Verdana"/>
          <w:bCs/>
          <w:w w:val="95"/>
          <w:sz w:val="20"/>
          <w:szCs w:val="20"/>
          <w:lang w:val="es-CR"/>
        </w:rPr>
        <w:t>noviembre de 2000</w:t>
      </w:r>
      <w:r w:rsidRPr="0066104A">
        <w:rPr>
          <w:rFonts w:ascii="Verdana" w:hAnsi="Verdana"/>
          <w:bCs/>
          <w:w w:val="95"/>
          <w:sz w:val="20"/>
          <w:szCs w:val="20"/>
          <w:lang w:val="es-CR"/>
        </w:rPr>
        <w:t xml:space="preserve"> (</w:t>
      </w:r>
      <w:r w:rsidRPr="0066104A">
        <w:rPr>
          <w:rFonts w:ascii="Verdana" w:hAnsi="Verdana"/>
          <w:bCs/>
          <w:i/>
          <w:w w:val="95"/>
          <w:sz w:val="20"/>
          <w:szCs w:val="20"/>
          <w:lang w:val="es-CR"/>
        </w:rPr>
        <w:t xml:space="preserve">supra </w:t>
      </w:r>
      <w:r w:rsidRPr="0066104A">
        <w:rPr>
          <w:rFonts w:ascii="Verdana" w:hAnsi="Verdana"/>
          <w:bCs/>
          <w:w w:val="95"/>
          <w:sz w:val="20"/>
          <w:szCs w:val="20"/>
          <w:lang w:val="es-CR"/>
        </w:rPr>
        <w:t xml:space="preserve">nota al pie </w:t>
      </w:r>
      <w:r>
        <w:rPr>
          <w:rFonts w:ascii="Verdana" w:hAnsi="Verdana"/>
          <w:bCs/>
          <w:w w:val="95"/>
          <w:sz w:val="20"/>
          <w:szCs w:val="20"/>
          <w:lang w:val="es-CR"/>
        </w:rPr>
        <w:t>de página 93</w:t>
      </w:r>
      <w:r w:rsidRPr="0066104A">
        <w:rPr>
          <w:rFonts w:ascii="Verdana" w:hAnsi="Verdana"/>
          <w:bCs/>
          <w:w w:val="95"/>
          <w:sz w:val="20"/>
          <w:szCs w:val="20"/>
          <w:lang w:val="es-CR"/>
        </w:rPr>
        <w:t>).</w:t>
      </w:r>
      <w:r w:rsidR="00DF15C3" w:rsidRPr="0066104A">
        <w:rPr>
          <w:rFonts w:ascii="Verdana" w:hAnsi="Verdana"/>
          <w:bCs/>
          <w:w w:val="95"/>
          <w:sz w:val="20"/>
          <w:szCs w:val="20"/>
          <w:lang w:val="es-CR"/>
        </w:rPr>
        <w:t xml:space="preserve"> Además, sin perjuicio de lo afirmado por la CONAPREVI, Guatemala ha reportado contar con organismos, creados antes de diciembre de 2001, entre cuyas funciones se encuentran el “seguimiento de la implementación” de la Convención de Belém do Pará</w:t>
      </w:r>
      <w:r w:rsidR="00DF15C3" w:rsidRPr="0066104A">
        <w:rPr>
          <w:rStyle w:val="Refdenotaalpie"/>
          <w:rFonts w:ascii="Verdana" w:hAnsi="Verdana"/>
          <w:w w:val="95"/>
          <w:sz w:val="20"/>
          <w:szCs w:val="20"/>
        </w:rPr>
        <w:footnoteReference w:id="242"/>
      </w:r>
      <w:r w:rsidR="00DF15C3" w:rsidRPr="0066104A">
        <w:rPr>
          <w:rFonts w:ascii="Verdana" w:hAnsi="Verdana"/>
          <w:bCs/>
          <w:w w:val="95"/>
          <w:sz w:val="20"/>
          <w:szCs w:val="20"/>
          <w:lang w:val="es-CR"/>
        </w:rPr>
        <w:t>.</w:t>
      </w:r>
    </w:p>
    <w:p w:rsidR="00DF15C3" w:rsidRPr="00943069" w:rsidRDefault="00DF15C3" w:rsidP="003F26FD">
      <w:pPr>
        <w:pStyle w:val="Prrafodelista"/>
        <w:spacing w:after="0" w:line="216" w:lineRule="auto"/>
        <w:ind w:left="-142" w:right="-174"/>
        <w:jc w:val="both"/>
        <w:rPr>
          <w:rFonts w:ascii="Verdana" w:hAnsi="Verdana"/>
          <w:bCs/>
          <w:w w:val="95"/>
          <w:sz w:val="20"/>
          <w:szCs w:val="20"/>
          <w:lang w:val="es-CR"/>
        </w:rPr>
      </w:pPr>
    </w:p>
    <w:p w:rsidR="00DF15C3" w:rsidRPr="00943069" w:rsidRDefault="00DF15C3" w:rsidP="003F26FD">
      <w:pPr>
        <w:pStyle w:val="Prrafodelista"/>
        <w:numPr>
          <w:ilvl w:val="0"/>
          <w:numId w:val="17"/>
        </w:numPr>
        <w:spacing w:after="0" w:line="216" w:lineRule="auto"/>
        <w:ind w:left="-142" w:right="-174" w:firstLine="0"/>
        <w:jc w:val="both"/>
        <w:rPr>
          <w:rFonts w:ascii="Verdana" w:hAnsi="Verdana"/>
          <w:w w:val="95"/>
          <w:sz w:val="20"/>
          <w:szCs w:val="20"/>
          <w:lang w:val="es-EC"/>
        </w:rPr>
      </w:pPr>
      <w:r w:rsidRPr="00AA5F26">
        <w:rPr>
          <w:rFonts w:ascii="Verdana" w:hAnsi="Verdana"/>
          <w:bCs/>
          <w:w w:val="95"/>
          <w:sz w:val="20"/>
          <w:szCs w:val="20"/>
          <w:lang w:val="es-CR"/>
        </w:rPr>
        <w:t>En forma adicional, debe señalarse que el Estado tiene, desde antes de diciembre de 2001, un deber de adoptar las medidas necesarias para contar con información suficiente sobre la situación de los derechos de las niñas en Guatemala, al menos en el nivel mínimo necesario para poder cumplir de manera adecuada sus obligaciones inmediatamente exigibles. Esto, pues resulta evidente que para cumplir en forma adecuada con las obligaciones previstas en los artículos 1.1 y 2 de la Convención Americana, los Estados deben procurarse la información pertinente sobre la situación de los derechos convencionales, ya que ello es necesario para poder evaluar las medidas o acciones que es preciso adoptar. Esto es pertinente en relación con los derechos de las niñas</w:t>
      </w:r>
      <w:r w:rsidRPr="00C35AA0">
        <w:rPr>
          <w:rStyle w:val="Refdenotaalpie"/>
          <w:rFonts w:ascii="Verdana" w:hAnsi="Verdana"/>
          <w:w w:val="95"/>
          <w:sz w:val="20"/>
          <w:szCs w:val="20"/>
        </w:rPr>
        <w:footnoteReference w:id="243"/>
      </w:r>
      <w:r w:rsidRPr="00AA5F26">
        <w:rPr>
          <w:rFonts w:ascii="Verdana" w:hAnsi="Verdana"/>
          <w:bCs/>
          <w:w w:val="95"/>
          <w:sz w:val="20"/>
          <w:szCs w:val="20"/>
          <w:lang w:val="es-CR"/>
        </w:rPr>
        <w:t>.</w:t>
      </w:r>
      <w:r w:rsidR="00121039">
        <w:rPr>
          <w:rFonts w:ascii="Verdana" w:hAnsi="Verdana"/>
          <w:bCs/>
          <w:w w:val="95"/>
          <w:sz w:val="20"/>
          <w:szCs w:val="20"/>
          <w:lang w:val="es-CR"/>
        </w:rPr>
        <w:t xml:space="preserve"> </w:t>
      </w:r>
      <w:r w:rsidR="00121039" w:rsidRPr="005C2535">
        <w:rPr>
          <w:rFonts w:ascii="Verdana" w:hAnsi="Verdana"/>
          <w:bCs/>
          <w:w w:val="95"/>
          <w:sz w:val="20"/>
          <w:szCs w:val="20"/>
          <w:lang w:val="es-CR"/>
        </w:rPr>
        <w:t>T</w:t>
      </w:r>
      <w:r w:rsidRPr="00AA5F26">
        <w:rPr>
          <w:rFonts w:ascii="Verdana" w:hAnsi="Verdana"/>
          <w:bCs/>
          <w:w w:val="95"/>
          <w:sz w:val="20"/>
          <w:szCs w:val="20"/>
          <w:lang w:val="es-CR"/>
        </w:rPr>
        <w:t>ambién corresponde a las “medidas de protección” que el artículo 19 manda adoptar respecto a niños y niñas. En relación con los deberes estatales respecto al tratamiento de la violencia contra la mujer, el deber referido es también evidente en el ámbito de la aplicación de la Convención de Belém do Pará</w:t>
      </w:r>
      <w:r w:rsidRPr="00C35AA0">
        <w:rPr>
          <w:rStyle w:val="Refdenotaalpie"/>
          <w:rFonts w:ascii="Verdana" w:hAnsi="Verdana"/>
          <w:w w:val="95"/>
          <w:sz w:val="20"/>
          <w:szCs w:val="20"/>
        </w:rPr>
        <w:footnoteReference w:id="244"/>
      </w:r>
      <w:r w:rsidRPr="00AA5F26">
        <w:rPr>
          <w:rFonts w:ascii="Verdana" w:hAnsi="Verdana"/>
          <w:bCs/>
          <w:w w:val="95"/>
          <w:sz w:val="20"/>
          <w:szCs w:val="20"/>
          <w:lang w:val="es-CR"/>
        </w:rPr>
        <w:t xml:space="preserve">. En ese sentido, resulta necesario para la implementación de las medidas y “políticas” a que se refiere el artículo 7 de ese tratado. Por otra parte, el deber mencionado también surge de las estipulaciones existentes en los tratados respectivos sobre los sistemas internacionales de monitoreo de la situación de los derechos. De este modo, la Convención </w:t>
      </w:r>
      <w:r w:rsidRPr="00AA5F26">
        <w:rPr>
          <w:rFonts w:ascii="Verdana" w:hAnsi="Verdana"/>
          <w:bCs/>
          <w:w w:val="95"/>
          <w:sz w:val="20"/>
          <w:szCs w:val="20"/>
          <w:lang w:val="es-CR"/>
        </w:rPr>
        <w:lastRenderedPageBreak/>
        <w:t>Americana y la Convención de B</w:t>
      </w:r>
      <w:r w:rsidRPr="00913E7D">
        <w:rPr>
          <w:rFonts w:ascii="Verdana" w:hAnsi="Verdana"/>
          <w:bCs/>
          <w:w w:val="95"/>
          <w:sz w:val="20"/>
          <w:szCs w:val="20"/>
          <w:lang w:val="es-CR"/>
        </w:rPr>
        <w:t>elém do Pará, en forma independiente al sistema de peticiones individuales, prevén, en sus artículos 41 a 43</w:t>
      </w:r>
      <w:r w:rsidRPr="00AA5F26">
        <w:rPr>
          <w:rFonts w:ascii="Verdana" w:hAnsi="Verdana"/>
          <w:bCs/>
          <w:w w:val="95"/>
          <w:sz w:val="20"/>
          <w:szCs w:val="20"/>
          <w:lang w:val="es-CR"/>
        </w:rPr>
        <w:t xml:space="preserve"> y 10, respectivamente, la presentación de informes por parte de los Estados a organismos internacionales. Lo mismo hacen otros tratados internacionales en vigor de los que Guatemala es parte, como la Convención sobre los Derechos del Niño</w:t>
      </w:r>
      <w:r w:rsidRPr="00C35AA0">
        <w:rPr>
          <w:rStyle w:val="Refdenotaalpie"/>
          <w:rFonts w:ascii="Verdana" w:hAnsi="Verdana"/>
          <w:w w:val="95"/>
          <w:sz w:val="20"/>
          <w:szCs w:val="20"/>
        </w:rPr>
        <w:footnoteReference w:id="245"/>
      </w:r>
      <w:r w:rsidRPr="00AA5F26">
        <w:rPr>
          <w:rFonts w:ascii="Verdana" w:hAnsi="Verdana"/>
          <w:bCs/>
          <w:w w:val="95"/>
          <w:sz w:val="20"/>
          <w:szCs w:val="20"/>
          <w:lang w:val="es-CR"/>
        </w:rPr>
        <w:t>, en su artículo 44; la Convención sobre la Eliminación de todas las formas de Discriminación contra la Mujer, en el artículo 18, o el Pacto Internacional de Derechos Civiles y Políticos, en su artículo 40.</w:t>
      </w:r>
    </w:p>
    <w:p w:rsidR="00DF15C3" w:rsidRPr="00943069" w:rsidRDefault="00DF15C3" w:rsidP="003F26FD">
      <w:pPr>
        <w:pStyle w:val="Prrafodelista"/>
        <w:spacing w:after="0" w:line="216" w:lineRule="auto"/>
        <w:ind w:left="-142" w:right="-174"/>
        <w:jc w:val="both"/>
        <w:rPr>
          <w:rFonts w:ascii="Verdana" w:hAnsi="Verdana"/>
          <w:w w:val="95"/>
          <w:sz w:val="20"/>
          <w:szCs w:val="20"/>
          <w:lang w:val="es-EC"/>
        </w:rPr>
      </w:pPr>
    </w:p>
    <w:p w:rsidR="00DF15C3" w:rsidRPr="00943069" w:rsidRDefault="00DF15C3" w:rsidP="003F26FD">
      <w:pPr>
        <w:pStyle w:val="Prrafodelista"/>
        <w:numPr>
          <w:ilvl w:val="0"/>
          <w:numId w:val="17"/>
        </w:numPr>
        <w:spacing w:after="0" w:line="216" w:lineRule="auto"/>
        <w:ind w:left="-142" w:right="-174" w:firstLine="0"/>
        <w:jc w:val="both"/>
        <w:rPr>
          <w:rFonts w:ascii="Verdana" w:hAnsi="Verdana"/>
          <w:w w:val="95"/>
          <w:sz w:val="20"/>
          <w:szCs w:val="20"/>
          <w:lang w:val="es-EC"/>
        </w:rPr>
      </w:pPr>
      <w:r w:rsidRPr="00943069">
        <w:rPr>
          <w:rFonts w:ascii="Verdana" w:hAnsi="Verdana"/>
          <w:w w:val="95"/>
          <w:sz w:val="20"/>
          <w:szCs w:val="20"/>
          <w:lang w:val="es-EC"/>
        </w:rPr>
        <w:t>Desde luego, no corresponde a la Corte evaluar si Guatemala recabó o sistematizó información en relación con la situación de los derechos de las niñas, ni tampoco si la información con que cuenta el Estado resulta suficiente o idónea para cumplir sus oblig</w:t>
      </w:r>
      <w:r w:rsidRPr="00AA5F26">
        <w:rPr>
          <w:rFonts w:ascii="Verdana" w:hAnsi="Verdana"/>
          <w:w w:val="95"/>
          <w:sz w:val="20"/>
          <w:szCs w:val="20"/>
          <w:lang w:val="es-EC"/>
        </w:rPr>
        <w:t xml:space="preserve">aciones. En lo que compete al Tribunal y es pertinente para el análisis del caso </w:t>
      </w:r>
      <w:r w:rsidRPr="00AA5F26">
        <w:rPr>
          <w:rFonts w:ascii="Verdana" w:hAnsi="Verdana"/>
          <w:i/>
          <w:w w:val="95"/>
          <w:sz w:val="20"/>
          <w:szCs w:val="20"/>
          <w:lang w:val="es-EC"/>
        </w:rPr>
        <w:t xml:space="preserve">sub examine, </w:t>
      </w:r>
      <w:r w:rsidRPr="00AA5F26">
        <w:rPr>
          <w:rFonts w:ascii="Verdana" w:hAnsi="Verdana"/>
          <w:w w:val="95"/>
          <w:sz w:val="20"/>
          <w:szCs w:val="20"/>
          <w:lang w:val="es-EC"/>
        </w:rPr>
        <w:t xml:space="preserve">basta constatar que el Estado tiene el deber de recabar la información básica que sea necesaria para cumplir sus obligaciones convencionales en relación con los derechos de las niñas, respecto de cuya garantía tiene un deber de actuar con la mayor y más estricta diligencia. Por ello, frente a indicaciones claras sobre la existencia del contexto referido y su conocimiento por parte del Estado, la eventual </w:t>
      </w:r>
      <w:r w:rsidRPr="00507192">
        <w:rPr>
          <w:rFonts w:ascii="Verdana" w:hAnsi="Verdana"/>
          <w:w w:val="95"/>
          <w:sz w:val="20"/>
          <w:szCs w:val="20"/>
          <w:lang w:val="es-EC"/>
        </w:rPr>
        <w:t>insuficiencia de la información estatal no podría obrar en detrimento de la exigibilidad de la observancia debida</w:t>
      </w:r>
      <w:r w:rsidRPr="00AA5F26">
        <w:rPr>
          <w:rFonts w:ascii="Verdana" w:hAnsi="Verdana"/>
          <w:w w:val="95"/>
          <w:sz w:val="20"/>
          <w:szCs w:val="20"/>
          <w:lang w:val="es-EC"/>
        </w:rPr>
        <w:t xml:space="preserve"> del aludido deber de garantía. En ese sentido, de lo reseñado antes (</w:t>
      </w:r>
      <w:r w:rsidRPr="00AA5F26">
        <w:rPr>
          <w:rFonts w:ascii="Verdana" w:hAnsi="Verdana"/>
          <w:i/>
          <w:w w:val="95"/>
          <w:sz w:val="20"/>
          <w:szCs w:val="20"/>
          <w:lang w:val="es-EC"/>
        </w:rPr>
        <w:t>supra</w:t>
      </w:r>
      <w:r w:rsidRPr="00AA5F26">
        <w:rPr>
          <w:rFonts w:ascii="Verdana" w:hAnsi="Verdana"/>
          <w:w w:val="95"/>
          <w:sz w:val="20"/>
          <w:szCs w:val="20"/>
          <w:lang w:val="es-EC"/>
        </w:rPr>
        <w:t xml:space="preserve"> párrs. </w:t>
      </w:r>
      <w:r w:rsidR="00121039">
        <w:rPr>
          <w:rFonts w:ascii="Verdana" w:hAnsi="Verdana"/>
          <w:w w:val="95"/>
          <w:sz w:val="20"/>
          <w:szCs w:val="20"/>
          <w:lang w:val="es-EC"/>
        </w:rPr>
        <w:t>73 a 81</w:t>
      </w:r>
      <w:r w:rsidRPr="00AA5F26">
        <w:rPr>
          <w:rFonts w:ascii="Verdana" w:hAnsi="Verdana"/>
          <w:w w:val="95"/>
          <w:sz w:val="20"/>
          <w:szCs w:val="20"/>
          <w:lang w:val="es-EC"/>
        </w:rPr>
        <w:t>) surge la existencia de un contexto, en diciembre de 2001, de incremento de la criminalidad violenta en Guatemala, inclusive de homicidios de mujeres, e indicaciones de que el mismo era conocido por el Estado.</w:t>
      </w:r>
    </w:p>
    <w:p w:rsidR="00DF15C3" w:rsidRPr="00943069" w:rsidRDefault="00DF15C3" w:rsidP="003F26FD">
      <w:pPr>
        <w:pStyle w:val="Prrafodelista"/>
        <w:spacing w:after="0" w:line="216" w:lineRule="auto"/>
        <w:ind w:left="-142" w:right="-174"/>
        <w:jc w:val="both"/>
        <w:rPr>
          <w:rFonts w:ascii="Verdana" w:hAnsi="Verdana"/>
          <w:w w:val="95"/>
          <w:sz w:val="20"/>
          <w:szCs w:val="20"/>
          <w:lang w:val="es-EC"/>
        </w:rPr>
      </w:pPr>
    </w:p>
    <w:p w:rsidR="00DF15C3" w:rsidRPr="00943069" w:rsidRDefault="00DF15C3" w:rsidP="003F26FD">
      <w:pPr>
        <w:pStyle w:val="Prrafodelista"/>
        <w:numPr>
          <w:ilvl w:val="0"/>
          <w:numId w:val="17"/>
        </w:numPr>
        <w:spacing w:after="0" w:line="216" w:lineRule="auto"/>
        <w:ind w:left="-142" w:right="-174" w:firstLine="0"/>
        <w:jc w:val="both"/>
        <w:rPr>
          <w:rFonts w:ascii="Verdana" w:hAnsi="Verdana"/>
          <w:w w:val="95"/>
          <w:sz w:val="20"/>
          <w:szCs w:val="20"/>
          <w:lang w:val="es-EC"/>
        </w:rPr>
      </w:pPr>
      <w:r w:rsidRPr="00AA5F26">
        <w:rPr>
          <w:rFonts w:ascii="Verdana" w:hAnsi="Verdana"/>
          <w:w w:val="95"/>
          <w:sz w:val="20"/>
          <w:szCs w:val="20"/>
          <w:lang w:val="es-EC"/>
        </w:rPr>
        <w:t xml:space="preserve">El contexto señalado, además, no </w:t>
      </w:r>
      <w:r w:rsidRPr="00D166F3">
        <w:rPr>
          <w:rFonts w:ascii="Verdana" w:hAnsi="Verdana"/>
          <w:w w:val="95"/>
          <w:sz w:val="20"/>
          <w:szCs w:val="20"/>
          <w:lang w:val="es-EC"/>
        </w:rPr>
        <w:t xml:space="preserve">puede </w:t>
      </w:r>
      <w:r w:rsidR="00F15CBE" w:rsidRPr="00D166F3">
        <w:rPr>
          <w:rFonts w:ascii="Verdana" w:hAnsi="Verdana"/>
          <w:w w:val="95"/>
          <w:sz w:val="20"/>
          <w:szCs w:val="20"/>
          <w:lang w:val="es-EC"/>
        </w:rPr>
        <w:t>desvincularse,</w:t>
      </w:r>
      <w:r w:rsidRPr="00AA5F26">
        <w:rPr>
          <w:rFonts w:ascii="Verdana" w:hAnsi="Verdana"/>
          <w:w w:val="95"/>
          <w:sz w:val="20"/>
          <w:szCs w:val="20"/>
          <w:lang w:val="es-EC"/>
        </w:rPr>
        <w:t xml:space="preserve"> al menos en sus aspectos generales, de la impunidad generalizada existente en el país (</w:t>
      </w:r>
      <w:r w:rsidRPr="00AA5F26">
        <w:rPr>
          <w:rFonts w:ascii="Verdana" w:hAnsi="Verdana"/>
          <w:i/>
          <w:w w:val="95"/>
          <w:sz w:val="20"/>
          <w:szCs w:val="20"/>
          <w:lang w:val="es-EC"/>
        </w:rPr>
        <w:t>supra</w:t>
      </w:r>
      <w:r w:rsidRPr="00AA5F26">
        <w:rPr>
          <w:rFonts w:ascii="Verdana" w:hAnsi="Verdana"/>
          <w:w w:val="95"/>
          <w:sz w:val="20"/>
          <w:szCs w:val="20"/>
          <w:lang w:val="es-EC"/>
        </w:rPr>
        <w:t xml:space="preserve"> párr. </w:t>
      </w:r>
      <w:r w:rsidR="00121039">
        <w:rPr>
          <w:rFonts w:ascii="Verdana" w:hAnsi="Verdana"/>
          <w:w w:val="95"/>
          <w:sz w:val="20"/>
          <w:szCs w:val="20"/>
          <w:lang w:val="es-EC"/>
        </w:rPr>
        <w:t>83</w:t>
      </w:r>
      <w:r w:rsidRPr="00AA5F26">
        <w:rPr>
          <w:rFonts w:ascii="Verdana" w:hAnsi="Verdana"/>
          <w:w w:val="95"/>
          <w:sz w:val="20"/>
          <w:szCs w:val="20"/>
          <w:lang w:val="es-EC"/>
        </w:rPr>
        <w:t xml:space="preserve">). Por ende, la existencia de tal </w:t>
      </w:r>
      <w:r w:rsidRPr="00315B30">
        <w:rPr>
          <w:rFonts w:ascii="Verdana" w:hAnsi="Verdana"/>
          <w:w w:val="95"/>
          <w:sz w:val="20"/>
          <w:szCs w:val="20"/>
          <w:lang w:val="es-EC"/>
        </w:rPr>
        <w:t>situación</w:t>
      </w:r>
      <w:r w:rsidR="00315B30" w:rsidRPr="00315B30">
        <w:rPr>
          <w:rFonts w:ascii="Verdana" w:hAnsi="Verdana"/>
          <w:w w:val="95"/>
          <w:sz w:val="20"/>
          <w:szCs w:val="20"/>
          <w:lang w:val="es-EC"/>
        </w:rPr>
        <w:t xml:space="preserve"> </w:t>
      </w:r>
      <w:r w:rsidRPr="00315B30">
        <w:rPr>
          <w:rFonts w:ascii="Verdana" w:hAnsi="Verdana"/>
          <w:w w:val="95"/>
          <w:sz w:val="20"/>
          <w:szCs w:val="20"/>
          <w:lang w:val="es-EC"/>
        </w:rPr>
        <w:t>obra</w:t>
      </w:r>
      <w:r w:rsidRPr="00AA5F26">
        <w:rPr>
          <w:rFonts w:ascii="Verdana" w:hAnsi="Verdana"/>
          <w:w w:val="95"/>
          <w:sz w:val="20"/>
          <w:szCs w:val="20"/>
          <w:lang w:val="es-EC"/>
        </w:rPr>
        <w:t xml:space="preserve"> como un factor adicional que coadyuva al conocimiento estatal sobre una situación de riesgo. </w:t>
      </w:r>
    </w:p>
    <w:p w:rsidR="00DF15C3" w:rsidRPr="00943069" w:rsidRDefault="00DF15C3" w:rsidP="003F26FD">
      <w:pPr>
        <w:pStyle w:val="Prrafodelista"/>
        <w:spacing w:after="0" w:line="216" w:lineRule="auto"/>
        <w:ind w:left="-142" w:right="-174"/>
        <w:jc w:val="both"/>
        <w:rPr>
          <w:rFonts w:ascii="Verdana" w:hAnsi="Verdana"/>
          <w:w w:val="95"/>
          <w:sz w:val="20"/>
          <w:szCs w:val="20"/>
          <w:lang w:val="es-EC"/>
        </w:rPr>
      </w:pPr>
    </w:p>
    <w:p w:rsidR="00270B5B" w:rsidRPr="00270B5B" w:rsidRDefault="00DF15C3" w:rsidP="003F26FD">
      <w:pPr>
        <w:pStyle w:val="Prrafodelista"/>
        <w:numPr>
          <w:ilvl w:val="0"/>
          <w:numId w:val="17"/>
        </w:numPr>
        <w:spacing w:after="0" w:line="216" w:lineRule="auto"/>
        <w:ind w:left="-142" w:right="-174" w:firstLine="0"/>
        <w:jc w:val="both"/>
        <w:rPr>
          <w:rFonts w:ascii="Verdana" w:hAnsi="Verdana"/>
          <w:w w:val="95"/>
          <w:sz w:val="20"/>
          <w:szCs w:val="20"/>
          <w:lang w:val="es-EC"/>
        </w:rPr>
      </w:pPr>
      <w:r w:rsidRPr="00AA5F26">
        <w:rPr>
          <w:rFonts w:ascii="Verdana" w:hAnsi="Verdana"/>
          <w:w w:val="95"/>
          <w:sz w:val="20"/>
          <w:szCs w:val="20"/>
          <w:lang w:val="es-EC"/>
        </w:rPr>
        <w:t xml:space="preserve">Por todo lo expuesto, la Corte colige que a partir de la denuncia formalizada por Rosa Elvira Franco Sandoval, el Estado estuvo en conocimiento de la situación de riesgo en que se encontraba su hija, María Isabel </w:t>
      </w:r>
      <w:r>
        <w:rPr>
          <w:rFonts w:ascii="Verdana" w:hAnsi="Verdana"/>
          <w:w w:val="95"/>
          <w:sz w:val="20"/>
          <w:szCs w:val="20"/>
          <w:lang w:val="es-EC"/>
        </w:rPr>
        <w:t>Veliz</w:t>
      </w:r>
      <w:r w:rsidRPr="00AA5F26">
        <w:rPr>
          <w:rFonts w:ascii="Verdana" w:hAnsi="Verdana"/>
          <w:w w:val="95"/>
          <w:sz w:val="20"/>
          <w:szCs w:val="20"/>
          <w:lang w:val="es-EC"/>
        </w:rPr>
        <w:t xml:space="preserve"> Franco. El Estado además conocía, o debió conocer, </w:t>
      </w:r>
      <w:r w:rsidRPr="00507192">
        <w:rPr>
          <w:rFonts w:ascii="Verdana" w:hAnsi="Verdana"/>
          <w:w w:val="95"/>
          <w:sz w:val="20"/>
          <w:szCs w:val="20"/>
          <w:lang w:val="es-EC"/>
        </w:rPr>
        <w:t>que era posible</w:t>
      </w:r>
      <w:r w:rsidRPr="00AA5F26">
        <w:rPr>
          <w:rFonts w:ascii="Verdana" w:hAnsi="Verdana"/>
          <w:w w:val="95"/>
          <w:sz w:val="20"/>
          <w:szCs w:val="20"/>
          <w:lang w:val="es-EC"/>
        </w:rPr>
        <w:t xml:space="preserve"> que lo narrado en tal denuncia se insertara en un contexto que potenciaba la posibilidad de una lesión a los derechos de esa niña. </w:t>
      </w:r>
    </w:p>
    <w:p w:rsidR="00DF15C3" w:rsidRPr="00270B5B" w:rsidRDefault="00DF15C3" w:rsidP="003F26FD">
      <w:pPr>
        <w:spacing w:after="0" w:line="216" w:lineRule="auto"/>
        <w:ind w:left="-142" w:right="-174"/>
        <w:rPr>
          <w:rFonts w:ascii="Verdana" w:hAnsi="Verdana"/>
          <w:w w:val="95"/>
          <w:sz w:val="20"/>
          <w:szCs w:val="20"/>
          <w:lang w:val="es-EC"/>
        </w:rPr>
      </w:pPr>
    </w:p>
    <w:p w:rsidR="00DF15C3" w:rsidRPr="00B457A2" w:rsidRDefault="00DF15C3" w:rsidP="003F26FD">
      <w:pPr>
        <w:pStyle w:val="Ttulo4"/>
        <w:ind w:left="709" w:right="-174"/>
        <w:rPr>
          <w:rFonts w:ascii="Verdana" w:hAnsi="Verdana"/>
          <w:b w:val="0"/>
          <w:color w:val="auto"/>
          <w:w w:val="95"/>
          <w:sz w:val="20"/>
          <w:u w:val="single"/>
        </w:rPr>
      </w:pPr>
      <w:bookmarkStart w:id="85" w:name="_Toc394313673"/>
      <w:r w:rsidRPr="00EF0A7B">
        <w:rPr>
          <w:rFonts w:ascii="Verdana" w:hAnsi="Verdana"/>
          <w:b w:val="0"/>
          <w:color w:val="auto"/>
          <w:w w:val="95"/>
          <w:sz w:val="20"/>
          <w:u w:val="single"/>
        </w:rPr>
        <w:t>B.1.2. Posibilidades de una actuación estatal diligente para prevenir el riesgo y</w:t>
      </w:r>
      <w:r w:rsidRPr="00B457A2">
        <w:rPr>
          <w:rFonts w:ascii="Verdana" w:hAnsi="Verdana"/>
          <w:b w:val="0"/>
          <w:color w:val="auto"/>
          <w:w w:val="95"/>
          <w:sz w:val="20"/>
          <w:u w:val="single"/>
        </w:rPr>
        <w:t xml:space="preserve"> su concreción</w:t>
      </w:r>
      <w:bookmarkEnd w:id="85"/>
    </w:p>
    <w:p w:rsidR="00DF15C3" w:rsidRPr="00943069" w:rsidRDefault="00DF15C3" w:rsidP="003F26FD">
      <w:pPr>
        <w:pStyle w:val="Prrafodelista"/>
        <w:spacing w:after="0" w:line="216" w:lineRule="auto"/>
        <w:ind w:left="-142" w:right="-174"/>
        <w:rPr>
          <w:rFonts w:ascii="Verdana" w:hAnsi="Verdana"/>
          <w:w w:val="95"/>
          <w:sz w:val="20"/>
          <w:szCs w:val="20"/>
          <w:lang w:val="es-CR"/>
        </w:rPr>
      </w:pPr>
    </w:p>
    <w:p w:rsidR="00DF15C3" w:rsidRPr="002B1610" w:rsidRDefault="00DF15C3" w:rsidP="003F26FD">
      <w:pPr>
        <w:pStyle w:val="Prrafodelista"/>
        <w:numPr>
          <w:ilvl w:val="0"/>
          <w:numId w:val="17"/>
        </w:numPr>
        <w:spacing w:after="0" w:line="216" w:lineRule="auto"/>
        <w:ind w:left="-142" w:right="-174" w:firstLine="0"/>
        <w:jc w:val="both"/>
        <w:rPr>
          <w:rFonts w:ascii="Verdana" w:hAnsi="Verdana"/>
          <w:bCs/>
          <w:w w:val="95"/>
          <w:sz w:val="20"/>
          <w:szCs w:val="20"/>
          <w:lang w:val="es-CR"/>
        </w:rPr>
      </w:pPr>
      <w:r w:rsidRPr="00AA5F26">
        <w:rPr>
          <w:rFonts w:ascii="Verdana" w:hAnsi="Verdana"/>
          <w:w w:val="95"/>
          <w:sz w:val="20"/>
          <w:szCs w:val="20"/>
          <w:lang w:val="es-EC"/>
        </w:rPr>
        <w:t xml:space="preserve">Aunado a lo expuesto, ha quedado establecida la </w:t>
      </w:r>
      <w:r w:rsidRPr="00B36C8D">
        <w:rPr>
          <w:rFonts w:ascii="Verdana" w:hAnsi="Verdana"/>
          <w:bCs/>
          <w:w w:val="95"/>
          <w:sz w:val="20"/>
          <w:szCs w:val="20"/>
          <w:lang w:val="es-CR"/>
        </w:rPr>
        <w:t>posibilidad cierta de</w:t>
      </w:r>
      <w:r w:rsidRPr="00AA5F26">
        <w:rPr>
          <w:rFonts w:ascii="Verdana" w:hAnsi="Verdana"/>
          <w:bCs/>
          <w:w w:val="95"/>
          <w:sz w:val="20"/>
          <w:szCs w:val="20"/>
          <w:lang w:val="es-CR"/>
        </w:rPr>
        <w:t xml:space="preserve"> que María Isabel </w:t>
      </w:r>
      <w:r>
        <w:rPr>
          <w:rFonts w:ascii="Verdana" w:hAnsi="Verdana"/>
          <w:bCs/>
          <w:w w:val="95"/>
          <w:sz w:val="20"/>
          <w:szCs w:val="20"/>
          <w:lang w:val="es-CR"/>
        </w:rPr>
        <w:t xml:space="preserve">Veliz </w:t>
      </w:r>
      <w:r w:rsidRPr="00AA5F26">
        <w:rPr>
          <w:rFonts w:ascii="Verdana" w:hAnsi="Verdana"/>
          <w:bCs/>
          <w:w w:val="95"/>
          <w:sz w:val="20"/>
          <w:szCs w:val="20"/>
          <w:lang w:val="es-CR"/>
        </w:rPr>
        <w:t>Franco estuviera viva cuando su madre denunció su desaparición a las autoridades (</w:t>
      </w:r>
      <w:r w:rsidRPr="00AA5F26">
        <w:rPr>
          <w:rFonts w:ascii="Verdana" w:hAnsi="Verdana"/>
          <w:bCs/>
          <w:i/>
          <w:w w:val="95"/>
          <w:sz w:val="20"/>
          <w:szCs w:val="20"/>
          <w:lang w:val="es-CR"/>
        </w:rPr>
        <w:t>supra</w:t>
      </w:r>
      <w:r w:rsidRPr="00AA5F26">
        <w:rPr>
          <w:rFonts w:ascii="Verdana" w:hAnsi="Verdana"/>
          <w:bCs/>
          <w:w w:val="95"/>
          <w:sz w:val="20"/>
          <w:szCs w:val="20"/>
          <w:lang w:val="es-CR"/>
        </w:rPr>
        <w:t xml:space="preserve"> párr. </w:t>
      </w:r>
      <w:r w:rsidR="00230951">
        <w:rPr>
          <w:rFonts w:ascii="Verdana" w:hAnsi="Verdana"/>
          <w:bCs/>
          <w:w w:val="95"/>
          <w:sz w:val="20"/>
          <w:szCs w:val="20"/>
          <w:lang w:val="es-CR"/>
        </w:rPr>
        <w:t>144</w:t>
      </w:r>
      <w:r w:rsidRPr="00AA5F26">
        <w:rPr>
          <w:rFonts w:ascii="Verdana" w:hAnsi="Verdana"/>
          <w:bCs/>
          <w:w w:val="95"/>
          <w:sz w:val="20"/>
          <w:szCs w:val="20"/>
          <w:lang w:val="es-CR"/>
        </w:rPr>
        <w:t>). La falta de certeza al respecto, además, es atribuible a la falta de determinación por el Estado, en el marco de la investigación, del momento preciso del deceso</w:t>
      </w:r>
      <w:r w:rsidR="00D166F3" w:rsidRPr="001E0CE4">
        <w:rPr>
          <w:rFonts w:ascii="Verdana" w:hAnsi="Verdana"/>
          <w:bCs/>
          <w:w w:val="95"/>
          <w:sz w:val="20"/>
          <w:szCs w:val="20"/>
          <w:lang w:val="es-CR"/>
        </w:rPr>
        <w:t>.</w:t>
      </w:r>
      <w:r w:rsidRPr="001E0CE4">
        <w:rPr>
          <w:rFonts w:ascii="Verdana" w:hAnsi="Verdana"/>
          <w:bCs/>
          <w:w w:val="95"/>
          <w:sz w:val="20"/>
          <w:szCs w:val="20"/>
          <w:lang w:val="es-CR"/>
        </w:rPr>
        <w:t xml:space="preserve"> Luego de recibida tal denuncia, y hasta el hallazgo del cuerpo, el Estado no siguió ninguna acción</w:t>
      </w:r>
      <w:r w:rsidRPr="002B1610">
        <w:rPr>
          <w:rFonts w:ascii="Verdana" w:hAnsi="Verdana"/>
          <w:bCs/>
          <w:w w:val="95"/>
          <w:sz w:val="20"/>
          <w:szCs w:val="20"/>
          <w:lang w:val="es-CR"/>
        </w:rPr>
        <w:t xml:space="preserve"> sustantiva tendiente a investigar lo sucedido o evitar eventuales vulneraciones de derechos de la niña. </w:t>
      </w:r>
      <w:r>
        <w:rPr>
          <w:rFonts w:ascii="Verdana" w:hAnsi="Verdana"/>
          <w:bCs/>
          <w:w w:val="95"/>
          <w:sz w:val="20"/>
          <w:szCs w:val="20"/>
          <w:lang w:val="es-CR"/>
        </w:rPr>
        <w:t>D</w:t>
      </w:r>
      <w:r w:rsidRPr="002B1610">
        <w:rPr>
          <w:rFonts w:ascii="Verdana" w:hAnsi="Verdana"/>
          <w:bCs/>
          <w:w w:val="95"/>
          <w:sz w:val="20"/>
          <w:szCs w:val="20"/>
          <w:lang w:val="es-CR"/>
        </w:rPr>
        <w:t xml:space="preserve">ada la incertidumbre existente en ese momento sobre la situación </w:t>
      </w:r>
      <w:r w:rsidRPr="002B1610">
        <w:rPr>
          <w:rFonts w:ascii="Verdana" w:hAnsi="Verdana"/>
          <w:bCs/>
          <w:w w:val="95"/>
          <w:sz w:val="20"/>
          <w:szCs w:val="20"/>
          <w:lang w:val="es-CR"/>
        </w:rPr>
        <w:lastRenderedPageBreak/>
        <w:t xml:space="preserve">en que se encontraba María Isabel </w:t>
      </w:r>
      <w:r>
        <w:rPr>
          <w:rFonts w:ascii="Verdana" w:hAnsi="Verdana"/>
          <w:bCs/>
          <w:w w:val="95"/>
          <w:sz w:val="20"/>
          <w:szCs w:val="20"/>
          <w:lang w:val="es-CR"/>
        </w:rPr>
        <w:t xml:space="preserve">Veliz </w:t>
      </w:r>
      <w:r w:rsidRPr="002B1610">
        <w:rPr>
          <w:rFonts w:ascii="Verdana" w:hAnsi="Verdana"/>
          <w:bCs/>
          <w:w w:val="95"/>
          <w:sz w:val="20"/>
          <w:szCs w:val="20"/>
          <w:lang w:val="es-CR"/>
        </w:rPr>
        <w:t>Franco, y dado el riesgo que corría la niña, resultaba imperioso</w:t>
      </w:r>
      <w:r w:rsidR="00270B5B">
        <w:rPr>
          <w:rFonts w:ascii="Verdana" w:hAnsi="Verdana"/>
          <w:bCs/>
          <w:w w:val="95"/>
          <w:sz w:val="20"/>
          <w:szCs w:val="20"/>
          <w:lang w:val="es-CR"/>
        </w:rPr>
        <w:t xml:space="preserve"> </w:t>
      </w:r>
      <w:r w:rsidRPr="002B1610">
        <w:rPr>
          <w:rFonts w:ascii="Verdana" w:hAnsi="Verdana"/>
          <w:bCs/>
          <w:w w:val="95"/>
          <w:sz w:val="20"/>
          <w:szCs w:val="20"/>
          <w:lang w:val="es-CR"/>
        </w:rPr>
        <w:t>obrar diligente para garantizar sus derechos</w:t>
      </w:r>
      <w:r w:rsidRPr="002B1610">
        <w:rPr>
          <w:rStyle w:val="Refdenotaalpie"/>
          <w:rFonts w:ascii="Verdana" w:hAnsi="Verdana"/>
          <w:w w:val="95"/>
          <w:sz w:val="20"/>
        </w:rPr>
        <w:footnoteReference w:id="246"/>
      </w:r>
      <w:r w:rsidRPr="002B1610">
        <w:rPr>
          <w:rFonts w:ascii="Verdana" w:hAnsi="Verdana"/>
          <w:bCs/>
          <w:w w:val="95"/>
          <w:sz w:val="20"/>
          <w:szCs w:val="20"/>
          <w:lang w:val="es-CR"/>
        </w:rPr>
        <w:t xml:space="preserve">. </w:t>
      </w:r>
    </w:p>
    <w:p w:rsidR="00DF15C3" w:rsidRPr="002B1610" w:rsidRDefault="00DF15C3" w:rsidP="003F26FD">
      <w:pPr>
        <w:pStyle w:val="Prrafodelista"/>
        <w:spacing w:after="0" w:line="216" w:lineRule="auto"/>
        <w:ind w:left="-142" w:right="-174"/>
        <w:jc w:val="both"/>
        <w:rPr>
          <w:rFonts w:ascii="Verdana" w:hAnsi="Verdana"/>
          <w:bCs/>
          <w:w w:val="95"/>
          <w:sz w:val="20"/>
          <w:szCs w:val="20"/>
          <w:lang w:val="es-CR"/>
        </w:rPr>
      </w:pPr>
    </w:p>
    <w:p w:rsidR="00DF15C3" w:rsidRPr="00181ECB" w:rsidRDefault="00DF15C3" w:rsidP="003F26FD">
      <w:pPr>
        <w:pStyle w:val="Prrafodelista"/>
        <w:numPr>
          <w:ilvl w:val="0"/>
          <w:numId w:val="17"/>
        </w:numPr>
        <w:spacing w:after="0" w:line="216" w:lineRule="auto"/>
        <w:ind w:left="-142" w:right="-174" w:firstLine="0"/>
        <w:jc w:val="both"/>
        <w:rPr>
          <w:rFonts w:ascii="Verdana" w:hAnsi="Verdana"/>
          <w:b/>
          <w:bCs/>
          <w:w w:val="95"/>
          <w:sz w:val="20"/>
          <w:szCs w:val="20"/>
          <w:lang w:val="es-CR"/>
        </w:rPr>
      </w:pPr>
      <w:r w:rsidRPr="00003E26">
        <w:rPr>
          <w:rFonts w:ascii="Verdana" w:hAnsi="Verdana"/>
          <w:bCs/>
          <w:w w:val="95"/>
          <w:sz w:val="20"/>
          <w:szCs w:val="20"/>
          <w:lang w:val="es-CR"/>
        </w:rPr>
        <w:t>No altera</w:t>
      </w:r>
      <w:r w:rsidR="00B37887">
        <w:rPr>
          <w:rFonts w:ascii="Verdana" w:hAnsi="Verdana"/>
          <w:bCs/>
          <w:w w:val="95"/>
          <w:sz w:val="20"/>
          <w:szCs w:val="20"/>
          <w:lang w:val="es-CR"/>
        </w:rPr>
        <w:t>n</w:t>
      </w:r>
      <w:r w:rsidRPr="00003E26">
        <w:rPr>
          <w:rFonts w:ascii="Verdana" w:hAnsi="Verdana"/>
          <w:bCs/>
          <w:w w:val="95"/>
          <w:sz w:val="20"/>
          <w:szCs w:val="20"/>
          <w:lang w:val="es-CR"/>
        </w:rPr>
        <w:t xml:space="preserve"> la conclusión anterior los argumentos estatales sobre la garantía del derecho a la vida a través de su reconocimiento legal, de la regulación de las “instituciones de la patria potestad y la tutela” y el acceso a la justicia. La Corte advierte que, en efecto, resulta de una importancia fundamental el reconocimiento normativo del derecho a la vida</w:t>
      </w:r>
      <w:r w:rsidR="00B37887">
        <w:rPr>
          <w:rFonts w:ascii="Verdana" w:hAnsi="Verdana"/>
          <w:bCs/>
          <w:w w:val="95"/>
          <w:sz w:val="20"/>
          <w:szCs w:val="20"/>
          <w:lang w:val="es-CR"/>
        </w:rPr>
        <w:t>,</w:t>
      </w:r>
      <w:r w:rsidRPr="00003E26">
        <w:rPr>
          <w:rFonts w:ascii="Verdana" w:hAnsi="Verdana"/>
          <w:bCs/>
          <w:w w:val="95"/>
          <w:sz w:val="20"/>
          <w:szCs w:val="20"/>
          <w:lang w:val="es-CR"/>
        </w:rPr>
        <w:t xml:space="preserve"> así como en relación con, </w:t>
      </w:r>
      <w:r w:rsidRPr="00003E26">
        <w:rPr>
          <w:rFonts w:ascii="Verdana" w:hAnsi="Verdana"/>
          <w:bCs/>
          <w:i/>
          <w:w w:val="95"/>
          <w:sz w:val="20"/>
          <w:szCs w:val="20"/>
          <w:lang w:val="es-CR"/>
        </w:rPr>
        <w:t>inter alia</w:t>
      </w:r>
      <w:r w:rsidRPr="00003E26">
        <w:rPr>
          <w:rFonts w:ascii="Verdana" w:hAnsi="Verdana"/>
          <w:bCs/>
          <w:w w:val="95"/>
          <w:sz w:val="20"/>
          <w:szCs w:val="20"/>
          <w:lang w:val="es-CR"/>
        </w:rPr>
        <w:t>, los derechos de las niñas, la regulación de la patria potestad y la tutela</w:t>
      </w:r>
      <w:r w:rsidRPr="002B1610">
        <w:rPr>
          <w:rStyle w:val="Refdenotaalpie"/>
          <w:rFonts w:ascii="Verdana" w:hAnsi="Verdana"/>
          <w:w w:val="95"/>
          <w:sz w:val="20"/>
        </w:rPr>
        <w:footnoteReference w:id="247"/>
      </w:r>
      <w:r w:rsidRPr="00003E26">
        <w:rPr>
          <w:rFonts w:ascii="Verdana" w:hAnsi="Verdana"/>
          <w:bCs/>
          <w:w w:val="95"/>
          <w:sz w:val="20"/>
          <w:szCs w:val="20"/>
          <w:lang w:val="es-CR"/>
        </w:rPr>
        <w:t>. Esto último, no obstante, no exime a los Estados de adoptar otras medidas necesarias, de acuerdo a las circunstancias, para garantizar esos derechos</w:t>
      </w:r>
      <w:r w:rsidRPr="002B1610">
        <w:rPr>
          <w:rStyle w:val="Refdenotaalpie"/>
          <w:rFonts w:ascii="Verdana" w:hAnsi="Verdana"/>
          <w:w w:val="95"/>
          <w:sz w:val="20"/>
        </w:rPr>
        <w:footnoteReference w:id="248"/>
      </w:r>
      <w:r w:rsidRPr="00003E26">
        <w:rPr>
          <w:rFonts w:ascii="Verdana" w:hAnsi="Verdana"/>
          <w:bCs/>
          <w:w w:val="95"/>
          <w:sz w:val="20"/>
          <w:szCs w:val="20"/>
          <w:lang w:val="es-CR"/>
        </w:rPr>
        <w:t>. Como el propio Estado ha advertido,</w:t>
      </w:r>
      <w:r w:rsidR="00270B5B">
        <w:rPr>
          <w:rFonts w:ascii="Verdana" w:hAnsi="Verdana"/>
          <w:bCs/>
          <w:w w:val="95"/>
          <w:sz w:val="20"/>
          <w:szCs w:val="20"/>
          <w:lang w:val="es-CR"/>
        </w:rPr>
        <w:t xml:space="preserve"> </w:t>
      </w:r>
      <w:r w:rsidRPr="00003E26">
        <w:rPr>
          <w:rFonts w:ascii="Verdana" w:hAnsi="Verdana"/>
          <w:bCs/>
          <w:w w:val="95"/>
          <w:sz w:val="20"/>
          <w:szCs w:val="20"/>
          <w:lang w:val="es-CR"/>
        </w:rPr>
        <w:t>cuando se dio aviso al Estado de la desaparición de María Isabel, es cuando emp[ezó] su obligación de interferir en la protección directa de la niña.</w:t>
      </w:r>
    </w:p>
    <w:p w:rsidR="00DF15C3" w:rsidRPr="00181ECB" w:rsidRDefault="00DF15C3" w:rsidP="003F26FD">
      <w:pPr>
        <w:pStyle w:val="Prrafodelista"/>
        <w:ind w:right="-174"/>
        <w:rPr>
          <w:rFonts w:ascii="Verdana" w:hAnsi="Verdana"/>
          <w:b/>
          <w:bCs/>
          <w:w w:val="95"/>
          <w:sz w:val="20"/>
          <w:szCs w:val="20"/>
          <w:lang w:val="es-CR"/>
        </w:rPr>
      </w:pPr>
    </w:p>
    <w:p w:rsidR="00DF15C3" w:rsidRPr="00D73423" w:rsidRDefault="00DF15C3" w:rsidP="003F26FD">
      <w:pPr>
        <w:pStyle w:val="Prrafodelista"/>
        <w:numPr>
          <w:ilvl w:val="0"/>
          <w:numId w:val="17"/>
        </w:numPr>
        <w:spacing w:after="0" w:line="216" w:lineRule="auto"/>
        <w:ind w:left="-142" w:right="-174" w:firstLine="0"/>
        <w:jc w:val="both"/>
        <w:rPr>
          <w:rFonts w:ascii="Verdana" w:hAnsi="Verdana"/>
          <w:b/>
          <w:bCs/>
          <w:w w:val="95"/>
          <w:sz w:val="20"/>
          <w:szCs w:val="20"/>
          <w:lang w:val="es-CR"/>
        </w:rPr>
      </w:pPr>
      <w:r w:rsidRPr="00204AEA">
        <w:rPr>
          <w:rFonts w:ascii="Verdana" w:hAnsi="Verdana"/>
          <w:bCs/>
          <w:w w:val="95"/>
          <w:sz w:val="20"/>
          <w:szCs w:val="20"/>
          <w:lang w:val="es-CR"/>
        </w:rPr>
        <w:t xml:space="preserve">En cuanto al acceso a la justicia, la representante ha indicado que el Estado incumplió sus “obligaciones procesales” en relación con los derechos de María Isabel </w:t>
      </w:r>
      <w:r>
        <w:rPr>
          <w:rFonts w:ascii="Verdana" w:hAnsi="Verdana"/>
          <w:bCs/>
          <w:w w:val="95"/>
          <w:sz w:val="20"/>
          <w:szCs w:val="20"/>
          <w:lang w:val="es-CR"/>
        </w:rPr>
        <w:t>Veliz</w:t>
      </w:r>
      <w:r w:rsidRPr="00204AEA">
        <w:rPr>
          <w:rFonts w:ascii="Verdana" w:hAnsi="Verdana"/>
          <w:bCs/>
          <w:w w:val="95"/>
          <w:sz w:val="20"/>
          <w:szCs w:val="20"/>
          <w:lang w:val="es-CR"/>
        </w:rPr>
        <w:t xml:space="preserve"> Franco por la falta de debida diligencia en la investigación, desde sus primeras fases, que derivó en la impunidad de los hechos</w:t>
      </w:r>
      <w:r w:rsidR="00270B5B">
        <w:rPr>
          <w:rFonts w:ascii="Verdana" w:hAnsi="Verdana"/>
          <w:bCs/>
          <w:w w:val="95"/>
          <w:sz w:val="20"/>
          <w:szCs w:val="20"/>
          <w:lang w:val="es-CR"/>
        </w:rPr>
        <w:t xml:space="preserve"> </w:t>
      </w:r>
      <w:r>
        <w:rPr>
          <w:rFonts w:ascii="Verdana" w:hAnsi="Verdana"/>
          <w:bCs/>
          <w:w w:val="95"/>
          <w:sz w:val="20"/>
          <w:szCs w:val="20"/>
          <w:lang w:val="es-CR"/>
        </w:rPr>
        <w:t>antes referidos</w:t>
      </w:r>
      <w:r w:rsidRPr="00270B5B">
        <w:rPr>
          <w:rFonts w:ascii="Verdana" w:hAnsi="Verdana"/>
          <w:bCs/>
          <w:w w:val="95"/>
          <w:sz w:val="20"/>
          <w:szCs w:val="20"/>
          <w:lang w:val="es-CR"/>
        </w:rPr>
        <w:t>.</w:t>
      </w:r>
      <w:r w:rsidRPr="00204AEA">
        <w:rPr>
          <w:rFonts w:ascii="Verdana" w:hAnsi="Verdana"/>
          <w:bCs/>
          <w:w w:val="95"/>
          <w:sz w:val="20"/>
          <w:szCs w:val="20"/>
          <w:lang w:val="es-CR"/>
        </w:rPr>
        <w:t xml:space="preserve"> Al respecto, queda comprendido en lo expuesto lo atinente a la actuación del Estado en las primeras horas posteriores a la denuncia de la desaparición de la niña. En cuanto al resto de las acciones de investigación, lo pertinente será considerado al efectuar el análisis de las alegadas violaciones a los derechos a las garantías</w:t>
      </w:r>
      <w:r>
        <w:rPr>
          <w:rFonts w:ascii="Verdana" w:hAnsi="Verdana"/>
          <w:bCs/>
          <w:w w:val="95"/>
          <w:sz w:val="20"/>
          <w:szCs w:val="20"/>
          <w:lang w:val="es-CR"/>
        </w:rPr>
        <w:t xml:space="preserve"> judiciales</w:t>
      </w:r>
      <w:r w:rsidRPr="00204AEA">
        <w:rPr>
          <w:rStyle w:val="Refdenotaalpie"/>
          <w:rFonts w:ascii="Verdana" w:hAnsi="Verdana"/>
          <w:w w:val="95"/>
          <w:sz w:val="20"/>
          <w:szCs w:val="20"/>
          <w:lang w:val="es-CR"/>
        </w:rPr>
        <w:footnoteReference w:id="249"/>
      </w:r>
      <w:r w:rsidRPr="00204AEA">
        <w:rPr>
          <w:rFonts w:ascii="Verdana" w:hAnsi="Verdana"/>
          <w:bCs/>
          <w:w w:val="95"/>
          <w:sz w:val="20"/>
          <w:szCs w:val="20"/>
          <w:lang w:val="es-CR"/>
        </w:rPr>
        <w:t xml:space="preserve"> y protección judicial</w:t>
      </w:r>
      <w:r w:rsidR="00315B30" w:rsidRPr="00204AEA">
        <w:rPr>
          <w:rStyle w:val="Refdenotaalpie"/>
          <w:rFonts w:ascii="Verdana" w:hAnsi="Verdana"/>
          <w:w w:val="95"/>
          <w:sz w:val="20"/>
          <w:szCs w:val="20"/>
          <w:lang w:val="es-CR"/>
        </w:rPr>
        <w:footnoteReference w:id="250"/>
      </w:r>
      <w:r w:rsidRPr="00204AEA">
        <w:rPr>
          <w:rFonts w:ascii="Verdana" w:hAnsi="Verdana"/>
          <w:bCs/>
          <w:w w:val="95"/>
          <w:sz w:val="20"/>
          <w:szCs w:val="20"/>
          <w:lang w:val="es-CR"/>
        </w:rPr>
        <w:t xml:space="preserve"> en el caso (</w:t>
      </w:r>
      <w:r w:rsidRPr="00204AEA">
        <w:rPr>
          <w:rFonts w:ascii="Verdana" w:hAnsi="Verdana"/>
          <w:bCs/>
          <w:i/>
          <w:w w:val="95"/>
          <w:sz w:val="20"/>
          <w:szCs w:val="20"/>
          <w:lang w:val="es-CR"/>
        </w:rPr>
        <w:t>infra</w:t>
      </w:r>
      <w:r w:rsidRPr="00204AEA">
        <w:rPr>
          <w:rFonts w:ascii="Verdana" w:hAnsi="Verdana"/>
          <w:bCs/>
          <w:w w:val="95"/>
          <w:sz w:val="20"/>
          <w:szCs w:val="20"/>
          <w:lang w:val="es-CR"/>
        </w:rPr>
        <w:t xml:space="preserve"> </w:t>
      </w:r>
      <w:r w:rsidR="00270B5B">
        <w:rPr>
          <w:rFonts w:ascii="Verdana" w:hAnsi="Verdana"/>
          <w:bCs/>
          <w:w w:val="95"/>
          <w:sz w:val="20"/>
          <w:szCs w:val="20"/>
          <w:lang w:val="es-CR"/>
        </w:rPr>
        <w:t xml:space="preserve">párr. </w:t>
      </w:r>
      <w:r w:rsidR="00DA5CDD">
        <w:rPr>
          <w:rFonts w:ascii="Verdana" w:hAnsi="Verdana"/>
          <w:bCs/>
          <w:w w:val="95"/>
          <w:sz w:val="20"/>
          <w:szCs w:val="20"/>
          <w:lang w:val="es-CR"/>
        </w:rPr>
        <w:t>178 a 226</w:t>
      </w:r>
      <w:r w:rsidR="00270B5B">
        <w:rPr>
          <w:rFonts w:ascii="Verdana" w:hAnsi="Verdana"/>
          <w:bCs/>
          <w:w w:val="95"/>
          <w:sz w:val="20"/>
          <w:szCs w:val="20"/>
          <w:lang w:val="es-CR"/>
        </w:rPr>
        <w:t>)</w:t>
      </w:r>
      <w:r w:rsidR="004E00D2">
        <w:rPr>
          <w:rFonts w:ascii="Verdana" w:hAnsi="Verdana"/>
          <w:bCs/>
          <w:w w:val="95"/>
          <w:sz w:val="20"/>
          <w:szCs w:val="20"/>
          <w:lang w:val="es-CR"/>
        </w:rPr>
        <w:t>.</w:t>
      </w:r>
    </w:p>
    <w:p w:rsidR="00DF15C3" w:rsidRPr="00D73423" w:rsidRDefault="00DF15C3" w:rsidP="003F26FD">
      <w:pPr>
        <w:spacing w:after="0" w:line="216" w:lineRule="auto"/>
        <w:ind w:right="-174"/>
        <w:jc w:val="both"/>
        <w:rPr>
          <w:rFonts w:ascii="Verdana" w:hAnsi="Verdana"/>
          <w:b/>
          <w:bCs/>
          <w:w w:val="95"/>
          <w:sz w:val="20"/>
          <w:szCs w:val="20"/>
          <w:lang w:val="es-CR"/>
        </w:rPr>
      </w:pPr>
    </w:p>
    <w:p w:rsidR="00DF15C3" w:rsidRPr="001C670B" w:rsidRDefault="00DF15C3" w:rsidP="003F26FD">
      <w:pPr>
        <w:pStyle w:val="Prrafodelista"/>
        <w:autoSpaceDE w:val="0"/>
        <w:autoSpaceDN w:val="0"/>
        <w:adjustRightInd w:val="0"/>
        <w:spacing w:after="0" w:line="216" w:lineRule="auto"/>
        <w:ind w:left="450" w:right="-174"/>
        <w:jc w:val="both"/>
        <w:outlineLvl w:val="2"/>
        <w:rPr>
          <w:rFonts w:ascii="Verdana" w:hAnsi="Verdana"/>
          <w:b/>
          <w:bCs/>
          <w:i/>
          <w:w w:val="95"/>
          <w:sz w:val="20"/>
          <w:szCs w:val="20"/>
          <w:lang w:val="es-CR"/>
        </w:rPr>
      </w:pPr>
      <w:bookmarkStart w:id="86" w:name="_Toc394313674"/>
      <w:r w:rsidRPr="001C670B">
        <w:rPr>
          <w:rFonts w:ascii="Verdana" w:hAnsi="Verdana"/>
          <w:b/>
          <w:bCs/>
          <w:i/>
          <w:w w:val="95"/>
          <w:sz w:val="20"/>
          <w:szCs w:val="20"/>
          <w:lang w:val="es-CR"/>
        </w:rPr>
        <w:t>B.</w:t>
      </w:r>
      <w:r>
        <w:rPr>
          <w:rFonts w:ascii="Verdana" w:hAnsi="Verdana"/>
          <w:b/>
          <w:bCs/>
          <w:i/>
          <w:w w:val="95"/>
          <w:sz w:val="20"/>
          <w:szCs w:val="20"/>
          <w:lang w:val="es-CR"/>
        </w:rPr>
        <w:t>2</w:t>
      </w:r>
      <w:r w:rsidRPr="001C670B">
        <w:rPr>
          <w:rFonts w:ascii="Verdana" w:hAnsi="Verdana"/>
          <w:b/>
          <w:bCs/>
          <w:i/>
          <w:w w:val="95"/>
          <w:sz w:val="20"/>
          <w:szCs w:val="20"/>
          <w:lang w:val="es-CR"/>
        </w:rPr>
        <w:t>) Conclusión</w:t>
      </w:r>
      <w:bookmarkEnd w:id="86"/>
    </w:p>
    <w:p w:rsidR="00DF15C3" w:rsidRPr="00647C1C" w:rsidRDefault="00DF15C3" w:rsidP="003F26FD">
      <w:pPr>
        <w:pStyle w:val="Prrafodelista"/>
        <w:spacing w:after="0" w:line="216" w:lineRule="auto"/>
        <w:ind w:left="-142" w:right="-174"/>
        <w:jc w:val="both"/>
        <w:rPr>
          <w:rFonts w:ascii="Verdana" w:hAnsi="Verdana"/>
          <w:b/>
          <w:bCs/>
          <w:w w:val="95"/>
          <w:sz w:val="20"/>
          <w:szCs w:val="20"/>
          <w:lang w:val="es-CR"/>
        </w:rPr>
      </w:pPr>
    </w:p>
    <w:p w:rsidR="00DF15C3" w:rsidRPr="00F449B2" w:rsidRDefault="00DF15C3" w:rsidP="003F26FD">
      <w:pPr>
        <w:pStyle w:val="Prrafodelista"/>
        <w:numPr>
          <w:ilvl w:val="0"/>
          <w:numId w:val="17"/>
        </w:numPr>
        <w:tabs>
          <w:tab w:val="left" w:pos="0"/>
        </w:tabs>
        <w:autoSpaceDE w:val="0"/>
        <w:autoSpaceDN w:val="0"/>
        <w:adjustRightInd w:val="0"/>
        <w:spacing w:after="0" w:line="19" w:lineRule="atLeast"/>
        <w:ind w:left="-180" w:right="-174" w:firstLine="0"/>
        <w:jc w:val="both"/>
        <w:rPr>
          <w:rFonts w:ascii="Verdana" w:hAnsi="Verdana"/>
          <w:bCs/>
          <w:w w:val="95"/>
          <w:sz w:val="20"/>
          <w:szCs w:val="20"/>
          <w:lang w:val="es-CR"/>
        </w:rPr>
      </w:pPr>
      <w:r w:rsidRPr="00F449B2">
        <w:rPr>
          <w:rFonts w:ascii="Verdana" w:hAnsi="Verdana"/>
          <w:bCs/>
          <w:w w:val="95"/>
          <w:sz w:val="20"/>
          <w:szCs w:val="20"/>
          <w:lang w:val="es-CR"/>
        </w:rPr>
        <w:t>Por lo expuesto, la Corte Interamericana concluye que Guatemala violó su deber de garantizar el libre y pleno ejercicio de los derechos a la vida e integridad personal, reconocidos en los artículos 4.1 y 5.1 de la Convenció</w:t>
      </w:r>
      <w:r w:rsidR="00F7281C">
        <w:rPr>
          <w:rFonts w:ascii="Verdana" w:hAnsi="Verdana"/>
          <w:bCs/>
          <w:w w:val="95"/>
          <w:sz w:val="20"/>
          <w:szCs w:val="20"/>
          <w:lang w:val="es-CR"/>
        </w:rPr>
        <w:t>n Americana, en relación con</w:t>
      </w:r>
      <w:r w:rsidRPr="00F449B2">
        <w:rPr>
          <w:rFonts w:ascii="Verdana" w:hAnsi="Verdana"/>
          <w:bCs/>
          <w:w w:val="95"/>
          <w:sz w:val="20"/>
          <w:szCs w:val="20"/>
          <w:lang w:val="es-CR"/>
        </w:rPr>
        <w:t xml:space="preserve"> los derechos del niño consagrados en el artículo 19 de la Convención</w:t>
      </w:r>
      <w:r w:rsidR="00F7281C">
        <w:rPr>
          <w:rFonts w:ascii="Verdana" w:hAnsi="Verdana"/>
          <w:bCs/>
          <w:w w:val="95"/>
          <w:sz w:val="20"/>
          <w:szCs w:val="20"/>
          <w:lang w:val="es-CR"/>
        </w:rPr>
        <w:t xml:space="preserve"> y</w:t>
      </w:r>
      <w:r w:rsidR="00863E37" w:rsidRPr="00F449B2">
        <w:rPr>
          <w:rFonts w:ascii="Verdana" w:hAnsi="Verdana"/>
          <w:bCs/>
          <w:w w:val="95"/>
          <w:sz w:val="20"/>
          <w:szCs w:val="20"/>
          <w:lang w:val="es-CR"/>
        </w:rPr>
        <w:t xml:space="preserve"> con</w:t>
      </w:r>
      <w:r w:rsidRPr="00F449B2">
        <w:rPr>
          <w:rFonts w:ascii="Verdana" w:hAnsi="Verdana"/>
          <w:bCs/>
          <w:w w:val="95"/>
          <w:sz w:val="20"/>
          <w:szCs w:val="20"/>
          <w:lang w:val="es-CR"/>
        </w:rPr>
        <w:t xml:space="preserve"> la obligación general de garantizar los derechos </w:t>
      </w:r>
      <w:r w:rsidR="00C627A1" w:rsidRPr="00F449B2">
        <w:rPr>
          <w:rFonts w:ascii="Verdana" w:hAnsi="Verdana"/>
          <w:bCs/>
          <w:w w:val="95"/>
          <w:sz w:val="20"/>
          <w:szCs w:val="20"/>
          <w:lang w:val="es-CR"/>
        </w:rPr>
        <w:t>sin discriminación</w:t>
      </w:r>
      <w:r w:rsidRPr="00F449B2">
        <w:rPr>
          <w:rFonts w:ascii="Verdana" w:hAnsi="Verdana"/>
          <w:bCs/>
          <w:w w:val="95"/>
          <w:sz w:val="20"/>
          <w:szCs w:val="20"/>
          <w:lang w:val="es-CR"/>
        </w:rPr>
        <w:t>, contemplada en el artículo 1.1 del mismo tratado, así como con las obligaciones contempladas en el artículo 7.b) de la Convención de Belém do Pará, en perjuicio de María Isabel Veliz Franco.</w:t>
      </w:r>
    </w:p>
    <w:p w:rsidR="00DF15C3" w:rsidRPr="001C670B" w:rsidRDefault="00DF15C3" w:rsidP="003F26FD">
      <w:pPr>
        <w:pStyle w:val="Prrafodelista"/>
        <w:spacing w:after="0" w:line="216" w:lineRule="auto"/>
        <w:ind w:left="-142" w:right="-174"/>
        <w:jc w:val="both"/>
        <w:rPr>
          <w:rFonts w:ascii="Verdana" w:hAnsi="Verdana" w:cs="Arial"/>
          <w:bCs/>
          <w:w w:val="95"/>
          <w:sz w:val="20"/>
          <w:szCs w:val="20"/>
          <w:lang w:val="es-CR"/>
        </w:rPr>
      </w:pPr>
    </w:p>
    <w:p w:rsidR="001B24D9" w:rsidRDefault="001B24D9" w:rsidP="003F26FD">
      <w:pPr>
        <w:pStyle w:val="Ttulo1"/>
        <w:spacing w:before="0" w:after="0" w:line="216" w:lineRule="auto"/>
        <w:ind w:left="-142" w:right="-174"/>
        <w:rPr>
          <w:w w:val="95"/>
          <w:szCs w:val="20"/>
          <w:lang w:val="es-CR"/>
        </w:rPr>
      </w:pPr>
    </w:p>
    <w:p w:rsidR="00DF15C3" w:rsidRPr="001C670B" w:rsidRDefault="00DF15C3" w:rsidP="003F26FD">
      <w:pPr>
        <w:pStyle w:val="Ttulo1"/>
        <w:spacing w:before="0" w:after="0" w:line="216" w:lineRule="auto"/>
        <w:ind w:left="-142" w:right="-174"/>
        <w:rPr>
          <w:w w:val="95"/>
          <w:szCs w:val="20"/>
          <w:lang w:val="es-CR"/>
        </w:rPr>
      </w:pPr>
      <w:bookmarkStart w:id="87" w:name="_Toc394313675"/>
      <w:r w:rsidRPr="00BA711F">
        <w:rPr>
          <w:w w:val="95"/>
          <w:szCs w:val="20"/>
          <w:lang w:val="es-CR"/>
        </w:rPr>
        <w:t>I</w:t>
      </w:r>
      <w:r>
        <w:rPr>
          <w:w w:val="95"/>
          <w:szCs w:val="20"/>
          <w:lang w:val="es-CR"/>
        </w:rPr>
        <w:t>X</w:t>
      </w:r>
      <w:bookmarkEnd w:id="87"/>
    </w:p>
    <w:p w:rsidR="00DF15C3" w:rsidRPr="002B1610" w:rsidRDefault="00DF15C3" w:rsidP="003F26FD">
      <w:pPr>
        <w:pStyle w:val="Ttulo1"/>
        <w:spacing w:before="0" w:after="0" w:line="216" w:lineRule="auto"/>
        <w:ind w:left="-142" w:right="-174"/>
        <w:rPr>
          <w:w w:val="95"/>
          <w:szCs w:val="20"/>
          <w:lang w:val="es-CR"/>
        </w:rPr>
      </w:pPr>
      <w:bookmarkStart w:id="88" w:name="_Toc394313676"/>
      <w:r w:rsidRPr="00BA711F">
        <w:rPr>
          <w:w w:val="95"/>
          <w:szCs w:val="20"/>
          <w:lang w:val="es-CR"/>
        </w:rPr>
        <w:t>GARANTÍAS JUDICIALES</w:t>
      </w:r>
      <w:r w:rsidRPr="00E777F8">
        <w:rPr>
          <w:w w:val="95"/>
          <w:szCs w:val="20"/>
          <w:lang w:val="es-CR"/>
        </w:rPr>
        <w:t xml:space="preserve">, </w:t>
      </w:r>
      <w:r w:rsidR="00CC0F98" w:rsidRPr="00E777F8">
        <w:rPr>
          <w:w w:val="95"/>
          <w:szCs w:val="20"/>
          <w:lang w:val="es-CR"/>
        </w:rPr>
        <w:t>IGUALDAD ANTE LA LEY</w:t>
      </w:r>
      <w:r w:rsidR="00784DFA" w:rsidRPr="00784DFA">
        <w:rPr>
          <w:w w:val="95"/>
          <w:szCs w:val="20"/>
          <w:lang w:val="es-CR"/>
        </w:rPr>
        <w:t xml:space="preserve"> </w:t>
      </w:r>
      <w:r w:rsidR="00784DFA">
        <w:rPr>
          <w:w w:val="95"/>
          <w:szCs w:val="20"/>
          <w:lang w:val="es-CR"/>
        </w:rPr>
        <w:t xml:space="preserve">y </w:t>
      </w:r>
      <w:r w:rsidR="00784DFA" w:rsidRPr="00BA711F">
        <w:rPr>
          <w:w w:val="95"/>
          <w:szCs w:val="20"/>
          <w:lang w:val="es-CR"/>
        </w:rPr>
        <w:t>PROTECCIÓN JUDICIAL</w:t>
      </w:r>
      <w:r w:rsidRPr="00BA711F">
        <w:rPr>
          <w:w w:val="95"/>
          <w:szCs w:val="20"/>
          <w:lang w:val="es-CR"/>
        </w:rPr>
        <w:t>, EN RELACIÓN CON LAS OBLIGACIONES GENERALES DE RESPETAR Y GARANTIZAR LOS DERECHOS</w:t>
      </w:r>
      <w:r>
        <w:rPr>
          <w:w w:val="95"/>
          <w:szCs w:val="20"/>
          <w:lang w:val="es-CR"/>
        </w:rPr>
        <w:t xml:space="preserve"> Y ADOPTAR DISPOSICIONES DE DERECHO INTERNO</w:t>
      </w:r>
      <w:r w:rsidRPr="001C670B">
        <w:rPr>
          <w:w w:val="95"/>
          <w:szCs w:val="20"/>
          <w:lang w:val="es-CR"/>
        </w:rPr>
        <w:t xml:space="preserve"> Y </w:t>
      </w:r>
      <w:r w:rsidRPr="002B1610">
        <w:rPr>
          <w:w w:val="95"/>
          <w:szCs w:val="20"/>
          <w:lang w:val="es-CR"/>
        </w:rPr>
        <w:t>CON EL DEBER DE PREVENIR, SANCIONAR Y ERRADICAR LA VIOLENCIA CONTRA LA MUJER</w:t>
      </w:r>
      <w:bookmarkEnd w:id="88"/>
    </w:p>
    <w:p w:rsidR="00DF15C3" w:rsidRPr="002B1610" w:rsidRDefault="00DF15C3" w:rsidP="003F26FD">
      <w:pPr>
        <w:spacing w:after="0" w:line="216" w:lineRule="auto"/>
        <w:ind w:left="-142" w:right="-174"/>
        <w:jc w:val="center"/>
        <w:rPr>
          <w:rFonts w:ascii="Verdana" w:hAnsi="Verdana"/>
          <w:w w:val="95"/>
          <w:sz w:val="20"/>
          <w:szCs w:val="20"/>
          <w:lang w:val="es-CR"/>
        </w:rPr>
      </w:pPr>
    </w:p>
    <w:p w:rsidR="00DF15C3" w:rsidRPr="002B1610" w:rsidRDefault="00DF15C3" w:rsidP="003F26FD">
      <w:pPr>
        <w:pStyle w:val="Ttulo2"/>
        <w:keepLines w:val="0"/>
        <w:numPr>
          <w:ilvl w:val="0"/>
          <w:numId w:val="8"/>
        </w:numPr>
        <w:spacing w:before="0" w:line="216" w:lineRule="auto"/>
        <w:ind w:left="284" w:right="-174" w:firstLine="0"/>
        <w:jc w:val="both"/>
        <w:rPr>
          <w:rFonts w:ascii="Verdana" w:hAnsi="Verdana"/>
          <w:color w:val="auto"/>
          <w:w w:val="95"/>
          <w:sz w:val="20"/>
          <w:szCs w:val="20"/>
          <w:lang w:val="es-CR"/>
        </w:rPr>
      </w:pPr>
      <w:bookmarkStart w:id="89" w:name="_Toc394313677"/>
      <w:r w:rsidRPr="002B1610">
        <w:rPr>
          <w:rFonts w:ascii="Verdana" w:hAnsi="Verdana"/>
          <w:color w:val="auto"/>
          <w:w w:val="95"/>
          <w:sz w:val="20"/>
          <w:szCs w:val="20"/>
          <w:lang w:val="es-CR"/>
        </w:rPr>
        <w:t>Argumentos de la Comisión y de las partes</w:t>
      </w:r>
      <w:bookmarkEnd w:id="89"/>
    </w:p>
    <w:p w:rsidR="00DF15C3" w:rsidRPr="002B1610" w:rsidRDefault="00DF15C3" w:rsidP="003F26FD">
      <w:pPr>
        <w:spacing w:after="0" w:line="216" w:lineRule="auto"/>
        <w:ind w:left="-142" w:right="-174"/>
        <w:rPr>
          <w:rFonts w:ascii="Verdana" w:hAnsi="Verdana"/>
          <w:w w:val="95"/>
          <w:lang w:val="es-CR"/>
        </w:rPr>
      </w:pPr>
    </w:p>
    <w:p w:rsidR="00DF15C3" w:rsidRPr="00647C1C" w:rsidRDefault="00DF15C3" w:rsidP="003F26FD">
      <w:pPr>
        <w:pStyle w:val="Prrafodelista"/>
        <w:widowControl w:val="0"/>
        <w:numPr>
          <w:ilvl w:val="0"/>
          <w:numId w:val="17"/>
        </w:numPr>
        <w:autoSpaceDE w:val="0"/>
        <w:autoSpaceDN w:val="0"/>
        <w:adjustRightInd w:val="0"/>
        <w:spacing w:after="0" w:line="216" w:lineRule="auto"/>
        <w:ind w:left="-180" w:right="-174" w:firstLine="0"/>
        <w:jc w:val="both"/>
        <w:rPr>
          <w:rFonts w:ascii="Verdana" w:hAnsi="Verdana"/>
          <w:w w:val="95"/>
          <w:sz w:val="20"/>
          <w:szCs w:val="20"/>
          <w:lang w:val="es-CR"/>
        </w:rPr>
      </w:pPr>
      <w:r w:rsidRPr="00647C1C">
        <w:rPr>
          <w:rFonts w:ascii="Verdana" w:hAnsi="Verdana"/>
          <w:w w:val="95"/>
          <w:sz w:val="20"/>
          <w:szCs w:val="20"/>
          <w:lang w:val="es-CR"/>
        </w:rPr>
        <w:t xml:space="preserve">En su informe de fondo, la </w:t>
      </w:r>
      <w:r w:rsidRPr="00647C1C">
        <w:rPr>
          <w:rFonts w:ascii="Verdana" w:hAnsi="Verdana"/>
          <w:b/>
          <w:i/>
          <w:w w:val="95"/>
          <w:sz w:val="20"/>
          <w:szCs w:val="20"/>
          <w:lang w:val="es-CR"/>
        </w:rPr>
        <w:t>Comisión</w:t>
      </w:r>
      <w:r w:rsidRPr="00647C1C">
        <w:rPr>
          <w:rFonts w:ascii="Verdana" w:hAnsi="Verdana"/>
          <w:w w:val="95"/>
          <w:sz w:val="20"/>
          <w:szCs w:val="20"/>
          <w:lang w:val="es-CR"/>
        </w:rPr>
        <w:t xml:space="preserve"> indicó que la Convención de Belém do Pará “afirma que la obligación de actuar con la debida diligencia, adquiere una connotación especial en casos de violencia contra las mujeres”, y su artículo 7 establece un conjunto de obligaciones complementarias e inmediatas del Estado para lograr la efectiva prevención, investigación, sanción y reparación en casos de violencia contra las mujeres. A la vez </w:t>
      </w:r>
      <w:r w:rsidR="00863E37">
        <w:rPr>
          <w:rFonts w:ascii="Verdana" w:hAnsi="Verdana"/>
          <w:w w:val="95"/>
          <w:sz w:val="20"/>
          <w:szCs w:val="20"/>
          <w:lang w:val="es-CR"/>
        </w:rPr>
        <w:t>se refirió a lo señalado en la s</w:t>
      </w:r>
      <w:r w:rsidRPr="00647C1C">
        <w:rPr>
          <w:rFonts w:ascii="Verdana" w:hAnsi="Verdana"/>
          <w:w w:val="95"/>
          <w:sz w:val="20"/>
          <w:szCs w:val="20"/>
          <w:lang w:val="es-CR"/>
        </w:rPr>
        <w:t xml:space="preserve">entencia sobre el caso </w:t>
      </w:r>
      <w:r w:rsidRPr="00647C1C">
        <w:rPr>
          <w:rFonts w:ascii="Verdana" w:hAnsi="Verdana"/>
          <w:i/>
          <w:w w:val="95"/>
          <w:sz w:val="20"/>
          <w:szCs w:val="20"/>
          <w:lang w:val="es-CR"/>
        </w:rPr>
        <w:t xml:space="preserve">González y otras (“Campo Algodonero”) </w:t>
      </w:r>
      <w:r w:rsidRPr="00647C1C">
        <w:rPr>
          <w:rFonts w:ascii="Verdana" w:hAnsi="Verdana"/>
          <w:w w:val="95"/>
          <w:sz w:val="20"/>
          <w:szCs w:val="20"/>
          <w:lang w:val="es-CR"/>
        </w:rPr>
        <w:t>respecto a que “la falta de debida diligencia que conlleva la impunidad, reproduce la violencia que se pretende atacar, sin perjuicio de que constituye en sí misma una discriminación en el acceso a la justicia”. En el presente caso manifestó que</w:t>
      </w:r>
      <w:r w:rsidR="00B37887">
        <w:rPr>
          <w:rFonts w:ascii="Verdana" w:hAnsi="Verdana"/>
          <w:w w:val="95"/>
          <w:sz w:val="20"/>
          <w:szCs w:val="20"/>
          <w:lang w:val="es-CR"/>
        </w:rPr>
        <w:t>,</w:t>
      </w:r>
      <w:r w:rsidRPr="00647C1C">
        <w:rPr>
          <w:rFonts w:ascii="Verdana" w:hAnsi="Verdana"/>
          <w:w w:val="95"/>
          <w:sz w:val="20"/>
          <w:szCs w:val="20"/>
          <w:lang w:val="es-CR"/>
        </w:rPr>
        <w:t xml:space="preserve"> “si bien el Estado ha realizado y continúa realizando diligencias, el Estado no ha cumplido con su obligación de actuar con la debida diligencia para identificar a los responsables de la desaparición y muerte de María Isabel, quedando este acto de violencia en la impunidad y creando como consecuencia un ambiente propicio para la repetición crónica de actos de violaciones contra las mujeres”. </w:t>
      </w:r>
    </w:p>
    <w:p w:rsidR="00DF15C3" w:rsidRPr="002B1610" w:rsidRDefault="00DF15C3" w:rsidP="003F26FD">
      <w:pPr>
        <w:widowControl w:val="0"/>
        <w:autoSpaceDE w:val="0"/>
        <w:autoSpaceDN w:val="0"/>
        <w:adjustRightInd w:val="0"/>
        <w:spacing w:after="0" w:line="216" w:lineRule="auto"/>
        <w:ind w:left="-142" w:right="-174"/>
        <w:jc w:val="both"/>
        <w:rPr>
          <w:rFonts w:ascii="Verdana" w:hAnsi="Verdana"/>
          <w:w w:val="95"/>
          <w:sz w:val="20"/>
          <w:szCs w:val="20"/>
          <w:lang w:val="es-CR"/>
        </w:rPr>
      </w:pPr>
    </w:p>
    <w:p w:rsidR="00DF15C3" w:rsidRPr="002B1610" w:rsidRDefault="00DF15C3" w:rsidP="003F26FD">
      <w:pPr>
        <w:widowControl w:val="0"/>
        <w:numPr>
          <w:ilvl w:val="0"/>
          <w:numId w:val="17"/>
        </w:numPr>
        <w:autoSpaceDE w:val="0"/>
        <w:autoSpaceDN w:val="0"/>
        <w:adjustRightInd w:val="0"/>
        <w:spacing w:after="0" w:line="216" w:lineRule="auto"/>
        <w:ind w:left="-142" w:right="-174" w:firstLine="0"/>
        <w:jc w:val="both"/>
        <w:rPr>
          <w:rFonts w:ascii="Verdana" w:hAnsi="Verdana"/>
          <w:w w:val="95"/>
          <w:sz w:val="20"/>
          <w:szCs w:val="20"/>
          <w:lang w:val="es-CR"/>
        </w:rPr>
      </w:pPr>
      <w:r w:rsidRPr="00507192">
        <w:rPr>
          <w:rFonts w:ascii="Verdana" w:hAnsi="Verdana"/>
          <w:w w:val="95"/>
          <w:sz w:val="20"/>
          <w:szCs w:val="20"/>
          <w:lang w:val="es-CR"/>
        </w:rPr>
        <w:t>La Comisión alegó que desde el momento de la presentación</w:t>
      </w:r>
      <w:r w:rsidRPr="002B1610">
        <w:rPr>
          <w:rFonts w:ascii="Verdana" w:hAnsi="Verdana"/>
          <w:w w:val="95"/>
          <w:sz w:val="20"/>
          <w:szCs w:val="20"/>
          <w:lang w:val="es-CR"/>
        </w:rPr>
        <w:t xml:space="preserve"> de la </w:t>
      </w:r>
      <w:r w:rsidRPr="003622B1">
        <w:rPr>
          <w:rFonts w:ascii="Verdana" w:hAnsi="Verdana"/>
          <w:w w:val="95"/>
          <w:sz w:val="20"/>
          <w:szCs w:val="20"/>
          <w:lang w:val="es-CR"/>
        </w:rPr>
        <w:t>denuncia las</w:t>
      </w:r>
      <w:r w:rsidRPr="002B1610">
        <w:rPr>
          <w:rFonts w:ascii="Verdana" w:hAnsi="Verdana"/>
          <w:w w:val="95"/>
          <w:sz w:val="20"/>
          <w:szCs w:val="20"/>
          <w:lang w:val="es-CR"/>
        </w:rPr>
        <w:t xml:space="preserve"> autoridades estatales no actu</w:t>
      </w:r>
      <w:r w:rsidR="00863E37">
        <w:rPr>
          <w:rFonts w:ascii="Verdana" w:hAnsi="Verdana"/>
          <w:w w:val="95"/>
          <w:sz w:val="20"/>
          <w:szCs w:val="20"/>
          <w:lang w:val="es-CR"/>
        </w:rPr>
        <w:t>aron con la debida diligencia para</w:t>
      </w:r>
      <w:r w:rsidRPr="002B1610">
        <w:rPr>
          <w:rFonts w:ascii="Verdana" w:hAnsi="Verdana"/>
          <w:w w:val="95"/>
          <w:sz w:val="20"/>
          <w:szCs w:val="20"/>
          <w:lang w:val="es-CR"/>
        </w:rPr>
        <w:t xml:space="preserve"> investigar su desaparición y posterior muerte como un caso de violencia basada en género, en contravención </w:t>
      </w:r>
      <w:r w:rsidR="00B37887">
        <w:rPr>
          <w:rFonts w:ascii="Verdana" w:hAnsi="Verdana"/>
          <w:w w:val="95"/>
          <w:sz w:val="20"/>
          <w:szCs w:val="20"/>
          <w:lang w:val="es-CR"/>
        </w:rPr>
        <w:t xml:space="preserve"> de </w:t>
      </w:r>
      <w:r w:rsidRPr="002B1610">
        <w:rPr>
          <w:rFonts w:ascii="Verdana" w:hAnsi="Verdana"/>
          <w:w w:val="95"/>
          <w:sz w:val="20"/>
          <w:szCs w:val="20"/>
          <w:lang w:val="es-CR"/>
        </w:rPr>
        <w:t xml:space="preserve"> los deberes que impone la Convención de Belém do Pará para este tipo de casos. Consideró que esta falta de debida diligencia constituyó una forma de discriminación, así como una violación al derecho a la igualdad ante la ley. Indicó que no obstante los esfuerzos adoptados en años recientes por el Estado para enfrentar la situación de violencia contra las mujeres, “para la época en que ocurrieron los hechos, el Estado no había adoptado las políticas ni las medidas necesarias, conforme a las obligaciones contraídas al ratificar la Convención de Belém do Pará, para garantizar la efectiva investigación y sanción de hechos violentos contra las mujeres en Guatemala”. </w:t>
      </w:r>
    </w:p>
    <w:p w:rsidR="00DF15C3" w:rsidRPr="002B1610" w:rsidRDefault="00DF15C3" w:rsidP="003F26FD">
      <w:pPr>
        <w:widowControl w:val="0"/>
        <w:autoSpaceDE w:val="0"/>
        <w:autoSpaceDN w:val="0"/>
        <w:adjustRightInd w:val="0"/>
        <w:spacing w:after="0" w:line="216" w:lineRule="auto"/>
        <w:ind w:left="-142" w:right="-174"/>
        <w:jc w:val="both"/>
        <w:rPr>
          <w:rFonts w:ascii="Verdana" w:hAnsi="Verdana"/>
          <w:w w:val="95"/>
          <w:sz w:val="20"/>
          <w:szCs w:val="20"/>
          <w:lang w:val="es-CR"/>
        </w:rPr>
      </w:pPr>
    </w:p>
    <w:p w:rsidR="00DF15C3" w:rsidRPr="002B1610" w:rsidRDefault="00DF15C3" w:rsidP="003F26FD">
      <w:pPr>
        <w:widowControl w:val="0"/>
        <w:numPr>
          <w:ilvl w:val="0"/>
          <w:numId w:val="17"/>
        </w:numPr>
        <w:autoSpaceDE w:val="0"/>
        <w:autoSpaceDN w:val="0"/>
        <w:adjustRightInd w:val="0"/>
        <w:spacing w:after="0" w:line="216" w:lineRule="auto"/>
        <w:ind w:left="-142" w:right="-174" w:firstLine="0"/>
        <w:jc w:val="both"/>
        <w:rPr>
          <w:rFonts w:ascii="Verdana" w:hAnsi="Verdana"/>
          <w:w w:val="95"/>
          <w:sz w:val="20"/>
          <w:szCs w:val="20"/>
          <w:lang w:val="es-CR"/>
        </w:rPr>
      </w:pPr>
      <w:r w:rsidRPr="002B1610">
        <w:rPr>
          <w:rFonts w:ascii="Verdana" w:hAnsi="Verdana"/>
          <w:w w:val="95"/>
          <w:sz w:val="20"/>
          <w:szCs w:val="20"/>
          <w:lang w:val="es-CR"/>
        </w:rPr>
        <w:t xml:space="preserve"> Afirmó que en el presente caso se presentaron una serie de irregularidades durante la investigación de la desaparición y posterior muerte de María Isabel por la falta de diligencia</w:t>
      </w:r>
      <w:r w:rsidR="00B37887">
        <w:rPr>
          <w:rFonts w:ascii="Verdana" w:hAnsi="Verdana"/>
          <w:w w:val="95"/>
          <w:sz w:val="20"/>
          <w:szCs w:val="20"/>
          <w:lang w:val="es-CR"/>
        </w:rPr>
        <w:t>,</w:t>
      </w:r>
      <w:r w:rsidRPr="002B1610">
        <w:rPr>
          <w:rFonts w:ascii="Verdana" w:hAnsi="Verdana"/>
          <w:w w:val="95"/>
          <w:sz w:val="20"/>
          <w:szCs w:val="20"/>
          <w:lang w:val="es-CR"/>
        </w:rPr>
        <w:t xml:space="preserve"> y aludió a los hechos del caso</w:t>
      </w:r>
      <w:r w:rsidRPr="002B1610">
        <w:rPr>
          <w:rStyle w:val="Refdenotaalpie"/>
          <w:rFonts w:ascii="Verdana" w:hAnsi="Verdana"/>
          <w:w w:val="95"/>
          <w:sz w:val="20"/>
        </w:rPr>
        <w:footnoteReference w:id="251"/>
      </w:r>
      <w:r w:rsidRPr="002B1610">
        <w:rPr>
          <w:rFonts w:ascii="Verdana" w:hAnsi="Verdana"/>
          <w:w w:val="95"/>
          <w:sz w:val="20"/>
          <w:szCs w:val="20"/>
          <w:lang w:val="es-CR"/>
        </w:rPr>
        <w:t>.</w:t>
      </w:r>
      <w:r w:rsidRPr="002B1610">
        <w:rPr>
          <w:rFonts w:ascii="Verdana" w:hAnsi="Verdana"/>
          <w:b/>
          <w:w w:val="95"/>
          <w:sz w:val="20"/>
          <w:szCs w:val="20"/>
          <w:lang w:val="es-CR"/>
        </w:rPr>
        <w:t xml:space="preserve"> </w:t>
      </w:r>
      <w:r w:rsidRPr="002B1610">
        <w:rPr>
          <w:rFonts w:ascii="Verdana" w:hAnsi="Verdana"/>
          <w:w w:val="95"/>
          <w:sz w:val="20"/>
          <w:szCs w:val="20"/>
          <w:lang w:val="es-CR"/>
        </w:rPr>
        <w:t>Además señaló que las autoridades debieron preservar evidencias específicas en caso de sospecha de violencia sexual conforme al Manual de las Naciones Unidas para la Efectiva Prevención e Investigación de las Ejecuciones Extralegales, Arbitrarias y Sumarias,</w:t>
      </w:r>
      <w:r w:rsidRPr="002B1610">
        <w:rPr>
          <w:rFonts w:ascii="Verdana" w:hAnsi="Verdana"/>
          <w:b/>
          <w:w w:val="95"/>
          <w:sz w:val="20"/>
          <w:szCs w:val="20"/>
          <w:lang w:val="es-CR"/>
        </w:rPr>
        <w:t xml:space="preserve"> </w:t>
      </w:r>
      <w:r w:rsidRPr="002B1610">
        <w:rPr>
          <w:rFonts w:ascii="Verdana" w:hAnsi="Verdana"/>
          <w:w w:val="95"/>
          <w:sz w:val="20"/>
          <w:szCs w:val="20"/>
          <w:lang w:val="es-CR"/>
        </w:rPr>
        <w:t xml:space="preserve">por lo que el Estado no cumplió con los estándares mínimos establecidos en dicho manual y por la jurisprudencia de la Corte. Asimismo, aludió a que el Estado aceptó en el trámite ante la Comisión su responsabilidad “por la falta de debida diligencia en el proceso de investigación respecto de la muerte de María Isabel, </w:t>
      </w:r>
      <w:r>
        <w:rPr>
          <w:rFonts w:ascii="Verdana" w:hAnsi="Verdana"/>
          <w:w w:val="95"/>
          <w:sz w:val="20"/>
          <w:szCs w:val="20"/>
          <w:lang w:val="es-CR"/>
        </w:rPr>
        <w:t>esto</w:t>
      </w:r>
      <w:r w:rsidRPr="002B1610">
        <w:rPr>
          <w:rFonts w:ascii="Verdana" w:hAnsi="Verdana"/>
          <w:w w:val="95"/>
          <w:sz w:val="20"/>
          <w:szCs w:val="20"/>
          <w:lang w:val="es-CR"/>
        </w:rPr>
        <w:t xml:space="preserve"> por la omisión de practicar algunas pruebas forenses sobre el cadáver</w:t>
      </w:r>
      <w:r>
        <w:rPr>
          <w:rFonts w:ascii="Verdana" w:hAnsi="Verdana"/>
          <w:w w:val="95"/>
          <w:sz w:val="20"/>
          <w:szCs w:val="20"/>
          <w:lang w:val="es-CR"/>
        </w:rPr>
        <w:t>[</w:t>
      </w:r>
      <w:r w:rsidRPr="002B1610">
        <w:rPr>
          <w:rFonts w:ascii="Verdana" w:hAnsi="Verdana"/>
          <w:w w:val="95"/>
          <w:sz w:val="20"/>
          <w:szCs w:val="20"/>
          <w:lang w:val="es-CR"/>
        </w:rPr>
        <w:t>,</w:t>
      </w:r>
      <w:r>
        <w:rPr>
          <w:rFonts w:ascii="Verdana" w:hAnsi="Verdana"/>
          <w:w w:val="95"/>
          <w:sz w:val="20"/>
          <w:szCs w:val="20"/>
          <w:lang w:val="es-CR"/>
        </w:rPr>
        <w:t>...]</w:t>
      </w:r>
      <w:r w:rsidRPr="002B1610">
        <w:rPr>
          <w:rFonts w:ascii="Verdana" w:hAnsi="Verdana"/>
          <w:w w:val="95"/>
          <w:sz w:val="20"/>
          <w:szCs w:val="20"/>
          <w:lang w:val="es-CR"/>
        </w:rPr>
        <w:t xml:space="preserve"> por el atraso que hubo en la investigación causado por un conflicto de competencia territorial, y por no haber </w:t>
      </w:r>
      <w:r w:rsidRPr="002B1610">
        <w:rPr>
          <w:rFonts w:ascii="Verdana" w:hAnsi="Verdana"/>
          <w:w w:val="95"/>
          <w:sz w:val="20"/>
          <w:szCs w:val="20"/>
          <w:lang w:val="es-CR"/>
        </w:rPr>
        <w:lastRenderedPageBreak/>
        <w:t>establecido una medida cautelar efectiva para asegurar la presencia de [</w:t>
      </w:r>
      <w:r w:rsidR="000A2ACA">
        <w:rPr>
          <w:rFonts w:ascii="Verdana" w:hAnsi="Verdana"/>
          <w:w w:val="95"/>
          <w:sz w:val="20"/>
          <w:szCs w:val="20"/>
          <w:lang w:val="es-CR"/>
        </w:rPr>
        <w:t>l</w:t>
      </w:r>
      <w:r w:rsidRPr="002B1610">
        <w:rPr>
          <w:rFonts w:ascii="Verdana" w:hAnsi="Verdana"/>
          <w:w w:val="95"/>
          <w:sz w:val="20"/>
          <w:szCs w:val="20"/>
          <w:lang w:val="es-CR"/>
        </w:rPr>
        <w:t xml:space="preserve">…] sospechoso del asesinato”. En ese sentido, destacó que durante nueve meses, desde marzo a diciembre de 2002, la investigación estuvo paralizada debido al conflicto de competencia entre las autoridades. </w:t>
      </w:r>
    </w:p>
    <w:p w:rsidR="00DF15C3" w:rsidRPr="002B1610" w:rsidRDefault="00DF15C3" w:rsidP="003F26FD">
      <w:pPr>
        <w:widowControl w:val="0"/>
        <w:autoSpaceDE w:val="0"/>
        <w:autoSpaceDN w:val="0"/>
        <w:adjustRightInd w:val="0"/>
        <w:spacing w:after="0" w:line="216" w:lineRule="auto"/>
        <w:ind w:left="-142" w:right="-174"/>
        <w:jc w:val="both"/>
        <w:rPr>
          <w:rFonts w:ascii="Verdana" w:hAnsi="Verdana"/>
          <w:w w:val="95"/>
          <w:sz w:val="20"/>
          <w:szCs w:val="20"/>
          <w:lang w:val="es-CR"/>
        </w:rPr>
      </w:pPr>
    </w:p>
    <w:p w:rsidR="00DF15C3" w:rsidRPr="002B1610" w:rsidRDefault="00DF15C3" w:rsidP="003F26FD">
      <w:pPr>
        <w:widowControl w:val="0"/>
        <w:numPr>
          <w:ilvl w:val="0"/>
          <w:numId w:val="17"/>
        </w:numPr>
        <w:autoSpaceDE w:val="0"/>
        <w:autoSpaceDN w:val="0"/>
        <w:adjustRightInd w:val="0"/>
        <w:spacing w:after="0" w:line="216" w:lineRule="auto"/>
        <w:ind w:left="-142" w:right="-174" w:firstLine="0"/>
        <w:jc w:val="both"/>
        <w:rPr>
          <w:rFonts w:ascii="Verdana" w:hAnsi="Verdana"/>
          <w:w w:val="95"/>
          <w:sz w:val="20"/>
          <w:szCs w:val="20"/>
          <w:lang w:val="es-CR"/>
        </w:rPr>
      </w:pPr>
      <w:r w:rsidRPr="002B1610">
        <w:rPr>
          <w:rFonts w:ascii="Verdana" w:hAnsi="Verdana"/>
          <w:w w:val="95"/>
          <w:sz w:val="20"/>
          <w:szCs w:val="20"/>
          <w:lang w:val="es-CR"/>
        </w:rPr>
        <w:t xml:space="preserve">La Comisión también señaló que las actitudes de los funcionarios estatales reflejadas hacia Rosa Elvira Franco demuestran la existencia de estereotipos que habrían incidido en la falta de diligencia en la investigación. La Comisión concluyó que en el presente caso el Estado falló con su deber de actuar con la debida diligencia para efectuar una adecuada investigación y sanción de los hechos referentes a la muerte de María Isabel </w:t>
      </w:r>
      <w:r w:rsidR="00F364D2" w:rsidRPr="002B1610">
        <w:rPr>
          <w:rFonts w:ascii="Verdana" w:hAnsi="Verdana"/>
          <w:w w:val="95"/>
          <w:sz w:val="20"/>
          <w:szCs w:val="20"/>
          <w:lang w:val="es-CR"/>
        </w:rPr>
        <w:t>V</w:t>
      </w:r>
      <w:r w:rsidR="00F364D2">
        <w:rPr>
          <w:rFonts w:ascii="Verdana" w:hAnsi="Verdana"/>
          <w:w w:val="95"/>
          <w:sz w:val="20"/>
          <w:szCs w:val="20"/>
          <w:lang w:val="es-CR"/>
        </w:rPr>
        <w:t>e</w:t>
      </w:r>
      <w:r w:rsidR="00F364D2" w:rsidRPr="002B1610">
        <w:rPr>
          <w:rFonts w:ascii="Verdana" w:hAnsi="Verdana"/>
          <w:w w:val="95"/>
          <w:sz w:val="20"/>
          <w:szCs w:val="20"/>
          <w:lang w:val="es-CR"/>
        </w:rPr>
        <w:t xml:space="preserve">liz </w:t>
      </w:r>
      <w:r w:rsidRPr="002B1610">
        <w:rPr>
          <w:rFonts w:ascii="Verdana" w:hAnsi="Verdana"/>
          <w:w w:val="95"/>
          <w:sz w:val="20"/>
          <w:szCs w:val="20"/>
          <w:lang w:val="es-CR"/>
        </w:rPr>
        <w:t>Franco y evitar la impunidad, en violación de los artículos “7 de la Convención de Belém do Pará en relación con el artículo 24 de la Convención Americana, en concordancia con […] el artículo 1.1 de este instrumento internacional”, así como en transgresión a 8.1 y 25 de la Convención</w:t>
      </w:r>
      <w:r w:rsidR="000A2ACA">
        <w:rPr>
          <w:rFonts w:ascii="Verdana" w:hAnsi="Verdana"/>
          <w:w w:val="95"/>
          <w:sz w:val="20"/>
          <w:szCs w:val="20"/>
          <w:lang w:val="es-CR"/>
        </w:rPr>
        <w:t>,</w:t>
      </w:r>
      <w:r w:rsidRPr="002B1610">
        <w:rPr>
          <w:rFonts w:ascii="Verdana" w:hAnsi="Verdana"/>
          <w:w w:val="95"/>
          <w:sz w:val="20"/>
          <w:szCs w:val="20"/>
          <w:lang w:val="es-CR"/>
        </w:rPr>
        <w:t xml:space="preserve"> en relación con los artículos 1.1 y 24 de ese tratado en perjuicio de sus familiares.</w:t>
      </w:r>
      <w:r w:rsidRPr="002B1610">
        <w:rPr>
          <w:rFonts w:ascii="Verdana" w:hAnsi="Verdana"/>
          <w:b/>
          <w:w w:val="95"/>
          <w:sz w:val="20"/>
          <w:szCs w:val="20"/>
          <w:lang w:val="es-CR"/>
        </w:rPr>
        <w:t xml:space="preserve"> </w:t>
      </w:r>
    </w:p>
    <w:p w:rsidR="00DF15C3" w:rsidRPr="002B1610" w:rsidRDefault="00DF15C3" w:rsidP="003F26FD">
      <w:pPr>
        <w:widowControl w:val="0"/>
        <w:autoSpaceDE w:val="0"/>
        <w:autoSpaceDN w:val="0"/>
        <w:adjustRightInd w:val="0"/>
        <w:spacing w:after="0" w:line="216" w:lineRule="auto"/>
        <w:ind w:left="-142" w:right="-174"/>
        <w:jc w:val="both"/>
        <w:rPr>
          <w:rFonts w:ascii="Verdana" w:hAnsi="Verdana"/>
          <w:w w:val="95"/>
          <w:sz w:val="20"/>
          <w:szCs w:val="20"/>
          <w:lang w:val="es-CR"/>
        </w:rPr>
      </w:pPr>
    </w:p>
    <w:p w:rsidR="00DF15C3" w:rsidRPr="006A377C" w:rsidRDefault="00DF15C3" w:rsidP="003F26FD">
      <w:pPr>
        <w:widowControl w:val="0"/>
        <w:numPr>
          <w:ilvl w:val="0"/>
          <w:numId w:val="17"/>
        </w:numPr>
        <w:autoSpaceDE w:val="0"/>
        <w:autoSpaceDN w:val="0"/>
        <w:adjustRightInd w:val="0"/>
        <w:spacing w:after="0" w:line="216" w:lineRule="auto"/>
        <w:ind w:left="-142" w:right="-174" w:firstLine="0"/>
        <w:jc w:val="both"/>
        <w:rPr>
          <w:rFonts w:ascii="Verdana" w:hAnsi="Verdana"/>
          <w:w w:val="95"/>
          <w:sz w:val="20"/>
          <w:szCs w:val="20"/>
          <w:lang w:val="es-CR"/>
        </w:rPr>
      </w:pPr>
      <w:r w:rsidRPr="002B1610">
        <w:rPr>
          <w:rFonts w:ascii="Verdana" w:hAnsi="Verdana"/>
          <w:w w:val="95"/>
          <w:sz w:val="20"/>
          <w:szCs w:val="20"/>
          <w:lang w:val="es-CR"/>
        </w:rPr>
        <w:t xml:space="preserve">La </w:t>
      </w:r>
      <w:r w:rsidRPr="003622B1">
        <w:rPr>
          <w:rFonts w:ascii="Verdana" w:hAnsi="Verdana"/>
          <w:b/>
          <w:i/>
          <w:w w:val="95"/>
          <w:sz w:val="20"/>
          <w:szCs w:val="20"/>
          <w:lang w:val="es-CR"/>
        </w:rPr>
        <w:t>r</w:t>
      </w:r>
      <w:r w:rsidRPr="002B1610">
        <w:rPr>
          <w:rFonts w:ascii="Verdana" w:hAnsi="Verdana"/>
          <w:b/>
          <w:i/>
          <w:w w:val="95"/>
          <w:sz w:val="20"/>
          <w:szCs w:val="20"/>
          <w:lang w:val="es-CR"/>
        </w:rPr>
        <w:t>epresentante</w:t>
      </w:r>
      <w:r w:rsidRPr="002B1610">
        <w:rPr>
          <w:rFonts w:ascii="Verdana" w:hAnsi="Verdana"/>
          <w:w w:val="95"/>
          <w:sz w:val="20"/>
          <w:szCs w:val="20"/>
          <w:lang w:val="es-CR"/>
        </w:rPr>
        <w:t xml:space="preserve"> manifest</w:t>
      </w:r>
      <w:r>
        <w:rPr>
          <w:rFonts w:ascii="Verdana" w:hAnsi="Verdana"/>
          <w:w w:val="95"/>
          <w:sz w:val="20"/>
          <w:szCs w:val="20"/>
          <w:lang w:val="es-CR"/>
        </w:rPr>
        <w:t>ó</w:t>
      </w:r>
      <w:r w:rsidRPr="002B1610">
        <w:rPr>
          <w:rFonts w:ascii="Verdana" w:hAnsi="Verdana"/>
          <w:w w:val="95"/>
          <w:sz w:val="20"/>
          <w:szCs w:val="20"/>
          <w:lang w:val="es-CR"/>
        </w:rPr>
        <w:t xml:space="preserve"> que las principales fa</w:t>
      </w:r>
      <w:r>
        <w:rPr>
          <w:rFonts w:ascii="Verdana" w:hAnsi="Verdana"/>
          <w:w w:val="95"/>
          <w:sz w:val="20"/>
          <w:szCs w:val="20"/>
          <w:lang w:val="es-CR"/>
        </w:rPr>
        <w:t xml:space="preserve">lencias y omisiones en que han </w:t>
      </w:r>
      <w:r w:rsidRPr="00203840">
        <w:rPr>
          <w:rFonts w:ascii="Verdana" w:hAnsi="Verdana"/>
          <w:w w:val="95"/>
          <w:sz w:val="20"/>
          <w:szCs w:val="20"/>
          <w:lang w:val="es-CR"/>
        </w:rPr>
        <w:t>incurrido las autoridades en la investigación por lo sucedido a</w:t>
      </w:r>
      <w:r w:rsidRPr="002B1610">
        <w:rPr>
          <w:rFonts w:ascii="Verdana" w:hAnsi="Verdana"/>
          <w:w w:val="95"/>
          <w:sz w:val="20"/>
          <w:szCs w:val="20"/>
          <w:lang w:val="es-CR"/>
        </w:rPr>
        <w:t xml:space="preserve"> María Isabel </w:t>
      </w:r>
      <w:r w:rsidR="004E00D2" w:rsidRPr="002B1610">
        <w:rPr>
          <w:rFonts w:ascii="Verdana" w:hAnsi="Verdana"/>
          <w:w w:val="95"/>
          <w:sz w:val="20"/>
          <w:szCs w:val="20"/>
          <w:lang w:val="es-CR"/>
        </w:rPr>
        <w:t>V</w:t>
      </w:r>
      <w:r w:rsidR="004E00D2">
        <w:rPr>
          <w:rFonts w:ascii="Verdana" w:hAnsi="Verdana"/>
          <w:w w:val="95"/>
          <w:sz w:val="20"/>
          <w:szCs w:val="20"/>
          <w:lang w:val="es-CR"/>
        </w:rPr>
        <w:t>e</w:t>
      </w:r>
      <w:r w:rsidR="004E00D2" w:rsidRPr="002B1610">
        <w:rPr>
          <w:rFonts w:ascii="Verdana" w:hAnsi="Verdana"/>
          <w:w w:val="95"/>
          <w:sz w:val="20"/>
          <w:szCs w:val="20"/>
          <w:lang w:val="es-CR"/>
        </w:rPr>
        <w:t xml:space="preserve">liz </w:t>
      </w:r>
      <w:r w:rsidRPr="002B1610">
        <w:rPr>
          <w:rFonts w:ascii="Verdana" w:hAnsi="Verdana"/>
          <w:w w:val="95"/>
          <w:sz w:val="20"/>
          <w:szCs w:val="20"/>
          <w:lang w:val="es-CR"/>
        </w:rPr>
        <w:t>Franco son las relativas a la estigmatización de la víctima. En este sentido se remiti</w:t>
      </w:r>
      <w:r>
        <w:rPr>
          <w:rFonts w:ascii="Verdana" w:hAnsi="Verdana"/>
          <w:w w:val="95"/>
          <w:sz w:val="20"/>
          <w:szCs w:val="20"/>
          <w:lang w:val="es-CR"/>
        </w:rPr>
        <w:t>ó</w:t>
      </w:r>
      <w:r w:rsidRPr="002B1610">
        <w:rPr>
          <w:rFonts w:ascii="Verdana" w:hAnsi="Verdana"/>
          <w:w w:val="95"/>
          <w:sz w:val="20"/>
          <w:szCs w:val="20"/>
          <w:lang w:val="es-CR"/>
        </w:rPr>
        <w:t xml:space="preserve"> a la jurisprudencia de este Tribunal y consider</w:t>
      </w:r>
      <w:r>
        <w:rPr>
          <w:rFonts w:ascii="Verdana" w:hAnsi="Verdana"/>
          <w:w w:val="95"/>
          <w:sz w:val="20"/>
          <w:szCs w:val="20"/>
          <w:lang w:val="es-CR"/>
        </w:rPr>
        <w:t>ó</w:t>
      </w:r>
      <w:r w:rsidRPr="002B1610">
        <w:rPr>
          <w:rFonts w:ascii="Verdana" w:hAnsi="Verdana"/>
          <w:w w:val="95"/>
          <w:sz w:val="20"/>
          <w:szCs w:val="20"/>
          <w:lang w:val="es-CR"/>
        </w:rPr>
        <w:t xml:space="preserve"> que las directrices fijadas en casos de violencia contra mujeres como el presente “constituyen estándares irreductibles para garantizar el acceso a la justicia de mujeres y niñas”. Se refiri</w:t>
      </w:r>
      <w:r>
        <w:rPr>
          <w:rFonts w:ascii="Verdana" w:hAnsi="Verdana"/>
          <w:w w:val="95"/>
          <w:sz w:val="20"/>
          <w:szCs w:val="20"/>
          <w:lang w:val="es-CR"/>
        </w:rPr>
        <w:t>ó</w:t>
      </w:r>
      <w:r w:rsidRPr="002B1610">
        <w:rPr>
          <w:rFonts w:ascii="Verdana" w:hAnsi="Verdana"/>
          <w:w w:val="95"/>
          <w:sz w:val="20"/>
          <w:szCs w:val="20"/>
          <w:lang w:val="es-CR"/>
        </w:rPr>
        <w:t xml:space="preserve"> también al informe de la Comisión Interamericana sobre el Acceso a la Justicia para las Mujeres Víctimas de Violencia Sexual en Mesoamérica, a diversos expertos y organizaciones internacionales</w:t>
      </w:r>
      <w:r w:rsidRPr="002B1610">
        <w:rPr>
          <w:rStyle w:val="Refdenotaalpie"/>
          <w:rFonts w:ascii="Verdana" w:hAnsi="Verdana"/>
          <w:w w:val="95"/>
          <w:sz w:val="20"/>
        </w:rPr>
        <w:footnoteReference w:id="252"/>
      </w:r>
      <w:r w:rsidRPr="002B1610">
        <w:rPr>
          <w:rFonts w:ascii="Verdana" w:hAnsi="Verdana"/>
          <w:w w:val="95"/>
          <w:sz w:val="20"/>
          <w:szCs w:val="20"/>
          <w:lang w:val="es-CR"/>
        </w:rPr>
        <w:t xml:space="preserve"> que han documentado el problema sobre la violencia sexual, prejuicios y estereotipos discriminatorios que hace que la respuesta judicial tienda a ser sesgada. Consider</w:t>
      </w:r>
      <w:r>
        <w:rPr>
          <w:rFonts w:ascii="Verdana" w:hAnsi="Verdana"/>
          <w:w w:val="95"/>
          <w:sz w:val="20"/>
          <w:szCs w:val="20"/>
          <w:lang w:val="es-CR"/>
        </w:rPr>
        <w:t>ó</w:t>
      </w:r>
      <w:r w:rsidRPr="002B1610">
        <w:rPr>
          <w:rFonts w:ascii="Verdana" w:hAnsi="Verdana"/>
          <w:w w:val="95"/>
          <w:sz w:val="20"/>
          <w:szCs w:val="20"/>
          <w:lang w:val="es-CR"/>
        </w:rPr>
        <w:t xml:space="preserve"> que el proceso de investigación de lo ocurrido a María Isabel resulta paradigmático respecto de [esas] prácticas, así como de las consecuencias que tienen para la investigación y </w:t>
      </w:r>
      <w:r w:rsidRPr="00943069">
        <w:rPr>
          <w:rFonts w:ascii="Verdana" w:hAnsi="Verdana"/>
          <w:w w:val="95"/>
          <w:sz w:val="20"/>
          <w:szCs w:val="20"/>
          <w:lang w:val="es-CR"/>
        </w:rPr>
        <w:t xml:space="preserve">sanción de los responsables”. </w:t>
      </w:r>
      <w:r w:rsidRPr="00AA5F26">
        <w:rPr>
          <w:rFonts w:ascii="Verdana" w:hAnsi="Verdana"/>
          <w:w w:val="95"/>
          <w:sz w:val="20"/>
          <w:szCs w:val="20"/>
          <w:lang w:val="es-CR"/>
        </w:rPr>
        <w:t>Agreg</w:t>
      </w:r>
      <w:r>
        <w:rPr>
          <w:rFonts w:ascii="Verdana" w:hAnsi="Verdana"/>
          <w:w w:val="95"/>
          <w:sz w:val="20"/>
          <w:szCs w:val="20"/>
          <w:lang w:val="es-CR"/>
        </w:rPr>
        <w:t>ó</w:t>
      </w:r>
      <w:r w:rsidRPr="00AA5F26">
        <w:rPr>
          <w:rFonts w:ascii="Verdana" w:hAnsi="Verdana"/>
          <w:w w:val="95"/>
          <w:sz w:val="20"/>
          <w:szCs w:val="20"/>
          <w:lang w:val="es-CR"/>
        </w:rPr>
        <w:t xml:space="preserve"> que “el sesgo discriminatorio con que actuaron los investigadores de este caso tuvo como consecuencia que la averiguación de la muerte de María Isabel fuera considerada como no prioritaria, lo que se refleja en la forma negligente en que se llevaron a cabo las primeras diligencias y las múltiples acciones y omisiones en que incurrieron las autoridades y que han provocado que al día de hoy los hechos permanezcan en la más absoluta impunidad”. </w:t>
      </w:r>
    </w:p>
    <w:p w:rsidR="00DF15C3" w:rsidRPr="006A377C" w:rsidRDefault="00DF15C3" w:rsidP="003F26FD">
      <w:pPr>
        <w:widowControl w:val="0"/>
        <w:autoSpaceDE w:val="0"/>
        <w:autoSpaceDN w:val="0"/>
        <w:adjustRightInd w:val="0"/>
        <w:spacing w:after="0" w:line="216" w:lineRule="auto"/>
        <w:ind w:left="-142" w:right="-174"/>
        <w:jc w:val="both"/>
        <w:rPr>
          <w:rFonts w:ascii="Verdana" w:hAnsi="Verdana"/>
          <w:w w:val="95"/>
          <w:sz w:val="20"/>
          <w:szCs w:val="20"/>
          <w:lang w:val="es-CR"/>
        </w:rPr>
      </w:pPr>
    </w:p>
    <w:p w:rsidR="00DF15C3" w:rsidRPr="00943069" w:rsidRDefault="00DF15C3" w:rsidP="003F26FD">
      <w:pPr>
        <w:widowControl w:val="0"/>
        <w:numPr>
          <w:ilvl w:val="0"/>
          <w:numId w:val="17"/>
        </w:numPr>
        <w:autoSpaceDE w:val="0"/>
        <w:autoSpaceDN w:val="0"/>
        <w:adjustRightInd w:val="0"/>
        <w:spacing w:after="0" w:line="216" w:lineRule="auto"/>
        <w:ind w:left="-142" w:right="-174" w:firstLine="0"/>
        <w:jc w:val="both"/>
        <w:rPr>
          <w:rFonts w:ascii="Verdana" w:hAnsi="Verdana"/>
          <w:w w:val="95"/>
          <w:sz w:val="20"/>
          <w:szCs w:val="20"/>
          <w:lang w:val="es-CR"/>
        </w:rPr>
      </w:pPr>
      <w:r w:rsidRPr="00AA5F26">
        <w:rPr>
          <w:rFonts w:ascii="Verdana" w:hAnsi="Verdana"/>
          <w:w w:val="95"/>
          <w:sz w:val="20"/>
          <w:szCs w:val="20"/>
          <w:lang w:val="es-CR"/>
        </w:rPr>
        <w:t xml:space="preserve"> La representante </w:t>
      </w:r>
      <w:r>
        <w:rPr>
          <w:rFonts w:ascii="Verdana" w:hAnsi="Verdana"/>
          <w:w w:val="95"/>
          <w:sz w:val="20"/>
          <w:szCs w:val="20"/>
          <w:lang w:val="es-CR"/>
        </w:rPr>
        <w:t>sostuvo</w:t>
      </w:r>
      <w:r w:rsidRPr="00AA5F26">
        <w:rPr>
          <w:rFonts w:ascii="Verdana" w:hAnsi="Verdana"/>
          <w:w w:val="95"/>
          <w:sz w:val="20"/>
          <w:szCs w:val="20"/>
          <w:lang w:val="es-CR"/>
        </w:rPr>
        <w:t xml:space="preserve"> que otra falencia es que el Estado “no actuó con la debida diligencia en la investigación de los hechos”, más bien “incurrió en acciones y omisiones que llevaron a l</w:t>
      </w:r>
      <w:r w:rsidR="0022623B">
        <w:rPr>
          <w:rFonts w:ascii="Verdana" w:hAnsi="Verdana"/>
          <w:w w:val="95"/>
          <w:sz w:val="20"/>
          <w:szCs w:val="20"/>
          <w:lang w:val="es-CR"/>
        </w:rPr>
        <w:t>a pérdida de evidencias útiles</w:t>
      </w:r>
      <w:r>
        <w:rPr>
          <w:rFonts w:ascii="Verdana" w:hAnsi="Verdana"/>
          <w:w w:val="95"/>
          <w:sz w:val="20"/>
          <w:szCs w:val="20"/>
          <w:lang w:val="es-CR"/>
        </w:rPr>
        <w:t>-</w:t>
      </w:r>
      <w:r w:rsidR="000A2ACA">
        <w:rPr>
          <w:rFonts w:ascii="Verdana" w:hAnsi="Verdana"/>
          <w:w w:val="95"/>
          <w:sz w:val="20"/>
          <w:szCs w:val="20"/>
          <w:lang w:val="es-CR"/>
        </w:rPr>
        <w:t xml:space="preserve"> </w:t>
      </w:r>
      <w:r w:rsidRPr="00AA5F26">
        <w:rPr>
          <w:rFonts w:ascii="Verdana" w:hAnsi="Verdana"/>
          <w:w w:val="95"/>
          <w:sz w:val="20"/>
          <w:szCs w:val="20"/>
          <w:lang w:val="es-CR"/>
        </w:rPr>
        <w:t>y en algunos casos imprescindibles- para determinar la verdad de lo ocurrido y que no pueden ser recuperadas”. Manifest</w:t>
      </w:r>
      <w:r>
        <w:rPr>
          <w:rFonts w:ascii="Verdana" w:hAnsi="Verdana"/>
          <w:w w:val="95"/>
          <w:sz w:val="20"/>
          <w:szCs w:val="20"/>
          <w:lang w:val="es-CR"/>
        </w:rPr>
        <w:t>ó</w:t>
      </w:r>
      <w:r w:rsidRPr="00AA5F26">
        <w:rPr>
          <w:rFonts w:ascii="Verdana" w:hAnsi="Verdana"/>
          <w:w w:val="95"/>
          <w:sz w:val="20"/>
          <w:szCs w:val="20"/>
          <w:lang w:val="es-CR"/>
        </w:rPr>
        <w:t xml:space="preserve"> que el Estado incurrió en irregularidades en la preservación de la escena del hallazgo del cuerpo, que la investigación adoleció de una inadecuada recolección y manejo de las evidencias</w:t>
      </w:r>
      <w:r w:rsidRPr="00203840">
        <w:rPr>
          <w:rFonts w:ascii="Verdana" w:hAnsi="Verdana"/>
          <w:w w:val="95"/>
          <w:sz w:val="20"/>
          <w:szCs w:val="20"/>
          <w:lang w:val="es-CR"/>
        </w:rPr>
        <w:t xml:space="preserve">, </w:t>
      </w:r>
      <w:r w:rsidR="00F7281C">
        <w:rPr>
          <w:rFonts w:ascii="Verdana" w:hAnsi="Verdana"/>
          <w:w w:val="95"/>
          <w:sz w:val="20"/>
          <w:szCs w:val="20"/>
          <w:lang w:val="es-CR"/>
        </w:rPr>
        <w:t xml:space="preserve">de </w:t>
      </w:r>
      <w:r w:rsidRPr="00AA5F26">
        <w:rPr>
          <w:rFonts w:ascii="Verdana" w:hAnsi="Verdana"/>
          <w:w w:val="95"/>
          <w:sz w:val="20"/>
          <w:szCs w:val="20"/>
          <w:lang w:val="es-CR"/>
        </w:rPr>
        <w:t>omisiones e irregularidades en la realización de pericias indispensables y no ha abarcado todas las violaciones cometidas en perjuicio de María Isabel, ya que “s</w:t>
      </w:r>
      <w:r>
        <w:rPr>
          <w:rFonts w:ascii="Verdana" w:hAnsi="Verdana"/>
          <w:w w:val="95"/>
          <w:sz w:val="20"/>
          <w:szCs w:val="20"/>
          <w:lang w:val="es-CR"/>
        </w:rPr>
        <w:t>[ó]</w:t>
      </w:r>
      <w:r w:rsidRPr="00AA5F26">
        <w:rPr>
          <w:rFonts w:ascii="Verdana" w:hAnsi="Verdana"/>
          <w:w w:val="95"/>
          <w:sz w:val="20"/>
          <w:szCs w:val="20"/>
          <w:lang w:val="es-CR"/>
        </w:rPr>
        <w:t>lo abarca el asesinato de la [presunta] víctima, a pesar de que su cuerpo presentaba lesiones y signos que indicaban que podía ser víctima de abuso sexual. La absoluta falta de investigación de los hechos de violencia sexual y del ensañamiento contra el cuerpo de la niña […] resulta especialmente grave en virtud del contexto en que se insertan los hechos del presente caso”. Por último, aduj</w:t>
      </w:r>
      <w:r>
        <w:rPr>
          <w:rFonts w:ascii="Verdana" w:hAnsi="Verdana"/>
          <w:w w:val="95"/>
          <w:sz w:val="20"/>
          <w:szCs w:val="20"/>
          <w:lang w:val="es-CR"/>
        </w:rPr>
        <w:t>o</w:t>
      </w:r>
      <w:r w:rsidRPr="00AA5F26">
        <w:rPr>
          <w:rFonts w:ascii="Verdana" w:hAnsi="Verdana"/>
          <w:w w:val="95"/>
          <w:sz w:val="20"/>
          <w:szCs w:val="20"/>
          <w:lang w:val="es-CR"/>
        </w:rPr>
        <w:t xml:space="preserve"> que “[e]sta omisión no s</w:t>
      </w:r>
      <w:r>
        <w:rPr>
          <w:rFonts w:ascii="Verdana" w:hAnsi="Verdana"/>
          <w:w w:val="95"/>
          <w:sz w:val="20"/>
          <w:szCs w:val="20"/>
          <w:lang w:val="es-CR"/>
        </w:rPr>
        <w:t>[</w:t>
      </w:r>
      <w:r w:rsidRPr="00AA5F26">
        <w:rPr>
          <w:rFonts w:ascii="Verdana" w:hAnsi="Verdana"/>
          <w:w w:val="95"/>
          <w:sz w:val="20"/>
          <w:szCs w:val="20"/>
          <w:lang w:val="es-CR"/>
        </w:rPr>
        <w:t>ó</w:t>
      </w:r>
      <w:r>
        <w:rPr>
          <w:rFonts w:ascii="Verdana" w:hAnsi="Verdana"/>
          <w:w w:val="95"/>
          <w:sz w:val="20"/>
          <w:szCs w:val="20"/>
          <w:lang w:val="es-CR"/>
        </w:rPr>
        <w:t>]</w:t>
      </w:r>
      <w:r w:rsidRPr="00AA5F26">
        <w:rPr>
          <w:rFonts w:ascii="Verdana" w:hAnsi="Verdana"/>
          <w:w w:val="95"/>
          <w:sz w:val="20"/>
          <w:szCs w:val="20"/>
          <w:lang w:val="es-CR"/>
        </w:rPr>
        <w:t xml:space="preserve">lo impide que eventualmente se pueda sancionar a los responsables de acuerdo a la gravedad de sus acciones, sino que envía un claro mensaje de que las violaciones a la integridad de las mujeres son toleradas por el Estado y no conllevan consecuencias para los autores”. </w:t>
      </w:r>
    </w:p>
    <w:p w:rsidR="00DF15C3" w:rsidRPr="00943069" w:rsidRDefault="00DF15C3" w:rsidP="003F26FD">
      <w:pPr>
        <w:widowControl w:val="0"/>
        <w:autoSpaceDE w:val="0"/>
        <w:autoSpaceDN w:val="0"/>
        <w:adjustRightInd w:val="0"/>
        <w:spacing w:after="0" w:line="216" w:lineRule="auto"/>
        <w:ind w:left="-142" w:right="-174"/>
        <w:jc w:val="both"/>
        <w:rPr>
          <w:rFonts w:ascii="Verdana" w:hAnsi="Verdana"/>
          <w:w w:val="95"/>
          <w:sz w:val="20"/>
          <w:szCs w:val="20"/>
          <w:lang w:val="es-CR"/>
        </w:rPr>
      </w:pPr>
    </w:p>
    <w:p w:rsidR="00DF15C3" w:rsidRPr="00943069" w:rsidRDefault="00DF15C3" w:rsidP="003F26FD">
      <w:pPr>
        <w:widowControl w:val="0"/>
        <w:numPr>
          <w:ilvl w:val="0"/>
          <w:numId w:val="17"/>
        </w:numPr>
        <w:autoSpaceDE w:val="0"/>
        <w:autoSpaceDN w:val="0"/>
        <w:adjustRightInd w:val="0"/>
        <w:spacing w:after="0" w:line="216" w:lineRule="auto"/>
        <w:ind w:left="-142" w:right="-174" w:firstLine="0"/>
        <w:jc w:val="both"/>
        <w:rPr>
          <w:rFonts w:ascii="Verdana" w:hAnsi="Verdana"/>
          <w:w w:val="95"/>
          <w:sz w:val="20"/>
          <w:szCs w:val="20"/>
        </w:rPr>
      </w:pPr>
      <w:r w:rsidRPr="00AA5F26">
        <w:rPr>
          <w:rFonts w:ascii="Verdana" w:hAnsi="Verdana"/>
          <w:w w:val="95"/>
          <w:sz w:val="20"/>
          <w:szCs w:val="20"/>
          <w:lang w:val="es-CR"/>
        </w:rPr>
        <w:t xml:space="preserve"> Además, expres</w:t>
      </w:r>
      <w:r>
        <w:rPr>
          <w:rFonts w:ascii="Verdana" w:hAnsi="Verdana"/>
          <w:w w:val="95"/>
          <w:sz w:val="20"/>
          <w:szCs w:val="20"/>
          <w:lang w:val="es-CR"/>
        </w:rPr>
        <w:t>ó</w:t>
      </w:r>
      <w:r w:rsidRPr="00AA5F26">
        <w:rPr>
          <w:rFonts w:ascii="Verdana" w:hAnsi="Verdana"/>
          <w:w w:val="95"/>
          <w:sz w:val="20"/>
          <w:szCs w:val="20"/>
          <w:lang w:val="es-CR"/>
        </w:rPr>
        <w:t xml:space="preserve"> que las actuaciones no se desarrollaron en un plazo razonable</w:t>
      </w:r>
      <w:r w:rsidR="00D166F3">
        <w:rPr>
          <w:rFonts w:ascii="Verdana" w:hAnsi="Verdana"/>
          <w:w w:val="95"/>
          <w:sz w:val="20"/>
          <w:szCs w:val="20"/>
          <w:lang w:val="es-CR"/>
        </w:rPr>
        <w:t>,</w:t>
      </w:r>
      <w:r w:rsidR="00D166F3" w:rsidRPr="0022623B">
        <w:rPr>
          <w:rFonts w:ascii="Verdana" w:hAnsi="Verdana"/>
          <w:w w:val="95"/>
          <w:sz w:val="20"/>
          <w:szCs w:val="20"/>
          <w:lang w:val="es-CR"/>
        </w:rPr>
        <w:t xml:space="preserve"> ya</w:t>
      </w:r>
      <w:r w:rsidRPr="0022623B">
        <w:rPr>
          <w:rFonts w:ascii="Verdana" w:hAnsi="Verdana"/>
          <w:w w:val="95"/>
          <w:sz w:val="20"/>
          <w:szCs w:val="20"/>
          <w:lang w:val="es-CR"/>
        </w:rPr>
        <w:t xml:space="preserve"> que los hechos ocurrieron en diciembre de 2001</w:t>
      </w:r>
      <w:r w:rsidR="00D166F3" w:rsidRPr="0022623B">
        <w:rPr>
          <w:rFonts w:ascii="Verdana" w:hAnsi="Verdana"/>
          <w:w w:val="95"/>
          <w:sz w:val="20"/>
          <w:szCs w:val="20"/>
          <w:lang w:val="es-CR"/>
        </w:rPr>
        <w:t xml:space="preserve"> y</w:t>
      </w:r>
      <w:r w:rsidRPr="0022623B">
        <w:rPr>
          <w:rFonts w:ascii="Verdana" w:hAnsi="Verdana"/>
          <w:w w:val="95"/>
          <w:sz w:val="20"/>
          <w:szCs w:val="20"/>
          <w:lang w:val="es-CR"/>
        </w:rPr>
        <w:t xml:space="preserve"> h</w:t>
      </w:r>
      <w:r w:rsidRPr="006F0C58">
        <w:rPr>
          <w:rFonts w:ascii="Verdana" w:hAnsi="Verdana"/>
          <w:w w:val="95"/>
          <w:sz w:val="20"/>
          <w:szCs w:val="20"/>
          <w:lang w:val="es-CR"/>
        </w:rPr>
        <w:t xml:space="preserve">a transcurrido más de una década sin que ninguna persona haya sido procesada. Reconoció que “el presente caso reviste de cierta complejidad, [pero que] la demora es absolutamente imputable al Estado […] en virtud de las </w:t>
      </w:r>
      <w:r w:rsidRPr="006F0C58">
        <w:rPr>
          <w:rFonts w:ascii="Verdana" w:hAnsi="Verdana"/>
          <w:w w:val="95"/>
          <w:sz w:val="20"/>
          <w:szCs w:val="20"/>
          <w:lang w:val="es-CR"/>
        </w:rPr>
        <w:lastRenderedPageBreak/>
        <w:t xml:space="preserve">actuaciones y omisiones de sus agentes en los primeros momentos de la investigación que afectaron las posibilidades de contar con prueba esencial e irrepetible”, y posteriormente “incurrieron en actuaciones que generaron demoras adicionales, provocando que el proceso se encuentre aún en estado de investigación”. Aseveró además que </w:t>
      </w:r>
      <w:r w:rsidR="00863E37" w:rsidRPr="006F0C58">
        <w:rPr>
          <w:rFonts w:ascii="Verdana" w:hAnsi="Verdana"/>
          <w:w w:val="95"/>
          <w:sz w:val="20"/>
          <w:szCs w:val="20"/>
          <w:lang w:val="es-CR"/>
        </w:rPr>
        <w:t>la madre de María Isabel, “no só</w:t>
      </w:r>
      <w:r w:rsidRPr="006F0C58">
        <w:rPr>
          <w:rFonts w:ascii="Verdana" w:hAnsi="Verdana"/>
          <w:w w:val="95"/>
          <w:sz w:val="20"/>
          <w:szCs w:val="20"/>
          <w:lang w:val="es-CR"/>
        </w:rPr>
        <w:t xml:space="preserve">lo ha cooperado con la investigación sino que se evidencia a lo largo del expediente [que] ha sugerido y allegado prueba al proceso y ha realizado múltiples gestiones para impulsarla desde que sucedieron los hechos”. Indicó que, por el contrario, la conducta de las autoridades “ha estado caracterizada por períodos de inacción, la práctica tardía y reactiva de diligencias y por la reiteración mecánica de gestiones sin un plan de investigación o hipótesis claras”. </w:t>
      </w:r>
      <w:r w:rsidR="00DE7B6B" w:rsidRPr="0022623B">
        <w:rPr>
          <w:rFonts w:ascii="Verdana" w:hAnsi="Verdana"/>
          <w:w w:val="95"/>
          <w:sz w:val="20"/>
          <w:szCs w:val="20"/>
          <w:lang w:val="es-CR"/>
        </w:rPr>
        <w:t>Así, entre otras cosas, señalaron que se generó un conflicto de competencia tan sólo tres meses después de ocurridos los hechos, “el 11 de marzo de 2002, que fue resuelto hasta diciembre de 2002, siete meses después”</w:t>
      </w:r>
      <w:r w:rsidRPr="0022623B">
        <w:rPr>
          <w:rFonts w:ascii="Verdana" w:hAnsi="Verdana"/>
          <w:w w:val="95"/>
          <w:sz w:val="20"/>
          <w:szCs w:val="20"/>
          <w:lang w:val="es-CR"/>
        </w:rPr>
        <w:t>.</w:t>
      </w:r>
      <w:r w:rsidRPr="00AA5F26">
        <w:rPr>
          <w:rFonts w:ascii="Verdana" w:hAnsi="Verdana"/>
          <w:w w:val="95"/>
          <w:sz w:val="20"/>
          <w:szCs w:val="20"/>
          <w:lang w:val="es-CR"/>
        </w:rPr>
        <w:t xml:space="preserve"> Esto contribuyó a que las autoridades no practicaran diligencias esenciales sino hasta meses o inclusive años después. Esto implicó una demora en el proceso, y en otros casos provocó que las gestiones fueran infructuosas. La representante concluy</w:t>
      </w:r>
      <w:r w:rsidR="00B37887">
        <w:rPr>
          <w:rFonts w:ascii="Verdana" w:hAnsi="Verdana"/>
          <w:w w:val="95"/>
          <w:sz w:val="20"/>
          <w:szCs w:val="20"/>
          <w:lang w:val="es-CR"/>
        </w:rPr>
        <w:t>ó</w:t>
      </w:r>
      <w:r w:rsidRPr="00AA5F26">
        <w:rPr>
          <w:rFonts w:ascii="Verdana" w:hAnsi="Verdana"/>
          <w:w w:val="95"/>
          <w:sz w:val="20"/>
          <w:szCs w:val="20"/>
          <w:lang w:val="es-CR"/>
        </w:rPr>
        <w:t xml:space="preserve"> que el retraso de las investigaciones es atribuible únicamente a las actuaciones del Estado.</w:t>
      </w:r>
    </w:p>
    <w:p w:rsidR="00DF15C3" w:rsidRPr="00943069" w:rsidRDefault="00DF15C3" w:rsidP="003F26FD">
      <w:pPr>
        <w:widowControl w:val="0"/>
        <w:autoSpaceDE w:val="0"/>
        <w:autoSpaceDN w:val="0"/>
        <w:adjustRightInd w:val="0"/>
        <w:spacing w:after="0" w:line="216" w:lineRule="auto"/>
        <w:ind w:left="-142" w:right="-174"/>
        <w:jc w:val="both"/>
        <w:rPr>
          <w:rFonts w:ascii="Verdana" w:hAnsi="Verdana"/>
          <w:w w:val="95"/>
          <w:sz w:val="20"/>
          <w:szCs w:val="20"/>
        </w:rPr>
      </w:pPr>
    </w:p>
    <w:p w:rsidR="00DF15C3" w:rsidRPr="00943069" w:rsidRDefault="00DF15C3" w:rsidP="003F26FD">
      <w:pPr>
        <w:pStyle w:val="Prrafodelista"/>
        <w:numPr>
          <w:ilvl w:val="0"/>
          <w:numId w:val="17"/>
        </w:numPr>
        <w:spacing w:after="0" w:line="216" w:lineRule="auto"/>
        <w:ind w:left="-142" w:right="-174" w:firstLine="0"/>
        <w:contextualSpacing w:val="0"/>
        <w:jc w:val="both"/>
        <w:rPr>
          <w:rFonts w:ascii="Verdana" w:hAnsi="Verdana"/>
          <w:w w:val="95"/>
          <w:sz w:val="20"/>
          <w:szCs w:val="20"/>
          <w:lang w:val="es-CR"/>
        </w:rPr>
      </w:pPr>
      <w:r w:rsidRPr="00AA5F26">
        <w:rPr>
          <w:rFonts w:ascii="Verdana" w:hAnsi="Verdana"/>
          <w:w w:val="95"/>
          <w:sz w:val="20"/>
          <w:szCs w:val="20"/>
          <w:lang w:val="es-CR"/>
        </w:rPr>
        <w:t>La representante mencion</w:t>
      </w:r>
      <w:r>
        <w:rPr>
          <w:rFonts w:ascii="Verdana" w:hAnsi="Verdana"/>
          <w:w w:val="95"/>
          <w:sz w:val="20"/>
          <w:szCs w:val="20"/>
          <w:lang w:val="es-CR"/>
        </w:rPr>
        <w:t>ó</w:t>
      </w:r>
      <w:r w:rsidRPr="00AA5F26">
        <w:rPr>
          <w:rFonts w:ascii="Verdana" w:hAnsi="Verdana"/>
          <w:w w:val="95"/>
          <w:sz w:val="20"/>
          <w:szCs w:val="20"/>
          <w:lang w:val="es-CR"/>
        </w:rPr>
        <w:t>, asimismo, que el análisis del desplegado</w:t>
      </w:r>
      <w:r>
        <w:rPr>
          <w:rFonts w:ascii="Verdana" w:hAnsi="Verdana"/>
          <w:w w:val="95"/>
          <w:sz w:val="20"/>
          <w:szCs w:val="20"/>
          <w:lang w:val="es-CR"/>
        </w:rPr>
        <w:t xml:space="preserve"> de llamadas del celular de Marí</w:t>
      </w:r>
      <w:r w:rsidRPr="00AA5F26">
        <w:rPr>
          <w:rFonts w:ascii="Verdana" w:hAnsi="Verdana"/>
          <w:w w:val="95"/>
          <w:sz w:val="20"/>
          <w:szCs w:val="20"/>
          <w:lang w:val="es-CR"/>
        </w:rPr>
        <w:t xml:space="preserve">a Isabel “fue realizado hasta junio del 2005 </w:t>
      </w:r>
      <w:r>
        <w:rPr>
          <w:rFonts w:ascii="Verdana" w:hAnsi="Verdana"/>
          <w:w w:val="95"/>
          <w:sz w:val="20"/>
          <w:szCs w:val="20"/>
          <w:lang w:val="es-CR"/>
        </w:rPr>
        <w:t xml:space="preserve">[… </w:t>
      </w:r>
      <w:r w:rsidRPr="00AA5F26">
        <w:rPr>
          <w:rFonts w:ascii="Verdana" w:hAnsi="Verdana"/>
          <w:w w:val="95"/>
          <w:sz w:val="20"/>
          <w:szCs w:val="20"/>
          <w:lang w:val="es-CR"/>
        </w:rPr>
        <w:t>y</w:t>
      </w:r>
      <w:r>
        <w:rPr>
          <w:rFonts w:ascii="Verdana" w:hAnsi="Verdana"/>
          <w:w w:val="95"/>
          <w:sz w:val="20"/>
          <w:szCs w:val="20"/>
          <w:lang w:val="es-CR"/>
        </w:rPr>
        <w:t>]</w:t>
      </w:r>
      <w:r w:rsidRPr="00AA5F26">
        <w:rPr>
          <w:rFonts w:ascii="Verdana" w:hAnsi="Verdana"/>
          <w:w w:val="95"/>
          <w:sz w:val="20"/>
          <w:szCs w:val="20"/>
          <w:lang w:val="es-CR"/>
        </w:rPr>
        <w:t xml:space="preserve"> la mayoría de las dec</w:t>
      </w:r>
      <w:r>
        <w:rPr>
          <w:rFonts w:ascii="Verdana" w:hAnsi="Verdana"/>
          <w:w w:val="95"/>
          <w:sz w:val="20"/>
          <w:szCs w:val="20"/>
          <w:lang w:val="es-CR"/>
        </w:rPr>
        <w:t>laraciones ante el Ministerio Pú</w:t>
      </w:r>
      <w:r w:rsidRPr="00AA5F26">
        <w:rPr>
          <w:rFonts w:ascii="Verdana" w:hAnsi="Verdana"/>
          <w:w w:val="95"/>
          <w:sz w:val="20"/>
          <w:szCs w:val="20"/>
          <w:lang w:val="es-CR"/>
        </w:rPr>
        <w:t>blico y demás pruebas</w:t>
      </w:r>
      <w:r>
        <w:rPr>
          <w:rFonts w:ascii="Verdana" w:hAnsi="Verdana"/>
          <w:w w:val="95"/>
          <w:sz w:val="20"/>
          <w:szCs w:val="20"/>
          <w:lang w:val="es-CR"/>
        </w:rPr>
        <w:t xml:space="preserve"> […]</w:t>
      </w:r>
      <w:r w:rsidRPr="00AA5F26">
        <w:rPr>
          <w:rFonts w:ascii="Verdana" w:hAnsi="Verdana"/>
          <w:w w:val="95"/>
          <w:sz w:val="20"/>
          <w:szCs w:val="20"/>
          <w:lang w:val="es-CR"/>
        </w:rPr>
        <w:t xml:space="preserve"> fueron evacuadas meses o año</w:t>
      </w:r>
      <w:r>
        <w:rPr>
          <w:rFonts w:ascii="Verdana" w:hAnsi="Verdana"/>
          <w:w w:val="95"/>
          <w:sz w:val="20"/>
          <w:szCs w:val="20"/>
          <w:lang w:val="es-CR"/>
        </w:rPr>
        <w:t>s después [del homicidio de Marí</w:t>
      </w:r>
      <w:r w:rsidRPr="00AA5F26">
        <w:rPr>
          <w:rFonts w:ascii="Verdana" w:hAnsi="Verdana"/>
          <w:w w:val="95"/>
          <w:sz w:val="20"/>
          <w:szCs w:val="20"/>
          <w:lang w:val="es-CR"/>
        </w:rPr>
        <w:t xml:space="preserve">a Isabel] reduciendo la posibilidad de esclarecer lo ocurrido”. </w:t>
      </w:r>
      <w:r>
        <w:rPr>
          <w:rFonts w:ascii="Verdana" w:hAnsi="Verdana"/>
          <w:w w:val="95"/>
          <w:sz w:val="20"/>
          <w:szCs w:val="20"/>
          <w:lang w:val="es-CR"/>
        </w:rPr>
        <w:t>A</w:t>
      </w:r>
      <w:r w:rsidRPr="00AA5F26">
        <w:rPr>
          <w:rFonts w:ascii="Verdana" w:hAnsi="Verdana"/>
          <w:w w:val="95"/>
          <w:sz w:val="20"/>
          <w:szCs w:val="20"/>
          <w:lang w:val="es-CR"/>
        </w:rPr>
        <w:t>leg</w:t>
      </w:r>
      <w:r>
        <w:rPr>
          <w:rFonts w:ascii="Verdana" w:hAnsi="Verdana"/>
          <w:w w:val="95"/>
          <w:sz w:val="20"/>
          <w:szCs w:val="20"/>
          <w:lang w:val="es-CR"/>
        </w:rPr>
        <w:t>ó</w:t>
      </w:r>
      <w:r w:rsidRPr="00AA5F26">
        <w:rPr>
          <w:rFonts w:ascii="Verdana" w:hAnsi="Verdana"/>
          <w:w w:val="95"/>
          <w:sz w:val="20"/>
          <w:szCs w:val="20"/>
          <w:lang w:val="es-CR"/>
        </w:rPr>
        <w:t xml:space="preserve"> también que “las diligencias [efectuadas] se realizaron con el único fin de demostrar actividad procesal, pues las autoridades no profundizaron en las entrevistas, ni se evidencia que hayan respondido a una línea de investigación predefinida”. </w:t>
      </w:r>
    </w:p>
    <w:p w:rsidR="00DF15C3" w:rsidRPr="00943069" w:rsidRDefault="00DF15C3" w:rsidP="003F26FD">
      <w:pPr>
        <w:pStyle w:val="Prrafodelista"/>
        <w:spacing w:after="0" w:line="216" w:lineRule="auto"/>
        <w:ind w:left="-142" w:right="-174"/>
        <w:rPr>
          <w:rFonts w:ascii="Verdana" w:hAnsi="Verdana"/>
          <w:w w:val="95"/>
          <w:sz w:val="20"/>
          <w:szCs w:val="20"/>
          <w:lang w:val="es-CR"/>
        </w:rPr>
      </w:pPr>
    </w:p>
    <w:p w:rsidR="00DF15C3" w:rsidRPr="00943069" w:rsidRDefault="00DF15C3" w:rsidP="003F26FD">
      <w:pPr>
        <w:pStyle w:val="Prrafodelista"/>
        <w:numPr>
          <w:ilvl w:val="0"/>
          <w:numId w:val="17"/>
        </w:numPr>
        <w:spacing w:after="0" w:line="216" w:lineRule="auto"/>
        <w:ind w:left="-142" w:right="-174" w:firstLine="0"/>
        <w:contextualSpacing w:val="0"/>
        <w:jc w:val="both"/>
        <w:rPr>
          <w:rFonts w:ascii="Verdana" w:hAnsi="Verdana"/>
          <w:w w:val="95"/>
          <w:sz w:val="20"/>
          <w:szCs w:val="20"/>
        </w:rPr>
      </w:pPr>
      <w:r w:rsidRPr="00AA5F26">
        <w:rPr>
          <w:rFonts w:ascii="Verdana" w:hAnsi="Verdana"/>
          <w:w w:val="95"/>
          <w:sz w:val="20"/>
          <w:szCs w:val="20"/>
          <w:lang w:val="es-CR"/>
        </w:rPr>
        <w:t>La representante indic</w:t>
      </w:r>
      <w:r>
        <w:rPr>
          <w:rFonts w:ascii="Verdana" w:hAnsi="Verdana"/>
          <w:w w:val="95"/>
          <w:sz w:val="20"/>
          <w:szCs w:val="20"/>
          <w:lang w:val="es-CR"/>
        </w:rPr>
        <w:t>ó</w:t>
      </w:r>
      <w:r w:rsidRPr="00AA5F26">
        <w:rPr>
          <w:rFonts w:ascii="Verdana" w:hAnsi="Verdana"/>
          <w:w w:val="95"/>
          <w:sz w:val="20"/>
          <w:szCs w:val="20"/>
          <w:lang w:val="es-CR"/>
        </w:rPr>
        <w:t xml:space="preserve"> que según los estándares de la Corte</w:t>
      </w:r>
      <w:r w:rsidR="00863E37">
        <w:rPr>
          <w:rFonts w:ascii="Verdana" w:hAnsi="Verdana"/>
          <w:w w:val="95"/>
          <w:sz w:val="20"/>
          <w:szCs w:val="20"/>
          <w:lang w:val="es-CR"/>
        </w:rPr>
        <w:t>,</w:t>
      </w:r>
      <w:r w:rsidRPr="00AA5F26">
        <w:rPr>
          <w:rFonts w:ascii="Verdana" w:hAnsi="Verdana"/>
          <w:w w:val="95"/>
          <w:sz w:val="20"/>
          <w:szCs w:val="20"/>
          <w:lang w:val="es-CR"/>
        </w:rPr>
        <w:t xml:space="preserve"> la investigación emprendida por el Estado debía “incluir una perspectiva de género</w:t>
      </w:r>
      <w:r w:rsidRPr="00C35AA0">
        <w:rPr>
          <w:rStyle w:val="Refdenotaalpie"/>
          <w:rFonts w:ascii="Verdana" w:hAnsi="Verdana"/>
          <w:w w:val="95"/>
          <w:sz w:val="20"/>
          <w:szCs w:val="20"/>
        </w:rPr>
        <w:footnoteReference w:id="253"/>
      </w:r>
      <w:r w:rsidRPr="00AA5F26">
        <w:rPr>
          <w:rFonts w:ascii="Verdana" w:hAnsi="Verdana"/>
          <w:w w:val="95"/>
          <w:sz w:val="20"/>
          <w:szCs w:val="20"/>
          <w:lang w:val="es-CR"/>
        </w:rPr>
        <w:t xml:space="preserve">; emprender líneas de investigación específicas respecto a violencia sexual, para lo cual se deben involucrar las líneas de investigación sobre los patrones respectivos en la zona […] y realizarse por funcionarios altamente capacitados en casos similares y en atención a víctimas de discriminación y violencia por razón de género”. </w:t>
      </w:r>
    </w:p>
    <w:p w:rsidR="00DF15C3" w:rsidRPr="00943069" w:rsidRDefault="00DF15C3" w:rsidP="003F26FD">
      <w:pPr>
        <w:pStyle w:val="Prrafodelista"/>
        <w:spacing w:after="0" w:line="216" w:lineRule="auto"/>
        <w:ind w:left="-142" w:right="-174"/>
        <w:contextualSpacing w:val="0"/>
        <w:jc w:val="both"/>
        <w:rPr>
          <w:rFonts w:ascii="Verdana" w:hAnsi="Verdana"/>
          <w:w w:val="95"/>
          <w:sz w:val="20"/>
          <w:szCs w:val="20"/>
        </w:rPr>
      </w:pPr>
    </w:p>
    <w:p w:rsidR="00DF15C3" w:rsidRPr="00943069" w:rsidRDefault="00DF15C3" w:rsidP="003F26FD">
      <w:pPr>
        <w:pStyle w:val="Prrafodelista"/>
        <w:numPr>
          <w:ilvl w:val="0"/>
          <w:numId w:val="17"/>
        </w:numPr>
        <w:spacing w:after="0" w:line="216" w:lineRule="auto"/>
        <w:ind w:left="-142" w:right="-174" w:firstLine="0"/>
        <w:contextualSpacing w:val="0"/>
        <w:jc w:val="both"/>
        <w:rPr>
          <w:rFonts w:ascii="Verdana" w:hAnsi="Verdana"/>
          <w:w w:val="95"/>
          <w:sz w:val="20"/>
          <w:szCs w:val="20"/>
          <w:lang w:val="es-CR"/>
        </w:rPr>
      </w:pPr>
      <w:r w:rsidRPr="00AA5F26">
        <w:rPr>
          <w:rFonts w:ascii="Verdana" w:hAnsi="Verdana"/>
          <w:w w:val="95"/>
          <w:sz w:val="20"/>
          <w:szCs w:val="20"/>
          <w:lang w:val="es-CR"/>
        </w:rPr>
        <w:t>Por último, la representante se refiri</w:t>
      </w:r>
      <w:r>
        <w:rPr>
          <w:rFonts w:ascii="Verdana" w:hAnsi="Verdana"/>
          <w:w w:val="95"/>
          <w:sz w:val="20"/>
          <w:szCs w:val="20"/>
          <w:lang w:val="es-CR"/>
        </w:rPr>
        <w:t>ó</w:t>
      </w:r>
      <w:r w:rsidRPr="00AA5F26">
        <w:rPr>
          <w:rFonts w:ascii="Verdana" w:hAnsi="Verdana"/>
          <w:w w:val="95"/>
          <w:sz w:val="20"/>
          <w:szCs w:val="20"/>
          <w:lang w:val="es-CR"/>
        </w:rPr>
        <w:t xml:space="preserve"> a la falta de sanción de los funcionarios públicos responsables de las irregularidades en la tramitación del proceso interno del presente caso. Manifest</w:t>
      </w:r>
      <w:r>
        <w:rPr>
          <w:rFonts w:ascii="Verdana" w:hAnsi="Verdana"/>
          <w:w w:val="95"/>
          <w:sz w:val="20"/>
          <w:szCs w:val="20"/>
          <w:lang w:val="es-CR"/>
        </w:rPr>
        <w:t>ó</w:t>
      </w:r>
      <w:r w:rsidRPr="00AA5F26">
        <w:rPr>
          <w:rFonts w:ascii="Verdana" w:hAnsi="Verdana"/>
          <w:w w:val="95"/>
          <w:sz w:val="20"/>
          <w:szCs w:val="20"/>
          <w:lang w:val="es-CR"/>
        </w:rPr>
        <w:t xml:space="preserve"> que la falta de investigación de estas conductas “resulta</w:t>
      </w:r>
      <w:r>
        <w:rPr>
          <w:rFonts w:ascii="Verdana" w:hAnsi="Verdana"/>
          <w:w w:val="95"/>
          <w:sz w:val="20"/>
          <w:szCs w:val="20"/>
          <w:lang w:val="es-CR"/>
        </w:rPr>
        <w:t xml:space="preserve"> […]</w:t>
      </w:r>
      <w:r w:rsidRPr="00AA5F26">
        <w:rPr>
          <w:rFonts w:ascii="Verdana" w:hAnsi="Verdana"/>
          <w:w w:val="95"/>
          <w:sz w:val="20"/>
          <w:szCs w:val="20"/>
          <w:lang w:val="es-CR"/>
        </w:rPr>
        <w:t xml:space="preserve"> preocupante en virtud que el Estado ha reconocido en el proceso internacional algunas de estas falencias, sin que ello haya sido motivo de acción alguna para sancionar a los responsables y prevenir su reiteración en el marco del grave contexto de violencia contra la mujer que existe en Guatemala”. Agreg</w:t>
      </w:r>
      <w:r>
        <w:rPr>
          <w:rFonts w:ascii="Verdana" w:hAnsi="Verdana"/>
          <w:w w:val="95"/>
          <w:sz w:val="20"/>
          <w:szCs w:val="20"/>
          <w:lang w:val="es-CR"/>
        </w:rPr>
        <w:t>ó</w:t>
      </w:r>
      <w:r w:rsidRPr="00AA5F26">
        <w:rPr>
          <w:rFonts w:ascii="Verdana" w:hAnsi="Verdana"/>
          <w:w w:val="95"/>
          <w:sz w:val="20"/>
          <w:szCs w:val="20"/>
          <w:lang w:val="es-CR"/>
        </w:rPr>
        <w:t xml:space="preserve"> que ninguna investigación se inició pese a que “existe una Resolución del Procurador de </w:t>
      </w:r>
      <w:r w:rsidR="000A2ACA">
        <w:rPr>
          <w:rFonts w:ascii="Verdana" w:hAnsi="Verdana"/>
          <w:w w:val="95"/>
          <w:sz w:val="20"/>
          <w:szCs w:val="20"/>
          <w:lang w:val="es-CR"/>
        </w:rPr>
        <w:t xml:space="preserve">[los] </w:t>
      </w:r>
      <w:r w:rsidRPr="00AA5F26">
        <w:rPr>
          <w:rFonts w:ascii="Verdana" w:hAnsi="Verdana"/>
          <w:w w:val="95"/>
          <w:sz w:val="20"/>
          <w:szCs w:val="20"/>
          <w:lang w:val="es-CR"/>
        </w:rPr>
        <w:t xml:space="preserve">Derechos Humanos que determinó que se había configurado una violación al debido proceso y responsabilizó directamente a los agentes fiscales a cargo del caso”. </w:t>
      </w:r>
    </w:p>
    <w:p w:rsidR="00DF15C3" w:rsidRPr="00943069" w:rsidRDefault="00DF15C3" w:rsidP="003F26FD">
      <w:pPr>
        <w:pStyle w:val="Prrafodelista"/>
        <w:spacing w:after="0" w:line="216" w:lineRule="auto"/>
        <w:ind w:left="-142" w:right="-174"/>
        <w:contextualSpacing w:val="0"/>
        <w:jc w:val="both"/>
        <w:rPr>
          <w:rFonts w:ascii="Verdana" w:hAnsi="Verdana"/>
          <w:w w:val="95"/>
          <w:sz w:val="20"/>
          <w:szCs w:val="20"/>
          <w:lang w:val="es-CR"/>
        </w:rPr>
      </w:pPr>
    </w:p>
    <w:p w:rsidR="00DF15C3" w:rsidRPr="00943069" w:rsidRDefault="00DF15C3" w:rsidP="003F26FD">
      <w:pPr>
        <w:pStyle w:val="Prrafodelista"/>
        <w:numPr>
          <w:ilvl w:val="0"/>
          <w:numId w:val="17"/>
        </w:numPr>
        <w:spacing w:after="0" w:line="216" w:lineRule="auto"/>
        <w:ind w:left="-142" w:right="-174" w:firstLine="0"/>
        <w:contextualSpacing w:val="0"/>
        <w:jc w:val="both"/>
        <w:rPr>
          <w:rFonts w:ascii="Verdana" w:hAnsi="Verdana"/>
          <w:w w:val="95"/>
          <w:sz w:val="20"/>
          <w:szCs w:val="20"/>
          <w:lang w:val="es-CR"/>
        </w:rPr>
      </w:pPr>
      <w:r w:rsidRPr="00AA5F26">
        <w:rPr>
          <w:rFonts w:ascii="Verdana" w:hAnsi="Verdana"/>
          <w:w w:val="95"/>
          <w:sz w:val="20"/>
          <w:szCs w:val="20"/>
          <w:lang w:val="es-CR"/>
        </w:rPr>
        <w:t>Por todo lo anterior, la representante</w:t>
      </w:r>
      <w:r>
        <w:rPr>
          <w:rFonts w:ascii="Verdana" w:hAnsi="Verdana"/>
          <w:w w:val="95"/>
          <w:sz w:val="20"/>
          <w:szCs w:val="20"/>
          <w:lang w:val="es-CR"/>
        </w:rPr>
        <w:t xml:space="preserve"> </w:t>
      </w:r>
      <w:r w:rsidRPr="00AA5F26">
        <w:rPr>
          <w:rFonts w:ascii="Verdana" w:hAnsi="Verdana"/>
          <w:w w:val="95"/>
          <w:sz w:val="20"/>
          <w:szCs w:val="20"/>
          <w:lang w:val="es-CR"/>
        </w:rPr>
        <w:t>solicit</w:t>
      </w:r>
      <w:r>
        <w:rPr>
          <w:rFonts w:ascii="Verdana" w:hAnsi="Verdana"/>
          <w:w w:val="95"/>
          <w:sz w:val="20"/>
          <w:szCs w:val="20"/>
          <w:lang w:val="es-CR"/>
        </w:rPr>
        <w:t>ó</w:t>
      </w:r>
      <w:r w:rsidRPr="00AA5F26">
        <w:rPr>
          <w:rFonts w:ascii="Verdana" w:hAnsi="Verdana"/>
          <w:w w:val="95"/>
          <w:sz w:val="20"/>
          <w:szCs w:val="20"/>
          <w:lang w:val="es-CR"/>
        </w:rPr>
        <w:t xml:space="preserve"> que la Corte declare al Estado responsable por la violación, en perjuicio de los familiares de María Isabel V</w:t>
      </w:r>
      <w:r>
        <w:rPr>
          <w:rFonts w:ascii="Verdana" w:hAnsi="Verdana"/>
          <w:w w:val="95"/>
          <w:sz w:val="20"/>
          <w:szCs w:val="20"/>
          <w:lang w:val="es-CR"/>
        </w:rPr>
        <w:t>e</w:t>
      </w:r>
      <w:r w:rsidRPr="00AA5F26">
        <w:rPr>
          <w:rFonts w:ascii="Verdana" w:hAnsi="Verdana"/>
          <w:w w:val="95"/>
          <w:sz w:val="20"/>
          <w:szCs w:val="20"/>
          <w:lang w:val="es-CR"/>
        </w:rPr>
        <w:t>liz Franco, de los derechos contenidos en los artículos 8 y 25 de la Convención Americana y por el incumplimiento de las obligaciones contenidas en el artículo 1.1 del mismo instrumento, y el artículo 7 de la Convención de Belém d</w:t>
      </w:r>
      <w:r>
        <w:rPr>
          <w:rFonts w:ascii="Verdana" w:hAnsi="Verdana"/>
          <w:w w:val="95"/>
          <w:sz w:val="20"/>
          <w:szCs w:val="20"/>
          <w:lang w:val="es-CR"/>
        </w:rPr>
        <w:t>o</w:t>
      </w:r>
      <w:r w:rsidRPr="00AA5F26">
        <w:rPr>
          <w:rFonts w:ascii="Verdana" w:hAnsi="Verdana"/>
          <w:w w:val="95"/>
          <w:sz w:val="20"/>
          <w:szCs w:val="20"/>
          <w:lang w:val="es-CR"/>
        </w:rPr>
        <w:t xml:space="preserve"> Pará por no haber investigado las distintas irregularidades en que incurrieron las autoridades a cargo de las investigaciones. Asimismo, aduj</w:t>
      </w:r>
      <w:r w:rsidR="00863E37">
        <w:rPr>
          <w:rFonts w:ascii="Verdana" w:hAnsi="Verdana"/>
          <w:w w:val="95"/>
          <w:sz w:val="20"/>
          <w:szCs w:val="20"/>
          <w:lang w:val="es-CR"/>
        </w:rPr>
        <w:t>o</w:t>
      </w:r>
      <w:r w:rsidRPr="00AA5F26">
        <w:rPr>
          <w:rFonts w:ascii="Verdana" w:hAnsi="Verdana"/>
          <w:w w:val="95"/>
          <w:sz w:val="20"/>
          <w:szCs w:val="20"/>
          <w:lang w:val="es-CR"/>
        </w:rPr>
        <w:t xml:space="preserve"> que se vu</w:t>
      </w:r>
      <w:r>
        <w:rPr>
          <w:rFonts w:ascii="Verdana" w:hAnsi="Verdana"/>
          <w:w w:val="95"/>
          <w:sz w:val="20"/>
          <w:szCs w:val="20"/>
          <w:lang w:val="es-CR"/>
        </w:rPr>
        <w:t>ln</w:t>
      </w:r>
      <w:r w:rsidRPr="00AA5F26">
        <w:rPr>
          <w:rFonts w:ascii="Verdana" w:hAnsi="Verdana"/>
          <w:w w:val="95"/>
          <w:sz w:val="20"/>
          <w:szCs w:val="20"/>
          <w:lang w:val="es-CR"/>
        </w:rPr>
        <w:t>eraron,</w:t>
      </w:r>
      <w:r w:rsidR="00270B5B">
        <w:rPr>
          <w:rFonts w:ascii="Verdana" w:hAnsi="Verdana"/>
          <w:w w:val="95"/>
          <w:sz w:val="20"/>
          <w:szCs w:val="20"/>
          <w:lang w:val="es-CR"/>
        </w:rPr>
        <w:t xml:space="preserve"> en perjuicio de María Isabel Ve</w:t>
      </w:r>
      <w:r w:rsidRPr="00AA5F26">
        <w:rPr>
          <w:rFonts w:ascii="Verdana" w:hAnsi="Verdana"/>
          <w:w w:val="95"/>
          <w:sz w:val="20"/>
          <w:szCs w:val="20"/>
          <w:lang w:val="es-CR"/>
        </w:rPr>
        <w:t xml:space="preserve">liz Franco, los artículos </w:t>
      </w:r>
      <w:r>
        <w:rPr>
          <w:rFonts w:ascii="Verdana" w:hAnsi="Verdana"/>
          <w:w w:val="95"/>
          <w:sz w:val="20"/>
          <w:szCs w:val="20"/>
          <w:lang w:val="es-CR"/>
        </w:rPr>
        <w:t>4</w:t>
      </w:r>
      <w:r w:rsidRPr="00AA5F26">
        <w:rPr>
          <w:rFonts w:ascii="Verdana" w:hAnsi="Verdana"/>
          <w:w w:val="95"/>
          <w:sz w:val="20"/>
          <w:szCs w:val="20"/>
          <w:lang w:val="es-CR"/>
        </w:rPr>
        <w:t xml:space="preserve">, 5, y </w:t>
      </w:r>
      <w:r>
        <w:rPr>
          <w:rFonts w:ascii="Verdana" w:hAnsi="Verdana"/>
          <w:w w:val="95"/>
          <w:sz w:val="20"/>
          <w:szCs w:val="20"/>
          <w:lang w:val="es-CR"/>
        </w:rPr>
        <w:t>7</w:t>
      </w:r>
      <w:r w:rsidRPr="00AA5F26">
        <w:rPr>
          <w:rFonts w:ascii="Verdana" w:hAnsi="Verdana"/>
          <w:w w:val="95"/>
          <w:sz w:val="20"/>
          <w:szCs w:val="20"/>
          <w:lang w:val="es-CR"/>
        </w:rPr>
        <w:t xml:space="preserve"> de la Convención Americana, “en concordancia con el incumplimiento de las obligaciones contenidas en los artículos 1.1, 2 y 19 del mismo instrumento</w:t>
      </w:r>
      <w:r w:rsidR="00863E37">
        <w:rPr>
          <w:rFonts w:ascii="Verdana" w:hAnsi="Verdana"/>
          <w:w w:val="95"/>
          <w:sz w:val="20"/>
          <w:szCs w:val="20"/>
          <w:lang w:val="es-CR"/>
        </w:rPr>
        <w:t>,</w:t>
      </w:r>
      <w:r w:rsidRPr="00AA5F26">
        <w:rPr>
          <w:rFonts w:ascii="Verdana" w:hAnsi="Verdana"/>
          <w:w w:val="95"/>
          <w:sz w:val="20"/>
          <w:szCs w:val="20"/>
          <w:lang w:val="es-CR"/>
        </w:rPr>
        <w:t xml:space="preserve"> y 7 de la Convención de Belém do Pará”</w:t>
      </w:r>
      <w:r>
        <w:rPr>
          <w:rFonts w:ascii="Verdana" w:hAnsi="Verdana"/>
          <w:w w:val="95"/>
          <w:sz w:val="20"/>
          <w:szCs w:val="20"/>
          <w:lang w:val="es-CR"/>
        </w:rPr>
        <w:t>.</w:t>
      </w:r>
      <w:r w:rsidRPr="00AA5F26">
        <w:rPr>
          <w:rFonts w:ascii="Verdana" w:hAnsi="Verdana"/>
          <w:w w:val="95"/>
          <w:sz w:val="20"/>
          <w:szCs w:val="20"/>
          <w:lang w:val="es-CR"/>
        </w:rPr>
        <w:t xml:space="preserve"> </w:t>
      </w:r>
    </w:p>
    <w:p w:rsidR="00DF15C3" w:rsidRPr="00943069" w:rsidRDefault="00DF15C3" w:rsidP="003F26FD">
      <w:pPr>
        <w:widowControl w:val="0"/>
        <w:autoSpaceDE w:val="0"/>
        <w:autoSpaceDN w:val="0"/>
        <w:adjustRightInd w:val="0"/>
        <w:spacing w:after="0" w:line="216" w:lineRule="auto"/>
        <w:ind w:right="-174"/>
        <w:jc w:val="both"/>
        <w:rPr>
          <w:rFonts w:ascii="Verdana" w:hAnsi="Verdana"/>
          <w:strike/>
          <w:w w:val="95"/>
          <w:sz w:val="20"/>
          <w:szCs w:val="20"/>
          <w:lang w:val="es-CR"/>
        </w:rPr>
      </w:pPr>
    </w:p>
    <w:p w:rsidR="00DF15C3" w:rsidRPr="00720E9A" w:rsidRDefault="00DF15C3" w:rsidP="003F26FD">
      <w:pPr>
        <w:widowControl w:val="0"/>
        <w:numPr>
          <w:ilvl w:val="0"/>
          <w:numId w:val="17"/>
        </w:numPr>
        <w:autoSpaceDE w:val="0"/>
        <w:autoSpaceDN w:val="0"/>
        <w:adjustRightInd w:val="0"/>
        <w:spacing w:after="0" w:line="216" w:lineRule="auto"/>
        <w:ind w:left="-142" w:right="-174" w:firstLine="0"/>
        <w:jc w:val="both"/>
        <w:rPr>
          <w:rFonts w:ascii="Verdana" w:hAnsi="Verdana"/>
          <w:strike/>
          <w:w w:val="95"/>
          <w:sz w:val="20"/>
          <w:szCs w:val="20"/>
          <w:lang w:val="es-CL"/>
        </w:rPr>
      </w:pPr>
      <w:r w:rsidRPr="00AA5F26">
        <w:rPr>
          <w:rFonts w:ascii="Verdana" w:hAnsi="Verdana"/>
          <w:w w:val="95"/>
          <w:sz w:val="20"/>
          <w:szCs w:val="20"/>
          <w:lang w:val="es-CR"/>
        </w:rPr>
        <w:t xml:space="preserve">El </w:t>
      </w:r>
      <w:r w:rsidRPr="00AA5F26">
        <w:rPr>
          <w:rFonts w:ascii="Verdana" w:hAnsi="Verdana"/>
          <w:b/>
          <w:i/>
          <w:w w:val="95"/>
          <w:sz w:val="20"/>
          <w:szCs w:val="20"/>
          <w:lang w:val="es-CR"/>
        </w:rPr>
        <w:t>Estado</w:t>
      </w:r>
      <w:bookmarkStart w:id="90" w:name="_Toc369869441"/>
      <w:r w:rsidRPr="00AA5F26">
        <w:rPr>
          <w:rFonts w:ascii="Verdana" w:hAnsi="Verdana"/>
          <w:w w:val="95"/>
          <w:sz w:val="20"/>
          <w:szCs w:val="20"/>
          <w:lang w:val="es-CR"/>
        </w:rPr>
        <w:t xml:space="preserve"> señaló que no puede reclamársele la omisión o falta de diligencia en la investigación, pues “consta en los expedientes</w:t>
      </w:r>
      <w:r>
        <w:rPr>
          <w:rFonts w:ascii="Verdana" w:hAnsi="Verdana"/>
          <w:w w:val="95"/>
          <w:sz w:val="20"/>
          <w:szCs w:val="20"/>
          <w:lang w:val="es-CR"/>
        </w:rPr>
        <w:t xml:space="preserve"> […]</w:t>
      </w:r>
      <w:r w:rsidRPr="00AA5F26">
        <w:rPr>
          <w:rFonts w:ascii="Verdana" w:hAnsi="Verdana"/>
          <w:w w:val="95"/>
          <w:sz w:val="20"/>
          <w:szCs w:val="20"/>
          <w:lang w:val="es-CR"/>
        </w:rPr>
        <w:t xml:space="preserve"> y en los hechos investigados […] que se han desarrollado múltiples diligencias en cuanto al esclarecimiento de los hechos</w:t>
      </w:r>
      <w:r>
        <w:rPr>
          <w:rFonts w:ascii="Verdana" w:hAnsi="Verdana"/>
          <w:w w:val="95"/>
          <w:sz w:val="20"/>
          <w:szCs w:val="20"/>
          <w:lang w:val="es-CR"/>
        </w:rPr>
        <w:t>[</w:t>
      </w:r>
      <w:r w:rsidRPr="00AA5F26">
        <w:rPr>
          <w:rFonts w:ascii="Verdana" w:hAnsi="Verdana"/>
          <w:w w:val="95"/>
          <w:sz w:val="20"/>
          <w:szCs w:val="20"/>
          <w:lang w:val="es-CR"/>
        </w:rPr>
        <w:t>, n</w:t>
      </w:r>
      <w:r>
        <w:rPr>
          <w:rFonts w:ascii="Verdana" w:hAnsi="Verdana"/>
          <w:w w:val="95"/>
          <w:sz w:val="20"/>
          <w:szCs w:val="20"/>
          <w:lang w:val="es-CR"/>
        </w:rPr>
        <w:t>]</w:t>
      </w:r>
      <w:r w:rsidRPr="00AA5F26">
        <w:rPr>
          <w:rFonts w:ascii="Verdana" w:hAnsi="Verdana"/>
          <w:w w:val="95"/>
          <w:sz w:val="20"/>
          <w:szCs w:val="20"/>
          <w:lang w:val="es-CR"/>
        </w:rPr>
        <w:t xml:space="preserve">o </w:t>
      </w:r>
      <w:r w:rsidRPr="00AA5F26">
        <w:rPr>
          <w:rFonts w:ascii="Verdana" w:hAnsi="Verdana"/>
          <w:w w:val="95"/>
          <w:sz w:val="20"/>
          <w:szCs w:val="20"/>
          <w:lang w:val="es-CR"/>
        </w:rPr>
        <w:lastRenderedPageBreak/>
        <w:t xml:space="preserve">obstante </w:t>
      </w:r>
      <w:r>
        <w:rPr>
          <w:rFonts w:ascii="Verdana" w:hAnsi="Verdana"/>
          <w:w w:val="95"/>
          <w:sz w:val="20"/>
          <w:szCs w:val="20"/>
          <w:lang w:val="es-CR"/>
        </w:rPr>
        <w:t xml:space="preserve">[…] </w:t>
      </w:r>
      <w:r w:rsidRPr="00AA5F26">
        <w:rPr>
          <w:rFonts w:ascii="Verdana" w:hAnsi="Verdana"/>
          <w:w w:val="95"/>
          <w:sz w:val="20"/>
          <w:szCs w:val="20"/>
          <w:lang w:val="es-CR"/>
        </w:rPr>
        <w:t xml:space="preserve">no ha podido proceder al juzgamiento previsto en los artículos 8 y 25 de la </w:t>
      </w:r>
      <w:r>
        <w:rPr>
          <w:rFonts w:ascii="Verdana" w:hAnsi="Verdana"/>
          <w:w w:val="95"/>
          <w:sz w:val="20"/>
          <w:szCs w:val="20"/>
          <w:lang w:val="es-CR"/>
        </w:rPr>
        <w:t>[</w:t>
      </w:r>
      <w:r w:rsidRPr="00AA5F26">
        <w:rPr>
          <w:rFonts w:ascii="Verdana" w:hAnsi="Verdana"/>
          <w:w w:val="95"/>
          <w:sz w:val="20"/>
          <w:szCs w:val="20"/>
          <w:lang w:val="es-CR"/>
        </w:rPr>
        <w:t>Convención</w:t>
      </w:r>
      <w:r>
        <w:rPr>
          <w:rFonts w:ascii="Verdana" w:hAnsi="Verdana"/>
          <w:w w:val="95"/>
          <w:sz w:val="20"/>
          <w:szCs w:val="20"/>
          <w:lang w:val="es-CR"/>
        </w:rPr>
        <w:t>]</w:t>
      </w:r>
      <w:r w:rsidRPr="00AA5F26">
        <w:rPr>
          <w:rFonts w:ascii="Verdana" w:hAnsi="Verdana"/>
          <w:w w:val="95"/>
          <w:sz w:val="20"/>
          <w:szCs w:val="20"/>
          <w:lang w:val="es-CR"/>
        </w:rPr>
        <w:t>, ya que no ha sido posible atribuirle la sustracción y posterior muerte de María Isabel a ningún individuo”. Además indicó que “si el Estado formulara acusación en contra de alguien, o de cualquier sospechoso de los que ha señalado la madre de [María Isabel], esta acusación sería arbitraria e ilegítima”</w:t>
      </w:r>
      <w:r w:rsidR="00B37887">
        <w:rPr>
          <w:rFonts w:ascii="Verdana" w:hAnsi="Verdana"/>
          <w:w w:val="95"/>
          <w:sz w:val="20"/>
          <w:szCs w:val="20"/>
          <w:lang w:val="es-CR"/>
        </w:rPr>
        <w:t>,</w:t>
      </w:r>
      <w:r w:rsidRPr="00AA5F26">
        <w:rPr>
          <w:rFonts w:ascii="Verdana" w:hAnsi="Verdana"/>
          <w:w w:val="95"/>
          <w:sz w:val="20"/>
          <w:szCs w:val="20"/>
          <w:lang w:val="es-CR"/>
        </w:rPr>
        <w:t xml:space="preserve"> en vista de que “el Estado no puede procesar sin sustentar su acusación con una plataforma fáctica contundente”. Asimismo, reiteró que “toda vez que el Estado a través de su ente investigador</w:t>
      </w:r>
      <w:r w:rsidR="00207C91">
        <w:rPr>
          <w:rFonts w:ascii="Verdana" w:hAnsi="Verdana"/>
          <w:w w:val="95"/>
          <w:sz w:val="20"/>
          <w:szCs w:val="20"/>
          <w:lang w:val="es-CR"/>
        </w:rPr>
        <w:t xml:space="preserve"> </w:t>
      </w:r>
      <w:r>
        <w:rPr>
          <w:rFonts w:ascii="Verdana" w:hAnsi="Verdana"/>
          <w:w w:val="95"/>
          <w:sz w:val="20"/>
          <w:szCs w:val="20"/>
          <w:lang w:val="es-CR"/>
        </w:rPr>
        <w:t>[</w:t>
      </w:r>
      <w:r w:rsidRPr="00AA5F26">
        <w:rPr>
          <w:rFonts w:ascii="Verdana" w:hAnsi="Verdana"/>
          <w:w w:val="95"/>
          <w:sz w:val="20"/>
          <w:szCs w:val="20"/>
          <w:lang w:val="es-CR"/>
        </w:rPr>
        <w:t>,</w:t>
      </w:r>
      <w:r>
        <w:rPr>
          <w:rFonts w:ascii="Verdana" w:hAnsi="Verdana"/>
          <w:w w:val="95"/>
          <w:sz w:val="20"/>
          <w:szCs w:val="20"/>
          <w:lang w:val="es-CR"/>
        </w:rPr>
        <w:t>..]</w:t>
      </w:r>
      <w:r w:rsidRPr="00AA5F26">
        <w:rPr>
          <w:rFonts w:ascii="Verdana" w:hAnsi="Verdana"/>
          <w:w w:val="95"/>
          <w:sz w:val="20"/>
          <w:szCs w:val="20"/>
          <w:lang w:val="es-CR"/>
        </w:rPr>
        <w:t xml:space="preserve"> ha hecho todo lo posible por esclarecer el hecho y no se le ha negado [a los familiares de María Isabel] en ningún momento el acceso a la información ni a los recursos legales que le corresponden”.</w:t>
      </w:r>
      <w:r w:rsidRPr="00AA5F26">
        <w:rPr>
          <w:rFonts w:ascii="Verdana" w:hAnsi="Verdana"/>
          <w:b/>
          <w:w w:val="95"/>
          <w:sz w:val="20"/>
          <w:szCs w:val="20"/>
          <w:lang w:val="es-CR"/>
        </w:rPr>
        <w:t xml:space="preserve"> </w:t>
      </w:r>
    </w:p>
    <w:p w:rsidR="00DF15C3" w:rsidRPr="00720E9A" w:rsidRDefault="00DF15C3" w:rsidP="003F26FD">
      <w:pPr>
        <w:widowControl w:val="0"/>
        <w:autoSpaceDE w:val="0"/>
        <w:autoSpaceDN w:val="0"/>
        <w:adjustRightInd w:val="0"/>
        <w:spacing w:after="0" w:line="216" w:lineRule="auto"/>
        <w:ind w:left="-142" w:right="-174"/>
        <w:jc w:val="both"/>
        <w:rPr>
          <w:rFonts w:ascii="Verdana" w:hAnsi="Verdana"/>
          <w:strike/>
          <w:w w:val="95"/>
          <w:sz w:val="20"/>
          <w:szCs w:val="20"/>
          <w:lang w:val="es-CL"/>
        </w:rPr>
      </w:pPr>
    </w:p>
    <w:p w:rsidR="00DF15C3" w:rsidRPr="00720E9A" w:rsidRDefault="00DF15C3" w:rsidP="003F26FD">
      <w:pPr>
        <w:pStyle w:val="Prrafodelista"/>
        <w:numPr>
          <w:ilvl w:val="0"/>
          <w:numId w:val="17"/>
        </w:numPr>
        <w:spacing w:after="0" w:line="216" w:lineRule="auto"/>
        <w:ind w:left="-142" w:right="-174" w:firstLine="0"/>
        <w:contextualSpacing w:val="0"/>
        <w:jc w:val="both"/>
        <w:rPr>
          <w:rFonts w:ascii="Verdana" w:hAnsi="Verdana"/>
          <w:b/>
          <w:w w:val="95"/>
          <w:sz w:val="20"/>
          <w:szCs w:val="20"/>
          <w:lang w:val="es-CL"/>
        </w:rPr>
      </w:pPr>
      <w:r w:rsidRPr="00AA5F26">
        <w:rPr>
          <w:rFonts w:ascii="Verdana" w:hAnsi="Verdana"/>
          <w:w w:val="95"/>
          <w:sz w:val="20"/>
          <w:szCs w:val="20"/>
          <w:lang w:val="es-CR"/>
        </w:rPr>
        <w:t xml:space="preserve"> Igualmente, en cuanto a las supuestas irregularidades en la preservación de la escena del hallazgo del cuerpo e inadecuada recolección y manejo de evidencias, el Estado explicó que reconoció su responsabilidad internacional en el trámite del caso ante la Comisión sobre la falta de debida diligencia por ciertas omisiones en la investigación, sin embargo manifestó que “al momento de los hechos, las pruebas que se realizaban a los cadáveres de tanto hombres como mujeres, se realizaban de conformidad con los procedimientos requeridos por los fiscales o jueces en dicha época y de acuerdo a [sus] posibilidades”. Agregó que “con el paso del tiempo el Estado ha ido subsanando estos vacíos durante la última década, adoptando una serie de medidas que hoy por hoy hacen más uniforme y ordenada la diligencia del levantamiento del cadáver y el modo de </w:t>
      </w:r>
      <w:r>
        <w:rPr>
          <w:rFonts w:ascii="Verdana" w:hAnsi="Verdana"/>
          <w:w w:val="95"/>
          <w:sz w:val="20"/>
          <w:szCs w:val="20"/>
          <w:lang w:val="es-CR"/>
        </w:rPr>
        <w:t>[</w:t>
      </w:r>
      <w:r w:rsidRPr="00AA5F26">
        <w:rPr>
          <w:rFonts w:ascii="Verdana" w:hAnsi="Verdana"/>
          <w:w w:val="95"/>
          <w:sz w:val="20"/>
          <w:szCs w:val="20"/>
          <w:lang w:val="es-CR"/>
        </w:rPr>
        <w:t>la</w:t>
      </w:r>
      <w:r>
        <w:rPr>
          <w:rFonts w:ascii="Verdana" w:hAnsi="Verdana"/>
          <w:w w:val="95"/>
          <w:sz w:val="20"/>
          <w:szCs w:val="20"/>
          <w:lang w:val="es-CR"/>
        </w:rPr>
        <w:t>]</w:t>
      </w:r>
      <w:r w:rsidRPr="00AA5F26">
        <w:rPr>
          <w:rFonts w:ascii="Verdana" w:hAnsi="Verdana"/>
          <w:w w:val="95"/>
          <w:sz w:val="20"/>
          <w:szCs w:val="20"/>
          <w:lang w:val="es-CR"/>
        </w:rPr>
        <w:t xml:space="preserve"> recolección de evidencias” y por tanto no se le puede atribuir la responsabilidad internacional por “omisión de pruebas que s</w:t>
      </w:r>
      <w:r>
        <w:rPr>
          <w:rFonts w:ascii="Verdana" w:hAnsi="Verdana"/>
          <w:w w:val="95"/>
          <w:sz w:val="20"/>
          <w:szCs w:val="20"/>
          <w:lang w:val="es-CR"/>
        </w:rPr>
        <w:t>[ó]</w:t>
      </w:r>
      <w:r w:rsidRPr="00AA5F26">
        <w:rPr>
          <w:rFonts w:ascii="Verdana" w:hAnsi="Verdana"/>
          <w:w w:val="95"/>
          <w:sz w:val="20"/>
          <w:szCs w:val="20"/>
          <w:lang w:val="es-CR"/>
        </w:rPr>
        <w:t xml:space="preserve">lo se pueden realizar a partir de la creación del Instituto Nacional de Ciencias </w:t>
      </w:r>
      <w:r>
        <w:rPr>
          <w:rFonts w:ascii="Verdana" w:hAnsi="Verdana"/>
          <w:w w:val="95"/>
          <w:sz w:val="20"/>
          <w:szCs w:val="20"/>
          <w:lang w:val="es-CR"/>
        </w:rPr>
        <w:t>F</w:t>
      </w:r>
      <w:r w:rsidRPr="00AA5F26">
        <w:rPr>
          <w:rFonts w:ascii="Verdana" w:hAnsi="Verdana"/>
          <w:w w:val="95"/>
          <w:sz w:val="20"/>
          <w:szCs w:val="20"/>
          <w:lang w:val="es-CR"/>
        </w:rPr>
        <w:t xml:space="preserve">orenses” en el año 2007. Explicó el Estado que </w:t>
      </w:r>
      <w:r w:rsidRPr="00AA5F26">
        <w:rPr>
          <w:rFonts w:ascii="Verdana" w:hAnsi="Verdana" w:cs="Calibri"/>
          <w:w w:val="95"/>
          <w:sz w:val="20"/>
          <w:szCs w:val="20"/>
          <w:lang w:val="es-CR"/>
        </w:rPr>
        <w:t>“al momento de ocurrir los hechos [del caso, en diciembre de 2001,] no había legislación ni procedimientos específicos para casos de violencia contra la mujer, pero</w:t>
      </w:r>
      <w:r w:rsidR="00270B5B">
        <w:rPr>
          <w:rFonts w:ascii="Verdana" w:hAnsi="Verdana" w:cs="Calibri"/>
          <w:w w:val="95"/>
          <w:sz w:val="20"/>
          <w:szCs w:val="20"/>
          <w:lang w:val="es-CR"/>
        </w:rPr>
        <w:t xml:space="preserve"> </w:t>
      </w:r>
      <w:r w:rsidRPr="00AA5F26">
        <w:rPr>
          <w:rFonts w:ascii="Verdana" w:hAnsi="Verdana" w:cs="Calibri"/>
          <w:w w:val="95"/>
          <w:sz w:val="20"/>
          <w:szCs w:val="20"/>
          <w:lang w:val="es-CR"/>
        </w:rPr>
        <w:t xml:space="preserve">[para diciembre de 2012] si los hay”. </w:t>
      </w:r>
    </w:p>
    <w:p w:rsidR="00DF15C3" w:rsidRPr="00720E9A" w:rsidRDefault="00DF15C3" w:rsidP="003F26FD">
      <w:pPr>
        <w:pStyle w:val="Prrafodelista"/>
        <w:spacing w:after="0" w:line="216" w:lineRule="auto"/>
        <w:ind w:left="-142" w:right="-174"/>
        <w:contextualSpacing w:val="0"/>
        <w:jc w:val="both"/>
        <w:rPr>
          <w:rFonts w:ascii="Verdana" w:hAnsi="Verdana"/>
          <w:b/>
          <w:w w:val="95"/>
          <w:sz w:val="20"/>
          <w:szCs w:val="20"/>
          <w:lang w:val="es-CL"/>
        </w:rPr>
      </w:pPr>
    </w:p>
    <w:p w:rsidR="00DF15C3" w:rsidRPr="00943069" w:rsidRDefault="00DF15C3" w:rsidP="003F26FD">
      <w:pPr>
        <w:pStyle w:val="Prrafodelista"/>
        <w:numPr>
          <w:ilvl w:val="0"/>
          <w:numId w:val="17"/>
        </w:numPr>
        <w:spacing w:after="0" w:line="216" w:lineRule="auto"/>
        <w:ind w:left="-142" w:right="-174" w:firstLine="0"/>
        <w:contextualSpacing w:val="0"/>
        <w:jc w:val="both"/>
        <w:rPr>
          <w:rFonts w:ascii="Verdana" w:hAnsi="Verdana"/>
          <w:b/>
          <w:w w:val="95"/>
          <w:sz w:val="20"/>
          <w:szCs w:val="20"/>
          <w:lang w:val="es-CR"/>
        </w:rPr>
      </w:pPr>
      <w:r w:rsidRPr="00AA5F26">
        <w:rPr>
          <w:rFonts w:ascii="Verdana" w:hAnsi="Verdana"/>
          <w:b/>
          <w:w w:val="95"/>
          <w:sz w:val="20"/>
          <w:szCs w:val="20"/>
          <w:lang w:val="es-CR"/>
        </w:rPr>
        <w:t xml:space="preserve"> </w:t>
      </w:r>
      <w:r w:rsidRPr="00AA5F26">
        <w:rPr>
          <w:rFonts w:ascii="Verdana" w:hAnsi="Verdana"/>
          <w:w w:val="95"/>
          <w:sz w:val="20"/>
          <w:szCs w:val="20"/>
          <w:lang w:val="es-CR"/>
        </w:rPr>
        <w:t>En sus alegatos finales escritos indicó que en la necropsia de María Isabel se estableció como la principal causa de la muerte “el trauma de cráneo” y se realizaron diversos exámenes: “un examen externo donde se estableci</w:t>
      </w:r>
      <w:r>
        <w:rPr>
          <w:rFonts w:ascii="Verdana" w:hAnsi="Verdana"/>
          <w:w w:val="95"/>
          <w:sz w:val="20"/>
          <w:szCs w:val="20"/>
          <w:lang w:val="es-CR"/>
        </w:rPr>
        <w:t>eron</w:t>
      </w:r>
      <w:r w:rsidRPr="00AA5F26">
        <w:rPr>
          <w:rFonts w:ascii="Verdana" w:hAnsi="Verdana"/>
          <w:w w:val="95"/>
          <w:sz w:val="20"/>
          <w:szCs w:val="20"/>
          <w:lang w:val="es-CR"/>
        </w:rPr>
        <w:t xml:space="preserve"> las lesiones que presentaba el cadáver; un examen de cráneo; de los órganos cérvico torácicos; del tórax; del abdomen; y de los genitales, donde se estableció que los mismos estaban normales, lo cual no evidencia[ba] una violación”. Aludió que en el año 2001 no estaba</w:t>
      </w:r>
      <w:r>
        <w:rPr>
          <w:rFonts w:ascii="Verdana" w:hAnsi="Verdana"/>
          <w:w w:val="95"/>
          <w:sz w:val="20"/>
          <w:szCs w:val="20"/>
          <w:lang w:val="es-CR"/>
        </w:rPr>
        <w:t>n</w:t>
      </w:r>
      <w:r w:rsidRPr="00AA5F26">
        <w:rPr>
          <w:rFonts w:ascii="Verdana" w:hAnsi="Verdana"/>
          <w:w w:val="95"/>
          <w:sz w:val="20"/>
          <w:szCs w:val="20"/>
          <w:lang w:val="es-CR"/>
        </w:rPr>
        <w:t xml:space="preserve"> contemplado</w:t>
      </w:r>
      <w:r>
        <w:rPr>
          <w:rFonts w:ascii="Verdana" w:hAnsi="Verdana"/>
          <w:w w:val="95"/>
          <w:sz w:val="20"/>
          <w:szCs w:val="20"/>
          <w:lang w:val="es-CR"/>
        </w:rPr>
        <w:t>s</w:t>
      </w:r>
      <w:r w:rsidRPr="00AA5F26">
        <w:rPr>
          <w:rFonts w:ascii="Verdana" w:hAnsi="Verdana"/>
          <w:w w:val="95"/>
          <w:sz w:val="20"/>
          <w:szCs w:val="20"/>
          <w:lang w:val="es-CR"/>
        </w:rPr>
        <w:t xml:space="preserve"> en la legislación vigente lineamientos ni protocolos para realizar necropsias, por lo que “cada necropsia era elaborada según los criterios y solicitudes de los fiscales” a cargo de la investigación, principalmente para la “identificación</w:t>
      </w:r>
      <w:r>
        <w:rPr>
          <w:rFonts w:ascii="Verdana" w:hAnsi="Verdana"/>
          <w:w w:val="95"/>
          <w:sz w:val="20"/>
          <w:szCs w:val="20"/>
          <w:lang w:val="es-CR"/>
        </w:rPr>
        <w:t xml:space="preserve"> […]</w:t>
      </w:r>
      <w:r w:rsidRPr="00AA5F26">
        <w:rPr>
          <w:rFonts w:ascii="Verdana" w:hAnsi="Verdana"/>
          <w:w w:val="95"/>
          <w:sz w:val="20"/>
          <w:szCs w:val="20"/>
          <w:lang w:val="es-CR"/>
        </w:rPr>
        <w:t xml:space="preserve"> de cadáveres y </w:t>
      </w:r>
      <w:r>
        <w:rPr>
          <w:rFonts w:ascii="Verdana" w:hAnsi="Verdana"/>
          <w:w w:val="95"/>
          <w:sz w:val="20"/>
          <w:szCs w:val="20"/>
          <w:lang w:val="es-CR"/>
        </w:rPr>
        <w:t>[</w:t>
      </w:r>
      <w:r w:rsidRPr="00AA5F26">
        <w:rPr>
          <w:rFonts w:ascii="Verdana" w:hAnsi="Verdana"/>
          <w:w w:val="95"/>
          <w:sz w:val="20"/>
          <w:szCs w:val="20"/>
          <w:lang w:val="es-CR"/>
        </w:rPr>
        <w:t>establecer la causa de</w:t>
      </w:r>
      <w:r>
        <w:rPr>
          <w:rFonts w:ascii="Verdana" w:hAnsi="Verdana"/>
          <w:w w:val="95"/>
          <w:sz w:val="20"/>
          <w:szCs w:val="20"/>
          <w:lang w:val="es-CR"/>
        </w:rPr>
        <w:t>]</w:t>
      </w:r>
      <w:r w:rsidRPr="00AA5F26">
        <w:rPr>
          <w:rFonts w:ascii="Verdana" w:hAnsi="Verdana"/>
          <w:w w:val="95"/>
          <w:sz w:val="20"/>
          <w:szCs w:val="20"/>
          <w:lang w:val="es-CR"/>
        </w:rPr>
        <w:t xml:space="preserve"> muerte”, y en esa época “sólo se hacía un reconocimiento externo del cuerpo”, el cual se “enfocaba únicamente e</w:t>
      </w:r>
      <w:r w:rsidR="00DA5CDD">
        <w:rPr>
          <w:rFonts w:ascii="Verdana" w:hAnsi="Verdana"/>
          <w:w w:val="95"/>
          <w:sz w:val="20"/>
          <w:szCs w:val="20"/>
          <w:lang w:val="es-CR"/>
        </w:rPr>
        <w:t xml:space="preserve">n un procedimiento visual”. “No </w:t>
      </w:r>
      <w:r w:rsidRPr="00AA5F26">
        <w:rPr>
          <w:rFonts w:ascii="Verdana" w:hAnsi="Verdana"/>
          <w:w w:val="95"/>
          <w:sz w:val="20"/>
          <w:szCs w:val="20"/>
          <w:lang w:val="es-CR"/>
        </w:rPr>
        <w:t>existían circunstancias preestablecidas en las cuales los médicos forense estuvieran obligados a practicar pruebas de violencia sexual”. Agregó que “en los casos en que se practicaban otras pruebas era producto de que los fiscales a cargo de las investigaciones de su muerte las requerían”. Pese a que no se realizaron algunas pruebas forenses</w:t>
      </w:r>
      <w:r w:rsidR="00B37887">
        <w:rPr>
          <w:rFonts w:ascii="Verdana" w:hAnsi="Verdana"/>
          <w:w w:val="95"/>
          <w:sz w:val="20"/>
          <w:szCs w:val="20"/>
          <w:lang w:val="es-CR"/>
        </w:rPr>
        <w:t>,</w:t>
      </w:r>
      <w:r w:rsidRPr="00AA5F26">
        <w:rPr>
          <w:rFonts w:ascii="Verdana" w:hAnsi="Verdana"/>
          <w:w w:val="95"/>
          <w:sz w:val="20"/>
          <w:szCs w:val="20"/>
          <w:lang w:val="es-CR"/>
        </w:rPr>
        <w:t xml:space="preserve"> sí se hizo el examen de necropsia, pruebas de luminiscencia con lámpara UV y fosfata ácida, análisis biológico de la ropa íntima y en dos toallas, mediante las cuales se encontró presencia de sangre, elementos pilosos pero no se encontró la presencia de semen, y que no se ha realizado la diligencia de cotejo de los elementos pilosos, porque no se ha individualizado a un presunto sindicado. </w:t>
      </w:r>
    </w:p>
    <w:p w:rsidR="00DF15C3" w:rsidRPr="00943069" w:rsidRDefault="00DF15C3" w:rsidP="003F26FD">
      <w:pPr>
        <w:pStyle w:val="Prrafodelista"/>
        <w:spacing w:after="0" w:line="216" w:lineRule="auto"/>
        <w:ind w:left="-142" w:right="-174"/>
        <w:contextualSpacing w:val="0"/>
        <w:jc w:val="both"/>
        <w:rPr>
          <w:rFonts w:ascii="Verdana" w:hAnsi="Verdana"/>
          <w:b/>
          <w:w w:val="95"/>
          <w:sz w:val="20"/>
          <w:szCs w:val="20"/>
          <w:lang w:val="es-CR"/>
        </w:rPr>
      </w:pPr>
    </w:p>
    <w:p w:rsidR="00DF15C3" w:rsidRPr="00943069" w:rsidRDefault="00DF15C3" w:rsidP="003F26FD">
      <w:pPr>
        <w:pStyle w:val="Prrafodelista"/>
        <w:numPr>
          <w:ilvl w:val="0"/>
          <w:numId w:val="17"/>
        </w:numPr>
        <w:tabs>
          <w:tab w:val="left" w:pos="720"/>
        </w:tabs>
        <w:spacing w:after="0" w:line="216" w:lineRule="auto"/>
        <w:ind w:left="-142" w:right="-174" w:firstLine="0"/>
        <w:contextualSpacing w:val="0"/>
        <w:jc w:val="both"/>
        <w:rPr>
          <w:rFonts w:ascii="Verdana" w:hAnsi="Verdana"/>
          <w:w w:val="95"/>
          <w:sz w:val="20"/>
          <w:szCs w:val="20"/>
          <w:lang w:val="es-CR"/>
        </w:rPr>
      </w:pPr>
      <w:r w:rsidRPr="00AA5F26">
        <w:rPr>
          <w:rFonts w:ascii="Verdana" w:hAnsi="Verdana"/>
          <w:w w:val="95"/>
          <w:sz w:val="20"/>
          <w:szCs w:val="20"/>
          <w:lang w:val="es-CR"/>
        </w:rPr>
        <w:t>Pese a lo manifestado en el trámite ante la Comisión (</w:t>
      </w:r>
      <w:r w:rsidRPr="00AA5F26">
        <w:rPr>
          <w:rFonts w:ascii="Verdana" w:hAnsi="Verdana"/>
          <w:i/>
          <w:w w:val="95"/>
          <w:sz w:val="20"/>
          <w:szCs w:val="20"/>
          <w:lang w:val="es-CR"/>
        </w:rPr>
        <w:t>supra</w:t>
      </w:r>
      <w:r w:rsidRPr="00AA5F26">
        <w:rPr>
          <w:rFonts w:ascii="Verdana" w:hAnsi="Verdana"/>
          <w:w w:val="95"/>
          <w:sz w:val="20"/>
          <w:szCs w:val="20"/>
          <w:lang w:val="es-CR"/>
        </w:rPr>
        <w:t xml:space="preserve"> párr. </w:t>
      </w:r>
      <w:r w:rsidR="00863E37" w:rsidRPr="001E0CE4">
        <w:rPr>
          <w:rFonts w:ascii="Verdana" w:hAnsi="Verdana"/>
          <w:w w:val="95"/>
          <w:sz w:val="20"/>
          <w:szCs w:val="20"/>
          <w:lang w:val="es-CR"/>
        </w:rPr>
        <w:t>19</w:t>
      </w:r>
      <w:r w:rsidR="004E00D2" w:rsidRPr="00AA5F26">
        <w:rPr>
          <w:rFonts w:ascii="Verdana" w:hAnsi="Verdana"/>
          <w:w w:val="95"/>
          <w:sz w:val="20"/>
          <w:szCs w:val="20"/>
          <w:lang w:val="es-CR"/>
        </w:rPr>
        <w:t xml:space="preserve">), </w:t>
      </w:r>
      <w:r w:rsidRPr="00AA5F26">
        <w:rPr>
          <w:rFonts w:ascii="Verdana" w:hAnsi="Verdana"/>
          <w:w w:val="95"/>
          <w:sz w:val="20"/>
          <w:szCs w:val="20"/>
          <w:lang w:val="es-CR"/>
        </w:rPr>
        <w:t>el Estado rechazó que haya incurrido en un retardo injustificado en las investigaciones en razón del conflicto de competencias ocurrido, en vista de que este “es legítimo en la legislación interna y el mismo ha de ser resuelto por la Corte Suprema de Justicia” y que “no se trató de que los jueces a cargo de controlar la investigación no haya querido fiscalizarla, sino que deben estar facultados y ser competentes para hacerlo”</w:t>
      </w:r>
      <w:r>
        <w:rPr>
          <w:rFonts w:ascii="Verdana" w:hAnsi="Verdana"/>
          <w:w w:val="95"/>
          <w:sz w:val="20"/>
          <w:szCs w:val="20"/>
          <w:lang w:val="es-CR"/>
        </w:rPr>
        <w:t>.</w:t>
      </w:r>
      <w:r w:rsidRPr="00AA5F26">
        <w:rPr>
          <w:rFonts w:ascii="Verdana" w:hAnsi="Verdana"/>
          <w:w w:val="95"/>
          <w:sz w:val="20"/>
          <w:szCs w:val="20"/>
          <w:lang w:val="es-CR"/>
        </w:rPr>
        <w:t xml:space="preserve"> Resaltó “que la obligación del Ministerio Público es investigar de forma objetiva, y si bien las investigaciones toman tiempo, a pesar del conflicto de competencia suscitado, la investigación ha avanzado a lo largo del tiempo”. Asimismo, señaló las diversas actuaciones que se hicieron durante el lapso que duró la “cuestión incidental”, por lo que recalcó que este lapso “no significa que el Estado no haya practicado ninguna prueba en ese momento”. </w:t>
      </w:r>
    </w:p>
    <w:p w:rsidR="00DF15C3" w:rsidRPr="00943069" w:rsidRDefault="00DF15C3" w:rsidP="003F26FD">
      <w:pPr>
        <w:widowControl w:val="0"/>
        <w:autoSpaceDE w:val="0"/>
        <w:autoSpaceDN w:val="0"/>
        <w:adjustRightInd w:val="0"/>
        <w:spacing w:after="0" w:line="216" w:lineRule="auto"/>
        <w:ind w:left="-142" w:right="-174"/>
        <w:jc w:val="both"/>
        <w:rPr>
          <w:rFonts w:ascii="Verdana" w:hAnsi="Verdana"/>
          <w:strike/>
          <w:w w:val="95"/>
          <w:sz w:val="20"/>
          <w:szCs w:val="20"/>
          <w:lang w:val="es-CR"/>
        </w:rPr>
      </w:pPr>
    </w:p>
    <w:p w:rsidR="00DF15C3" w:rsidRPr="00943069" w:rsidRDefault="00DF15C3" w:rsidP="003F26FD">
      <w:pPr>
        <w:pStyle w:val="Prrafodelista"/>
        <w:numPr>
          <w:ilvl w:val="0"/>
          <w:numId w:val="17"/>
        </w:numPr>
        <w:tabs>
          <w:tab w:val="left" w:pos="720"/>
        </w:tabs>
        <w:spacing w:after="0" w:line="216" w:lineRule="auto"/>
        <w:ind w:left="-142" w:right="-174" w:firstLine="0"/>
        <w:contextualSpacing w:val="0"/>
        <w:jc w:val="both"/>
        <w:rPr>
          <w:rFonts w:ascii="Verdana" w:hAnsi="Verdana"/>
          <w:w w:val="95"/>
          <w:sz w:val="20"/>
          <w:szCs w:val="20"/>
        </w:rPr>
      </w:pPr>
      <w:r w:rsidRPr="00AA5F26">
        <w:rPr>
          <w:rFonts w:ascii="Verdana" w:hAnsi="Verdana"/>
          <w:w w:val="95"/>
          <w:sz w:val="20"/>
          <w:szCs w:val="20"/>
          <w:lang w:val="es-CR"/>
        </w:rPr>
        <w:lastRenderedPageBreak/>
        <w:t xml:space="preserve">Además, el Estado señaló que alegar el artículo 7 de la Convención de Belém do Pará “carece de sentido, ya que el Estado […] condena todas las formas de violencia contra la mujer y ha intentado adoptar por todos los medios apropiados y sin dilaciones dentro de la medida de sus posibilidades, políticas orientadas a los preceptos de la norma legal en cuestión”. Alegó que tanto la Comisión y las representantes desean atribuirle la muerte de María Isabel por alguna omisión, no obstante, rechazó dicha acusación, toda vez que “los órganos estatales encargados de investigar su paradero, así lo hicieron”. </w:t>
      </w:r>
    </w:p>
    <w:p w:rsidR="00DF15C3" w:rsidRPr="00943069" w:rsidRDefault="00DF15C3" w:rsidP="003F26FD">
      <w:pPr>
        <w:pStyle w:val="Prrafodelista"/>
        <w:tabs>
          <w:tab w:val="left" w:pos="720"/>
        </w:tabs>
        <w:spacing w:after="0" w:line="216" w:lineRule="auto"/>
        <w:ind w:left="-142" w:right="-174"/>
        <w:contextualSpacing w:val="0"/>
        <w:jc w:val="both"/>
        <w:rPr>
          <w:rFonts w:ascii="Verdana" w:hAnsi="Verdana"/>
          <w:w w:val="95"/>
          <w:sz w:val="20"/>
          <w:szCs w:val="20"/>
          <w:lang w:val="es-CR"/>
        </w:rPr>
      </w:pPr>
    </w:p>
    <w:p w:rsidR="00DF15C3" w:rsidRPr="00943069" w:rsidRDefault="00DF15C3" w:rsidP="003F26FD">
      <w:pPr>
        <w:widowControl w:val="0"/>
        <w:numPr>
          <w:ilvl w:val="0"/>
          <w:numId w:val="17"/>
        </w:numPr>
        <w:autoSpaceDE w:val="0"/>
        <w:autoSpaceDN w:val="0"/>
        <w:adjustRightInd w:val="0"/>
        <w:spacing w:after="0" w:line="216" w:lineRule="auto"/>
        <w:ind w:left="-142" w:right="-174" w:firstLine="0"/>
        <w:jc w:val="both"/>
        <w:rPr>
          <w:rFonts w:ascii="Verdana" w:hAnsi="Verdana"/>
          <w:w w:val="95"/>
          <w:sz w:val="20"/>
          <w:szCs w:val="20"/>
          <w:lang w:val="es-CR"/>
        </w:rPr>
      </w:pPr>
      <w:r w:rsidRPr="00AA5F26">
        <w:rPr>
          <w:rFonts w:ascii="Verdana" w:hAnsi="Verdana"/>
          <w:w w:val="95"/>
          <w:sz w:val="20"/>
          <w:szCs w:val="20"/>
          <w:lang w:val="es-CR"/>
        </w:rPr>
        <w:t xml:space="preserve"> El Estado alegó que “si bien no consiente ni aprueba de ninguna forma la violencia en contra de la mujer, no todos los delitos cometidos en contra de seres humanos de género femenino son perpetrados en su contra por su calidad de mujeres” y</w:t>
      </w:r>
      <w:r w:rsidR="00B37887">
        <w:rPr>
          <w:rFonts w:ascii="Verdana" w:hAnsi="Verdana"/>
          <w:w w:val="95"/>
          <w:sz w:val="20"/>
          <w:szCs w:val="20"/>
          <w:lang w:val="es-CR"/>
        </w:rPr>
        <w:t>,</w:t>
      </w:r>
      <w:r w:rsidRPr="00AA5F26">
        <w:rPr>
          <w:rFonts w:ascii="Verdana" w:hAnsi="Verdana"/>
          <w:w w:val="95"/>
          <w:sz w:val="20"/>
          <w:szCs w:val="20"/>
          <w:lang w:val="es-CR"/>
        </w:rPr>
        <w:t xml:space="preserve"> en específico</w:t>
      </w:r>
      <w:r w:rsidR="00B37887">
        <w:rPr>
          <w:rFonts w:ascii="Verdana" w:hAnsi="Verdana"/>
          <w:w w:val="95"/>
          <w:sz w:val="20"/>
          <w:szCs w:val="20"/>
          <w:lang w:val="es-CR"/>
        </w:rPr>
        <w:t>,</w:t>
      </w:r>
      <w:r w:rsidRPr="00AA5F26">
        <w:rPr>
          <w:rFonts w:ascii="Verdana" w:hAnsi="Verdana"/>
          <w:w w:val="95"/>
          <w:sz w:val="20"/>
          <w:szCs w:val="20"/>
          <w:lang w:val="es-CR"/>
        </w:rPr>
        <w:t xml:space="preserve"> señaló que en el presente caso ni la Comisión ni las representantes han probado o manifestado “siquiera que María Isabel desapareció y fue asesinada por el hecho de ser mujer”. Por ello, solicitó a la Corte que “se manifieste al respecto porque si bien se trata la vida de una persona, no se tiene ningún indicio siquiera de que los responsables la hayan matado por ser mujer”. </w:t>
      </w:r>
    </w:p>
    <w:p w:rsidR="00DF15C3" w:rsidRPr="00943069" w:rsidRDefault="00DF15C3" w:rsidP="003F26FD">
      <w:pPr>
        <w:widowControl w:val="0"/>
        <w:autoSpaceDE w:val="0"/>
        <w:autoSpaceDN w:val="0"/>
        <w:adjustRightInd w:val="0"/>
        <w:spacing w:after="0" w:line="216" w:lineRule="auto"/>
        <w:ind w:left="-142" w:right="-174"/>
        <w:jc w:val="both"/>
        <w:rPr>
          <w:rFonts w:ascii="Verdana" w:hAnsi="Verdana"/>
          <w:w w:val="95"/>
          <w:sz w:val="20"/>
          <w:szCs w:val="20"/>
          <w:lang w:val="es-CR"/>
        </w:rPr>
      </w:pPr>
    </w:p>
    <w:p w:rsidR="00DF15C3" w:rsidRPr="00943069" w:rsidRDefault="00DF15C3" w:rsidP="003F26FD">
      <w:pPr>
        <w:widowControl w:val="0"/>
        <w:numPr>
          <w:ilvl w:val="0"/>
          <w:numId w:val="17"/>
        </w:numPr>
        <w:autoSpaceDE w:val="0"/>
        <w:autoSpaceDN w:val="0"/>
        <w:adjustRightInd w:val="0"/>
        <w:spacing w:after="0" w:line="216" w:lineRule="auto"/>
        <w:ind w:left="-142" w:right="-174" w:firstLine="0"/>
        <w:jc w:val="both"/>
        <w:rPr>
          <w:rFonts w:ascii="Verdana" w:hAnsi="Verdana"/>
          <w:w w:val="95"/>
          <w:sz w:val="20"/>
          <w:szCs w:val="20"/>
          <w:lang w:val="es-CR"/>
        </w:rPr>
      </w:pPr>
      <w:r w:rsidRPr="00AA5F26">
        <w:rPr>
          <w:rFonts w:ascii="Verdana" w:hAnsi="Verdana"/>
          <w:w w:val="95"/>
          <w:sz w:val="20"/>
          <w:szCs w:val="20"/>
          <w:lang w:val="es-CR"/>
        </w:rPr>
        <w:t>En relación con los señalamientos de que la investigación ha sido llevada a cabo de forma sesgada y discriminatoria, el Estado manifestó que “no consta en ningún lado que las autoridades hayan actuado de forma arbitraria en este sentido</w:t>
      </w:r>
      <w:r>
        <w:rPr>
          <w:rFonts w:ascii="Verdana" w:hAnsi="Verdana"/>
          <w:w w:val="95"/>
          <w:sz w:val="20"/>
          <w:szCs w:val="20"/>
          <w:lang w:val="es-CR"/>
        </w:rPr>
        <w:t>[</w:t>
      </w:r>
      <w:r w:rsidRPr="00AA5F26">
        <w:rPr>
          <w:rFonts w:ascii="Verdana" w:hAnsi="Verdana"/>
          <w:w w:val="95"/>
          <w:sz w:val="20"/>
          <w:szCs w:val="20"/>
          <w:lang w:val="es-CR"/>
        </w:rPr>
        <w:t>,</w:t>
      </w:r>
      <w:r>
        <w:rPr>
          <w:rFonts w:ascii="Verdana" w:hAnsi="Verdana"/>
          <w:w w:val="95"/>
          <w:sz w:val="20"/>
          <w:szCs w:val="20"/>
          <w:lang w:val="es-CR"/>
        </w:rPr>
        <w:t xml:space="preserve"> </w:t>
      </w:r>
      <w:r w:rsidRPr="00AA5F26">
        <w:rPr>
          <w:rFonts w:ascii="Verdana" w:hAnsi="Verdana"/>
          <w:w w:val="95"/>
          <w:sz w:val="20"/>
          <w:szCs w:val="20"/>
          <w:lang w:val="es-CR"/>
        </w:rPr>
        <w:t>a]l contrario, han desempeñado sus labores dentro del marco de la ley vigente al mom</w:t>
      </w:r>
      <w:r w:rsidR="00B42B4D">
        <w:rPr>
          <w:rFonts w:ascii="Verdana" w:hAnsi="Verdana"/>
          <w:w w:val="95"/>
          <w:sz w:val="20"/>
          <w:szCs w:val="20"/>
          <w:lang w:val="es-CR"/>
        </w:rPr>
        <w:t xml:space="preserve">ento de acaecidos los hechos”. </w:t>
      </w:r>
      <w:r w:rsidRPr="00AA5F26">
        <w:rPr>
          <w:rFonts w:ascii="Verdana" w:hAnsi="Verdana"/>
          <w:w w:val="95"/>
          <w:sz w:val="20"/>
          <w:szCs w:val="20"/>
          <w:lang w:val="es-CR"/>
        </w:rPr>
        <w:t xml:space="preserve">Además, sobre lo alegado por las representantes y la Comisión de que existen </w:t>
      </w:r>
      <w:r w:rsidRPr="00203840">
        <w:rPr>
          <w:rFonts w:ascii="Verdana" w:hAnsi="Verdana"/>
          <w:w w:val="95"/>
          <w:sz w:val="20"/>
          <w:szCs w:val="20"/>
          <w:lang w:val="es-CR"/>
        </w:rPr>
        <w:t>algunas declaraciones sesgadas o discriminatorias en los informes rendidos por las autoridades, indicó</w:t>
      </w:r>
      <w:r w:rsidRPr="00AA5F26">
        <w:rPr>
          <w:rFonts w:ascii="Verdana" w:hAnsi="Verdana"/>
          <w:w w:val="95"/>
          <w:sz w:val="20"/>
          <w:szCs w:val="20"/>
          <w:lang w:val="es-CR"/>
        </w:rPr>
        <w:t xml:space="preserve"> que las mismas fueron vertidas por terceras personas, las cuales “expresaron su conocimiento y proporcionaron su información que a su juicio era necesaria” y que por tanto “queda claro que los funcionarios a cargo de la investigación en ningún momento han atentado contra la honra y dignidad de la víctima, ni han atendido con desigualdad el caso por ser la víctima una mujer, ni han discriminado a su madre para tal efecto”</w:t>
      </w:r>
      <w:r>
        <w:rPr>
          <w:rFonts w:ascii="Verdana" w:hAnsi="Verdana"/>
          <w:w w:val="95"/>
          <w:sz w:val="20"/>
          <w:szCs w:val="20"/>
          <w:lang w:val="es-CR"/>
        </w:rPr>
        <w:t>.</w:t>
      </w:r>
      <w:r w:rsidRPr="00AA5F26">
        <w:rPr>
          <w:rFonts w:ascii="Verdana" w:hAnsi="Verdana"/>
          <w:w w:val="95"/>
          <w:sz w:val="20"/>
          <w:szCs w:val="20"/>
          <w:lang w:val="es-CR"/>
        </w:rPr>
        <w:t xml:space="preserve">  Agregó que “de ninguna manera se ha dado un trato desigual a María Isabel por haber sido una víctima mujer ni por ser niña”</w:t>
      </w:r>
      <w:r>
        <w:rPr>
          <w:rFonts w:ascii="Verdana" w:hAnsi="Verdana"/>
          <w:w w:val="95"/>
          <w:sz w:val="20"/>
          <w:szCs w:val="20"/>
          <w:lang w:val="es-CR"/>
        </w:rPr>
        <w:t>.</w:t>
      </w:r>
      <w:r w:rsidRPr="00AA5F26">
        <w:rPr>
          <w:rFonts w:ascii="Verdana" w:hAnsi="Verdana"/>
          <w:w w:val="95"/>
          <w:sz w:val="20"/>
          <w:szCs w:val="20"/>
          <w:lang w:val="es-CR"/>
        </w:rPr>
        <w:t xml:space="preserve"> El Estado sostuvo que tampoco ha dado un trato desigual a la madre de la presunta víctima en la búsqueda de justicia, y que esta ha ejercido con toda libertad sus derechos con plena igualdad ante la ley, independientemente de que el resultado de la investigación no sea satisfactorio</w:t>
      </w:r>
      <w:r>
        <w:rPr>
          <w:rFonts w:ascii="Verdana" w:hAnsi="Verdana"/>
          <w:w w:val="95"/>
          <w:sz w:val="20"/>
          <w:szCs w:val="20"/>
          <w:lang w:val="es-CR"/>
        </w:rPr>
        <w:t>.</w:t>
      </w:r>
      <w:r w:rsidRPr="00AA5F26">
        <w:rPr>
          <w:rFonts w:ascii="Verdana" w:hAnsi="Verdana"/>
          <w:w w:val="95"/>
          <w:sz w:val="20"/>
          <w:szCs w:val="20"/>
          <w:lang w:val="es-CR"/>
        </w:rPr>
        <w:t xml:space="preserve"> </w:t>
      </w:r>
    </w:p>
    <w:p w:rsidR="00DF15C3" w:rsidRPr="00943069" w:rsidRDefault="00DF15C3" w:rsidP="003F26FD">
      <w:pPr>
        <w:widowControl w:val="0"/>
        <w:tabs>
          <w:tab w:val="left" w:pos="720"/>
        </w:tabs>
        <w:autoSpaceDE w:val="0"/>
        <w:autoSpaceDN w:val="0"/>
        <w:adjustRightInd w:val="0"/>
        <w:spacing w:after="0" w:line="216" w:lineRule="auto"/>
        <w:ind w:left="-142" w:right="-174"/>
        <w:jc w:val="both"/>
        <w:rPr>
          <w:rFonts w:ascii="Verdana" w:hAnsi="Verdana"/>
          <w:w w:val="95"/>
          <w:sz w:val="20"/>
          <w:szCs w:val="20"/>
          <w:lang w:val="es-CR"/>
        </w:rPr>
      </w:pPr>
    </w:p>
    <w:p w:rsidR="00DF15C3" w:rsidRPr="00943069" w:rsidRDefault="00DF15C3" w:rsidP="003F26FD">
      <w:pPr>
        <w:widowControl w:val="0"/>
        <w:numPr>
          <w:ilvl w:val="0"/>
          <w:numId w:val="17"/>
        </w:numPr>
        <w:autoSpaceDE w:val="0"/>
        <w:autoSpaceDN w:val="0"/>
        <w:adjustRightInd w:val="0"/>
        <w:spacing w:after="0" w:line="216" w:lineRule="auto"/>
        <w:ind w:left="-142" w:right="-174" w:firstLine="0"/>
        <w:jc w:val="both"/>
        <w:rPr>
          <w:rFonts w:ascii="Verdana" w:hAnsi="Verdana"/>
          <w:strike/>
          <w:w w:val="95"/>
          <w:sz w:val="20"/>
          <w:szCs w:val="20"/>
          <w:lang w:val="es-CR"/>
        </w:rPr>
      </w:pPr>
      <w:r w:rsidRPr="00AA5F26">
        <w:rPr>
          <w:rFonts w:ascii="Verdana" w:hAnsi="Verdana"/>
          <w:w w:val="95"/>
          <w:sz w:val="20"/>
          <w:szCs w:val="20"/>
          <w:lang w:val="es-CR"/>
        </w:rPr>
        <w:t>En cuanto a que el Estado no investigó ni sancionó a los funcionarios públicos responsables indicó que “si bien la señora Franco Sandoval ha hecho patentes sus inconformidades con el proceso y con las personas a su cargo en las instancias correspondientes, ello no significa que no se haya indagado en el asunto para determinar si efectivamente habría correspondido alguna sanción”. Reiteró que los agentes estatales “actuaron de conformidad con la ley vigente al momento de acaecer los hechos y en consecuencia no puede reclamar a dichas personas la forma en que realizaron el trabajo”.</w:t>
      </w:r>
      <w:bookmarkEnd w:id="90"/>
    </w:p>
    <w:p w:rsidR="00DF15C3" w:rsidRPr="00943069" w:rsidRDefault="00DF15C3" w:rsidP="003F26FD">
      <w:pPr>
        <w:pStyle w:val="Prrafodelista"/>
        <w:spacing w:after="0" w:line="216" w:lineRule="auto"/>
        <w:ind w:left="-142" w:right="-174"/>
        <w:rPr>
          <w:rFonts w:ascii="Verdana" w:hAnsi="Verdana"/>
          <w:strike/>
          <w:w w:val="95"/>
          <w:sz w:val="20"/>
          <w:szCs w:val="20"/>
          <w:lang w:val="es-CR"/>
        </w:rPr>
      </w:pPr>
    </w:p>
    <w:p w:rsidR="00DF15C3" w:rsidRPr="00E72F18" w:rsidRDefault="00DF15C3" w:rsidP="003F26FD">
      <w:pPr>
        <w:pStyle w:val="Prrafodelista"/>
        <w:widowControl w:val="0"/>
        <w:numPr>
          <w:ilvl w:val="0"/>
          <w:numId w:val="8"/>
        </w:numPr>
        <w:autoSpaceDE w:val="0"/>
        <w:autoSpaceDN w:val="0"/>
        <w:adjustRightInd w:val="0"/>
        <w:spacing w:after="0" w:line="216" w:lineRule="auto"/>
        <w:ind w:left="284" w:right="-174" w:hanging="11"/>
        <w:jc w:val="both"/>
        <w:outlineLvl w:val="1"/>
        <w:rPr>
          <w:rFonts w:ascii="Verdana" w:hAnsi="Verdana"/>
          <w:b/>
          <w:w w:val="95"/>
          <w:sz w:val="20"/>
          <w:szCs w:val="20"/>
        </w:rPr>
      </w:pPr>
      <w:bookmarkStart w:id="91" w:name="_Toc394313678"/>
      <w:r w:rsidRPr="00AA5F26">
        <w:rPr>
          <w:rFonts w:ascii="Verdana" w:hAnsi="Verdana"/>
          <w:b/>
          <w:w w:val="95"/>
          <w:sz w:val="20"/>
          <w:szCs w:val="20"/>
        </w:rPr>
        <w:t>Consideraciones de la Corte</w:t>
      </w:r>
      <w:bookmarkEnd w:id="91"/>
    </w:p>
    <w:p w:rsidR="00DF15C3" w:rsidRPr="00943069" w:rsidRDefault="00DF15C3" w:rsidP="003F26FD">
      <w:pPr>
        <w:pStyle w:val="Prrafodelista"/>
        <w:spacing w:after="0" w:line="216" w:lineRule="auto"/>
        <w:ind w:left="-142" w:right="-174"/>
        <w:rPr>
          <w:rFonts w:ascii="Verdana" w:hAnsi="Verdana"/>
          <w:w w:val="95"/>
          <w:sz w:val="20"/>
          <w:szCs w:val="20"/>
          <w:lang w:val="es-EC"/>
        </w:rPr>
      </w:pPr>
    </w:p>
    <w:p w:rsidR="00DF15C3" w:rsidRPr="00943069" w:rsidRDefault="00DF15C3" w:rsidP="003F26FD">
      <w:pPr>
        <w:widowControl w:val="0"/>
        <w:numPr>
          <w:ilvl w:val="0"/>
          <w:numId w:val="17"/>
        </w:numPr>
        <w:autoSpaceDE w:val="0"/>
        <w:autoSpaceDN w:val="0"/>
        <w:adjustRightInd w:val="0"/>
        <w:spacing w:after="0" w:line="216" w:lineRule="auto"/>
        <w:ind w:left="-142" w:right="-174" w:firstLine="0"/>
        <w:jc w:val="both"/>
        <w:rPr>
          <w:rFonts w:ascii="Verdana" w:hAnsi="Verdana"/>
          <w:w w:val="95"/>
          <w:sz w:val="20"/>
          <w:szCs w:val="20"/>
          <w:lang w:val="es-CR"/>
        </w:rPr>
      </w:pPr>
      <w:r>
        <w:rPr>
          <w:rFonts w:ascii="Verdana" w:hAnsi="Verdana"/>
          <w:w w:val="95"/>
          <w:sz w:val="20"/>
          <w:szCs w:val="20"/>
          <w:lang w:val="es-EC"/>
        </w:rPr>
        <w:t xml:space="preserve">Este </w:t>
      </w:r>
      <w:r w:rsidRPr="00AA5F26">
        <w:rPr>
          <w:rFonts w:ascii="Verdana" w:hAnsi="Verdana"/>
          <w:w w:val="95"/>
          <w:sz w:val="20"/>
          <w:szCs w:val="20"/>
          <w:lang w:val="es-EC"/>
        </w:rPr>
        <w:t>Tribunal ya ha determinado que si bien no puede aseverarse que todos los homicidios de mujeres sucedidos en la época de los hechos fueran por razones de género</w:t>
      </w:r>
      <w:r w:rsidRPr="00E317C0">
        <w:rPr>
          <w:rFonts w:ascii="Verdana" w:hAnsi="Verdana"/>
          <w:w w:val="95"/>
          <w:sz w:val="20"/>
          <w:szCs w:val="20"/>
          <w:lang w:val="es-EC"/>
        </w:rPr>
        <w:t>,</w:t>
      </w:r>
      <w:r w:rsidRPr="00AA5F26">
        <w:rPr>
          <w:rFonts w:ascii="Verdana" w:hAnsi="Verdana"/>
          <w:w w:val="95"/>
          <w:sz w:val="20"/>
          <w:szCs w:val="20"/>
          <w:lang w:val="es-EC"/>
        </w:rPr>
        <w:t xml:space="preserve"> </w:t>
      </w:r>
      <w:r w:rsidRPr="00203840">
        <w:rPr>
          <w:rFonts w:ascii="Verdana" w:hAnsi="Verdana"/>
          <w:w w:val="95"/>
          <w:sz w:val="20"/>
          <w:szCs w:val="20"/>
          <w:lang w:val="es-EC"/>
        </w:rPr>
        <w:t>resulta</w:t>
      </w:r>
      <w:r w:rsidRPr="00E317C0">
        <w:rPr>
          <w:rFonts w:ascii="Verdana" w:hAnsi="Verdana"/>
          <w:b/>
          <w:w w:val="95"/>
          <w:sz w:val="20"/>
          <w:szCs w:val="20"/>
          <w:lang w:val="es-EC"/>
        </w:rPr>
        <w:t xml:space="preserve"> </w:t>
      </w:r>
      <w:r w:rsidRPr="00AC1488">
        <w:rPr>
          <w:rFonts w:ascii="Verdana" w:hAnsi="Verdana"/>
          <w:w w:val="95"/>
          <w:sz w:val="20"/>
          <w:szCs w:val="20"/>
          <w:lang w:val="es-EC"/>
        </w:rPr>
        <w:t>verosímil que el de</w:t>
      </w:r>
      <w:r>
        <w:rPr>
          <w:rFonts w:ascii="Verdana" w:hAnsi="Verdana"/>
          <w:w w:val="95"/>
          <w:sz w:val="20"/>
          <w:szCs w:val="20"/>
          <w:lang w:val="es-EC"/>
        </w:rPr>
        <w:t xml:space="preserve"> </w:t>
      </w:r>
      <w:r w:rsidRPr="00E317C0">
        <w:rPr>
          <w:rFonts w:ascii="Verdana" w:hAnsi="Verdana"/>
          <w:w w:val="95"/>
          <w:sz w:val="20"/>
          <w:szCs w:val="20"/>
          <w:lang w:val="es-EC"/>
        </w:rPr>
        <w:t xml:space="preserve">María </w:t>
      </w:r>
      <w:r w:rsidRPr="003622B1">
        <w:rPr>
          <w:rFonts w:ascii="Verdana" w:hAnsi="Verdana"/>
          <w:w w:val="95"/>
          <w:sz w:val="20"/>
          <w:szCs w:val="20"/>
          <w:lang w:val="es-EC"/>
        </w:rPr>
        <w:t>I</w:t>
      </w:r>
      <w:r w:rsidRPr="00E317C0">
        <w:rPr>
          <w:rFonts w:ascii="Verdana" w:hAnsi="Verdana"/>
          <w:w w:val="95"/>
          <w:sz w:val="20"/>
          <w:szCs w:val="20"/>
          <w:lang w:val="es-EC"/>
        </w:rPr>
        <w:t xml:space="preserve">sabel </w:t>
      </w:r>
      <w:r>
        <w:rPr>
          <w:rFonts w:ascii="Verdana" w:hAnsi="Verdana"/>
          <w:w w:val="95"/>
          <w:sz w:val="20"/>
          <w:szCs w:val="20"/>
          <w:lang w:val="es-EC"/>
        </w:rPr>
        <w:t xml:space="preserve">si lo </w:t>
      </w:r>
      <w:r w:rsidRPr="00E317C0">
        <w:rPr>
          <w:rFonts w:ascii="Verdana" w:hAnsi="Verdana"/>
          <w:w w:val="95"/>
          <w:sz w:val="20"/>
          <w:szCs w:val="20"/>
          <w:lang w:val="es-EC"/>
        </w:rPr>
        <w:t>fuera</w:t>
      </w:r>
      <w:r w:rsidRPr="003622B1">
        <w:rPr>
          <w:rFonts w:ascii="Verdana" w:hAnsi="Verdana"/>
          <w:w w:val="95"/>
          <w:sz w:val="20"/>
          <w:szCs w:val="20"/>
          <w:lang w:val="es-EC"/>
        </w:rPr>
        <w:t>,</w:t>
      </w:r>
      <w:r w:rsidRPr="00E317C0">
        <w:rPr>
          <w:rFonts w:ascii="Verdana" w:hAnsi="Verdana"/>
          <w:w w:val="95"/>
          <w:sz w:val="20"/>
          <w:szCs w:val="20"/>
          <w:lang w:val="es-EC"/>
        </w:rPr>
        <w:t xml:space="preserve"> </w:t>
      </w:r>
      <w:r w:rsidRPr="00450B8D">
        <w:rPr>
          <w:rFonts w:ascii="Verdana" w:hAnsi="Verdana"/>
          <w:w w:val="95"/>
          <w:sz w:val="20"/>
          <w:szCs w:val="20"/>
          <w:lang w:val="es-EC"/>
        </w:rPr>
        <w:t>de acuerdo a cómo se encontró el cuerpo de la niña.</w:t>
      </w:r>
      <w:r w:rsidRPr="00AA5F26">
        <w:rPr>
          <w:rFonts w:ascii="Verdana" w:hAnsi="Verdana"/>
          <w:w w:val="95"/>
          <w:sz w:val="20"/>
          <w:szCs w:val="20"/>
          <w:lang w:val="es-EC"/>
        </w:rPr>
        <w:t xml:space="preserve"> En efecto, se ha indicado que las mujeres víctimas de homicidios por razones de género con frecuencia presentaban signos de brutalidad en la violencia ejercida contra ellas, así como signos de violencia sexual o la mutilación de los cuer</w:t>
      </w:r>
      <w:r w:rsidRPr="00410384">
        <w:rPr>
          <w:rFonts w:ascii="Verdana" w:hAnsi="Verdana"/>
          <w:w w:val="95"/>
          <w:sz w:val="20"/>
          <w:szCs w:val="20"/>
          <w:lang w:val="es-EC"/>
        </w:rPr>
        <w:t>pos (</w:t>
      </w:r>
      <w:r w:rsidRPr="00410384">
        <w:rPr>
          <w:rFonts w:ascii="Verdana" w:hAnsi="Verdana"/>
          <w:i/>
          <w:w w:val="95"/>
          <w:sz w:val="20"/>
          <w:szCs w:val="20"/>
          <w:lang w:val="es-EC"/>
        </w:rPr>
        <w:t>supra</w:t>
      </w:r>
      <w:r w:rsidRPr="00410384">
        <w:rPr>
          <w:rFonts w:ascii="Verdana" w:hAnsi="Verdana"/>
          <w:w w:val="95"/>
          <w:sz w:val="20"/>
          <w:szCs w:val="20"/>
          <w:lang w:val="es-EC"/>
        </w:rPr>
        <w:t xml:space="preserve"> párr. </w:t>
      </w:r>
      <w:r w:rsidR="00DA5CDD" w:rsidRPr="00410384">
        <w:rPr>
          <w:rFonts w:ascii="Verdana" w:hAnsi="Verdana"/>
          <w:w w:val="95"/>
          <w:sz w:val="20"/>
          <w:szCs w:val="20"/>
          <w:lang w:val="es-EC"/>
        </w:rPr>
        <w:t>78</w:t>
      </w:r>
      <w:r w:rsidR="004E00D2" w:rsidRPr="00410384">
        <w:rPr>
          <w:rFonts w:ascii="Verdana" w:hAnsi="Verdana"/>
          <w:w w:val="95"/>
          <w:sz w:val="20"/>
          <w:szCs w:val="20"/>
          <w:lang w:val="es-EC"/>
        </w:rPr>
        <w:t xml:space="preserve">). </w:t>
      </w:r>
      <w:r w:rsidRPr="00410384">
        <w:rPr>
          <w:rFonts w:ascii="Verdana" w:hAnsi="Verdana"/>
          <w:w w:val="95"/>
          <w:sz w:val="20"/>
          <w:szCs w:val="20"/>
          <w:lang w:val="es-EC"/>
        </w:rPr>
        <w:t>De forma acorde a tales características, el cadáver de María Isabel fue encontrado con evidentes signos de violencia, inclusive señales de ahorcamiento, una herida en el cráneo, una cortadura en la oreja y mordiscos en las extremidades superiores; su cabeza estaba envuelta por toallas y una bolsa, y tenía alimentos en su boca y su nariz (</w:t>
      </w:r>
      <w:r w:rsidRPr="00410384">
        <w:rPr>
          <w:rFonts w:ascii="Verdana" w:hAnsi="Verdana"/>
          <w:i/>
          <w:w w:val="95"/>
          <w:sz w:val="20"/>
          <w:szCs w:val="20"/>
          <w:lang w:val="es-EC"/>
        </w:rPr>
        <w:t>supra</w:t>
      </w:r>
      <w:r w:rsidRPr="00410384">
        <w:rPr>
          <w:rFonts w:ascii="Verdana" w:hAnsi="Verdana"/>
          <w:w w:val="95"/>
          <w:sz w:val="20"/>
          <w:szCs w:val="20"/>
          <w:lang w:val="es-EC"/>
        </w:rPr>
        <w:t xml:space="preserve"> párr. </w:t>
      </w:r>
      <w:r w:rsidR="00863E37" w:rsidRPr="00410384">
        <w:rPr>
          <w:rFonts w:ascii="Verdana" w:hAnsi="Verdana"/>
          <w:w w:val="95"/>
          <w:sz w:val="20"/>
          <w:szCs w:val="20"/>
          <w:lang w:val="es-EC"/>
        </w:rPr>
        <w:t>99</w:t>
      </w:r>
      <w:r w:rsidR="004E00D2" w:rsidRPr="003A2C6B">
        <w:rPr>
          <w:rFonts w:ascii="Verdana" w:hAnsi="Verdana"/>
          <w:w w:val="95"/>
          <w:sz w:val="20"/>
          <w:szCs w:val="20"/>
          <w:lang w:val="es-EC"/>
        </w:rPr>
        <w:t xml:space="preserve">), </w:t>
      </w:r>
      <w:r w:rsidRPr="003A2C6B">
        <w:rPr>
          <w:rFonts w:ascii="Verdana" w:hAnsi="Verdana"/>
          <w:w w:val="95"/>
          <w:sz w:val="20"/>
          <w:szCs w:val="20"/>
          <w:lang w:val="es-EC"/>
        </w:rPr>
        <w:t xml:space="preserve">además, </w:t>
      </w:r>
      <w:r w:rsidRPr="003A2C6B">
        <w:rPr>
          <w:rFonts w:ascii="Verdana" w:hAnsi="Verdana"/>
          <w:bCs/>
          <w:w w:val="95"/>
          <w:sz w:val="20"/>
          <w:szCs w:val="20"/>
          <w:lang w:val="es-CR"/>
        </w:rPr>
        <w:t xml:space="preserve">la blusa y el </w:t>
      </w:r>
      <w:r w:rsidRPr="003A2C6B">
        <w:rPr>
          <w:rFonts w:ascii="Verdana" w:hAnsi="Verdana"/>
          <w:bCs/>
          <w:i/>
          <w:w w:val="95"/>
          <w:sz w:val="20"/>
          <w:szCs w:val="20"/>
          <w:lang w:val="es-CR"/>
        </w:rPr>
        <w:t>bloomer</w:t>
      </w:r>
      <w:r w:rsidRPr="003A2C6B">
        <w:rPr>
          <w:rFonts w:ascii="Verdana" w:hAnsi="Verdana"/>
          <w:bCs/>
          <w:w w:val="95"/>
          <w:sz w:val="20"/>
          <w:szCs w:val="20"/>
          <w:lang w:val="es-CR"/>
        </w:rPr>
        <w:t xml:space="preserve"> que llevaba estaban rotos en la parte inferior (</w:t>
      </w:r>
      <w:r w:rsidRPr="003A2C6B">
        <w:rPr>
          <w:rFonts w:ascii="Verdana" w:hAnsi="Verdana"/>
          <w:bCs/>
          <w:i/>
          <w:w w:val="95"/>
          <w:sz w:val="20"/>
          <w:szCs w:val="20"/>
          <w:lang w:val="es-CR"/>
        </w:rPr>
        <w:t>supra</w:t>
      </w:r>
      <w:r w:rsidRPr="003A2C6B">
        <w:rPr>
          <w:rFonts w:ascii="Verdana" w:hAnsi="Verdana"/>
          <w:bCs/>
          <w:w w:val="95"/>
          <w:sz w:val="20"/>
          <w:szCs w:val="20"/>
          <w:lang w:val="es-CR"/>
        </w:rPr>
        <w:t xml:space="preserve"> párr. </w:t>
      </w:r>
      <w:r w:rsidR="00863E37" w:rsidRPr="003A2C6B">
        <w:rPr>
          <w:rFonts w:ascii="Verdana" w:hAnsi="Verdana"/>
          <w:bCs/>
          <w:w w:val="95"/>
          <w:sz w:val="20"/>
          <w:szCs w:val="20"/>
          <w:lang w:val="es-CR"/>
        </w:rPr>
        <w:t>110</w:t>
      </w:r>
      <w:r w:rsidR="004E00D2" w:rsidRPr="003A2C6B">
        <w:rPr>
          <w:rFonts w:ascii="Verdana" w:hAnsi="Verdana"/>
          <w:bCs/>
          <w:w w:val="95"/>
          <w:sz w:val="20"/>
          <w:szCs w:val="20"/>
          <w:lang w:val="es-CR"/>
        </w:rPr>
        <w:t xml:space="preserve">). </w:t>
      </w:r>
      <w:r w:rsidRPr="003A2C6B">
        <w:rPr>
          <w:rFonts w:ascii="Verdana" w:hAnsi="Verdana"/>
          <w:w w:val="95"/>
          <w:sz w:val="20"/>
          <w:szCs w:val="20"/>
          <w:lang w:val="es-EC"/>
        </w:rPr>
        <w:t xml:space="preserve">Ello resulta relevante y suficiente a los efectos de la aplicación al caso del artículo 7 de la Convención de Belém do </w:t>
      </w:r>
      <w:r w:rsidRPr="003A2C6B">
        <w:rPr>
          <w:rFonts w:ascii="Verdana" w:hAnsi="Verdana"/>
          <w:w w:val="95"/>
          <w:sz w:val="20"/>
          <w:szCs w:val="20"/>
          <w:lang w:val="es-EC"/>
        </w:rPr>
        <w:lastRenderedPageBreak/>
        <w:t>Pará</w:t>
      </w:r>
      <w:r w:rsidRPr="003A2C6B">
        <w:rPr>
          <w:rFonts w:ascii="Verdana" w:hAnsi="Verdana"/>
          <w:w w:val="95"/>
          <w:sz w:val="20"/>
          <w:szCs w:val="20"/>
          <w:vertAlign w:val="superscript"/>
          <w:lang w:val="es-EC"/>
        </w:rPr>
        <w:footnoteReference w:id="254"/>
      </w:r>
      <w:r w:rsidRPr="003A2C6B">
        <w:rPr>
          <w:rFonts w:ascii="Verdana" w:hAnsi="Verdana"/>
          <w:w w:val="95"/>
          <w:sz w:val="20"/>
          <w:szCs w:val="20"/>
          <w:lang w:val="es-EC"/>
        </w:rPr>
        <w:t>. Interesa aclarar que la falta de certeza absoluta sobre lo expresado se vincula a la falta de conclusión de la investigación interna, así como al modo en que ésta hasta ahora se ha desarrollado. Así, por ejemplo, elementos trascendentes como la presencia de violencia sexual en los hechos no han sido determinados en una forma certera (</w:t>
      </w:r>
      <w:r w:rsidRPr="003A2C6B">
        <w:rPr>
          <w:rFonts w:ascii="Verdana" w:hAnsi="Verdana"/>
          <w:i/>
          <w:w w:val="95"/>
          <w:sz w:val="20"/>
          <w:szCs w:val="20"/>
          <w:lang w:val="es-EC"/>
        </w:rPr>
        <w:t>supra</w:t>
      </w:r>
      <w:r w:rsidRPr="003A2C6B">
        <w:rPr>
          <w:rFonts w:ascii="Verdana" w:hAnsi="Verdana"/>
          <w:w w:val="95"/>
          <w:sz w:val="20"/>
          <w:szCs w:val="20"/>
          <w:lang w:val="es-EC"/>
        </w:rPr>
        <w:t xml:space="preserve"> párr</w:t>
      </w:r>
      <w:r w:rsidR="00D019C2" w:rsidRPr="003A2C6B">
        <w:rPr>
          <w:rFonts w:ascii="Verdana" w:hAnsi="Verdana"/>
          <w:w w:val="95"/>
          <w:sz w:val="20"/>
          <w:szCs w:val="20"/>
          <w:lang w:val="es-EC"/>
        </w:rPr>
        <w:t>.</w:t>
      </w:r>
      <w:r w:rsidRPr="003A2C6B">
        <w:rPr>
          <w:rFonts w:ascii="Verdana" w:hAnsi="Verdana"/>
          <w:w w:val="95"/>
          <w:sz w:val="20"/>
          <w:szCs w:val="20"/>
          <w:lang w:val="es-EC"/>
        </w:rPr>
        <w:t xml:space="preserve"> </w:t>
      </w:r>
      <w:r w:rsidR="00863E37" w:rsidRPr="003A2C6B">
        <w:rPr>
          <w:rFonts w:ascii="Verdana" w:hAnsi="Verdana"/>
          <w:w w:val="95"/>
          <w:sz w:val="20"/>
          <w:szCs w:val="20"/>
          <w:lang w:val="es-EC"/>
        </w:rPr>
        <w:t>111</w:t>
      </w:r>
      <w:r w:rsidR="004E00D2" w:rsidRPr="003A2C6B">
        <w:rPr>
          <w:rFonts w:ascii="Verdana" w:hAnsi="Verdana"/>
          <w:w w:val="95"/>
          <w:sz w:val="20"/>
          <w:szCs w:val="20"/>
          <w:lang w:val="es-EC"/>
        </w:rPr>
        <w:t xml:space="preserve"> </w:t>
      </w:r>
      <w:r w:rsidRPr="003A2C6B">
        <w:rPr>
          <w:rFonts w:ascii="Verdana" w:hAnsi="Verdana"/>
          <w:w w:val="95"/>
          <w:sz w:val="20"/>
          <w:szCs w:val="20"/>
          <w:lang w:val="es-EC"/>
        </w:rPr>
        <w:t xml:space="preserve">e </w:t>
      </w:r>
      <w:r w:rsidRPr="003A2C6B">
        <w:rPr>
          <w:rFonts w:ascii="Verdana" w:hAnsi="Verdana"/>
          <w:i/>
          <w:w w:val="95"/>
          <w:sz w:val="20"/>
          <w:szCs w:val="20"/>
          <w:lang w:val="es-EC"/>
        </w:rPr>
        <w:t>infra</w:t>
      </w:r>
      <w:r w:rsidRPr="003A2C6B">
        <w:rPr>
          <w:rFonts w:ascii="Verdana" w:hAnsi="Verdana"/>
          <w:w w:val="95"/>
          <w:sz w:val="20"/>
          <w:szCs w:val="20"/>
          <w:lang w:val="es-EC"/>
        </w:rPr>
        <w:t xml:space="preserve"> párr. </w:t>
      </w:r>
      <w:r w:rsidR="00DA5CDD" w:rsidRPr="003A2C6B">
        <w:rPr>
          <w:rFonts w:ascii="Verdana" w:hAnsi="Verdana"/>
          <w:w w:val="95"/>
          <w:sz w:val="20"/>
          <w:szCs w:val="20"/>
          <w:lang w:val="es-EC"/>
        </w:rPr>
        <w:t>196.b</w:t>
      </w:r>
      <w:r w:rsidRPr="003A2C6B">
        <w:rPr>
          <w:rFonts w:ascii="Verdana" w:hAnsi="Verdana"/>
          <w:w w:val="95"/>
          <w:sz w:val="20"/>
          <w:szCs w:val="20"/>
          <w:lang w:val="es-EC"/>
        </w:rPr>
        <w:t>).</w:t>
      </w:r>
    </w:p>
    <w:p w:rsidR="00DF15C3" w:rsidRPr="00943069" w:rsidRDefault="00DF15C3" w:rsidP="003F26FD">
      <w:pPr>
        <w:widowControl w:val="0"/>
        <w:autoSpaceDE w:val="0"/>
        <w:autoSpaceDN w:val="0"/>
        <w:adjustRightInd w:val="0"/>
        <w:spacing w:after="0" w:line="216" w:lineRule="auto"/>
        <w:ind w:right="-174"/>
        <w:jc w:val="both"/>
        <w:rPr>
          <w:rFonts w:ascii="Verdana" w:hAnsi="Verdana"/>
          <w:w w:val="95"/>
          <w:sz w:val="20"/>
          <w:szCs w:val="20"/>
          <w:lang w:val="es-CR"/>
        </w:rPr>
      </w:pPr>
    </w:p>
    <w:p w:rsidR="00DF15C3" w:rsidRDefault="00DF15C3" w:rsidP="003F26FD">
      <w:pPr>
        <w:pStyle w:val="Prrafodelista"/>
        <w:numPr>
          <w:ilvl w:val="0"/>
          <w:numId w:val="17"/>
        </w:numPr>
        <w:spacing w:after="0" w:line="216" w:lineRule="auto"/>
        <w:ind w:left="-142" w:right="-174" w:hanging="11"/>
        <w:contextualSpacing w:val="0"/>
        <w:jc w:val="both"/>
        <w:rPr>
          <w:rFonts w:ascii="Verdana" w:hAnsi="Verdana"/>
          <w:w w:val="95"/>
          <w:sz w:val="20"/>
          <w:szCs w:val="20"/>
          <w:lang w:val="es-CR"/>
        </w:rPr>
      </w:pPr>
      <w:r w:rsidRPr="00647C1C">
        <w:rPr>
          <w:rFonts w:ascii="Verdana" w:hAnsi="Verdana"/>
          <w:w w:val="95"/>
          <w:sz w:val="20"/>
          <w:szCs w:val="20"/>
          <w:lang w:val="es-CR"/>
        </w:rPr>
        <w:t>También la Corte considera relevante recordar su jurisprudencia respecto a los criterios aplicables a la valoración de la prueba en un caso. Este Tribunal ha señalado desde su primer caso contencioso que para un tribunal internacional los criterios de valoración de la prueba son menos rígidos que en los sistemas legales internos y ha sostenido que puede evaluar libremente las pruebas. La Corte debe aplicar una valoración de la prueba que tenga en cuenta la gravedad de la atribución de responsabilidad internacional a un Estado y que, sin perjuicio de ello, sea capaz de crear la convicción de la verdad de los hechos alegados</w:t>
      </w:r>
      <w:r>
        <w:rPr>
          <w:rFonts w:ascii="Verdana" w:hAnsi="Verdana"/>
          <w:w w:val="95"/>
          <w:sz w:val="20"/>
          <w:szCs w:val="20"/>
          <w:vertAlign w:val="superscript"/>
        </w:rPr>
        <w:footnoteReference w:id="255"/>
      </w:r>
      <w:r w:rsidRPr="00647C1C">
        <w:rPr>
          <w:rFonts w:ascii="Verdana" w:hAnsi="Verdana"/>
          <w:w w:val="95"/>
          <w:sz w:val="20"/>
          <w:szCs w:val="20"/>
          <w:lang w:val="es-CR"/>
        </w:rPr>
        <w:t>.</w:t>
      </w:r>
    </w:p>
    <w:p w:rsidR="00DF15C3" w:rsidRPr="00647C1C" w:rsidRDefault="00DF15C3" w:rsidP="003F26FD">
      <w:pPr>
        <w:spacing w:after="0" w:line="216" w:lineRule="auto"/>
        <w:ind w:right="-174"/>
        <w:jc w:val="both"/>
        <w:rPr>
          <w:rFonts w:ascii="Verdana" w:hAnsi="Verdana"/>
          <w:w w:val="95"/>
          <w:sz w:val="20"/>
          <w:szCs w:val="20"/>
          <w:lang w:val="es-CR"/>
        </w:rPr>
      </w:pPr>
      <w:r w:rsidRPr="00647C1C">
        <w:rPr>
          <w:rFonts w:ascii="Verdana" w:hAnsi="Verdana"/>
          <w:w w:val="95"/>
          <w:sz w:val="20"/>
          <w:szCs w:val="20"/>
          <w:lang w:val="es-CR"/>
        </w:rPr>
        <w:t xml:space="preserve"> </w:t>
      </w:r>
    </w:p>
    <w:p w:rsidR="00DF15C3" w:rsidRPr="00943069" w:rsidRDefault="00DF15C3" w:rsidP="003F26FD">
      <w:pPr>
        <w:pStyle w:val="Prrafodelista"/>
        <w:numPr>
          <w:ilvl w:val="0"/>
          <w:numId w:val="17"/>
        </w:numPr>
        <w:spacing w:after="0" w:line="216" w:lineRule="auto"/>
        <w:ind w:left="-142" w:right="-174" w:hanging="11"/>
        <w:contextualSpacing w:val="0"/>
        <w:jc w:val="both"/>
        <w:rPr>
          <w:rFonts w:ascii="Verdana" w:hAnsi="Verdana"/>
          <w:w w:val="95"/>
          <w:sz w:val="20"/>
          <w:szCs w:val="20"/>
          <w:lang w:val="es-CR"/>
        </w:rPr>
      </w:pPr>
      <w:r w:rsidRPr="00AA5F26">
        <w:rPr>
          <w:rFonts w:ascii="Verdana" w:hAnsi="Verdana"/>
          <w:w w:val="95"/>
          <w:sz w:val="20"/>
          <w:szCs w:val="20"/>
          <w:lang w:val="es-CR"/>
        </w:rPr>
        <w:t>En cuanto a los alegados impedimentos para realizar determinadas diligencias adecuadamente al momento de los hechos (</w:t>
      </w:r>
      <w:r w:rsidRPr="00AA5F26">
        <w:rPr>
          <w:rFonts w:ascii="Verdana" w:hAnsi="Verdana"/>
          <w:i/>
          <w:w w:val="95"/>
          <w:sz w:val="20"/>
          <w:szCs w:val="20"/>
          <w:lang w:val="es-CR"/>
        </w:rPr>
        <w:t xml:space="preserve">supra </w:t>
      </w:r>
      <w:r w:rsidRPr="00AA5F26">
        <w:rPr>
          <w:rFonts w:ascii="Verdana" w:hAnsi="Verdana"/>
          <w:w w:val="95"/>
          <w:sz w:val="20"/>
          <w:szCs w:val="20"/>
          <w:lang w:val="es-CR"/>
        </w:rPr>
        <w:t xml:space="preserve">párr. </w:t>
      </w:r>
      <w:r w:rsidR="00DA5CDD">
        <w:rPr>
          <w:rFonts w:ascii="Verdana" w:hAnsi="Verdana"/>
          <w:w w:val="95"/>
          <w:sz w:val="20"/>
          <w:szCs w:val="20"/>
          <w:lang w:val="es-CR"/>
        </w:rPr>
        <w:t>171</w:t>
      </w:r>
      <w:r w:rsidRPr="00AA5F26">
        <w:rPr>
          <w:rFonts w:ascii="Verdana" w:hAnsi="Verdana"/>
          <w:w w:val="95"/>
          <w:sz w:val="20"/>
          <w:szCs w:val="20"/>
          <w:lang w:val="es-CR"/>
        </w:rPr>
        <w:t>), la Corte recuerda que es un principio básico del Derecho Internacional, respaldado por la jurisprudencia internacional, que los Estados deben acatar sus obligaciones convencionales de buena fe (</w:t>
      </w:r>
      <w:r w:rsidRPr="00AA5F26">
        <w:rPr>
          <w:rFonts w:ascii="Verdana" w:hAnsi="Verdana"/>
          <w:i/>
          <w:w w:val="95"/>
          <w:sz w:val="20"/>
          <w:szCs w:val="20"/>
          <w:lang w:val="es-CR"/>
        </w:rPr>
        <w:t>pacta sunt servanda</w:t>
      </w:r>
      <w:r w:rsidRPr="00AA5F26">
        <w:rPr>
          <w:rFonts w:ascii="Verdana" w:hAnsi="Verdana"/>
          <w:w w:val="95"/>
          <w:sz w:val="20"/>
          <w:szCs w:val="20"/>
          <w:lang w:val="es-CR"/>
        </w:rPr>
        <w:t>) y, como ya ha señalado este Tribunal y lo dispone el artículo 27 de la Convención de Viena sobre el Derecho de los Tratados de 1969, aquellos no pueden por razones de orden interno dejar de cumplirla</w:t>
      </w:r>
      <w:r w:rsidRPr="00AA5F26">
        <w:rPr>
          <w:rFonts w:ascii="Verdana" w:hAnsi="Verdana"/>
          <w:w w:val="95"/>
          <w:sz w:val="20"/>
          <w:szCs w:val="20"/>
          <w:vertAlign w:val="superscript"/>
        </w:rPr>
        <w:footnoteReference w:id="256"/>
      </w:r>
      <w:r w:rsidRPr="00943069">
        <w:rPr>
          <w:rFonts w:ascii="Verdana" w:hAnsi="Verdana"/>
          <w:w w:val="95"/>
          <w:sz w:val="20"/>
          <w:szCs w:val="20"/>
          <w:lang w:val="es-CR"/>
        </w:rPr>
        <w:t>. Por lo que</w:t>
      </w:r>
      <w:r w:rsidR="00B37887">
        <w:rPr>
          <w:rFonts w:ascii="Verdana" w:hAnsi="Verdana"/>
          <w:w w:val="95"/>
          <w:sz w:val="20"/>
          <w:szCs w:val="20"/>
          <w:lang w:val="es-CR"/>
        </w:rPr>
        <w:t xml:space="preserve"> </w:t>
      </w:r>
      <w:r w:rsidRPr="00943069">
        <w:rPr>
          <w:rFonts w:ascii="Verdana" w:hAnsi="Verdana"/>
          <w:w w:val="95"/>
          <w:sz w:val="20"/>
          <w:szCs w:val="20"/>
          <w:lang w:val="es-CR"/>
        </w:rPr>
        <w:t>el Estado no puede excusar el incumplimiento de su obligación de investigar con la debida diligencia porque al m</w:t>
      </w:r>
      <w:r w:rsidR="00DA5CDD">
        <w:rPr>
          <w:rFonts w:ascii="Verdana" w:hAnsi="Verdana"/>
          <w:w w:val="95"/>
          <w:sz w:val="20"/>
          <w:szCs w:val="20"/>
          <w:lang w:val="es-CR"/>
        </w:rPr>
        <w:t>omento de los hechos no existía</w:t>
      </w:r>
      <w:r w:rsidRPr="00943069">
        <w:rPr>
          <w:rFonts w:ascii="Verdana" w:hAnsi="Verdana"/>
          <w:w w:val="95"/>
          <w:sz w:val="20"/>
          <w:szCs w:val="20"/>
          <w:lang w:val="es-CR"/>
        </w:rPr>
        <w:t xml:space="preserve"> normativa, procedimientos o medidas para realizar las diligencias investigati</w:t>
      </w:r>
      <w:r w:rsidRPr="00AA5F26">
        <w:rPr>
          <w:rFonts w:ascii="Verdana" w:hAnsi="Verdana"/>
          <w:w w:val="95"/>
          <w:sz w:val="20"/>
          <w:szCs w:val="20"/>
          <w:lang w:val="es-CR"/>
        </w:rPr>
        <w:t>vas iniciales adecuadamente de acuerdo a los estándares de derecho internacional que se desprenden de tratados aplicables y en vigor al momento de los hechos, y que este Tribunal ha precisado en su jurisprudencia (</w:t>
      </w:r>
      <w:r w:rsidRPr="00AA5F26">
        <w:rPr>
          <w:rFonts w:ascii="Verdana" w:hAnsi="Verdana"/>
          <w:i/>
          <w:w w:val="95"/>
          <w:sz w:val="20"/>
          <w:szCs w:val="20"/>
          <w:lang w:val="es-CR"/>
        </w:rPr>
        <w:t>infra</w:t>
      </w:r>
      <w:r w:rsidRPr="00AA5F26">
        <w:rPr>
          <w:rFonts w:ascii="Verdana" w:hAnsi="Verdana"/>
          <w:w w:val="95"/>
          <w:sz w:val="20"/>
          <w:szCs w:val="20"/>
          <w:lang w:val="es-CR"/>
        </w:rPr>
        <w:t xml:space="preserve"> párr. </w:t>
      </w:r>
      <w:r w:rsidR="00863E37" w:rsidRPr="001E0CE4">
        <w:rPr>
          <w:rFonts w:ascii="Verdana" w:hAnsi="Verdana"/>
          <w:w w:val="95"/>
          <w:sz w:val="20"/>
          <w:szCs w:val="20"/>
          <w:lang w:val="es-CR"/>
        </w:rPr>
        <w:t>188 y 189</w:t>
      </w:r>
      <w:r w:rsidR="004E00D2" w:rsidRPr="00AA5F26">
        <w:rPr>
          <w:rFonts w:ascii="Verdana" w:hAnsi="Verdana"/>
          <w:w w:val="95"/>
          <w:sz w:val="20"/>
          <w:szCs w:val="20"/>
          <w:lang w:val="es-CR"/>
        </w:rPr>
        <w:t xml:space="preserve">). </w:t>
      </w:r>
      <w:r w:rsidRPr="00AA5F26">
        <w:rPr>
          <w:rFonts w:ascii="Verdana" w:hAnsi="Verdana"/>
          <w:w w:val="95"/>
          <w:sz w:val="20"/>
          <w:szCs w:val="20"/>
          <w:lang w:val="es-CR"/>
        </w:rPr>
        <w:t xml:space="preserve">Sin perjuicio de esto, la Corte ha constado que en Guatemala ha habido avances de conformidad con la legislación vigente </w:t>
      </w:r>
      <w:r w:rsidR="00C627A1" w:rsidRPr="00122C63">
        <w:rPr>
          <w:rFonts w:ascii="Verdana" w:hAnsi="Verdana"/>
          <w:w w:val="95"/>
          <w:sz w:val="20"/>
          <w:szCs w:val="20"/>
          <w:lang w:val="es-CR"/>
        </w:rPr>
        <w:t xml:space="preserve">y </w:t>
      </w:r>
      <w:r w:rsidRPr="00AA5F26">
        <w:rPr>
          <w:rFonts w:ascii="Verdana" w:hAnsi="Verdana"/>
          <w:w w:val="95"/>
          <w:sz w:val="20"/>
          <w:szCs w:val="20"/>
          <w:lang w:val="es-CR"/>
        </w:rPr>
        <w:t xml:space="preserve">creado varios organismos, como la INACIF que han </w:t>
      </w:r>
      <w:r w:rsidR="005A7F11" w:rsidRPr="00AA5F26">
        <w:rPr>
          <w:rFonts w:ascii="Verdana" w:hAnsi="Verdana"/>
          <w:w w:val="95"/>
          <w:sz w:val="20"/>
          <w:szCs w:val="20"/>
          <w:lang w:val="es-CR"/>
        </w:rPr>
        <w:t>permit</w:t>
      </w:r>
      <w:r w:rsidR="005A7F11">
        <w:rPr>
          <w:rFonts w:ascii="Verdana" w:hAnsi="Verdana"/>
          <w:w w:val="95"/>
          <w:sz w:val="20"/>
          <w:szCs w:val="20"/>
          <w:lang w:val="es-CR"/>
        </w:rPr>
        <w:t>ido</w:t>
      </w:r>
      <w:r w:rsidR="005A7F11" w:rsidRPr="00AA5F26">
        <w:rPr>
          <w:rFonts w:ascii="Verdana" w:hAnsi="Verdana"/>
          <w:w w:val="95"/>
          <w:sz w:val="20"/>
          <w:szCs w:val="20"/>
          <w:lang w:val="es-CR"/>
        </w:rPr>
        <w:t xml:space="preserve"> </w:t>
      </w:r>
      <w:r w:rsidRPr="00AA5F26">
        <w:rPr>
          <w:rFonts w:ascii="Verdana" w:hAnsi="Verdana"/>
          <w:w w:val="95"/>
          <w:sz w:val="20"/>
          <w:szCs w:val="20"/>
          <w:lang w:val="es-CR"/>
        </w:rPr>
        <w:t>la realización de las diligencias de manera técnica y científica (</w:t>
      </w:r>
      <w:r w:rsidRPr="00AA5F26">
        <w:rPr>
          <w:rFonts w:ascii="Verdana" w:hAnsi="Verdana"/>
          <w:i/>
          <w:w w:val="95"/>
          <w:sz w:val="20"/>
          <w:szCs w:val="20"/>
          <w:lang w:val="es-CR"/>
        </w:rPr>
        <w:t>infra</w:t>
      </w:r>
      <w:r w:rsidRPr="00AA5F26">
        <w:rPr>
          <w:rFonts w:ascii="Verdana" w:hAnsi="Verdana"/>
          <w:w w:val="95"/>
          <w:sz w:val="20"/>
          <w:szCs w:val="20"/>
          <w:lang w:val="es-CR"/>
        </w:rPr>
        <w:t xml:space="preserve"> párr. </w:t>
      </w:r>
      <w:r w:rsidR="00863E37">
        <w:rPr>
          <w:rFonts w:ascii="Verdana" w:hAnsi="Verdana"/>
          <w:w w:val="95"/>
          <w:sz w:val="20"/>
          <w:szCs w:val="20"/>
          <w:lang w:val="es-CR"/>
        </w:rPr>
        <w:t>267</w:t>
      </w:r>
      <w:r w:rsidR="004E00D2" w:rsidRPr="00AA5F26">
        <w:rPr>
          <w:rFonts w:ascii="Verdana" w:hAnsi="Verdana"/>
          <w:w w:val="95"/>
          <w:sz w:val="20"/>
          <w:szCs w:val="20"/>
          <w:lang w:val="es-CR"/>
        </w:rPr>
        <w:t xml:space="preserve">). </w:t>
      </w:r>
    </w:p>
    <w:p w:rsidR="00DF15C3" w:rsidRPr="00943069" w:rsidRDefault="00DF15C3" w:rsidP="003F26FD">
      <w:pPr>
        <w:pStyle w:val="Prrafodelista"/>
        <w:spacing w:after="0" w:line="216" w:lineRule="auto"/>
        <w:ind w:left="-142" w:right="-174"/>
        <w:contextualSpacing w:val="0"/>
        <w:jc w:val="both"/>
        <w:rPr>
          <w:rFonts w:ascii="Verdana" w:hAnsi="Verdana"/>
          <w:w w:val="95"/>
          <w:sz w:val="20"/>
          <w:szCs w:val="20"/>
          <w:lang w:val="es-CR"/>
        </w:rPr>
      </w:pPr>
    </w:p>
    <w:p w:rsidR="00DF15C3" w:rsidRPr="00943069" w:rsidRDefault="00DF15C3" w:rsidP="003F26FD">
      <w:pPr>
        <w:pStyle w:val="Prrafodelista"/>
        <w:numPr>
          <w:ilvl w:val="0"/>
          <w:numId w:val="17"/>
        </w:numPr>
        <w:spacing w:after="0" w:line="216" w:lineRule="auto"/>
        <w:ind w:left="-142" w:right="-174" w:hanging="11"/>
        <w:contextualSpacing w:val="0"/>
        <w:jc w:val="both"/>
        <w:rPr>
          <w:rFonts w:ascii="Verdana" w:hAnsi="Verdana"/>
          <w:w w:val="95"/>
          <w:sz w:val="20"/>
          <w:szCs w:val="20"/>
          <w:lang w:val="es-CR"/>
        </w:rPr>
      </w:pPr>
      <w:r w:rsidRPr="00AA5F26">
        <w:rPr>
          <w:rFonts w:ascii="Verdana" w:hAnsi="Verdana"/>
          <w:w w:val="95"/>
          <w:sz w:val="20"/>
          <w:szCs w:val="20"/>
          <w:lang w:val="es-CR"/>
        </w:rPr>
        <w:t>Además, la Corte recuerda que Guatemala aceptó en el trámite ante la Comisión la falta a la debida diligencia en el proceso de investigación llevada a cabo por la muerte de María Isabel V</w:t>
      </w:r>
      <w:r>
        <w:rPr>
          <w:rFonts w:ascii="Verdana" w:hAnsi="Verdana"/>
          <w:w w:val="95"/>
          <w:sz w:val="20"/>
          <w:szCs w:val="20"/>
          <w:lang w:val="es-CR"/>
        </w:rPr>
        <w:t>e</w:t>
      </w:r>
      <w:r w:rsidRPr="00AA5F26">
        <w:rPr>
          <w:rFonts w:ascii="Verdana" w:hAnsi="Verdana"/>
          <w:w w:val="95"/>
          <w:sz w:val="20"/>
          <w:szCs w:val="20"/>
          <w:lang w:val="es-CR"/>
        </w:rPr>
        <w:t xml:space="preserve">liz Franco </w:t>
      </w:r>
      <w:r w:rsidRPr="00AA5F26">
        <w:rPr>
          <w:rFonts w:ascii="Verdana" w:hAnsi="Verdana" w:cs="Arial"/>
          <w:w w:val="95"/>
          <w:sz w:val="20"/>
          <w:szCs w:val="20"/>
          <w:lang w:val="es-CR"/>
        </w:rPr>
        <w:t>por los siguientes hechos: la omisión en practicar algunas pruebas forenses sobre el cadáver relativa</w:t>
      </w:r>
      <w:r w:rsidR="000A2ACA">
        <w:rPr>
          <w:rFonts w:ascii="Verdana" w:hAnsi="Verdana" w:cs="Arial"/>
          <w:w w:val="95"/>
          <w:sz w:val="20"/>
          <w:szCs w:val="20"/>
          <w:lang w:val="es-CR"/>
        </w:rPr>
        <w:t>s al levantamiento del cadáver</w:t>
      </w:r>
      <w:r w:rsidRPr="00AA5F26">
        <w:rPr>
          <w:rFonts w:ascii="Verdana" w:hAnsi="Verdana" w:cs="Arial"/>
          <w:w w:val="95"/>
          <w:sz w:val="20"/>
          <w:szCs w:val="20"/>
          <w:lang w:val="es-CR"/>
        </w:rPr>
        <w:t>, el atraso en la investigación por causa de un conflicto de competencia, y por no haber establecido una medida cautelar efectiva para asegurar la presencia de un sospechoso del homicidio de María Isabel (</w:t>
      </w:r>
      <w:r w:rsidRPr="00AA5F26">
        <w:rPr>
          <w:rFonts w:ascii="Verdana" w:hAnsi="Verdana" w:cs="Arial"/>
          <w:i/>
          <w:w w:val="95"/>
          <w:sz w:val="20"/>
          <w:szCs w:val="20"/>
          <w:lang w:val="es-CR"/>
        </w:rPr>
        <w:t>supra</w:t>
      </w:r>
      <w:r w:rsidRPr="00AA5F26">
        <w:rPr>
          <w:rFonts w:ascii="Verdana" w:hAnsi="Verdana" w:cs="Arial"/>
          <w:w w:val="95"/>
          <w:sz w:val="20"/>
          <w:szCs w:val="20"/>
          <w:lang w:val="es-CR"/>
        </w:rPr>
        <w:t xml:space="preserve"> párr.</w:t>
      </w:r>
      <w:bookmarkStart w:id="92" w:name="_Ref243801479"/>
      <w:bookmarkStart w:id="93" w:name="_Ref243816827"/>
      <w:r w:rsidR="00270B5B">
        <w:rPr>
          <w:rFonts w:ascii="Verdana" w:hAnsi="Verdana" w:cs="Arial"/>
          <w:w w:val="95"/>
          <w:sz w:val="20"/>
          <w:szCs w:val="20"/>
          <w:lang w:val="es-CR"/>
        </w:rPr>
        <w:t xml:space="preserve"> </w:t>
      </w:r>
      <w:r w:rsidR="00230951">
        <w:rPr>
          <w:rFonts w:ascii="Verdana" w:hAnsi="Verdana" w:cs="Arial"/>
          <w:w w:val="95"/>
          <w:sz w:val="20"/>
          <w:szCs w:val="20"/>
          <w:lang w:val="es-CR"/>
        </w:rPr>
        <w:t>19</w:t>
      </w:r>
      <w:r w:rsidRPr="00AA5F26">
        <w:rPr>
          <w:rFonts w:ascii="Verdana" w:hAnsi="Verdana" w:cs="Arial"/>
          <w:w w:val="95"/>
          <w:sz w:val="20"/>
          <w:szCs w:val="20"/>
          <w:lang w:val="es-CR"/>
        </w:rPr>
        <w:t xml:space="preserve">). </w:t>
      </w:r>
    </w:p>
    <w:p w:rsidR="00DF15C3" w:rsidRPr="00943069" w:rsidRDefault="00DF15C3" w:rsidP="003F26FD">
      <w:pPr>
        <w:spacing w:after="0" w:line="216" w:lineRule="auto"/>
        <w:ind w:right="-174"/>
        <w:jc w:val="both"/>
        <w:rPr>
          <w:rFonts w:ascii="Verdana" w:hAnsi="Verdana"/>
          <w:w w:val="95"/>
          <w:sz w:val="20"/>
          <w:szCs w:val="20"/>
          <w:highlight w:val="yellow"/>
          <w:lang w:val="es-CR"/>
        </w:rPr>
      </w:pPr>
    </w:p>
    <w:p w:rsidR="00DF15C3" w:rsidRPr="00943069" w:rsidRDefault="00DF15C3" w:rsidP="003F26FD">
      <w:pPr>
        <w:pStyle w:val="Prrafodelista"/>
        <w:numPr>
          <w:ilvl w:val="0"/>
          <w:numId w:val="17"/>
        </w:numPr>
        <w:spacing w:after="0" w:line="216" w:lineRule="auto"/>
        <w:ind w:left="-142" w:right="-174" w:hanging="11"/>
        <w:contextualSpacing w:val="0"/>
        <w:jc w:val="both"/>
        <w:rPr>
          <w:rFonts w:ascii="Verdana" w:hAnsi="Verdana"/>
          <w:w w:val="95"/>
          <w:sz w:val="20"/>
          <w:szCs w:val="20"/>
          <w:lang w:val="es-CR"/>
        </w:rPr>
      </w:pPr>
      <w:r w:rsidRPr="00AA5F26">
        <w:rPr>
          <w:rFonts w:ascii="Verdana" w:hAnsi="Verdana"/>
          <w:w w:val="95"/>
          <w:sz w:val="20"/>
          <w:szCs w:val="20"/>
          <w:lang w:val="es-CR"/>
        </w:rPr>
        <w:lastRenderedPageBreak/>
        <w:t>En consideración de lo anterior, debe analizarse, considerando los señalamientos de las partes y la Comisión, si las alegadas irregularidades en la investigación</w:t>
      </w:r>
      <w:bookmarkEnd w:id="92"/>
      <w:bookmarkEnd w:id="93"/>
      <w:r w:rsidRPr="00AA5F26">
        <w:rPr>
          <w:rFonts w:ascii="Verdana" w:hAnsi="Verdana"/>
          <w:w w:val="95"/>
          <w:sz w:val="20"/>
          <w:szCs w:val="20"/>
          <w:lang w:val="es-CR"/>
        </w:rPr>
        <w:t xml:space="preserve"> que cursa para el esclarecimiento de los hechos ocurridos a María Isabel constituyen o no una violación de las obligaciones derivadas en los derechos consagrados en los artículos 8.1 y 25.1 de la Convención Americana, en relación con los artículos 24 y 1.1 de la misma, así como con el artículo 7 de la Convención de Belém do Pará</w:t>
      </w:r>
      <w:bookmarkStart w:id="94" w:name="_Ref244172477"/>
      <w:r w:rsidRPr="00AA5F26">
        <w:rPr>
          <w:rFonts w:ascii="Verdana" w:hAnsi="Verdana"/>
          <w:w w:val="95"/>
          <w:sz w:val="20"/>
          <w:szCs w:val="20"/>
          <w:lang w:val="es-CR"/>
        </w:rPr>
        <w:t>.</w:t>
      </w:r>
      <w:bookmarkEnd w:id="94"/>
    </w:p>
    <w:p w:rsidR="00DF15C3" w:rsidRPr="00943069" w:rsidRDefault="00DF15C3" w:rsidP="003F26FD">
      <w:pPr>
        <w:pStyle w:val="Prrafodelista"/>
        <w:spacing w:after="0" w:line="216" w:lineRule="auto"/>
        <w:ind w:left="-142" w:right="-174"/>
        <w:rPr>
          <w:rFonts w:ascii="Verdana" w:hAnsi="Verdana"/>
          <w:w w:val="95"/>
          <w:sz w:val="20"/>
          <w:szCs w:val="20"/>
          <w:lang w:val="es-CR"/>
        </w:rPr>
      </w:pPr>
    </w:p>
    <w:p w:rsidR="00DF15C3" w:rsidRPr="00943069" w:rsidRDefault="00DF15C3" w:rsidP="003F26FD">
      <w:pPr>
        <w:pStyle w:val="Prrafodelista"/>
        <w:numPr>
          <w:ilvl w:val="0"/>
          <w:numId w:val="17"/>
        </w:numPr>
        <w:spacing w:after="0" w:line="216" w:lineRule="auto"/>
        <w:ind w:left="-142" w:right="-174" w:hanging="11"/>
        <w:contextualSpacing w:val="0"/>
        <w:jc w:val="both"/>
        <w:rPr>
          <w:rFonts w:ascii="Verdana" w:hAnsi="Verdana"/>
          <w:w w:val="95"/>
          <w:sz w:val="20"/>
          <w:szCs w:val="20"/>
          <w:lang w:val="es-CR"/>
        </w:rPr>
      </w:pPr>
      <w:r w:rsidRPr="00AA5F26">
        <w:rPr>
          <w:rFonts w:ascii="Verdana" w:hAnsi="Verdana"/>
          <w:w w:val="95"/>
          <w:sz w:val="20"/>
          <w:szCs w:val="20"/>
          <w:lang w:val="es-CR"/>
        </w:rPr>
        <w:t>La Corte reitera que la obligación de investigar violaciones de derechos humanos se encuentra dentro de las medidas positivas que deben adoptar los Estados para garantizar los derechos reconocidos en la Convención</w:t>
      </w:r>
      <w:bookmarkStart w:id="95" w:name="_Ref239849983"/>
      <w:r w:rsidRPr="00C35AA0">
        <w:rPr>
          <w:rStyle w:val="Refdenotaalpie"/>
          <w:rFonts w:ascii="Verdana" w:hAnsi="Verdana"/>
          <w:w w:val="95"/>
          <w:sz w:val="20"/>
          <w:szCs w:val="20"/>
        </w:rPr>
        <w:footnoteReference w:id="257"/>
      </w:r>
      <w:bookmarkEnd w:id="95"/>
      <w:r w:rsidRPr="00AA5F26">
        <w:rPr>
          <w:rFonts w:ascii="Verdana" w:hAnsi="Verdana"/>
          <w:w w:val="95"/>
          <w:sz w:val="20"/>
          <w:szCs w:val="20"/>
          <w:lang w:val="es-CR"/>
        </w:rPr>
        <w:t>. El deber de investigar es una obligación de medios y no de resultado. Sin embargo, debe ser asumida por el Estado como un deber jurídico propio y no como una simple formalidad condenada de antemano a ser infructuosa, o como una mera gestión de intereses particulares, que dependa de la iniciativa procesal de las víctimas o de sus familiares o de la aportación privada de elementos probatorios</w:t>
      </w:r>
      <w:r w:rsidRPr="00AA5F26">
        <w:rPr>
          <w:rFonts w:ascii="Verdana" w:hAnsi="Verdana"/>
          <w:w w:val="95"/>
          <w:sz w:val="20"/>
          <w:szCs w:val="20"/>
          <w:vertAlign w:val="superscript"/>
        </w:rPr>
        <w:footnoteReference w:id="258"/>
      </w:r>
      <w:r w:rsidRPr="00943069">
        <w:rPr>
          <w:rFonts w:ascii="Verdana" w:hAnsi="Verdana"/>
          <w:w w:val="95"/>
          <w:sz w:val="20"/>
          <w:szCs w:val="20"/>
          <w:lang w:val="es-CR"/>
        </w:rPr>
        <w:t>. A la luz de ese deber, una vez que las</w:t>
      </w:r>
      <w:r w:rsidRPr="00AA5F26">
        <w:rPr>
          <w:rFonts w:ascii="Verdana" w:hAnsi="Verdana"/>
          <w:w w:val="95"/>
          <w:sz w:val="20"/>
          <w:szCs w:val="20"/>
          <w:lang w:val="es-CR"/>
        </w:rPr>
        <w:t xml:space="preserve"> autoridades estatales tengan conocimiento del hecho, deben iniciar</w:t>
      </w:r>
      <w:r w:rsidRPr="00AA5F26">
        <w:rPr>
          <w:rFonts w:ascii="Verdana" w:hAnsi="Verdana"/>
          <w:i/>
          <w:w w:val="95"/>
          <w:sz w:val="20"/>
          <w:szCs w:val="20"/>
          <w:lang w:val="es-CR"/>
        </w:rPr>
        <w:t xml:space="preserve"> ex officio</w:t>
      </w:r>
      <w:r w:rsidRPr="00AA5F26">
        <w:rPr>
          <w:rFonts w:ascii="Verdana" w:hAnsi="Verdana"/>
          <w:w w:val="95"/>
          <w:sz w:val="20"/>
          <w:szCs w:val="20"/>
          <w:lang w:val="es-CR"/>
        </w:rPr>
        <w:t xml:space="preserve"> y sin dilación una investigación seria, imparcial y efectiva</w:t>
      </w:r>
      <w:r w:rsidRPr="00AA5F26">
        <w:rPr>
          <w:rFonts w:ascii="Verdana" w:hAnsi="Verdana"/>
          <w:w w:val="95"/>
          <w:sz w:val="20"/>
          <w:szCs w:val="20"/>
          <w:vertAlign w:val="superscript"/>
        </w:rPr>
        <w:footnoteReference w:id="259"/>
      </w:r>
      <w:r w:rsidRPr="00943069">
        <w:rPr>
          <w:rFonts w:ascii="Verdana" w:hAnsi="Verdana"/>
          <w:w w:val="95"/>
          <w:sz w:val="20"/>
          <w:szCs w:val="20"/>
          <w:lang w:val="es-CR"/>
        </w:rPr>
        <w:t xml:space="preserve">. Esta investigación debe ser realizada por todos los medios legales disponibles, y </w:t>
      </w:r>
      <w:r w:rsidR="00B37887">
        <w:rPr>
          <w:rFonts w:ascii="Verdana" w:hAnsi="Verdana"/>
          <w:w w:val="95"/>
          <w:sz w:val="20"/>
          <w:szCs w:val="20"/>
          <w:lang w:val="es-CR"/>
        </w:rPr>
        <w:t xml:space="preserve">ser </w:t>
      </w:r>
      <w:r w:rsidRPr="00943069">
        <w:rPr>
          <w:rFonts w:ascii="Verdana" w:hAnsi="Verdana"/>
          <w:w w:val="95"/>
          <w:sz w:val="20"/>
          <w:szCs w:val="20"/>
          <w:lang w:val="es-CR"/>
        </w:rPr>
        <w:t>orientada a la determinación de</w:t>
      </w:r>
      <w:r w:rsidRPr="00AA5F26">
        <w:rPr>
          <w:rFonts w:ascii="Verdana" w:hAnsi="Verdana"/>
          <w:w w:val="95"/>
          <w:sz w:val="20"/>
          <w:szCs w:val="20"/>
          <w:lang w:val="es-CR"/>
        </w:rPr>
        <w:t xml:space="preserve"> la verdad. La obligación del Estado de investigar debe cumplirse diligentemente para evitar la impunidad y que este tipo de hechos vuelvan a repetirse. En este sentido, la Corte recuerda que la impunidad fomenta la repetición de las violaciones de derechos humanos</w:t>
      </w:r>
      <w:r w:rsidRPr="00C35AA0">
        <w:rPr>
          <w:rStyle w:val="Refdenotaalpie"/>
          <w:rFonts w:ascii="Verdana" w:hAnsi="Verdana"/>
          <w:w w:val="95"/>
          <w:sz w:val="20"/>
          <w:szCs w:val="20"/>
        </w:rPr>
        <w:footnoteReference w:id="260"/>
      </w:r>
      <w:r w:rsidRPr="00AA5F26">
        <w:rPr>
          <w:rFonts w:ascii="Verdana" w:hAnsi="Verdana"/>
          <w:w w:val="95"/>
          <w:sz w:val="20"/>
          <w:szCs w:val="20"/>
          <w:lang w:val="es-CR"/>
        </w:rPr>
        <w:t xml:space="preserve">. De otra parte, este Tribunal ha advertido que esta obligación </w:t>
      </w:r>
      <w:r w:rsidRPr="00AA5F26">
        <w:rPr>
          <w:rFonts w:ascii="Verdana" w:eastAsia="MS Mincho" w:hAnsi="Verdana"/>
          <w:w w:val="95"/>
          <w:sz w:val="20"/>
          <w:szCs w:val="20"/>
          <w:lang w:val="es-CR" w:eastAsia="zh-CN"/>
        </w:rPr>
        <w:t>se mantiene “cualquiera sea el agente al cual pueda eventualmente atribuirse la violación, aún los particulares, pues, si sus hechos no son investigados con seriedad, resultarían, en cierto modo, auxiliados por el poder público, lo que comprometería la responsabilidad internacional del Estado”</w:t>
      </w:r>
      <w:r w:rsidRPr="00C35AA0">
        <w:rPr>
          <w:rStyle w:val="Refdenotaalpie"/>
          <w:rFonts w:ascii="Verdana" w:eastAsia="MS Mincho" w:hAnsi="Verdana"/>
          <w:w w:val="95"/>
          <w:sz w:val="20"/>
          <w:szCs w:val="20"/>
        </w:rPr>
        <w:footnoteReference w:id="261"/>
      </w:r>
      <w:r w:rsidRPr="00AA5F26">
        <w:rPr>
          <w:rFonts w:ascii="Verdana" w:eastAsia="MS Mincho" w:hAnsi="Verdana"/>
          <w:w w:val="95"/>
          <w:sz w:val="20"/>
          <w:szCs w:val="20"/>
          <w:lang w:val="es-CR" w:eastAsia="zh-CN"/>
        </w:rPr>
        <w:t>.</w:t>
      </w:r>
    </w:p>
    <w:p w:rsidR="00DF15C3" w:rsidRPr="00943069" w:rsidRDefault="00DF15C3" w:rsidP="003F26FD">
      <w:pPr>
        <w:pStyle w:val="Prrafodelista"/>
        <w:spacing w:after="0" w:line="216" w:lineRule="auto"/>
        <w:ind w:left="-142" w:right="-174"/>
        <w:contextualSpacing w:val="0"/>
        <w:jc w:val="both"/>
        <w:rPr>
          <w:rFonts w:ascii="Verdana" w:hAnsi="Verdana"/>
          <w:w w:val="95"/>
          <w:sz w:val="20"/>
          <w:szCs w:val="20"/>
          <w:lang w:val="es-CR"/>
        </w:rPr>
      </w:pPr>
    </w:p>
    <w:p w:rsidR="00DF15C3" w:rsidRPr="00943069" w:rsidRDefault="00DF15C3" w:rsidP="003F26FD">
      <w:pPr>
        <w:pStyle w:val="Prrafodelista"/>
        <w:numPr>
          <w:ilvl w:val="0"/>
          <w:numId w:val="17"/>
        </w:numPr>
        <w:spacing w:after="0" w:line="216" w:lineRule="auto"/>
        <w:ind w:left="-142" w:right="-174" w:hanging="11"/>
        <w:contextualSpacing w:val="0"/>
        <w:jc w:val="both"/>
        <w:rPr>
          <w:rFonts w:ascii="Verdana" w:hAnsi="Verdana"/>
          <w:w w:val="95"/>
          <w:sz w:val="20"/>
          <w:szCs w:val="20"/>
          <w:lang w:val="es-CR"/>
        </w:rPr>
      </w:pPr>
      <w:r w:rsidRPr="00AA5F26">
        <w:rPr>
          <w:rFonts w:ascii="Verdana" w:hAnsi="Verdana"/>
          <w:w w:val="95"/>
          <w:sz w:val="20"/>
          <w:szCs w:val="20"/>
          <w:lang w:val="es-CR"/>
        </w:rPr>
        <w:t>La Corte también ha señalado que del artículo 8 de la Convención se desprende que las víctimas de violaciones de derechos humanos, o sus familiares, deben contar con amplias posibilidades de ser oídos y actuar en los respectivos procesos, tanto en procura del esclarecimiento de los hechos y del castigo de los responsables, como en busca de una debida reparación</w:t>
      </w:r>
      <w:r>
        <w:rPr>
          <w:rStyle w:val="Refdenotaalpie"/>
          <w:rFonts w:ascii="Verdana" w:hAnsi="Verdana"/>
          <w:w w:val="95"/>
          <w:sz w:val="20"/>
          <w:szCs w:val="20"/>
          <w:lang w:val="es-CR"/>
        </w:rPr>
        <w:footnoteReference w:id="262"/>
      </w:r>
      <w:r w:rsidRPr="00AA5F26">
        <w:rPr>
          <w:rFonts w:ascii="Verdana" w:hAnsi="Verdana"/>
          <w:w w:val="95"/>
          <w:sz w:val="20"/>
          <w:szCs w:val="20"/>
          <w:lang w:val="es-CR"/>
        </w:rPr>
        <w:t>. Asimismo, el Tribunal ha establecido que la obligación de investigar y el correspondiente derecho de la presunta víctima o de los familiares no sólo se desprende de las normas convencionales de derecho internacional imperativas para los Estados Parte, sino que además se deriva de la legislación interna que hace referencia al deber de investigar de oficio ciertas conductas ilícitas y a las normas que permiten que las víctimas o sus familiares denuncien o presenten querellas, pruebas o peticiones o cualquier otra diligencia,</w:t>
      </w:r>
      <w:r w:rsidRPr="00AA5F26">
        <w:rPr>
          <w:rFonts w:ascii="Verdana" w:hAnsi="Verdana"/>
          <w:b/>
          <w:w w:val="95"/>
          <w:sz w:val="20"/>
          <w:szCs w:val="20"/>
          <w:lang w:val="es-CR"/>
        </w:rPr>
        <w:t xml:space="preserve"> </w:t>
      </w:r>
      <w:r w:rsidRPr="00AA5F26">
        <w:rPr>
          <w:rFonts w:ascii="Verdana" w:hAnsi="Verdana"/>
          <w:w w:val="95"/>
          <w:sz w:val="20"/>
          <w:szCs w:val="20"/>
          <w:lang w:val="es-CR"/>
        </w:rPr>
        <w:t>con la finalidad de participar procesalmente en la investigación penal con la pretensión de establecer la verdad de los hechos</w:t>
      </w:r>
      <w:r w:rsidRPr="00C35AA0">
        <w:rPr>
          <w:rStyle w:val="Refdenotaalpie"/>
          <w:rFonts w:ascii="Verdana" w:hAnsi="Verdana"/>
          <w:w w:val="95"/>
          <w:sz w:val="20"/>
          <w:szCs w:val="20"/>
        </w:rPr>
        <w:footnoteReference w:id="263"/>
      </w:r>
      <w:r>
        <w:rPr>
          <w:rFonts w:ascii="Verdana" w:hAnsi="Verdana"/>
          <w:w w:val="95"/>
          <w:sz w:val="20"/>
          <w:szCs w:val="20"/>
          <w:lang w:val="es-CR"/>
        </w:rPr>
        <w:t>.</w:t>
      </w:r>
    </w:p>
    <w:p w:rsidR="00DF15C3" w:rsidRPr="00943069" w:rsidRDefault="00DF15C3" w:rsidP="003F26FD">
      <w:pPr>
        <w:pStyle w:val="Prrafodelista"/>
        <w:spacing w:after="0" w:line="216" w:lineRule="auto"/>
        <w:ind w:left="-142" w:right="-174"/>
        <w:rPr>
          <w:rFonts w:ascii="Verdana" w:hAnsi="Verdana"/>
          <w:bCs/>
          <w:w w:val="95"/>
          <w:sz w:val="20"/>
          <w:szCs w:val="20"/>
          <w:highlight w:val="yellow"/>
          <w:lang w:val="es-CR"/>
        </w:rPr>
      </w:pPr>
    </w:p>
    <w:p w:rsidR="00DF15C3" w:rsidRPr="00943069" w:rsidRDefault="00DF15C3" w:rsidP="003F26FD">
      <w:pPr>
        <w:pStyle w:val="Prrafodelista"/>
        <w:numPr>
          <w:ilvl w:val="0"/>
          <w:numId w:val="17"/>
        </w:numPr>
        <w:spacing w:after="0" w:line="216" w:lineRule="auto"/>
        <w:ind w:left="-142" w:right="-174" w:hanging="11"/>
        <w:contextualSpacing w:val="0"/>
        <w:jc w:val="both"/>
        <w:rPr>
          <w:rFonts w:ascii="Verdana" w:hAnsi="Verdana"/>
          <w:w w:val="95"/>
          <w:sz w:val="20"/>
          <w:szCs w:val="20"/>
          <w:lang w:val="es-CR"/>
        </w:rPr>
      </w:pPr>
      <w:r w:rsidRPr="00AA5F26">
        <w:rPr>
          <w:rFonts w:ascii="Verdana" w:hAnsi="Verdana"/>
          <w:bCs/>
          <w:w w:val="95"/>
          <w:sz w:val="20"/>
          <w:szCs w:val="20"/>
          <w:lang w:val="es-CR"/>
        </w:rPr>
        <w:t>La Corte recuerda que en casos de violencia contra la mujer las obligaciones generales establecidas en los artículos 8 y 25 de la Convención Americana se complementan y refuerzan para aquellos Estados que son Parte, con las obligaciones derivadas del tratado interamericano específico, la Convención de Belém do Pará</w:t>
      </w:r>
      <w:r w:rsidRPr="00361E27">
        <w:rPr>
          <w:rFonts w:ascii="Verdana" w:hAnsi="Verdana"/>
          <w:w w:val="95"/>
          <w:sz w:val="20"/>
          <w:szCs w:val="20"/>
          <w:vertAlign w:val="superscript"/>
        </w:rPr>
        <w:footnoteReference w:id="264"/>
      </w:r>
      <w:r w:rsidRPr="00943069">
        <w:rPr>
          <w:rFonts w:ascii="Verdana" w:hAnsi="Verdana"/>
          <w:bCs/>
          <w:w w:val="95"/>
          <w:sz w:val="20"/>
          <w:szCs w:val="20"/>
          <w:lang w:val="es-CR"/>
        </w:rPr>
        <w:t>. En su artículo 7.b dicha Convención obliga de manera específica a los Estad</w:t>
      </w:r>
      <w:r w:rsidRPr="00AA5F26">
        <w:rPr>
          <w:rFonts w:ascii="Verdana" w:hAnsi="Verdana"/>
          <w:bCs/>
          <w:w w:val="95"/>
          <w:sz w:val="20"/>
          <w:szCs w:val="20"/>
          <w:lang w:val="es-CR"/>
        </w:rPr>
        <w:t xml:space="preserve">os Partes a utilizar la debida diligencia </w:t>
      </w:r>
      <w:r w:rsidRPr="00AA5F26">
        <w:rPr>
          <w:rFonts w:ascii="Verdana" w:hAnsi="Verdana"/>
          <w:bCs/>
          <w:w w:val="95"/>
          <w:sz w:val="20"/>
          <w:szCs w:val="20"/>
          <w:lang w:val="es-CR"/>
        </w:rPr>
        <w:lastRenderedPageBreak/>
        <w:t xml:space="preserve">para prevenir, </w:t>
      </w:r>
      <w:r>
        <w:rPr>
          <w:rFonts w:ascii="Verdana" w:hAnsi="Verdana"/>
          <w:bCs/>
          <w:w w:val="95"/>
          <w:sz w:val="20"/>
          <w:szCs w:val="20"/>
          <w:lang w:val="es-CR"/>
        </w:rPr>
        <w:t>sancionar</w:t>
      </w:r>
      <w:r w:rsidRPr="00AA5F26">
        <w:rPr>
          <w:rFonts w:ascii="Verdana" w:hAnsi="Verdana"/>
          <w:bCs/>
          <w:w w:val="95"/>
          <w:sz w:val="20"/>
          <w:szCs w:val="20"/>
          <w:lang w:val="es-CR"/>
        </w:rPr>
        <w:t xml:space="preserve"> y </w:t>
      </w:r>
      <w:r>
        <w:rPr>
          <w:rFonts w:ascii="Verdana" w:hAnsi="Verdana"/>
          <w:bCs/>
          <w:w w:val="95"/>
          <w:sz w:val="20"/>
          <w:szCs w:val="20"/>
          <w:lang w:val="es-CR"/>
        </w:rPr>
        <w:t>erradicar</w:t>
      </w:r>
      <w:r w:rsidRPr="00AA5F26">
        <w:rPr>
          <w:rFonts w:ascii="Verdana" w:hAnsi="Verdana"/>
          <w:bCs/>
          <w:w w:val="95"/>
          <w:sz w:val="20"/>
          <w:szCs w:val="20"/>
          <w:lang w:val="es-CR"/>
        </w:rPr>
        <w:t xml:space="preserve"> la violencia contra la mujer</w:t>
      </w:r>
      <w:r w:rsidRPr="00AA5F26">
        <w:rPr>
          <w:rFonts w:ascii="Verdana" w:hAnsi="Verdana"/>
          <w:w w:val="95"/>
          <w:sz w:val="20"/>
          <w:szCs w:val="20"/>
          <w:vertAlign w:val="superscript"/>
        </w:rPr>
        <w:footnoteReference w:id="265"/>
      </w:r>
      <w:r w:rsidRPr="00943069">
        <w:rPr>
          <w:rFonts w:ascii="Verdana" w:hAnsi="Verdana"/>
          <w:bCs/>
          <w:w w:val="95"/>
          <w:sz w:val="20"/>
          <w:szCs w:val="20"/>
          <w:lang w:val="es-CR"/>
        </w:rPr>
        <w:t>. En su artículo 7.c la Convención de Belém do Pará obliga a los Estados Partes a adoptar la normativa necesaria para investigar y sancionar la vio</w:t>
      </w:r>
      <w:r w:rsidRPr="00AA5F26">
        <w:rPr>
          <w:rFonts w:ascii="Verdana" w:hAnsi="Verdana"/>
          <w:bCs/>
          <w:w w:val="95"/>
          <w:sz w:val="20"/>
          <w:szCs w:val="20"/>
          <w:lang w:val="es-CR"/>
        </w:rPr>
        <w:t>lencia contra la mujer</w:t>
      </w:r>
      <w:r w:rsidRPr="00AA5F26">
        <w:rPr>
          <w:rFonts w:ascii="Verdana" w:hAnsi="Verdana"/>
          <w:w w:val="95"/>
          <w:sz w:val="20"/>
          <w:szCs w:val="20"/>
          <w:vertAlign w:val="superscript"/>
        </w:rPr>
        <w:footnoteReference w:id="266"/>
      </w:r>
      <w:r w:rsidRPr="00943069">
        <w:rPr>
          <w:rFonts w:ascii="Verdana" w:hAnsi="Verdana"/>
          <w:bCs/>
          <w:w w:val="95"/>
          <w:sz w:val="20"/>
          <w:szCs w:val="20"/>
          <w:lang w:val="es-CR"/>
        </w:rPr>
        <w:t xml:space="preserve">. En estos casos, las autoridades estatales deben iniciar </w:t>
      </w:r>
      <w:r w:rsidRPr="00AA5F26">
        <w:rPr>
          <w:rFonts w:ascii="Verdana" w:hAnsi="Verdana"/>
          <w:bCs/>
          <w:i/>
          <w:w w:val="95"/>
          <w:sz w:val="20"/>
          <w:szCs w:val="20"/>
          <w:lang w:val="es-CR"/>
        </w:rPr>
        <w:t xml:space="preserve">ex officio </w:t>
      </w:r>
      <w:r w:rsidRPr="00AA5F26">
        <w:rPr>
          <w:rFonts w:ascii="Verdana" w:hAnsi="Verdana"/>
          <w:bCs/>
          <w:w w:val="95"/>
          <w:sz w:val="20"/>
          <w:szCs w:val="20"/>
          <w:lang w:val="es-CR"/>
        </w:rPr>
        <w:t>y sin dilación, una investigación seria, imparcial y efectiva una vez que tomen conocimiento de los hechos que constituy</w:t>
      </w:r>
      <w:r>
        <w:rPr>
          <w:rFonts w:ascii="Verdana" w:hAnsi="Verdana"/>
          <w:bCs/>
          <w:w w:val="95"/>
          <w:sz w:val="20"/>
          <w:szCs w:val="20"/>
          <w:lang w:val="es-CR"/>
        </w:rPr>
        <w:t>a</w:t>
      </w:r>
      <w:r w:rsidRPr="00AA5F26">
        <w:rPr>
          <w:rFonts w:ascii="Verdana" w:hAnsi="Verdana"/>
          <w:bCs/>
          <w:w w:val="95"/>
          <w:sz w:val="20"/>
          <w:szCs w:val="20"/>
          <w:lang w:val="es-CR"/>
        </w:rPr>
        <w:t>n violencia contra la mujer, incluyendo la violencia sexual</w:t>
      </w:r>
      <w:r>
        <w:rPr>
          <w:rStyle w:val="Refdenotaalpie"/>
          <w:rFonts w:ascii="Verdana" w:hAnsi="Verdana"/>
          <w:bCs/>
          <w:w w:val="95"/>
          <w:sz w:val="20"/>
          <w:szCs w:val="20"/>
          <w:lang w:val="es-CR"/>
        </w:rPr>
        <w:footnoteReference w:id="267"/>
      </w:r>
      <w:r w:rsidRPr="00AA5F26">
        <w:rPr>
          <w:rFonts w:ascii="Verdana" w:hAnsi="Verdana"/>
          <w:bCs/>
          <w:w w:val="95"/>
          <w:sz w:val="20"/>
          <w:szCs w:val="20"/>
          <w:lang w:val="es-CR"/>
        </w:rPr>
        <w:t>. De tal modo, que ante un acto de violencia contra una mujer, resulta particularmente importante que las autoridades a cargo de la investigación la lleven adelante con determinación y eficacia, teniendo en cuenta el deber de la sociedad de rechazar la violencia contra las mujeres y las obligaciones del Estado de erradicarla y de brindar confianza a las víctimas en las instituciones estatales para su protección</w:t>
      </w:r>
      <w:r w:rsidRPr="00AA5F26">
        <w:rPr>
          <w:rFonts w:ascii="Verdana" w:hAnsi="Verdana"/>
          <w:w w:val="95"/>
          <w:sz w:val="20"/>
          <w:szCs w:val="20"/>
          <w:vertAlign w:val="superscript"/>
        </w:rPr>
        <w:footnoteReference w:id="268"/>
      </w:r>
      <w:r w:rsidRPr="00943069">
        <w:rPr>
          <w:rFonts w:ascii="Verdana" w:hAnsi="Verdana"/>
          <w:bCs/>
          <w:w w:val="95"/>
          <w:sz w:val="20"/>
          <w:szCs w:val="20"/>
          <w:lang w:val="es-CR"/>
        </w:rPr>
        <w:t>.</w:t>
      </w:r>
    </w:p>
    <w:p w:rsidR="00DF15C3" w:rsidRPr="00943069" w:rsidRDefault="00DF15C3" w:rsidP="003F26FD">
      <w:pPr>
        <w:pStyle w:val="Prrafodelista"/>
        <w:spacing w:after="0" w:line="216" w:lineRule="auto"/>
        <w:ind w:left="-142" w:right="-174"/>
        <w:rPr>
          <w:rFonts w:ascii="Verdana" w:hAnsi="Verdana"/>
          <w:bCs/>
          <w:w w:val="95"/>
          <w:sz w:val="20"/>
          <w:szCs w:val="20"/>
          <w:lang w:val="es-CR"/>
        </w:rPr>
      </w:pPr>
    </w:p>
    <w:p w:rsidR="00DF15C3" w:rsidRPr="00943069" w:rsidRDefault="00DF15C3" w:rsidP="003F26FD">
      <w:pPr>
        <w:pStyle w:val="Prrafodelista"/>
        <w:numPr>
          <w:ilvl w:val="0"/>
          <w:numId w:val="17"/>
        </w:numPr>
        <w:spacing w:after="0" w:line="216" w:lineRule="auto"/>
        <w:ind w:left="-142" w:right="-174" w:hanging="11"/>
        <w:contextualSpacing w:val="0"/>
        <w:jc w:val="both"/>
        <w:rPr>
          <w:rFonts w:ascii="Verdana" w:hAnsi="Verdana"/>
          <w:w w:val="95"/>
          <w:sz w:val="20"/>
          <w:szCs w:val="20"/>
          <w:lang w:val="es-CR"/>
        </w:rPr>
      </w:pPr>
      <w:r w:rsidRPr="00AA5F26">
        <w:rPr>
          <w:rFonts w:ascii="Verdana" w:hAnsi="Verdana"/>
          <w:bCs/>
          <w:w w:val="95"/>
          <w:sz w:val="20"/>
          <w:szCs w:val="20"/>
          <w:lang w:val="es-CR"/>
        </w:rPr>
        <w:t>La Corte también ha señalado que el deber de investigar efectivamente tiene alcances adicionales cuando se trata de una mujer que sufre una muerte, maltrato o afectación a su libertad personal en el marco de un contexto general de violencia contra las mujeres</w:t>
      </w:r>
      <w:r w:rsidRPr="00AA5F26">
        <w:rPr>
          <w:rFonts w:ascii="Verdana" w:hAnsi="Verdana"/>
          <w:w w:val="95"/>
          <w:sz w:val="20"/>
          <w:szCs w:val="20"/>
          <w:vertAlign w:val="superscript"/>
        </w:rPr>
        <w:footnoteReference w:id="269"/>
      </w:r>
      <w:r w:rsidRPr="00943069">
        <w:rPr>
          <w:rFonts w:ascii="Verdana" w:hAnsi="Verdana"/>
          <w:bCs/>
          <w:w w:val="95"/>
          <w:sz w:val="20"/>
          <w:szCs w:val="20"/>
          <w:lang w:val="es-CR"/>
        </w:rPr>
        <w:t xml:space="preserve">. </w:t>
      </w:r>
    </w:p>
    <w:p w:rsidR="00DF15C3" w:rsidRPr="00943069" w:rsidRDefault="00DF15C3" w:rsidP="003F26FD">
      <w:pPr>
        <w:pStyle w:val="Prrafodelista"/>
        <w:spacing w:after="0" w:line="216" w:lineRule="auto"/>
        <w:ind w:left="-142" w:right="-174"/>
        <w:contextualSpacing w:val="0"/>
        <w:jc w:val="both"/>
        <w:rPr>
          <w:rFonts w:ascii="Verdana" w:hAnsi="Verdana"/>
          <w:w w:val="95"/>
          <w:sz w:val="20"/>
          <w:szCs w:val="20"/>
          <w:lang w:val="es-CR"/>
        </w:rPr>
      </w:pPr>
    </w:p>
    <w:p w:rsidR="00DF15C3" w:rsidRPr="00943069" w:rsidRDefault="00DF15C3" w:rsidP="003F26FD">
      <w:pPr>
        <w:pStyle w:val="Prrafodelista"/>
        <w:numPr>
          <w:ilvl w:val="0"/>
          <w:numId w:val="17"/>
        </w:numPr>
        <w:spacing w:after="0" w:line="216" w:lineRule="auto"/>
        <w:ind w:left="-142" w:right="-174" w:hanging="11"/>
        <w:contextualSpacing w:val="0"/>
        <w:jc w:val="both"/>
        <w:rPr>
          <w:rFonts w:ascii="Verdana" w:hAnsi="Verdana"/>
          <w:w w:val="95"/>
          <w:sz w:val="20"/>
          <w:szCs w:val="20"/>
          <w:lang w:val="es-CR"/>
        </w:rPr>
      </w:pPr>
      <w:r w:rsidRPr="00AA5F26">
        <w:rPr>
          <w:rFonts w:ascii="Verdana" w:hAnsi="Verdana"/>
          <w:bCs/>
          <w:w w:val="95"/>
          <w:sz w:val="20"/>
          <w:szCs w:val="20"/>
          <w:lang w:val="es-CR"/>
        </w:rPr>
        <w:t>El criterio anterior es totalmente aplicable al analizarse los alcances del deber de debida diligencia en la investigación de casos de violencia por razón de género</w:t>
      </w:r>
      <w:r w:rsidRPr="00C35AA0">
        <w:rPr>
          <w:rStyle w:val="Refdenotaalpie"/>
          <w:rFonts w:ascii="Verdana" w:hAnsi="Verdana"/>
          <w:bCs/>
          <w:w w:val="95"/>
          <w:sz w:val="20"/>
          <w:szCs w:val="20"/>
        </w:rPr>
        <w:footnoteReference w:id="270"/>
      </w:r>
      <w:r w:rsidRPr="00AA5F26">
        <w:rPr>
          <w:rFonts w:ascii="Verdana" w:hAnsi="Verdana"/>
          <w:bCs/>
          <w:w w:val="95"/>
          <w:sz w:val="20"/>
          <w:szCs w:val="20"/>
          <w:lang w:val="es-CR"/>
        </w:rPr>
        <w:t xml:space="preserve">. A menudo es difícil probar en la práctica que un homicidio o acto de agresión violenta contra una mujer ha sido perpetrado por razón de género. Dicha imposibilidad a veces deriva de la ausencia de una investigación profunda y efectiva por parte de las autoridades sobre el incidente violento y sus causas. Es por ello que las autoridades estatales tienen la obligación de investigar </w:t>
      </w:r>
      <w:r w:rsidRPr="00AA5F26">
        <w:rPr>
          <w:rFonts w:ascii="Verdana" w:hAnsi="Verdana"/>
          <w:bCs/>
          <w:i/>
          <w:w w:val="95"/>
          <w:sz w:val="20"/>
          <w:szCs w:val="20"/>
          <w:lang w:val="es-CR"/>
        </w:rPr>
        <w:t xml:space="preserve">ex officio </w:t>
      </w:r>
      <w:r w:rsidRPr="00AA5F26">
        <w:rPr>
          <w:rFonts w:ascii="Verdana" w:hAnsi="Verdana"/>
          <w:bCs/>
          <w:w w:val="95"/>
          <w:sz w:val="20"/>
          <w:szCs w:val="20"/>
          <w:lang w:val="es-CR"/>
        </w:rPr>
        <w:t xml:space="preserve">las posibles connotaciones discriminatorias por razón de género en un acto de violencia perpetrado contra una mujer, especialmente cuando existen indicios concretos de violencia sexual de algún tipo o evidencias de ensañamiento contra el cuerpo de la mujer (por ejemplo, mutilaciones), o bien cuando dicho acto se enmarca dentro de un contexto de violencia contra la mujer que se da en un país o región determinada. </w:t>
      </w:r>
    </w:p>
    <w:p w:rsidR="00DF15C3" w:rsidRPr="00943069" w:rsidRDefault="00DF15C3" w:rsidP="003F26FD">
      <w:pPr>
        <w:pStyle w:val="Prrafodelista"/>
        <w:spacing w:after="0" w:line="216" w:lineRule="auto"/>
        <w:ind w:left="-142" w:right="-174"/>
        <w:contextualSpacing w:val="0"/>
        <w:jc w:val="both"/>
        <w:rPr>
          <w:rFonts w:ascii="Verdana" w:hAnsi="Verdana"/>
          <w:w w:val="95"/>
          <w:sz w:val="20"/>
          <w:szCs w:val="20"/>
          <w:lang w:val="es-CR"/>
        </w:rPr>
      </w:pPr>
    </w:p>
    <w:p w:rsidR="00DF15C3" w:rsidRPr="00943069" w:rsidRDefault="00DF15C3" w:rsidP="003F26FD">
      <w:pPr>
        <w:pStyle w:val="Prrafodelista"/>
        <w:numPr>
          <w:ilvl w:val="0"/>
          <w:numId w:val="17"/>
        </w:numPr>
        <w:spacing w:after="0" w:line="216" w:lineRule="auto"/>
        <w:ind w:left="-142" w:right="-174" w:hanging="11"/>
        <w:contextualSpacing w:val="0"/>
        <w:jc w:val="both"/>
        <w:rPr>
          <w:rFonts w:ascii="Verdana" w:hAnsi="Verdana"/>
          <w:w w:val="95"/>
          <w:sz w:val="20"/>
          <w:szCs w:val="20"/>
          <w:lang w:val="es-CR"/>
        </w:rPr>
      </w:pPr>
      <w:r w:rsidRPr="00AA5F26">
        <w:rPr>
          <w:rFonts w:ascii="Verdana" w:hAnsi="Verdana"/>
          <w:bCs/>
          <w:w w:val="95"/>
          <w:sz w:val="20"/>
          <w:szCs w:val="20"/>
          <w:lang w:val="es-CR"/>
        </w:rPr>
        <w:t xml:space="preserve">Asimismo, la Corte </w:t>
      </w:r>
      <w:r>
        <w:rPr>
          <w:rFonts w:ascii="Verdana" w:hAnsi="Verdana"/>
          <w:bCs/>
          <w:w w:val="95"/>
          <w:sz w:val="20"/>
          <w:szCs w:val="20"/>
          <w:lang w:val="es-CR"/>
        </w:rPr>
        <w:t>ha establecido</w:t>
      </w:r>
      <w:r w:rsidRPr="00AA5F26">
        <w:rPr>
          <w:rFonts w:ascii="Verdana" w:hAnsi="Verdana"/>
          <w:bCs/>
          <w:w w:val="95"/>
          <w:sz w:val="20"/>
          <w:szCs w:val="20"/>
          <w:lang w:val="es-CR"/>
        </w:rPr>
        <w:t xml:space="preserve"> que en casos de sospecha de homicidio por razón de género, la obligación estatal de investigar con la debida diligencia incluye el deber de ordenar de oficio los exámenes y pericias correspondientes tendientes a verificar si el homicidio tuvo un móvil sexual o si se produjo algún tipo de violencia sexual. En este sentido, la investigación sobre un supuesto homicidio por razón de género no debe limitarse a la muerte de la víctima, sino que debe abarcar otras afectaciones específicas contra la integridad personal, tales como torturas y actos de violencia sexual. En una investigación penal por violencia sexual es necesario que se documenten y coordinen los actos investigativos y se maneje diligentemente la prueba, tomando muestras suficientes, realizando estudios para determinar la posible autoría del hecho, asegurando otras pruebas como la ropa de la víctima, la investigación inmediata del lugar de los hechos y garantizando la correcta cadena de custodia</w:t>
      </w:r>
      <w:r w:rsidRPr="00C35AA0">
        <w:rPr>
          <w:rStyle w:val="Refdenotaalpie"/>
          <w:rFonts w:ascii="Verdana" w:hAnsi="Verdana"/>
          <w:bCs/>
          <w:w w:val="95"/>
          <w:sz w:val="20"/>
          <w:szCs w:val="20"/>
        </w:rPr>
        <w:footnoteReference w:id="271"/>
      </w:r>
      <w:r w:rsidRPr="00AA5F26">
        <w:rPr>
          <w:rFonts w:ascii="Verdana" w:hAnsi="Verdana"/>
          <w:bCs/>
          <w:w w:val="95"/>
          <w:sz w:val="20"/>
          <w:szCs w:val="20"/>
          <w:lang w:val="es-CR"/>
        </w:rPr>
        <w:t xml:space="preserve">. En </w:t>
      </w:r>
      <w:r w:rsidR="007836D7">
        <w:rPr>
          <w:rFonts w:ascii="Verdana" w:hAnsi="Verdana"/>
          <w:bCs/>
          <w:w w:val="95"/>
          <w:sz w:val="20"/>
          <w:szCs w:val="20"/>
          <w:lang w:val="es-CR"/>
        </w:rPr>
        <w:t>ese tenor</w:t>
      </w:r>
      <w:r w:rsidRPr="00AA5F26">
        <w:rPr>
          <w:rFonts w:ascii="Verdana" w:hAnsi="Verdana"/>
          <w:bCs/>
          <w:w w:val="95"/>
          <w:sz w:val="20"/>
          <w:szCs w:val="20"/>
          <w:lang w:val="es-CR"/>
        </w:rPr>
        <w:t>, las primeras fases de la investigación pueden ser especialmente cruciales en casos de homicidio contra la mujer por razón de género, ya que las fallas que se puedan producir en diligencias tales como las autopsias y en la recolección y conservación de evidencias físicas pueden llegar a impedir u obstaculizar la prueba de aspectos relevantes, como por ejemplo, la violencia sexual. En cuanto a la realización de autopsias en un contexto de homicidio por razón de género, la Corte ha especificado que se debe examinar cuidadosamente las áreas genital y para-genital en búsqueda de señales de abuso sexual, así como preservar líquido oral, vaginal y rectal, y vello externo y púbico de la víctima</w:t>
      </w:r>
      <w:r w:rsidRPr="00AA5F26">
        <w:rPr>
          <w:rFonts w:ascii="Verdana" w:hAnsi="Verdana"/>
          <w:w w:val="95"/>
          <w:sz w:val="20"/>
          <w:szCs w:val="20"/>
          <w:vertAlign w:val="superscript"/>
        </w:rPr>
        <w:footnoteReference w:id="272"/>
      </w:r>
      <w:r w:rsidRPr="00943069">
        <w:rPr>
          <w:rFonts w:ascii="Verdana" w:hAnsi="Verdana"/>
          <w:bCs/>
          <w:w w:val="95"/>
          <w:sz w:val="20"/>
          <w:szCs w:val="20"/>
          <w:lang w:val="es-CR"/>
        </w:rPr>
        <w:t>. Asimismo, en casos de supuestos actos de violencia cont</w:t>
      </w:r>
      <w:r w:rsidRPr="00AA5F26">
        <w:rPr>
          <w:rFonts w:ascii="Verdana" w:hAnsi="Verdana"/>
          <w:bCs/>
          <w:w w:val="95"/>
          <w:sz w:val="20"/>
          <w:szCs w:val="20"/>
          <w:lang w:val="es-CR"/>
        </w:rPr>
        <w:t xml:space="preserve">ra </w:t>
      </w:r>
      <w:r w:rsidRPr="00AA5F26">
        <w:rPr>
          <w:rFonts w:ascii="Verdana" w:hAnsi="Verdana"/>
          <w:bCs/>
          <w:w w:val="95"/>
          <w:sz w:val="20"/>
          <w:szCs w:val="20"/>
          <w:lang w:val="es-CR"/>
        </w:rPr>
        <w:lastRenderedPageBreak/>
        <w:t>la mujer, la investigación penal debe incluir una perspectiva de género y realizarse por funcionarios capacitados en casos similares y en atención a víctimas de discriminación y violencia por razón de género</w:t>
      </w:r>
      <w:r w:rsidRPr="00AA5F26">
        <w:rPr>
          <w:rFonts w:ascii="Verdana" w:hAnsi="Verdana"/>
          <w:w w:val="95"/>
          <w:sz w:val="20"/>
          <w:szCs w:val="20"/>
          <w:vertAlign w:val="superscript"/>
        </w:rPr>
        <w:footnoteReference w:id="273"/>
      </w:r>
      <w:r w:rsidRPr="00943069">
        <w:rPr>
          <w:rFonts w:ascii="Verdana" w:hAnsi="Verdana"/>
          <w:bCs/>
          <w:w w:val="95"/>
          <w:sz w:val="20"/>
          <w:szCs w:val="20"/>
          <w:lang w:val="es-CR"/>
        </w:rPr>
        <w:t xml:space="preserve">. </w:t>
      </w:r>
    </w:p>
    <w:p w:rsidR="00DF15C3" w:rsidRPr="00943069" w:rsidRDefault="00DF15C3" w:rsidP="003F26FD">
      <w:pPr>
        <w:pStyle w:val="Prrafodelista"/>
        <w:spacing w:after="0" w:line="216" w:lineRule="auto"/>
        <w:ind w:left="-142" w:right="-174"/>
        <w:contextualSpacing w:val="0"/>
        <w:jc w:val="both"/>
        <w:rPr>
          <w:rFonts w:ascii="Verdana" w:hAnsi="Verdana"/>
          <w:w w:val="95"/>
          <w:sz w:val="20"/>
          <w:szCs w:val="20"/>
          <w:lang w:val="es-CR"/>
        </w:rPr>
      </w:pPr>
    </w:p>
    <w:p w:rsidR="00DF15C3" w:rsidRPr="00943069" w:rsidRDefault="00DF15C3" w:rsidP="003F26FD">
      <w:pPr>
        <w:pStyle w:val="Prrafodelista"/>
        <w:numPr>
          <w:ilvl w:val="0"/>
          <w:numId w:val="17"/>
        </w:numPr>
        <w:spacing w:after="0" w:line="216" w:lineRule="auto"/>
        <w:ind w:left="-142" w:right="-174" w:hanging="11"/>
        <w:contextualSpacing w:val="0"/>
        <w:jc w:val="both"/>
        <w:rPr>
          <w:rFonts w:ascii="Verdana" w:hAnsi="Verdana"/>
          <w:w w:val="95"/>
          <w:sz w:val="20"/>
          <w:szCs w:val="20"/>
          <w:lang w:val="es-CR"/>
        </w:rPr>
      </w:pPr>
      <w:r w:rsidRPr="00AA5F26">
        <w:rPr>
          <w:rFonts w:ascii="Verdana" w:hAnsi="Verdana"/>
          <w:bCs/>
          <w:w w:val="95"/>
          <w:sz w:val="20"/>
          <w:szCs w:val="20"/>
          <w:lang w:val="es-CR"/>
        </w:rPr>
        <w:t>Adicionalmente, la Corte señala que los Estados tienen la obligación de adoptar normas o implementar las medidas necesarias, conforme al artículo 2 de la Convención Americana y al artículo 7.c de la Convención de Belém do Pará, que permitan a las autoridades ofrecer una investigación con debida diligencia en casos de supuesta violencia contra la mujer</w:t>
      </w:r>
      <w:r w:rsidRPr="00AA5F26">
        <w:rPr>
          <w:rFonts w:ascii="Verdana" w:hAnsi="Verdana"/>
          <w:w w:val="95"/>
          <w:sz w:val="20"/>
          <w:szCs w:val="20"/>
          <w:vertAlign w:val="superscript"/>
        </w:rPr>
        <w:footnoteReference w:id="274"/>
      </w:r>
      <w:r w:rsidRPr="00943069">
        <w:rPr>
          <w:rFonts w:ascii="Verdana" w:hAnsi="Verdana"/>
          <w:bCs/>
          <w:w w:val="95"/>
          <w:sz w:val="20"/>
          <w:szCs w:val="20"/>
          <w:lang w:val="es-CR"/>
        </w:rPr>
        <w:t xml:space="preserve">. </w:t>
      </w:r>
    </w:p>
    <w:p w:rsidR="00DF15C3" w:rsidRPr="00943069" w:rsidRDefault="00DF15C3" w:rsidP="003F26FD">
      <w:pPr>
        <w:spacing w:after="0" w:line="216" w:lineRule="auto"/>
        <w:ind w:right="-174"/>
        <w:jc w:val="both"/>
        <w:rPr>
          <w:rFonts w:ascii="Verdana" w:hAnsi="Verdana"/>
          <w:w w:val="95"/>
          <w:sz w:val="20"/>
          <w:szCs w:val="20"/>
          <w:lang w:val="es-CR"/>
        </w:rPr>
      </w:pPr>
    </w:p>
    <w:p w:rsidR="00DF15C3" w:rsidRPr="00450B8D" w:rsidRDefault="00DF15C3" w:rsidP="003F26FD">
      <w:pPr>
        <w:pStyle w:val="Prrafodelista"/>
        <w:numPr>
          <w:ilvl w:val="0"/>
          <w:numId w:val="17"/>
        </w:numPr>
        <w:spacing w:after="0" w:line="216" w:lineRule="auto"/>
        <w:ind w:left="-142" w:right="-174" w:hanging="11"/>
        <w:contextualSpacing w:val="0"/>
        <w:jc w:val="both"/>
        <w:rPr>
          <w:rFonts w:ascii="Verdana" w:hAnsi="Verdana"/>
          <w:w w:val="95"/>
          <w:sz w:val="20"/>
          <w:szCs w:val="20"/>
          <w:lang w:val="es-CR"/>
        </w:rPr>
      </w:pPr>
      <w:r w:rsidRPr="00AA5F26">
        <w:rPr>
          <w:rFonts w:ascii="Verdana" w:hAnsi="Verdana"/>
          <w:w w:val="95"/>
          <w:sz w:val="20"/>
          <w:szCs w:val="20"/>
          <w:lang w:val="es-CR"/>
        </w:rPr>
        <w:t xml:space="preserve">En el presente acápite el Tribunal analizará los siguientes aspectos: B.1) </w:t>
      </w:r>
      <w:r w:rsidR="00A26905">
        <w:rPr>
          <w:rFonts w:ascii="Verdana" w:hAnsi="Verdana"/>
          <w:w w:val="95"/>
          <w:sz w:val="20"/>
          <w:szCs w:val="20"/>
          <w:lang w:val="es-CR"/>
        </w:rPr>
        <w:t>I</w:t>
      </w:r>
      <w:r w:rsidRPr="00AA5F26">
        <w:rPr>
          <w:rFonts w:ascii="Verdana" w:hAnsi="Verdana"/>
          <w:w w:val="95"/>
          <w:sz w:val="20"/>
          <w:szCs w:val="20"/>
          <w:lang w:val="es-CR"/>
        </w:rPr>
        <w:t>rregularidades a partir del hallazgo del cuerpo de María Isabel, y posteriores actuaciones de los funcionarios estatales (resguardo del lugar del hallazgo, inspección ocular, acta de levantamiento</w:t>
      </w:r>
      <w:r>
        <w:rPr>
          <w:rFonts w:ascii="Verdana" w:hAnsi="Verdana"/>
          <w:w w:val="95"/>
          <w:sz w:val="20"/>
          <w:szCs w:val="20"/>
          <w:lang w:val="es-CR"/>
        </w:rPr>
        <w:t xml:space="preserve"> </w:t>
      </w:r>
      <w:r w:rsidRPr="0022623B">
        <w:rPr>
          <w:rFonts w:ascii="Verdana" w:hAnsi="Verdana"/>
          <w:w w:val="95"/>
          <w:sz w:val="20"/>
          <w:szCs w:val="20"/>
          <w:lang w:val="es-CR"/>
        </w:rPr>
        <w:t>de cadáver, cadena de custodia de las evidencias, autopsia, y peritajes); B.2) Seguimiento de llamadas telefónicas;</w:t>
      </w:r>
      <w:r w:rsidRPr="00AA5F26">
        <w:rPr>
          <w:rFonts w:ascii="Verdana" w:hAnsi="Verdana"/>
          <w:w w:val="95"/>
          <w:sz w:val="20"/>
          <w:szCs w:val="20"/>
          <w:lang w:val="es-CR"/>
        </w:rPr>
        <w:t xml:space="preserve"> B.3) </w:t>
      </w:r>
      <w:r>
        <w:rPr>
          <w:rFonts w:ascii="Verdana" w:hAnsi="Verdana"/>
          <w:w w:val="95"/>
          <w:sz w:val="20"/>
          <w:szCs w:val="20"/>
          <w:lang w:val="es-CR"/>
        </w:rPr>
        <w:t>F</w:t>
      </w:r>
      <w:r w:rsidRPr="00AA5F26">
        <w:rPr>
          <w:rFonts w:ascii="Verdana" w:hAnsi="Verdana"/>
          <w:w w:val="95"/>
          <w:sz w:val="20"/>
          <w:szCs w:val="20"/>
          <w:lang w:val="es-CR"/>
        </w:rPr>
        <w:t>alta de adopción de medidas cautelares respecto a un sospechoso; B</w:t>
      </w:r>
      <w:r w:rsidRPr="00450B8D">
        <w:rPr>
          <w:rFonts w:ascii="Verdana" w:hAnsi="Verdana"/>
          <w:w w:val="95"/>
          <w:sz w:val="20"/>
          <w:szCs w:val="20"/>
          <w:lang w:val="es-CR"/>
        </w:rPr>
        <w:t xml:space="preserve">.4) Discriminación y falta de investigación con perspectiva de género, y B.5) </w:t>
      </w:r>
      <w:r>
        <w:rPr>
          <w:rFonts w:ascii="Verdana" w:hAnsi="Verdana"/>
          <w:w w:val="95"/>
          <w:sz w:val="20"/>
          <w:szCs w:val="20"/>
          <w:lang w:val="es-CR"/>
        </w:rPr>
        <w:t>P</w:t>
      </w:r>
      <w:r w:rsidRPr="00450B8D">
        <w:rPr>
          <w:rFonts w:ascii="Verdana" w:hAnsi="Verdana"/>
          <w:w w:val="95"/>
          <w:sz w:val="20"/>
          <w:szCs w:val="20"/>
          <w:lang w:val="es-CR"/>
        </w:rPr>
        <w:t>lazo razonable.</w:t>
      </w:r>
    </w:p>
    <w:p w:rsidR="00DF15C3" w:rsidRPr="002B1610" w:rsidRDefault="00DF15C3" w:rsidP="003F26FD">
      <w:pPr>
        <w:pStyle w:val="Prrafodelista"/>
        <w:tabs>
          <w:tab w:val="left" w:pos="1676"/>
        </w:tabs>
        <w:spacing w:after="0" w:line="216" w:lineRule="auto"/>
        <w:ind w:left="-142" w:right="-174"/>
        <w:rPr>
          <w:rFonts w:ascii="Verdana" w:hAnsi="Verdana"/>
          <w:w w:val="95"/>
          <w:sz w:val="20"/>
          <w:szCs w:val="20"/>
          <w:lang w:val="es-CR"/>
        </w:rPr>
      </w:pPr>
      <w:r w:rsidRPr="002B1610">
        <w:rPr>
          <w:rFonts w:ascii="Verdana" w:hAnsi="Verdana"/>
          <w:w w:val="95"/>
          <w:sz w:val="20"/>
          <w:szCs w:val="20"/>
          <w:lang w:val="es-CR"/>
        </w:rPr>
        <w:tab/>
      </w:r>
    </w:p>
    <w:p w:rsidR="00DF15C3" w:rsidRPr="002B1610" w:rsidRDefault="00DF15C3" w:rsidP="003F26FD">
      <w:pPr>
        <w:pStyle w:val="Ttulo3"/>
        <w:spacing w:before="0" w:line="216" w:lineRule="auto"/>
        <w:ind w:left="567" w:right="-174"/>
        <w:jc w:val="both"/>
        <w:rPr>
          <w:rFonts w:ascii="Verdana" w:hAnsi="Verdana"/>
          <w:i/>
          <w:color w:val="auto"/>
          <w:w w:val="95"/>
          <w:sz w:val="20"/>
          <w:lang w:val="es-CR"/>
        </w:rPr>
      </w:pPr>
      <w:bookmarkStart w:id="96" w:name="_Toc394313679"/>
      <w:r w:rsidRPr="002B1610">
        <w:rPr>
          <w:rFonts w:ascii="Verdana" w:hAnsi="Verdana"/>
          <w:i/>
          <w:color w:val="auto"/>
          <w:w w:val="95"/>
          <w:sz w:val="20"/>
          <w:lang w:val="es-CR"/>
        </w:rPr>
        <w:t xml:space="preserve">B.1) </w:t>
      </w:r>
      <w:r w:rsidR="008D0CCC">
        <w:rPr>
          <w:rFonts w:ascii="Verdana" w:hAnsi="Verdana"/>
          <w:i/>
          <w:color w:val="auto"/>
          <w:w w:val="95"/>
          <w:sz w:val="20"/>
          <w:lang w:val="es-CR"/>
        </w:rPr>
        <w:t>I</w:t>
      </w:r>
      <w:r w:rsidRPr="002B1610">
        <w:rPr>
          <w:rFonts w:ascii="Verdana" w:hAnsi="Verdana"/>
          <w:i/>
          <w:color w:val="auto"/>
          <w:w w:val="95"/>
          <w:sz w:val="20"/>
          <w:lang w:val="es-CR"/>
        </w:rPr>
        <w:t>rregularidades a partir del hallazgo del cuerpo de María Isabel, y posteriores actuaciones de los funcionarios estatales (resguardo del lugar del hallazgo, inspección ocular, acta de levantamiento</w:t>
      </w:r>
      <w:r>
        <w:rPr>
          <w:rFonts w:ascii="Verdana" w:hAnsi="Verdana"/>
          <w:i/>
          <w:color w:val="auto"/>
          <w:w w:val="95"/>
          <w:sz w:val="20"/>
          <w:lang w:val="es-CR"/>
        </w:rPr>
        <w:t xml:space="preserve"> de cadáver</w:t>
      </w:r>
      <w:r w:rsidRPr="002B1610">
        <w:rPr>
          <w:rFonts w:ascii="Verdana" w:hAnsi="Verdana"/>
          <w:i/>
          <w:color w:val="auto"/>
          <w:w w:val="95"/>
          <w:sz w:val="20"/>
          <w:lang w:val="es-CR"/>
        </w:rPr>
        <w:t>, cadena de custodia de las evidencias, autopsia, y peritajes)</w:t>
      </w:r>
      <w:bookmarkEnd w:id="96"/>
    </w:p>
    <w:p w:rsidR="00DF15C3" w:rsidRPr="002B1610" w:rsidRDefault="00DF15C3" w:rsidP="003F26FD">
      <w:pPr>
        <w:pStyle w:val="Prrafodelista"/>
        <w:spacing w:after="0" w:line="216" w:lineRule="auto"/>
        <w:ind w:left="-142" w:right="-174"/>
        <w:rPr>
          <w:rFonts w:ascii="Verdana" w:hAnsi="Verdana"/>
          <w:w w:val="95"/>
          <w:sz w:val="20"/>
          <w:szCs w:val="20"/>
          <w:lang w:val="es-CR"/>
        </w:rPr>
      </w:pPr>
    </w:p>
    <w:p w:rsidR="00DF15C3" w:rsidRPr="00943069" w:rsidRDefault="00DF15C3" w:rsidP="003F26FD">
      <w:pPr>
        <w:pStyle w:val="Prrafodelista"/>
        <w:numPr>
          <w:ilvl w:val="0"/>
          <w:numId w:val="17"/>
        </w:numPr>
        <w:spacing w:after="0" w:line="216" w:lineRule="auto"/>
        <w:ind w:left="-142" w:right="-174" w:hanging="11"/>
        <w:contextualSpacing w:val="0"/>
        <w:jc w:val="both"/>
        <w:rPr>
          <w:rFonts w:ascii="Verdana" w:hAnsi="Verdana"/>
          <w:w w:val="95"/>
          <w:sz w:val="20"/>
          <w:szCs w:val="20"/>
          <w:lang w:val="es-CR"/>
        </w:rPr>
      </w:pPr>
      <w:r w:rsidRPr="00943069">
        <w:rPr>
          <w:rFonts w:ascii="Verdana" w:hAnsi="Verdana"/>
          <w:w w:val="95"/>
          <w:sz w:val="20"/>
          <w:szCs w:val="20"/>
          <w:lang w:val="es-CR"/>
        </w:rPr>
        <w:t>En otras oportunidades esta Corte ha establecido que la eficiente determinación de la verdad en el marc</w:t>
      </w:r>
      <w:r w:rsidRPr="00AA5F26">
        <w:rPr>
          <w:rFonts w:ascii="Verdana" w:hAnsi="Verdana"/>
          <w:w w:val="95"/>
          <w:sz w:val="20"/>
          <w:szCs w:val="20"/>
          <w:lang w:val="es-CR"/>
        </w:rPr>
        <w:t>o de la obligación de investigar una muerte, debe mostrarse desde las primeras diligencias con toda acuciosidad</w:t>
      </w:r>
      <w:r w:rsidRPr="00C35AA0">
        <w:rPr>
          <w:rStyle w:val="Refdenotaalpie"/>
          <w:rFonts w:ascii="Verdana" w:hAnsi="Verdana"/>
          <w:w w:val="95"/>
          <w:sz w:val="20"/>
          <w:szCs w:val="20"/>
        </w:rPr>
        <w:footnoteReference w:id="275"/>
      </w:r>
      <w:r w:rsidRPr="00AA5F26">
        <w:rPr>
          <w:rFonts w:ascii="Verdana" w:hAnsi="Verdana"/>
          <w:w w:val="95"/>
          <w:sz w:val="20"/>
          <w:szCs w:val="20"/>
          <w:lang w:val="es-CR"/>
        </w:rPr>
        <w:t xml:space="preserve">. </w:t>
      </w:r>
      <w:r w:rsidRPr="00AA5F26">
        <w:rPr>
          <w:rFonts w:ascii="Verdana" w:hAnsi="Verdana" w:cs="Verdana"/>
          <w:w w:val="95"/>
          <w:sz w:val="20"/>
          <w:szCs w:val="20"/>
          <w:lang w:val="es-CR"/>
        </w:rPr>
        <w:t xml:space="preserve">En este sentido, este Tribunal ha especificado los principios rectores que es preciso observar en una investigación </w:t>
      </w:r>
      <w:r w:rsidR="00F15CBE" w:rsidRPr="00D166F3">
        <w:rPr>
          <w:rFonts w:ascii="Verdana" w:hAnsi="Verdana" w:cs="Verdana"/>
          <w:w w:val="95"/>
          <w:sz w:val="20"/>
          <w:szCs w:val="20"/>
          <w:lang w:val="es-CR"/>
        </w:rPr>
        <w:t>cuando se está frente</w:t>
      </w:r>
      <w:r w:rsidRPr="00AA5F26">
        <w:rPr>
          <w:rFonts w:ascii="Verdana" w:hAnsi="Verdana" w:cs="Verdana"/>
          <w:w w:val="95"/>
          <w:sz w:val="20"/>
          <w:szCs w:val="20"/>
          <w:lang w:val="es-CR"/>
        </w:rPr>
        <w:t xml:space="preserve"> a una muerte violenta. Las autoridades estatales que conducen una investigación de este tipo deben intentar, como mínimo, </w:t>
      </w:r>
      <w:r w:rsidRPr="00AA5F26">
        <w:rPr>
          <w:rFonts w:ascii="Verdana" w:hAnsi="Verdana" w:cs="Verdana"/>
          <w:i/>
          <w:iCs/>
          <w:w w:val="95"/>
          <w:sz w:val="20"/>
          <w:szCs w:val="20"/>
          <w:lang w:val="es-CR"/>
        </w:rPr>
        <w:t>inter alia</w:t>
      </w:r>
      <w:r w:rsidRPr="00AA5F26">
        <w:rPr>
          <w:rFonts w:ascii="Verdana" w:hAnsi="Verdana" w:cs="Verdana"/>
          <w:w w:val="95"/>
          <w:sz w:val="20"/>
          <w:szCs w:val="20"/>
          <w:lang w:val="es-CR"/>
        </w:rPr>
        <w:t>: i) identificar a la víctima; ii) recuperar y preservar el material probatorio relacionado con la muerte, con el fin de ayudar en cualquier potencial investigación penal de los responsables; iii) identificar posibles testigos y obtener sus declaraciones en relación con la muerte que se investiga; iv) determinar la causa, forma, lugar y momento de la muerte, así como cualquier patrón o práctica que pueda haber causado la muerte, y v) distinguir entre muerte natural, muerte accidental, suicidio y homicidio. Además, es necesario investigar exhaustivamente la escena del crimen, se deben realizar autopsias y análisis de restos humanos, en forma rigurosa, por profesionales competentes y empleando los procedimientos más apropiados</w:t>
      </w:r>
      <w:r w:rsidRPr="00C35AA0">
        <w:rPr>
          <w:rStyle w:val="Refdenotaalpie"/>
          <w:rFonts w:ascii="Verdana" w:eastAsia="MS Mincho" w:hAnsi="Verdana"/>
          <w:w w:val="95"/>
          <w:sz w:val="20"/>
          <w:szCs w:val="20"/>
        </w:rPr>
        <w:footnoteReference w:id="276"/>
      </w:r>
      <w:r w:rsidRPr="00AA5F26">
        <w:rPr>
          <w:rFonts w:ascii="Verdana" w:hAnsi="Verdana" w:cs="Verdana"/>
          <w:w w:val="95"/>
          <w:sz w:val="20"/>
          <w:szCs w:val="20"/>
          <w:lang w:val="es-CR"/>
        </w:rPr>
        <w:t>.</w:t>
      </w:r>
      <w:r w:rsidRPr="00AA5F26">
        <w:rPr>
          <w:rFonts w:ascii="Verdana" w:hAnsi="Verdana"/>
          <w:w w:val="95"/>
          <w:sz w:val="20"/>
          <w:szCs w:val="20"/>
          <w:lang w:val="es-CR"/>
        </w:rPr>
        <w:t xml:space="preserve"> Este Tribunal ha establecido que la falta de protección adecuada de la escena del crimen puede afectar la investigación, por tratarse de un elemento fundamental para su buen curso</w:t>
      </w:r>
      <w:r w:rsidRPr="00AA5F26">
        <w:rPr>
          <w:rFonts w:ascii="Verdana" w:hAnsi="Verdana"/>
          <w:w w:val="95"/>
          <w:sz w:val="20"/>
          <w:szCs w:val="20"/>
          <w:vertAlign w:val="superscript"/>
        </w:rPr>
        <w:footnoteReference w:id="277"/>
      </w:r>
      <w:r w:rsidRPr="00943069">
        <w:rPr>
          <w:rFonts w:ascii="Verdana" w:hAnsi="Verdana"/>
          <w:w w:val="95"/>
          <w:sz w:val="20"/>
          <w:szCs w:val="20"/>
          <w:lang w:val="es-CR"/>
        </w:rPr>
        <w:t>.</w:t>
      </w:r>
    </w:p>
    <w:p w:rsidR="00DF15C3" w:rsidRPr="00943069" w:rsidRDefault="00DF15C3" w:rsidP="003F26FD">
      <w:pPr>
        <w:pStyle w:val="Prrafodelista"/>
        <w:spacing w:after="0" w:line="216" w:lineRule="auto"/>
        <w:ind w:left="-142" w:right="-174"/>
        <w:contextualSpacing w:val="0"/>
        <w:jc w:val="both"/>
        <w:rPr>
          <w:rFonts w:ascii="Verdana" w:hAnsi="Verdana"/>
          <w:w w:val="95"/>
          <w:sz w:val="20"/>
          <w:szCs w:val="20"/>
          <w:lang w:val="es-CR"/>
        </w:rPr>
      </w:pPr>
    </w:p>
    <w:p w:rsidR="00DF15C3" w:rsidRPr="00943069" w:rsidRDefault="00DF15C3" w:rsidP="003F26FD">
      <w:pPr>
        <w:pStyle w:val="Prrafodelista"/>
        <w:numPr>
          <w:ilvl w:val="0"/>
          <w:numId w:val="17"/>
        </w:numPr>
        <w:spacing w:after="0" w:line="216" w:lineRule="auto"/>
        <w:ind w:left="-142" w:right="-174" w:hanging="11"/>
        <w:contextualSpacing w:val="0"/>
        <w:jc w:val="both"/>
        <w:rPr>
          <w:rFonts w:ascii="Verdana" w:hAnsi="Verdana"/>
          <w:w w:val="95"/>
          <w:sz w:val="20"/>
          <w:szCs w:val="20"/>
          <w:lang w:val="es-CR"/>
        </w:rPr>
      </w:pPr>
      <w:r w:rsidRPr="00AA5F26">
        <w:rPr>
          <w:rFonts w:ascii="Verdana" w:hAnsi="Verdana"/>
          <w:bCs/>
          <w:w w:val="95"/>
          <w:sz w:val="20"/>
          <w:szCs w:val="20"/>
          <w:lang w:val="es-CR"/>
        </w:rPr>
        <w:t xml:space="preserve">Además, </w:t>
      </w:r>
      <w:r w:rsidRPr="00AA5F26">
        <w:rPr>
          <w:rFonts w:ascii="Verdana" w:hAnsi="Verdana"/>
          <w:w w:val="95"/>
          <w:sz w:val="20"/>
          <w:szCs w:val="20"/>
          <w:lang w:val="es-CR"/>
        </w:rPr>
        <w:t xml:space="preserve">los estándares internacionales señalan que, en relación con la escena del crimen, los investigadores deben, como mínimo, fotografiar </w:t>
      </w:r>
      <w:r w:rsidRPr="00AA5F26">
        <w:rPr>
          <w:rFonts w:ascii="Verdana" w:hAnsi="Verdana"/>
          <w:bCs/>
          <w:w w:val="95"/>
          <w:sz w:val="20"/>
          <w:szCs w:val="20"/>
          <w:lang w:val="es-CR"/>
        </w:rPr>
        <w:t xml:space="preserve">dicha escena, cualquier otra evidencia física y </w:t>
      </w:r>
      <w:r w:rsidRPr="00AA5F26">
        <w:rPr>
          <w:rFonts w:ascii="Verdana" w:hAnsi="Verdana"/>
          <w:w w:val="95"/>
          <w:sz w:val="20"/>
          <w:szCs w:val="20"/>
          <w:lang w:val="es-CR"/>
        </w:rPr>
        <w:t xml:space="preserve">el cuerpo como se encontró y después de moverlo; </w:t>
      </w:r>
      <w:r w:rsidRPr="00AA5F26">
        <w:rPr>
          <w:rFonts w:ascii="Verdana" w:hAnsi="Verdana"/>
          <w:bCs/>
          <w:w w:val="95"/>
          <w:sz w:val="20"/>
          <w:szCs w:val="20"/>
          <w:lang w:val="es-CR"/>
        </w:rPr>
        <w:t xml:space="preserve">todas las muestras de sangre, cabello, fibras, hilos u otras pistas deben ser recogidas y conservadas; examinar el </w:t>
      </w:r>
      <w:r w:rsidRPr="00AA5F26">
        <w:rPr>
          <w:rFonts w:ascii="Verdana" w:hAnsi="Verdana"/>
          <w:bCs/>
          <w:w w:val="95"/>
          <w:sz w:val="20"/>
          <w:szCs w:val="20"/>
          <w:lang w:val="es-CR"/>
        </w:rPr>
        <w:lastRenderedPageBreak/>
        <w:t>área en busca de huellas de zapatos o cualquier otra que tenga naturaleza de evidencia, y hacer un informe detallando cualquier observación de la escena, las acciones de los investigadores y la disposición de toda la evidencia coleccionada</w:t>
      </w:r>
      <w:bookmarkStart w:id="97" w:name="_Ref247014915"/>
      <w:r w:rsidRPr="00C35AA0">
        <w:rPr>
          <w:rStyle w:val="Refdenotaalpie"/>
          <w:rFonts w:ascii="Verdana" w:hAnsi="Verdana"/>
          <w:bCs/>
          <w:w w:val="95"/>
          <w:sz w:val="20"/>
          <w:szCs w:val="20"/>
        </w:rPr>
        <w:footnoteReference w:id="278"/>
      </w:r>
      <w:bookmarkEnd w:id="97"/>
      <w:r w:rsidRPr="00AA5F26">
        <w:rPr>
          <w:rFonts w:ascii="Verdana" w:hAnsi="Verdana"/>
          <w:bCs/>
          <w:w w:val="95"/>
          <w:sz w:val="20"/>
          <w:szCs w:val="20"/>
          <w:lang w:val="es-CR"/>
        </w:rPr>
        <w:t xml:space="preserve">. </w:t>
      </w:r>
      <w:r w:rsidRPr="00AA5F26">
        <w:rPr>
          <w:rFonts w:ascii="Verdana" w:hAnsi="Verdana"/>
          <w:w w:val="95"/>
          <w:sz w:val="20"/>
          <w:szCs w:val="20"/>
          <w:lang w:val="es-CR"/>
        </w:rPr>
        <w:t>Una de las acciones en el sitio del hallazgo de mayor riesgo es la manipulación del cadáver, el cual no debe ser manipulado sin la presencia de profesionales, quienes deben examinarlo y movilizarlo adecuadamente según la condición del cuerpo</w:t>
      </w:r>
      <w:r w:rsidRPr="00AA5F26">
        <w:rPr>
          <w:rFonts w:ascii="Verdana" w:hAnsi="Verdana"/>
          <w:w w:val="95"/>
          <w:sz w:val="20"/>
          <w:szCs w:val="20"/>
          <w:vertAlign w:val="superscript"/>
        </w:rPr>
        <w:footnoteReference w:id="279"/>
      </w:r>
      <w:r w:rsidRPr="00943069">
        <w:rPr>
          <w:rFonts w:ascii="Verdana" w:hAnsi="Verdana"/>
          <w:w w:val="95"/>
          <w:sz w:val="20"/>
          <w:szCs w:val="20"/>
          <w:lang w:val="es-CR"/>
        </w:rPr>
        <w:t xml:space="preserve">. </w:t>
      </w:r>
      <w:r w:rsidRPr="00AA5F26">
        <w:rPr>
          <w:rFonts w:ascii="Verdana" w:hAnsi="Verdana"/>
          <w:bCs/>
          <w:w w:val="95"/>
          <w:sz w:val="20"/>
          <w:szCs w:val="20"/>
          <w:lang w:val="es-CR"/>
        </w:rPr>
        <w:t xml:space="preserve">El </w:t>
      </w:r>
      <w:r w:rsidRPr="00AA5F26">
        <w:rPr>
          <w:rFonts w:ascii="Verdana" w:hAnsi="Verdana"/>
          <w:w w:val="95"/>
          <w:sz w:val="20"/>
          <w:szCs w:val="20"/>
          <w:lang w:val="es-CR"/>
        </w:rPr>
        <w:t xml:space="preserve">Protocolo de Minnesota </w:t>
      </w:r>
      <w:r w:rsidRPr="00AA5F26">
        <w:rPr>
          <w:rFonts w:ascii="Verdana" w:hAnsi="Verdana"/>
          <w:bCs/>
          <w:w w:val="95"/>
          <w:sz w:val="20"/>
          <w:szCs w:val="20"/>
          <w:lang w:val="es-CR"/>
        </w:rPr>
        <w:t>establece, entre otras obligaciones, que al investigar una escena del crimen se debe cerrar la zona contigua al cadáver, y prohibir, salvo para el investigador y su equipo, el ingreso a la misma</w:t>
      </w:r>
      <w:r w:rsidRPr="00C35AA0">
        <w:rPr>
          <w:rStyle w:val="Refdenotaalpie"/>
          <w:rFonts w:ascii="Verdana" w:hAnsi="Verdana"/>
          <w:bCs/>
          <w:w w:val="95"/>
          <w:sz w:val="20"/>
          <w:szCs w:val="20"/>
        </w:rPr>
        <w:footnoteReference w:id="280"/>
      </w:r>
      <w:r w:rsidRPr="00AA5F26">
        <w:rPr>
          <w:rFonts w:ascii="Verdana" w:hAnsi="Verdana"/>
          <w:bCs/>
          <w:w w:val="95"/>
          <w:sz w:val="20"/>
          <w:szCs w:val="20"/>
          <w:lang w:val="es-CR"/>
        </w:rPr>
        <w:t>.</w:t>
      </w:r>
      <w:r w:rsidRPr="00AA5F26">
        <w:rPr>
          <w:rFonts w:ascii="Verdana" w:hAnsi="Verdana"/>
          <w:w w:val="95"/>
          <w:sz w:val="20"/>
          <w:szCs w:val="20"/>
          <w:lang w:val="es-CR"/>
        </w:rPr>
        <w:t xml:space="preserve"> Mientras ello no suceda debe evitarse cualquier contaminación de la misma y mantenerla bajo custodia permanente</w:t>
      </w:r>
      <w:r w:rsidRPr="00AA5F26">
        <w:rPr>
          <w:rFonts w:ascii="Verdana" w:hAnsi="Verdana"/>
          <w:w w:val="95"/>
          <w:sz w:val="20"/>
          <w:szCs w:val="20"/>
          <w:vertAlign w:val="superscript"/>
        </w:rPr>
        <w:footnoteReference w:id="281"/>
      </w:r>
      <w:r w:rsidRPr="00943069">
        <w:rPr>
          <w:rFonts w:ascii="Verdana" w:hAnsi="Verdana"/>
          <w:w w:val="95"/>
          <w:sz w:val="20"/>
          <w:szCs w:val="20"/>
          <w:lang w:val="es-CR"/>
        </w:rPr>
        <w:t>. Además es fundamental como lo establece el Protocolo de Minnesota que “los funcionarios encargados del cumplimiento de la ley y otros investigadores no médicos […] coordin[en] sus actividades</w:t>
      </w:r>
      <w:r>
        <w:rPr>
          <w:rFonts w:ascii="Verdana" w:hAnsi="Verdana"/>
          <w:w w:val="95"/>
          <w:sz w:val="20"/>
          <w:szCs w:val="20"/>
          <w:lang w:val="es-CR"/>
        </w:rPr>
        <w:t xml:space="preserve"> […</w:t>
      </w:r>
      <w:r w:rsidRPr="00AA5F26">
        <w:rPr>
          <w:rFonts w:ascii="Verdana" w:hAnsi="Verdana"/>
          <w:w w:val="95"/>
          <w:sz w:val="20"/>
          <w:szCs w:val="20"/>
          <w:lang w:val="es-CR"/>
        </w:rPr>
        <w:t>en el lugar con el</w:t>
      </w:r>
      <w:r>
        <w:rPr>
          <w:rFonts w:ascii="Verdana" w:hAnsi="Verdana"/>
          <w:w w:val="95"/>
          <w:sz w:val="20"/>
          <w:szCs w:val="20"/>
          <w:lang w:val="es-CR"/>
        </w:rPr>
        <w:t>]</w:t>
      </w:r>
      <w:r w:rsidRPr="00AA5F26">
        <w:rPr>
          <w:rFonts w:ascii="Verdana" w:hAnsi="Verdana"/>
          <w:w w:val="95"/>
          <w:sz w:val="20"/>
          <w:szCs w:val="20"/>
          <w:lang w:val="es-CR"/>
        </w:rPr>
        <w:t xml:space="preserve"> personal médico</w:t>
      </w:r>
      <w:r w:rsidR="00501AF1">
        <w:rPr>
          <w:rFonts w:ascii="Verdana" w:hAnsi="Verdana"/>
          <w:w w:val="95"/>
          <w:sz w:val="20"/>
          <w:szCs w:val="20"/>
          <w:lang w:val="es-CR"/>
        </w:rPr>
        <w:t>”</w:t>
      </w:r>
      <w:r w:rsidRPr="00AA5F26">
        <w:rPr>
          <w:rFonts w:ascii="Verdana" w:hAnsi="Verdana"/>
          <w:w w:val="95"/>
          <w:sz w:val="20"/>
          <w:szCs w:val="20"/>
          <w:vertAlign w:val="superscript"/>
        </w:rPr>
        <w:footnoteReference w:id="282"/>
      </w:r>
      <w:r w:rsidRPr="00943069">
        <w:rPr>
          <w:rFonts w:ascii="Verdana" w:hAnsi="Verdana"/>
          <w:w w:val="95"/>
          <w:sz w:val="20"/>
          <w:szCs w:val="20"/>
          <w:lang w:val="es-CR"/>
        </w:rPr>
        <w:t xml:space="preserve">. </w:t>
      </w:r>
    </w:p>
    <w:p w:rsidR="00DF15C3" w:rsidRPr="00943069" w:rsidRDefault="00DF15C3" w:rsidP="003F26FD">
      <w:pPr>
        <w:widowControl w:val="0"/>
        <w:autoSpaceDE w:val="0"/>
        <w:autoSpaceDN w:val="0"/>
        <w:adjustRightInd w:val="0"/>
        <w:spacing w:after="0" w:line="216" w:lineRule="auto"/>
        <w:ind w:left="-142" w:right="-174"/>
        <w:jc w:val="both"/>
        <w:rPr>
          <w:rFonts w:ascii="Verdana" w:hAnsi="Verdana"/>
          <w:w w:val="95"/>
          <w:sz w:val="20"/>
          <w:szCs w:val="20"/>
          <w:lang w:val="es-CR"/>
        </w:rPr>
      </w:pPr>
    </w:p>
    <w:p w:rsidR="00DF15C3" w:rsidRPr="00943069" w:rsidRDefault="00DF15C3" w:rsidP="003F26FD">
      <w:pPr>
        <w:widowControl w:val="0"/>
        <w:numPr>
          <w:ilvl w:val="0"/>
          <w:numId w:val="17"/>
        </w:numPr>
        <w:autoSpaceDE w:val="0"/>
        <w:autoSpaceDN w:val="0"/>
        <w:adjustRightInd w:val="0"/>
        <w:spacing w:after="0" w:line="216" w:lineRule="auto"/>
        <w:ind w:left="-142" w:right="-174" w:firstLine="0"/>
        <w:jc w:val="both"/>
        <w:rPr>
          <w:rFonts w:ascii="Verdana" w:hAnsi="Verdana"/>
          <w:w w:val="95"/>
          <w:sz w:val="20"/>
          <w:szCs w:val="20"/>
          <w:lang w:val="es-CR"/>
        </w:rPr>
      </w:pPr>
      <w:r w:rsidRPr="00AA5F26">
        <w:rPr>
          <w:rFonts w:ascii="Verdana" w:hAnsi="Verdana"/>
          <w:w w:val="95"/>
          <w:sz w:val="20"/>
          <w:szCs w:val="20"/>
          <w:lang w:val="es-CR"/>
        </w:rPr>
        <w:t xml:space="preserve">Además, </w:t>
      </w:r>
      <w:r w:rsidRPr="00AA5F26">
        <w:rPr>
          <w:rFonts w:ascii="Verdana" w:hAnsi="Verdana"/>
          <w:bCs/>
          <w:w w:val="95"/>
          <w:sz w:val="20"/>
          <w:szCs w:val="20"/>
          <w:lang w:val="es-CR"/>
        </w:rPr>
        <w:t>la debida diligencia en una investigación médico-legal de una muerte exige el mantenimiento de la cadena de custodia de todo elemento de prueba forense</w:t>
      </w:r>
      <w:r w:rsidRPr="00943069">
        <w:rPr>
          <w:rStyle w:val="Refdenotaalpie"/>
          <w:rFonts w:ascii="Verdana" w:hAnsi="Verdana"/>
          <w:bCs/>
          <w:w w:val="95"/>
          <w:sz w:val="20"/>
          <w:szCs w:val="20"/>
        </w:rPr>
        <w:footnoteReference w:id="283"/>
      </w:r>
      <w:r w:rsidRPr="00943069">
        <w:rPr>
          <w:rFonts w:ascii="Verdana" w:hAnsi="Verdana"/>
          <w:bCs/>
          <w:w w:val="95"/>
          <w:sz w:val="20"/>
          <w:szCs w:val="20"/>
          <w:lang w:val="es-CR"/>
        </w:rPr>
        <w:t xml:space="preserve">. Ello consiste en llevar un registro escrito preciso, </w:t>
      </w:r>
      <w:r w:rsidRPr="00AA5F26">
        <w:rPr>
          <w:rFonts w:ascii="Verdana" w:hAnsi="Verdana"/>
          <w:bCs/>
          <w:w w:val="95"/>
          <w:sz w:val="20"/>
          <w:szCs w:val="20"/>
          <w:lang w:val="es-CR"/>
        </w:rPr>
        <w:t>complementado, según corresponda, por fotografías y demás elementos gráficos para documentar la historia del elemento de prueba a medida que pasa por las manos de diversos investigadores encargados del caso</w:t>
      </w:r>
      <w:bookmarkStart w:id="98" w:name="_Ref247895217"/>
      <w:r w:rsidRPr="00943069">
        <w:rPr>
          <w:rStyle w:val="Refdenotaalpie"/>
          <w:rFonts w:ascii="Verdana" w:eastAsia="Batang" w:hAnsi="Verdana"/>
          <w:bCs/>
          <w:w w:val="95"/>
          <w:sz w:val="20"/>
          <w:szCs w:val="20"/>
        </w:rPr>
        <w:footnoteReference w:id="284"/>
      </w:r>
      <w:bookmarkEnd w:id="98"/>
      <w:r w:rsidRPr="00943069">
        <w:rPr>
          <w:rFonts w:ascii="Verdana" w:hAnsi="Verdana"/>
          <w:bCs/>
          <w:w w:val="95"/>
          <w:sz w:val="20"/>
          <w:szCs w:val="20"/>
          <w:lang w:val="es-CR"/>
        </w:rPr>
        <w:t>.</w:t>
      </w:r>
    </w:p>
    <w:p w:rsidR="00DF15C3" w:rsidRPr="00943069" w:rsidRDefault="00DF15C3" w:rsidP="003F26FD">
      <w:pPr>
        <w:widowControl w:val="0"/>
        <w:autoSpaceDE w:val="0"/>
        <w:autoSpaceDN w:val="0"/>
        <w:adjustRightInd w:val="0"/>
        <w:spacing w:after="0" w:line="216" w:lineRule="auto"/>
        <w:ind w:left="-142" w:right="-174"/>
        <w:jc w:val="both"/>
        <w:rPr>
          <w:rFonts w:ascii="Verdana" w:hAnsi="Verdana"/>
          <w:w w:val="95"/>
          <w:sz w:val="20"/>
          <w:szCs w:val="20"/>
          <w:lang w:val="es-CR"/>
        </w:rPr>
      </w:pPr>
    </w:p>
    <w:p w:rsidR="00DF15C3" w:rsidRPr="00943069" w:rsidRDefault="00DF15C3" w:rsidP="003F26FD">
      <w:pPr>
        <w:widowControl w:val="0"/>
        <w:numPr>
          <w:ilvl w:val="0"/>
          <w:numId w:val="17"/>
        </w:numPr>
        <w:autoSpaceDE w:val="0"/>
        <w:autoSpaceDN w:val="0"/>
        <w:adjustRightInd w:val="0"/>
        <w:spacing w:after="0" w:line="216" w:lineRule="auto"/>
        <w:ind w:left="-142" w:right="-174" w:firstLine="0"/>
        <w:jc w:val="both"/>
        <w:rPr>
          <w:rFonts w:ascii="Verdana" w:hAnsi="Verdana"/>
          <w:w w:val="95"/>
          <w:sz w:val="20"/>
          <w:szCs w:val="20"/>
          <w:lang w:val="es-CR"/>
        </w:rPr>
      </w:pPr>
      <w:r w:rsidRPr="00AA5F26">
        <w:rPr>
          <w:rFonts w:ascii="Verdana" w:hAnsi="Verdana"/>
          <w:w w:val="95"/>
          <w:sz w:val="20"/>
          <w:szCs w:val="20"/>
          <w:lang w:val="es-CR"/>
        </w:rPr>
        <w:t>En cuanto a las autopsias, como lo ha señalado la Corte</w:t>
      </w:r>
      <w:r w:rsidR="000F0D22">
        <w:rPr>
          <w:rFonts w:ascii="Verdana" w:hAnsi="Verdana"/>
          <w:w w:val="95"/>
          <w:sz w:val="20"/>
          <w:szCs w:val="20"/>
          <w:lang w:val="es-CR"/>
        </w:rPr>
        <w:t>,</w:t>
      </w:r>
      <w:r w:rsidRPr="00AA5F26">
        <w:rPr>
          <w:rFonts w:ascii="Verdana" w:hAnsi="Verdana"/>
          <w:w w:val="95"/>
          <w:sz w:val="20"/>
          <w:szCs w:val="20"/>
          <w:lang w:val="es-CR"/>
        </w:rPr>
        <w:t xml:space="preserve"> tienen como objetivo recolectar, como mínimo, información para identificar a la persona muerta, la hora, la fecha, causa y forma de muerte. </w:t>
      </w:r>
      <w:r w:rsidRPr="00AA5F26">
        <w:rPr>
          <w:rFonts w:ascii="Verdana" w:hAnsi="Verdana"/>
          <w:bCs/>
          <w:w w:val="95"/>
          <w:sz w:val="20"/>
          <w:szCs w:val="20"/>
          <w:lang w:val="es-CR"/>
        </w:rPr>
        <w:t xml:space="preserve">Éstas deben respetar ciertas formalidades básicas, como indicar la fecha y hora de inicio y finalización, así como el lugar donde se realiza y el nombre del funcionario que la ejecuta. Asimismo, se debe, </w:t>
      </w:r>
      <w:r w:rsidRPr="00AA5F26">
        <w:rPr>
          <w:rFonts w:ascii="Verdana" w:hAnsi="Verdana"/>
          <w:bCs/>
          <w:i/>
          <w:w w:val="95"/>
          <w:sz w:val="20"/>
          <w:szCs w:val="20"/>
          <w:lang w:val="es-CR"/>
        </w:rPr>
        <w:t>inter alia</w:t>
      </w:r>
      <w:r w:rsidRPr="00AA5F26">
        <w:rPr>
          <w:rFonts w:ascii="Verdana" w:hAnsi="Verdana"/>
          <w:bCs/>
          <w:w w:val="95"/>
          <w:sz w:val="20"/>
          <w:szCs w:val="20"/>
          <w:lang w:val="es-CR"/>
        </w:rPr>
        <w:t>, fotografiar adecuadamente el cuerpo; tomar radiografías del cadáver, de su bolsa o envoltorio y después de desvestirlo, documentar toda lesión. Se debe documentar la ausencia, soltura o daño de los dientes, así como cualquier trabajo dental, y examinar cuidadosamente las áreas genital y para-genital en búsqueda de señales de abuso sexual (</w:t>
      </w:r>
      <w:r w:rsidRPr="008D0CCC">
        <w:rPr>
          <w:rFonts w:ascii="Verdana" w:hAnsi="Verdana"/>
          <w:bCs/>
          <w:i/>
          <w:w w:val="95"/>
          <w:sz w:val="20"/>
          <w:szCs w:val="20"/>
          <w:lang w:val="es-CR"/>
        </w:rPr>
        <w:t>supra</w:t>
      </w:r>
      <w:r w:rsidRPr="00AA5F26">
        <w:rPr>
          <w:rFonts w:ascii="Verdana" w:hAnsi="Verdana"/>
          <w:bCs/>
          <w:w w:val="95"/>
          <w:sz w:val="20"/>
          <w:szCs w:val="20"/>
          <w:lang w:val="es-CR"/>
        </w:rPr>
        <w:t xml:space="preserve"> párr. </w:t>
      </w:r>
      <w:r w:rsidR="008D0CCC">
        <w:rPr>
          <w:rFonts w:ascii="Verdana" w:hAnsi="Verdana"/>
          <w:bCs/>
          <w:w w:val="95"/>
          <w:sz w:val="20"/>
          <w:szCs w:val="20"/>
          <w:lang w:val="es-CR"/>
        </w:rPr>
        <w:t>188</w:t>
      </w:r>
      <w:r w:rsidR="004E00D2" w:rsidRPr="00AA5F26">
        <w:rPr>
          <w:rFonts w:ascii="Verdana" w:hAnsi="Verdana"/>
          <w:bCs/>
          <w:w w:val="95"/>
          <w:sz w:val="20"/>
          <w:szCs w:val="20"/>
          <w:lang w:val="es-CR"/>
        </w:rPr>
        <w:t xml:space="preserve">). </w:t>
      </w:r>
      <w:r w:rsidRPr="00AA5F26">
        <w:rPr>
          <w:rFonts w:ascii="Verdana" w:hAnsi="Verdana"/>
          <w:w w:val="95"/>
          <w:sz w:val="20"/>
          <w:szCs w:val="20"/>
          <w:lang w:val="es-CR"/>
        </w:rPr>
        <w:t>Asimismo, el Manual de Naciones Unidas indica que en los protocolos de autopsia se debe anotar la posición del cuerpo y sus condiciones, incluyendo si está tibio o frío, ligero o rígido; proteger las manos del cadáver, registrar la temperatura del ambiente y recoger cualquier insecto</w:t>
      </w:r>
      <w:r w:rsidRPr="00943069">
        <w:rPr>
          <w:rStyle w:val="Refdenotaalpie"/>
          <w:rFonts w:ascii="Verdana" w:hAnsi="Verdana"/>
          <w:w w:val="95"/>
          <w:sz w:val="20"/>
          <w:szCs w:val="20"/>
        </w:rPr>
        <w:footnoteReference w:id="285"/>
      </w:r>
      <w:r w:rsidRPr="00943069">
        <w:rPr>
          <w:rFonts w:ascii="Verdana" w:hAnsi="Verdana"/>
          <w:w w:val="95"/>
          <w:sz w:val="20"/>
          <w:szCs w:val="20"/>
          <w:lang w:val="es-CR"/>
        </w:rPr>
        <w:t>.</w:t>
      </w:r>
    </w:p>
    <w:p w:rsidR="00DF15C3" w:rsidRPr="00943069" w:rsidRDefault="00DF15C3" w:rsidP="003F26FD">
      <w:pPr>
        <w:widowControl w:val="0"/>
        <w:autoSpaceDE w:val="0"/>
        <w:autoSpaceDN w:val="0"/>
        <w:adjustRightInd w:val="0"/>
        <w:spacing w:after="0" w:line="216" w:lineRule="auto"/>
        <w:ind w:left="-142" w:right="-174"/>
        <w:jc w:val="both"/>
        <w:rPr>
          <w:rFonts w:ascii="Verdana" w:hAnsi="Verdana"/>
          <w:w w:val="95"/>
          <w:sz w:val="20"/>
          <w:szCs w:val="20"/>
          <w:lang w:val="es-CR"/>
        </w:rPr>
      </w:pPr>
    </w:p>
    <w:p w:rsidR="00DF15C3" w:rsidRPr="00943069" w:rsidRDefault="00DF15C3" w:rsidP="003F26FD">
      <w:pPr>
        <w:widowControl w:val="0"/>
        <w:numPr>
          <w:ilvl w:val="0"/>
          <w:numId w:val="17"/>
        </w:numPr>
        <w:autoSpaceDE w:val="0"/>
        <w:autoSpaceDN w:val="0"/>
        <w:adjustRightInd w:val="0"/>
        <w:spacing w:after="0" w:line="216" w:lineRule="auto"/>
        <w:ind w:left="-142" w:right="-174" w:firstLine="0"/>
        <w:jc w:val="both"/>
        <w:rPr>
          <w:rFonts w:ascii="Verdana" w:hAnsi="Verdana" w:cs="Arial"/>
          <w:w w:val="95"/>
          <w:sz w:val="20"/>
          <w:szCs w:val="20"/>
          <w:lang w:val="es-CR"/>
        </w:rPr>
      </w:pPr>
      <w:r w:rsidRPr="00AA5F26">
        <w:rPr>
          <w:rFonts w:ascii="Verdana" w:hAnsi="Verdana" w:cs="Tahoma"/>
          <w:w w:val="95"/>
          <w:sz w:val="20"/>
          <w:szCs w:val="20"/>
          <w:lang w:val="es-CR"/>
        </w:rPr>
        <w:t xml:space="preserve">Además, la jurisprudencia </w:t>
      </w:r>
      <w:r w:rsidRPr="00AA5F26">
        <w:rPr>
          <w:rFonts w:ascii="Verdana" w:hAnsi="Verdana" w:cs="Helvetica"/>
          <w:w w:val="95"/>
          <w:sz w:val="20"/>
          <w:szCs w:val="20"/>
          <w:lang w:val="es-CR" w:bidi="en-US"/>
        </w:rPr>
        <w:t>de la Corte ha señalado que un Estado puede ser responsable por dejar de “ordenar, practicar o valorar pruebas que hubieran sido de mucha importancia para el debido esclarecimiento de los homicidios”</w:t>
      </w:r>
      <w:r w:rsidRPr="00943069">
        <w:rPr>
          <w:rFonts w:ascii="Verdana" w:hAnsi="Verdana"/>
          <w:bCs/>
          <w:w w:val="95"/>
          <w:sz w:val="20"/>
          <w:szCs w:val="20"/>
          <w:vertAlign w:val="superscript"/>
        </w:rPr>
        <w:footnoteReference w:id="286"/>
      </w:r>
      <w:r w:rsidRPr="00943069">
        <w:rPr>
          <w:rFonts w:ascii="Verdana" w:hAnsi="Verdana" w:cs="Helvetica"/>
          <w:w w:val="95"/>
          <w:sz w:val="20"/>
          <w:szCs w:val="20"/>
          <w:lang w:val="es-CR" w:bidi="en-US"/>
        </w:rPr>
        <w:t>.</w:t>
      </w:r>
    </w:p>
    <w:p w:rsidR="00DF15C3" w:rsidRPr="00943069" w:rsidRDefault="00DF15C3" w:rsidP="003F26FD">
      <w:pPr>
        <w:widowControl w:val="0"/>
        <w:autoSpaceDE w:val="0"/>
        <w:autoSpaceDN w:val="0"/>
        <w:adjustRightInd w:val="0"/>
        <w:spacing w:after="0" w:line="216" w:lineRule="auto"/>
        <w:ind w:left="-142" w:right="-174"/>
        <w:jc w:val="both"/>
        <w:rPr>
          <w:rFonts w:ascii="Verdana" w:hAnsi="Verdana" w:cs="Arial"/>
          <w:w w:val="95"/>
          <w:sz w:val="20"/>
          <w:szCs w:val="20"/>
          <w:lang w:val="es-CR"/>
        </w:rPr>
      </w:pPr>
    </w:p>
    <w:p w:rsidR="00DF15C3" w:rsidRPr="00943069" w:rsidRDefault="00DF15C3" w:rsidP="003F26FD">
      <w:pPr>
        <w:numPr>
          <w:ilvl w:val="0"/>
          <w:numId w:val="17"/>
        </w:numPr>
        <w:spacing w:after="0" w:line="216" w:lineRule="auto"/>
        <w:ind w:left="-142" w:right="-174" w:firstLine="0"/>
        <w:jc w:val="both"/>
        <w:rPr>
          <w:rFonts w:ascii="Verdana" w:hAnsi="Verdana"/>
          <w:w w:val="95"/>
          <w:sz w:val="20"/>
          <w:szCs w:val="20"/>
          <w:lang w:val="es-CR"/>
        </w:rPr>
      </w:pPr>
      <w:r w:rsidRPr="00AA5F26">
        <w:rPr>
          <w:rFonts w:ascii="Verdana" w:hAnsi="Verdana"/>
          <w:w w:val="95"/>
          <w:sz w:val="20"/>
          <w:szCs w:val="20"/>
          <w:lang w:val="es-CR"/>
        </w:rPr>
        <w:t>Esta Corte ha constado lo siguiente:</w:t>
      </w:r>
    </w:p>
    <w:p w:rsidR="00DF15C3" w:rsidRPr="00943069" w:rsidRDefault="00DF15C3" w:rsidP="003F26FD">
      <w:pPr>
        <w:spacing w:after="0" w:line="216" w:lineRule="auto"/>
        <w:ind w:left="-142" w:right="-174"/>
        <w:jc w:val="both"/>
        <w:rPr>
          <w:rFonts w:ascii="Verdana" w:hAnsi="Verdana"/>
          <w:w w:val="95"/>
          <w:sz w:val="20"/>
          <w:szCs w:val="20"/>
          <w:lang w:val="es-CR"/>
        </w:rPr>
      </w:pPr>
    </w:p>
    <w:p w:rsidR="00DF15C3" w:rsidRPr="00943069" w:rsidRDefault="00DF15C3" w:rsidP="003F26FD">
      <w:pPr>
        <w:pStyle w:val="Prrafodelista"/>
        <w:numPr>
          <w:ilvl w:val="0"/>
          <w:numId w:val="11"/>
        </w:numPr>
        <w:spacing w:after="0" w:line="216" w:lineRule="auto"/>
        <w:ind w:right="-174" w:firstLine="0"/>
        <w:jc w:val="both"/>
        <w:rPr>
          <w:rFonts w:ascii="Verdana" w:hAnsi="Verdana"/>
          <w:w w:val="95"/>
          <w:sz w:val="20"/>
          <w:szCs w:val="20"/>
          <w:lang w:val="es-CR"/>
        </w:rPr>
      </w:pPr>
      <w:r w:rsidRPr="00AA5F26">
        <w:rPr>
          <w:rFonts w:ascii="Verdana" w:hAnsi="Verdana"/>
          <w:w w:val="95"/>
          <w:sz w:val="20"/>
          <w:szCs w:val="20"/>
          <w:lang w:val="es-CR"/>
        </w:rPr>
        <w:t>las autoridades estatales no adoptaron las medidas adecuadas para resguardar debidamente el lugar del hallazgo del cuerpo de María Isabel y evitar la pérdida de evidencia y la contaminación de zonas aledañas a la escena del crimen, en las cuales podría</w:t>
      </w:r>
      <w:r>
        <w:rPr>
          <w:rFonts w:ascii="Verdana" w:hAnsi="Verdana"/>
          <w:w w:val="95"/>
          <w:sz w:val="20"/>
          <w:szCs w:val="20"/>
          <w:lang w:val="es-CR"/>
        </w:rPr>
        <w:t>n</w:t>
      </w:r>
      <w:r w:rsidRPr="00AA5F26">
        <w:rPr>
          <w:rFonts w:ascii="Verdana" w:hAnsi="Verdana"/>
          <w:w w:val="95"/>
          <w:sz w:val="20"/>
          <w:szCs w:val="20"/>
          <w:lang w:val="es-CR"/>
        </w:rPr>
        <w:t xml:space="preserve"> haberse recuperado evidencias útiles (</w:t>
      </w:r>
      <w:r w:rsidR="00230951">
        <w:rPr>
          <w:rFonts w:ascii="Verdana" w:hAnsi="Verdana"/>
          <w:i/>
          <w:w w:val="95"/>
          <w:sz w:val="20"/>
          <w:szCs w:val="20"/>
          <w:lang w:val="es-CR"/>
        </w:rPr>
        <w:t>inf</w:t>
      </w:r>
      <w:r w:rsidRPr="00AA5F26">
        <w:rPr>
          <w:rFonts w:ascii="Verdana" w:hAnsi="Verdana"/>
          <w:i/>
          <w:w w:val="95"/>
          <w:sz w:val="20"/>
          <w:szCs w:val="20"/>
          <w:lang w:val="es-CR"/>
        </w:rPr>
        <w:t>ra</w:t>
      </w:r>
      <w:r w:rsidRPr="00AA5F26">
        <w:rPr>
          <w:rFonts w:ascii="Verdana" w:hAnsi="Verdana"/>
          <w:w w:val="95"/>
          <w:sz w:val="20"/>
          <w:szCs w:val="20"/>
          <w:lang w:val="es-CR"/>
        </w:rPr>
        <w:t xml:space="preserve"> párr. </w:t>
      </w:r>
      <w:r w:rsidR="007B4A65">
        <w:rPr>
          <w:rFonts w:ascii="Verdana" w:hAnsi="Verdana"/>
          <w:w w:val="95"/>
          <w:sz w:val="20"/>
          <w:szCs w:val="20"/>
          <w:lang w:val="es-CR"/>
        </w:rPr>
        <w:t>1</w:t>
      </w:r>
      <w:r w:rsidR="00230951">
        <w:rPr>
          <w:rFonts w:ascii="Verdana" w:hAnsi="Verdana"/>
          <w:w w:val="95"/>
          <w:sz w:val="20"/>
          <w:szCs w:val="20"/>
          <w:lang w:val="es-CR"/>
        </w:rPr>
        <w:t>97</w:t>
      </w:r>
      <w:r w:rsidRPr="00AA5F26">
        <w:rPr>
          <w:rFonts w:ascii="Verdana" w:hAnsi="Verdana"/>
          <w:w w:val="95"/>
          <w:sz w:val="20"/>
          <w:szCs w:val="20"/>
          <w:lang w:val="es-CR"/>
        </w:rPr>
        <w:t xml:space="preserve">). Las mismas autoridades señalaron que se “contaminó” la escena y al momento de realizar la inspección ocular ya estaba </w:t>
      </w:r>
      <w:r w:rsidR="00DA5CDD" w:rsidRPr="00F7281C">
        <w:rPr>
          <w:rFonts w:ascii="Verdana" w:hAnsi="Verdana"/>
          <w:w w:val="95"/>
          <w:sz w:val="20"/>
          <w:szCs w:val="20"/>
          <w:lang w:val="es-CR"/>
        </w:rPr>
        <w:t>contaminada</w:t>
      </w:r>
      <w:r w:rsidRPr="00C35AA0">
        <w:rPr>
          <w:rStyle w:val="Refdenotaalpie"/>
          <w:rFonts w:ascii="Verdana" w:hAnsi="Verdana"/>
          <w:w w:val="95"/>
          <w:sz w:val="20"/>
          <w:szCs w:val="20"/>
        </w:rPr>
        <w:footnoteReference w:id="287"/>
      </w:r>
      <w:r w:rsidRPr="00AA5F26">
        <w:rPr>
          <w:rFonts w:ascii="Verdana" w:hAnsi="Verdana"/>
          <w:w w:val="95"/>
          <w:sz w:val="20"/>
          <w:szCs w:val="20"/>
          <w:lang w:val="es-CR"/>
        </w:rPr>
        <w:t xml:space="preserve"> (</w:t>
      </w:r>
      <w:r w:rsidRPr="00AA5F26">
        <w:rPr>
          <w:rFonts w:ascii="Verdana" w:hAnsi="Verdana"/>
          <w:i/>
          <w:w w:val="95"/>
          <w:sz w:val="20"/>
          <w:szCs w:val="20"/>
          <w:lang w:val="es-CR"/>
        </w:rPr>
        <w:t>supra</w:t>
      </w:r>
      <w:r w:rsidRPr="00AA5F26">
        <w:rPr>
          <w:rFonts w:ascii="Verdana" w:hAnsi="Verdana"/>
          <w:w w:val="95"/>
          <w:sz w:val="20"/>
          <w:szCs w:val="20"/>
          <w:lang w:val="es-CR"/>
        </w:rPr>
        <w:t xml:space="preserve"> párr. </w:t>
      </w:r>
      <w:r w:rsidR="007B4A65">
        <w:rPr>
          <w:rFonts w:ascii="Verdana" w:hAnsi="Verdana"/>
          <w:w w:val="95"/>
          <w:sz w:val="20"/>
          <w:szCs w:val="20"/>
          <w:lang w:val="es-CR"/>
        </w:rPr>
        <w:t>101</w:t>
      </w:r>
      <w:r w:rsidR="004E00D2" w:rsidRPr="00AA5F26">
        <w:rPr>
          <w:rFonts w:ascii="Verdana" w:hAnsi="Verdana"/>
          <w:w w:val="95"/>
          <w:sz w:val="20"/>
          <w:szCs w:val="20"/>
          <w:lang w:val="es-CR"/>
        </w:rPr>
        <w:t>);</w:t>
      </w:r>
    </w:p>
    <w:p w:rsidR="00DF15C3" w:rsidRPr="00943069" w:rsidRDefault="00DF15C3" w:rsidP="003F26FD">
      <w:pPr>
        <w:spacing w:after="0" w:line="216" w:lineRule="auto"/>
        <w:ind w:right="-174"/>
        <w:jc w:val="both"/>
        <w:rPr>
          <w:rFonts w:ascii="Verdana" w:hAnsi="Verdana"/>
          <w:w w:val="95"/>
          <w:sz w:val="20"/>
          <w:szCs w:val="20"/>
          <w:lang w:val="es-CR"/>
        </w:rPr>
      </w:pPr>
    </w:p>
    <w:p w:rsidR="00DF15C3" w:rsidRPr="00943069" w:rsidRDefault="00DF15C3" w:rsidP="003F26FD">
      <w:pPr>
        <w:pStyle w:val="Prrafodelista"/>
        <w:numPr>
          <w:ilvl w:val="0"/>
          <w:numId w:val="11"/>
        </w:numPr>
        <w:spacing w:after="0" w:line="216" w:lineRule="auto"/>
        <w:ind w:right="-174" w:firstLine="0"/>
        <w:jc w:val="both"/>
        <w:rPr>
          <w:rFonts w:ascii="Verdana" w:hAnsi="Verdana"/>
          <w:w w:val="95"/>
          <w:sz w:val="20"/>
          <w:szCs w:val="20"/>
          <w:lang w:val="es-CR"/>
        </w:rPr>
      </w:pPr>
      <w:r w:rsidRPr="00AA5F26">
        <w:rPr>
          <w:rFonts w:ascii="Verdana" w:hAnsi="Verdana"/>
          <w:bCs/>
          <w:w w:val="95"/>
          <w:sz w:val="20"/>
          <w:szCs w:val="20"/>
          <w:lang w:val="es-CR"/>
        </w:rPr>
        <w:t>al momento del levantamiento del cadáver, ante la existencia de señales evidentes de abuso o violencia en el cuerpo de la víctima</w:t>
      </w:r>
      <w:r w:rsidR="000F0D22">
        <w:rPr>
          <w:rFonts w:ascii="Verdana" w:hAnsi="Verdana"/>
          <w:bCs/>
          <w:w w:val="95"/>
          <w:sz w:val="20"/>
          <w:szCs w:val="20"/>
          <w:lang w:val="es-CR"/>
        </w:rPr>
        <w:t>,</w:t>
      </w:r>
      <w:r w:rsidRPr="00AA5F26">
        <w:rPr>
          <w:rFonts w:ascii="Verdana" w:hAnsi="Verdana"/>
          <w:bCs/>
          <w:w w:val="95"/>
          <w:sz w:val="20"/>
          <w:szCs w:val="20"/>
          <w:lang w:val="es-CR"/>
        </w:rPr>
        <w:t xml:space="preserve"> las autoridades omitieron solicitar que en la necropsia se practicaran las pruebas pertinentes (tales como hisopado vaginal y anal)</w:t>
      </w:r>
      <w:r>
        <w:rPr>
          <w:rStyle w:val="Refdenotaalpie"/>
          <w:rFonts w:ascii="Verdana" w:hAnsi="Verdana"/>
          <w:bCs/>
          <w:w w:val="95"/>
          <w:sz w:val="20"/>
          <w:szCs w:val="20"/>
          <w:lang w:val="es-CR"/>
        </w:rPr>
        <w:footnoteReference w:id="288"/>
      </w:r>
      <w:r w:rsidRPr="00AA5F26">
        <w:rPr>
          <w:rFonts w:ascii="Verdana" w:hAnsi="Verdana"/>
          <w:bCs/>
          <w:w w:val="95"/>
          <w:sz w:val="20"/>
          <w:szCs w:val="20"/>
          <w:lang w:val="es-CR"/>
        </w:rPr>
        <w:t xml:space="preserve"> para determinar si María Isabel V</w:t>
      </w:r>
      <w:r>
        <w:rPr>
          <w:rFonts w:ascii="Verdana" w:hAnsi="Verdana"/>
          <w:bCs/>
          <w:w w:val="95"/>
          <w:sz w:val="20"/>
          <w:szCs w:val="20"/>
          <w:lang w:val="es-CR"/>
        </w:rPr>
        <w:t>e</w:t>
      </w:r>
      <w:r w:rsidRPr="00AA5F26">
        <w:rPr>
          <w:rFonts w:ascii="Verdana" w:hAnsi="Verdana"/>
          <w:bCs/>
          <w:w w:val="95"/>
          <w:sz w:val="20"/>
          <w:szCs w:val="20"/>
          <w:lang w:val="es-CR"/>
        </w:rPr>
        <w:t>liz Franco había sido víctima de violencia sexual</w:t>
      </w:r>
      <w:r>
        <w:rPr>
          <w:rStyle w:val="Refdenotaalpie"/>
          <w:rFonts w:ascii="Verdana" w:hAnsi="Verdana"/>
          <w:bCs/>
          <w:w w:val="95"/>
          <w:sz w:val="20"/>
          <w:szCs w:val="20"/>
          <w:lang w:val="es-CR"/>
        </w:rPr>
        <w:footnoteReference w:id="289"/>
      </w:r>
      <w:r w:rsidR="00E8732E">
        <w:rPr>
          <w:rFonts w:ascii="Verdana" w:hAnsi="Verdana"/>
          <w:bCs/>
          <w:w w:val="95"/>
          <w:sz w:val="20"/>
          <w:szCs w:val="20"/>
          <w:lang w:val="es-CR"/>
        </w:rPr>
        <w:t>(</w:t>
      </w:r>
      <w:r w:rsidR="00E8732E">
        <w:rPr>
          <w:rFonts w:ascii="Verdana" w:hAnsi="Verdana"/>
          <w:bCs/>
          <w:i/>
          <w:w w:val="95"/>
          <w:sz w:val="20"/>
          <w:szCs w:val="20"/>
          <w:lang w:val="es-CR"/>
        </w:rPr>
        <w:t xml:space="preserve">supra </w:t>
      </w:r>
      <w:r w:rsidR="00E8732E">
        <w:rPr>
          <w:rFonts w:ascii="Verdana" w:hAnsi="Verdana"/>
          <w:bCs/>
          <w:w w:val="95"/>
          <w:sz w:val="20"/>
          <w:szCs w:val="20"/>
          <w:lang w:val="es-CR"/>
        </w:rPr>
        <w:t>párr. 110)</w:t>
      </w:r>
      <w:r w:rsidR="00DA5CDD">
        <w:rPr>
          <w:rFonts w:ascii="Verdana" w:hAnsi="Verdana"/>
          <w:bCs/>
          <w:w w:val="95"/>
          <w:sz w:val="20"/>
          <w:szCs w:val="20"/>
          <w:lang w:val="es-CR"/>
        </w:rPr>
        <w:t xml:space="preserve">, </w:t>
      </w:r>
      <w:r w:rsidRPr="00450B8D">
        <w:rPr>
          <w:rFonts w:ascii="Verdana" w:hAnsi="Verdana"/>
          <w:bCs/>
          <w:w w:val="95"/>
          <w:sz w:val="20"/>
          <w:szCs w:val="20"/>
          <w:lang w:val="es-CR"/>
        </w:rPr>
        <w:t>omisión</w:t>
      </w:r>
      <w:r w:rsidRPr="00AA5F26">
        <w:rPr>
          <w:rFonts w:ascii="Verdana" w:hAnsi="Verdana"/>
          <w:bCs/>
          <w:w w:val="95"/>
          <w:sz w:val="20"/>
          <w:szCs w:val="20"/>
          <w:lang w:val="es-CR"/>
        </w:rPr>
        <w:t xml:space="preserve"> que fue calificad</w:t>
      </w:r>
      <w:r>
        <w:rPr>
          <w:rFonts w:ascii="Verdana" w:hAnsi="Verdana"/>
          <w:bCs/>
          <w:w w:val="95"/>
          <w:sz w:val="20"/>
          <w:szCs w:val="20"/>
          <w:lang w:val="es-CR"/>
        </w:rPr>
        <w:t>a</w:t>
      </w:r>
      <w:r w:rsidRPr="00AA5F26">
        <w:rPr>
          <w:rFonts w:ascii="Verdana" w:hAnsi="Verdana"/>
          <w:bCs/>
          <w:w w:val="95"/>
          <w:sz w:val="20"/>
          <w:szCs w:val="20"/>
          <w:lang w:val="es-CR"/>
        </w:rPr>
        <w:t xml:space="preserve"> más tarde “desafortunad</w:t>
      </w:r>
      <w:r>
        <w:rPr>
          <w:rFonts w:ascii="Verdana" w:hAnsi="Verdana"/>
          <w:bCs/>
          <w:w w:val="95"/>
          <w:sz w:val="20"/>
          <w:szCs w:val="20"/>
          <w:lang w:val="es-CR"/>
        </w:rPr>
        <w:t>[a]</w:t>
      </w:r>
      <w:r w:rsidRPr="00AA5F26">
        <w:rPr>
          <w:rFonts w:ascii="Verdana" w:hAnsi="Verdana"/>
          <w:bCs/>
          <w:w w:val="95"/>
          <w:sz w:val="20"/>
          <w:szCs w:val="20"/>
          <w:lang w:val="es-CR"/>
        </w:rPr>
        <w:t>”</w:t>
      </w:r>
      <w:r w:rsidR="00492642">
        <w:rPr>
          <w:rStyle w:val="Refdenotaalpie"/>
          <w:rFonts w:ascii="Verdana" w:hAnsi="Verdana"/>
          <w:bCs/>
          <w:w w:val="95"/>
          <w:sz w:val="20"/>
          <w:szCs w:val="20"/>
          <w:lang w:val="es-CR"/>
        </w:rPr>
        <w:footnoteReference w:id="290"/>
      </w:r>
      <w:r w:rsidRPr="00AA5F26">
        <w:rPr>
          <w:rFonts w:ascii="Verdana" w:hAnsi="Verdana"/>
          <w:bCs/>
          <w:w w:val="95"/>
          <w:sz w:val="20"/>
          <w:szCs w:val="20"/>
          <w:lang w:val="es-CR"/>
        </w:rPr>
        <w:t xml:space="preserve"> por parte de los propios agentes estatales a cargo de la investigación del caso</w:t>
      </w:r>
      <w:r w:rsidR="004E00D2" w:rsidRPr="00AA5F26">
        <w:rPr>
          <w:rFonts w:ascii="Verdana" w:hAnsi="Verdana"/>
          <w:bCs/>
          <w:w w:val="95"/>
          <w:sz w:val="20"/>
          <w:szCs w:val="20"/>
          <w:lang w:val="es-CR"/>
        </w:rPr>
        <w:t xml:space="preserve">. </w:t>
      </w:r>
      <w:r w:rsidRPr="00AA5F26">
        <w:rPr>
          <w:rFonts w:ascii="Verdana" w:hAnsi="Verdana"/>
          <w:bCs/>
          <w:w w:val="95"/>
          <w:sz w:val="20"/>
          <w:szCs w:val="20"/>
          <w:lang w:val="es-CR"/>
        </w:rPr>
        <w:t xml:space="preserve">Tampoco se verificó la existencia de semen en su cuerpo. </w:t>
      </w:r>
      <w:r w:rsidRPr="00AA5F26">
        <w:rPr>
          <w:rFonts w:ascii="Verdana" w:hAnsi="Verdana"/>
          <w:w w:val="95"/>
          <w:sz w:val="20"/>
          <w:szCs w:val="20"/>
          <w:lang w:val="es-CR"/>
        </w:rPr>
        <w:t>El informe del protocolo de necropsia de 13 de febrero de 2002 se limitó a señalar dentro del análisis del área del abdomen que los órganos genitales se encontraban “normales” (</w:t>
      </w:r>
      <w:r w:rsidRPr="00AA5F26">
        <w:rPr>
          <w:rFonts w:ascii="Verdana" w:hAnsi="Verdana"/>
          <w:i/>
          <w:w w:val="95"/>
          <w:sz w:val="20"/>
          <w:szCs w:val="20"/>
          <w:lang w:val="es-CR"/>
        </w:rPr>
        <w:t xml:space="preserve">supra </w:t>
      </w:r>
      <w:r w:rsidR="008D0CCC">
        <w:rPr>
          <w:rFonts w:ascii="Verdana" w:hAnsi="Verdana"/>
          <w:w w:val="95"/>
          <w:sz w:val="20"/>
          <w:szCs w:val="20"/>
          <w:lang w:val="es-CR"/>
        </w:rPr>
        <w:t>párr. 111</w:t>
      </w:r>
      <w:r w:rsidR="004E00D2" w:rsidRPr="00AA5F26">
        <w:rPr>
          <w:rFonts w:ascii="Verdana" w:hAnsi="Verdana"/>
          <w:w w:val="95"/>
          <w:sz w:val="20"/>
          <w:szCs w:val="20"/>
          <w:lang w:val="es-CR"/>
        </w:rPr>
        <w:t xml:space="preserve">). </w:t>
      </w:r>
      <w:r w:rsidRPr="00AA5F26">
        <w:rPr>
          <w:rFonts w:ascii="Verdana" w:hAnsi="Verdana"/>
          <w:bCs/>
          <w:w w:val="95"/>
          <w:sz w:val="20"/>
          <w:szCs w:val="20"/>
          <w:lang w:val="es-CR"/>
        </w:rPr>
        <w:t>Aunque si se realizó un examen pericial sobre las ropas de la víctima, que dio resultado negativo para la presencia de semen, dicho examen se practicó después de que las mismas estuvieran en poder de su madre, con lo cual ya habían sido contaminadas (</w:t>
      </w:r>
      <w:r w:rsidRPr="00AA5F26">
        <w:rPr>
          <w:rFonts w:ascii="Verdana" w:hAnsi="Verdana"/>
          <w:bCs/>
          <w:i/>
          <w:w w:val="95"/>
          <w:sz w:val="20"/>
          <w:szCs w:val="20"/>
          <w:lang w:val="es-CR"/>
        </w:rPr>
        <w:t>supra</w:t>
      </w:r>
      <w:r w:rsidRPr="00AA5F26">
        <w:rPr>
          <w:rFonts w:ascii="Verdana" w:hAnsi="Verdana"/>
          <w:bCs/>
          <w:w w:val="95"/>
          <w:sz w:val="20"/>
          <w:szCs w:val="20"/>
          <w:lang w:val="es-CR"/>
        </w:rPr>
        <w:t xml:space="preserve"> </w:t>
      </w:r>
      <w:r w:rsidR="008D0CCC">
        <w:rPr>
          <w:rFonts w:ascii="Verdana" w:hAnsi="Verdana"/>
          <w:bCs/>
          <w:w w:val="95"/>
          <w:sz w:val="20"/>
          <w:szCs w:val="20"/>
          <w:lang w:val="es-CR"/>
        </w:rPr>
        <w:t>párr. 105</w:t>
      </w:r>
      <w:r w:rsidR="004E00D2" w:rsidRPr="00AA5F26">
        <w:rPr>
          <w:rFonts w:ascii="Verdana" w:hAnsi="Verdana"/>
          <w:bCs/>
          <w:w w:val="95"/>
          <w:sz w:val="20"/>
          <w:szCs w:val="20"/>
          <w:lang w:val="es-CR"/>
        </w:rPr>
        <w:t xml:space="preserve"> </w:t>
      </w:r>
      <w:r w:rsidRPr="00AA5F26">
        <w:rPr>
          <w:rFonts w:ascii="Verdana" w:hAnsi="Verdana"/>
          <w:bCs/>
          <w:w w:val="95"/>
          <w:sz w:val="20"/>
          <w:szCs w:val="20"/>
          <w:lang w:val="es-CR"/>
        </w:rPr>
        <w:t xml:space="preserve">e </w:t>
      </w:r>
      <w:r w:rsidRPr="00AA5F26">
        <w:rPr>
          <w:rFonts w:ascii="Verdana" w:hAnsi="Verdana"/>
          <w:bCs/>
          <w:i/>
          <w:w w:val="95"/>
          <w:sz w:val="20"/>
          <w:szCs w:val="20"/>
          <w:lang w:val="es-CR"/>
        </w:rPr>
        <w:t>infra</w:t>
      </w:r>
      <w:r w:rsidR="008D0CCC">
        <w:rPr>
          <w:rFonts w:ascii="Verdana" w:hAnsi="Verdana"/>
          <w:bCs/>
          <w:w w:val="95"/>
          <w:sz w:val="20"/>
          <w:szCs w:val="20"/>
          <w:lang w:val="es-CR"/>
        </w:rPr>
        <w:t xml:space="preserve"> párr. 197</w:t>
      </w:r>
      <w:r w:rsidRPr="00AA5F26">
        <w:rPr>
          <w:rFonts w:ascii="Verdana" w:hAnsi="Verdana"/>
          <w:bCs/>
          <w:w w:val="95"/>
          <w:sz w:val="20"/>
          <w:szCs w:val="20"/>
          <w:lang w:val="es-CR"/>
        </w:rPr>
        <w:t>);</w:t>
      </w:r>
    </w:p>
    <w:p w:rsidR="00DF15C3" w:rsidRPr="00943069" w:rsidRDefault="00DF15C3" w:rsidP="003F26FD">
      <w:pPr>
        <w:spacing w:after="0" w:line="216" w:lineRule="auto"/>
        <w:ind w:left="-142" w:right="-174"/>
        <w:jc w:val="both"/>
        <w:rPr>
          <w:rFonts w:ascii="Verdana" w:hAnsi="Verdana"/>
          <w:w w:val="95"/>
          <w:sz w:val="20"/>
          <w:szCs w:val="20"/>
          <w:lang w:val="es-CR"/>
        </w:rPr>
      </w:pPr>
    </w:p>
    <w:p w:rsidR="00DF15C3" w:rsidRPr="00943069" w:rsidRDefault="00F15CBE" w:rsidP="003F26FD">
      <w:pPr>
        <w:pStyle w:val="Prrafodelista"/>
        <w:numPr>
          <w:ilvl w:val="0"/>
          <w:numId w:val="11"/>
        </w:numPr>
        <w:spacing w:after="0" w:line="216" w:lineRule="auto"/>
        <w:ind w:right="-174" w:firstLine="0"/>
        <w:jc w:val="both"/>
        <w:rPr>
          <w:rFonts w:ascii="Verdana" w:hAnsi="Verdana"/>
          <w:w w:val="95"/>
          <w:sz w:val="20"/>
          <w:szCs w:val="20"/>
          <w:lang w:val="es-CR"/>
        </w:rPr>
      </w:pPr>
      <w:r w:rsidRPr="0022623B">
        <w:rPr>
          <w:rFonts w:ascii="Verdana" w:hAnsi="Verdana"/>
          <w:w w:val="95"/>
          <w:sz w:val="20"/>
          <w:szCs w:val="20"/>
          <w:lang w:val="es-CL"/>
        </w:rPr>
        <w:t>el informe de la inspección ocular y el acta de levantamiento de cadáver</w:t>
      </w:r>
      <w:r w:rsidR="00DF15C3" w:rsidRPr="00C35AA0">
        <w:rPr>
          <w:rStyle w:val="Refdenotaalpie"/>
          <w:rFonts w:ascii="Verdana" w:hAnsi="Verdana"/>
          <w:w w:val="95"/>
          <w:sz w:val="20"/>
          <w:szCs w:val="20"/>
        </w:rPr>
        <w:footnoteReference w:id="291"/>
      </w:r>
      <w:r w:rsidR="000F0D22">
        <w:rPr>
          <w:rFonts w:ascii="Verdana" w:hAnsi="Verdana"/>
          <w:w w:val="95"/>
          <w:sz w:val="20"/>
          <w:szCs w:val="20"/>
          <w:lang w:val="es-CR"/>
        </w:rPr>
        <w:t>,</w:t>
      </w:r>
      <w:r w:rsidR="00DF15C3" w:rsidRPr="00AA5F26">
        <w:rPr>
          <w:rFonts w:ascii="Verdana" w:hAnsi="Verdana"/>
          <w:w w:val="95"/>
          <w:sz w:val="20"/>
          <w:szCs w:val="20"/>
          <w:lang w:val="es-CR"/>
        </w:rPr>
        <w:t xml:space="preserve"> elaborado por la Auxiliar Fiscal </w:t>
      </w:r>
      <w:r w:rsidR="00DF15C3">
        <w:rPr>
          <w:rFonts w:ascii="Verdana" w:hAnsi="Verdana"/>
          <w:w w:val="95"/>
          <w:sz w:val="20"/>
          <w:szCs w:val="20"/>
          <w:lang w:val="es-CR"/>
        </w:rPr>
        <w:t>I de la Agencia No. 5 de Mixco</w:t>
      </w:r>
      <w:r w:rsidR="000F0D22">
        <w:rPr>
          <w:rFonts w:ascii="Verdana" w:hAnsi="Verdana"/>
          <w:w w:val="95"/>
          <w:sz w:val="20"/>
          <w:szCs w:val="20"/>
          <w:lang w:val="es-CR"/>
        </w:rPr>
        <w:t>,</w:t>
      </w:r>
      <w:r w:rsidR="00DF15C3" w:rsidRPr="00AA5F26">
        <w:rPr>
          <w:rFonts w:ascii="Verdana" w:hAnsi="Verdana"/>
          <w:w w:val="95"/>
          <w:sz w:val="20"/>
          <w:szCs w:val="20"/>
          <w:lang w:val="es-CR"/>
        </w:rPr>
        <w:t xml:space="preserve"> son incompletos</w:t>
      </w:r>
      <w:r w:rsidR="00D36B0B">
        <w:rPr>
          <w:rFonts w:ascii="Verdana" w:hAnsi="Verdana"/>
          <w:w w:val="95"/>
          <w:sz w:val="20"/>
          <w:szCs w:val="20"/>
          <w:lang w:val="es-CR"/>
        </w:rPr>
        <w:t xml:space="preserve"> </w:t>
      </w:r>
      <w:r w:rsidR="00DF15C3" w:rsidRPr="00AA5F26">
        <w:rPr>
          <w:rFonts w:ascii="Verdana" w:hAnsi="Verdana"/>
          <w:w w:val="95"/>
          <w:sz w:val="20"/>
          <w:szCs w:val="20"/>
          <w:lang w:val="es-CR"/>
        </w:rPr>
        <w:t xml:space="preserve">y </w:t>
      </w:r>
      <w:r w:rsidR="00DF15C3" w:rsidRPr="00EE648E">
        <w:rPr>
          <w:rFonts w:ascii="Verdana" w:hAnsi="Verdana"/>
          <w:w w:val="95"/>
          <w:sz w:val="20"/>
          <w:szCs w:val="20"/>
          <w:lang w:val="es-CR"/>
        </w:rPr>
        <w:lastRenderedPageBreak/>
        <w:t>presentan contradicciones</w:t>
      </w:r>
      <w:r w:rsidR="00DF15C3" w:rsidRPr="00EE648E">
        <w:rPr>
          <w:rStyle w:val="Refdenotaalpie"/>
          <w:rFonts w:ascii="Verdana" w:hAnsi="Verdana"/>
          <w:w w:val="95"/>
          <w:sz w:val="20"/>
          <w:szCs w:val="20"/>
        </w:rPr>
        <w:footnoteReference w:id="292"/>
      </w:r>
      <w:r w:rsidR="00DF15C3" w:rsidRPr="00EE648E">
        <w:rPr>
          <w:rFonts w:ascii="Verdana" w:hAnsi="Verdana"/>
          <w:w w:val="95"/>
          <w:sz w:val="20"/>
          <w:szCs w:val="20"/>
          <w:lang w:val="es-CR"/>
        </w:rPr>
        <w:t xml:space="preserve">. En </w:t>
      </w:r>
      <w:r w:rsidR="00DF15C3" w:rsidRPr="0022623B">
        <w:rPr>
          <w:rFonts w:ascii="Verdana" w:hAnsi="Verdana"/>
          <w:w w:val="95"/>
          <w:sz w:val="20"/>
          <w:szCs w:val="20"/>
          <w:lang w:val="es-CR"/>
        </w:rPr>
        <w:t xml:space="preserve">el informe se indica que se hizo un croquis del lugar, pero </w:t>
      </w:r>
      <w:r w:rsidR="00EE648E" w:rsidRPr="0022623B">
        <w:rPr>
          <w:rFonts w:ascii="Verdana" w:hAnsi="Verdana"/>
          <w:w w:val="95"/>
          <w:sz w:val="20"/>
          <w:szCs w:val="20"/>
          <w:lang w:val="es-CR"/>
        </w:rPr>
        <w:t>no se adjunta</w:t>
      </w:r>
      <w:r w:rsidR="0022623B" w:rsidRPr="0022623B">
        <w:rPr>
          <w:rFonts w:ascii="Verdana" w:hAnsi="Verdana"/>
          <w:w w:val="95"/>
          <w:sz w:val="20"/>
          <w:szCs w:val="20"/>
          <w:lang w:val="es-CR"/>
        </w:rPr>
        <w:t>;</w:t>
      </w:r>
      <w:r w:rsidR="00DF15C3" w:rsidRPr="0022623B">
        <w:rPr>
          <w:rFonts w:ascii="Verdana" w:hAnsi="Verdana"/>
          <w:w w:val="95"/>
          <w:sz w:val="20"/>
          <w:szCs w:val="20"/>
          <w:lang w:val="es-CR"/>
        </w:rPr>
        <w:t xml:space="preserve"> no hay constancia de la posición del cuerpo con respecto al lugar en que apareció ni quienes lo movieron </w:t>
      </w:r>
      <w:r w:rsidR="00434E52" w:rsidRPr="0022623B">
        <w:rPr>
          <w:rFonts w:ascii="Verdana" w:hAnsi="Verdana"/>
          <w:w w:val="95"/>
          <w:sz w:val="20"/>
          <w:szCs w:val="20"/>
          <w:lang w:val="es-CR"/>
        </w:rPr>
        <w:t xml:space="preserve">previamente a su levantamiento </w:t>
      </w:r>
      <w:r w:rsidR="00DF15C3" w:rsidRPr="0022623B">
        <w:rPr>
          <w:rFonts w:ascii="Verdana" w:hAnsi="Verdana"/>
          <w:w w:val="95"/>
          <w:sz w:val="20"/>
          <w:szCs w:val="20"/>
          <w:lang w:val="es-CR"/>
        </w:rPr>
        <w:t>(</w:t>
      </w:r>
      <w:r w:rsidR="00DF15C3" w:rsidRPr="0022623B">
        <w:rPr>
          <w:rFonts w:ascii="Verdana" w:hAnsi="Verdana"/>
          <w:i/>
          <w:w w:val="95"/>
          <w:sz w:val="20"/>
          <w:szCs w:val="20"/>
          <w:lang w:val="es-CR"/>
        </w:rPr>
        <w:t>supra</w:t>
      </w:r>
      <w:r w:rsidR="00DF15C3" w:rsidRPr="0022623B">
        <w:rPr>
          <w:rFonts w:ascii="Verdana" w:hAnsi="Verdana"/>
          <w:w w:val="95"/>
          <w:sz w:val="20"/>
          <w:szCs w:val="20"/>
          <w:lang w:val="es-CR"/>
        </w:rPr>
        <w:t xml:space="preserve"> párr. </w:t>
      </w:r>
      <w:r w:rsidR="00A15602" w:rsidRPr="0022623B">
        <w:rPr>
          <w:rFonts w:ascii="Verdana" w:hAnsi="Verdana"/>
          <w:w w:val="95"/>
          <w:sz w:val="20"/>
          <w:szCs w:val="20"/>
          <w:lang w:val="es-CR"/>
        </w:rPr>
        <w:t>97</w:t>
      </w:r>
      <w:r w:rsidR="00434E52" w:rsidRPr="0022623B">
        <w:rPr>
          <w:rFonts w:ascii="Verdana" w:hAnsi="Verdana"/>
          <w:w w:val="95"/>
          <w:sz w:val="20"/>
          <w:szCs w:val="20"/>
          <w:lang w:val="es-CR"/>
        </w:rPr>
        <w:t xml:space="preserve">). </w:t>
      </w:r>
      <w:r w:rsidR="00DF15C3" w:rsidRPr="0022623B">
        <w:rPr>
          <w:rFonts w:ascii="Verdana" w:hAnsi="Verdana"/>
          <w:w w:val="95"/>
          <w:sz w:val="20"/>
          <w:szCs w:val="20"/>
          <w:lang w:val="es-CR"/>
        </w:rPr>
        <w:t>No está documentado, por ejemplo, si se le dio protección a las manos de la víctima, para posteriores exámenes, forma en que estaban las evidencias, el estado de la ropa y si tenía manchas de sangre, cabellos, fibras; si se buscaron huellas u otras evidencias. Además el cadáver fue trasla</w:t>
      </w:r>
      <w:r w:rsidR="00B42B4D" w:rsidRPr="0022623B">
        <w:rPr>
          <w:rFonts w:ascii="Verdana" w:hAnsi="Verdana"/>
          <w:w w:val="95"/>
          <w:sz w:val="20"/>
          <w:szCs w:val="20"/>
          <w:lang w:val="es-CR"/>
        </w:rPr>
        <w:t>dado a la morgue en una unidad</w:t>
      </w:r>
      <w:r w:rsidR="00DE6CA3" w:rsidRPr="0022623B">
        <w:rPr>
          <w:rFonts w:ascii="Verdana" w:hAnsi="Verdana"/>
          <w:w w:val="95"/>
          <w:sz w:val="20"/>
          <w:szCs w:val="20"/>
          <w:lang w:val="es-CR"/>
        </w:rPr>
        <w:t xml:space="preserve"> de la policía. Además, el</w:t>
      </w:r>
      <w:r w:rsidR="00DF15C3" w:rsidRPr="0022623B">
        <w:rPr>
          <w:rFonts w:ascii="Verdana" w:hAnsi="Verdana"/>
          <w:w w:val="95"/>
          <w:sz w:val="20"/>
          <w:szCs w:val="20"/>
          <w:lang w:val="es-CR"/>
        </w:rPr>
        <w:t xml:space="preserve"> “Reportaje Fotográfico” remitido al Ministerio Público </w:t>
      </w:r>
      <w:r w:rsidR="00312A89" w:rsidRPr="0022623B">
        <w:rPr>
          <w:rFonts w:ascii="Verdana" w:hAnsi="Verdana"/>
          <w:w w:val="95"/>
          <w:sz w:val="20"/>
          <w:szCs w:val="20"/>
          <w:lang w:val="es-CR"/>
        </w:rPr>
        <w:t>en el mes de marzo de 2002</w:t>
      </w:r>
      <w:r w:rsidR="00DE6CA3" w:rsidRPr="0022623B">
        <w:rPr>
          <w:rFonts w:ascii="Verdana" w:hAnsi="Verdana"/>
          <w:w w:val="95"/>
          <w:sz w:val="20"/>
          <w:szCs w:val="20"/>
          <w:lang w:val="es-CR"/>
        </w:rPr>
        <w:t xml:space="preserve"> (</w:t>
      </w:r>
      <w:r w:rsidR="00DE6CA3" w:rsidRPr="0022623B">
        <w:rPr>
          <w:rFonts w:ascii="Verdana" w:hAnsi="Verdana"/>
          <w:i/>
          <w:w w:val="95"/>
          <w:sz w:val="20"/>
          <w:szCs w:val="20"/>
          <w:lang w:val="es-CR"/>
        </w:rPr>
        <w:t>supra</w:t>
      </w:r>
      <w:r w:rsidR="00DE6CA3" w:rsidRPr="0022623B">
        <w:rPr>
          <w:rFonts w:ascii="Verdana" w:hAnsi="Verdana"/>
          <w:w w:val="95"/>
          <w:sz w:val="20"/>
          <w:szCs w:val="20"/>
          <w:lang w:val="es-CR"/>
        </w:rPr>
        <w:t xml:space="preserve">  párr. 113)</w:t>
      </w:r>
      <w:r w:rsidR="00312A89" w:rsidRPr="0022623B">
        <w:rPr>
          <w:rFonts w:ascii="Verdana" w:hAnsi="Verdana"/>
          <w:w w:val="95"/>
          <w:sz w:val="20"/>
          <w:szCs w:val="20"/>
          <w:lang w:val="es-CR"/>
        </w:rPr>
        <w:t xml:space="preserve">, </w:t>
      </w:r>
      <w:r w:rsidR="00114F78">
        <w:rPr>
          <w:rFonts w:ascii="Verdana" w:hAnsi="Verdana"/>
          <w:w w:val="95"/>
          <w:sz w:val="20"/>
          <w:szCs w:val="20"/>
          <w:lang w:val="es-CR"/>
        </w:rPr>
        <w:t>casi tres</w:t>
      </w:r>
      <w:r w:rsidR="00114F78" w:rsidRPr="0022623B">
        <w:rPr>
          <w:rFonts w:ascii="Verdana" w:hAnsi="Verdana"/>
          <w:w w:val="95"/>
          <w:sz w:val="20"/>
          <w:szCs w:val="20"/>
          <w:lang w:val="es-CR"/>
        </w:rPr>
        <w:t xml:space="preserve"> </w:t>
      </w:r>
      <w:r w:rsidR="00DF15C3" w:rsidRPr="0022623B">
        <w:rPr>
          <w:rFonts w:ascii="Verdana" w:hAnsi="Verdana"/>
          <w:w w:val="95"/>
          <w:sz w:val="20"/>
          <w:szCs w:val="20"/>
          <w:lang w:val="es-CR"/>
        </w:rPr>
        <w:t xml:space="preserve">meses después del hallazgo del cuerpo de María Isabel, contiene 8 fotografías que </w:t>
      </w:r>
      <w:r w:rsidR="00DE6CA3" w:rsidRPr="0022623B">
        <w:rPr>
          <w:rFonts w:ascii="Verdana" w:hAnsi="Verdana"/>
          <w:w w:val="95"/>
          <w:sz w:val="20"/>
          <w:szCs w:val="20"/>
          <w:lang w:val="es-CR"/>
        </w:rPr>
        <w:t>no describen adecuadamente lo detallado en los informes antes señalados en relación con la escena del crimen</w:t>
      </w:r>
      <w:r w:rsidR="00312A89" w:rsidRPr="0022623B">
        <w:rPr>
          <w:rFonts w:ascii="Verdana" w:hAnsi="Verdana"/>
          <w:w w:val="95"/>
          <w:sz w:val="20"/>
          <w:szCs w:val="20"/>
          <w:lang w:val="es-CR"/>
        </w:rPr>
        <w:t xml:space="preserve"> </w:t>
      </w:r>
      <w:r w:rsidR="00DE6CA3" w:rsidRPr="0022623B">
        <w:rPr>
          <w:rFonts w:ascii="Verdana" w:hAnsi="Verdana"/>
          <w:w w:val="95"/>
          <w:sz w:val="20"/>
          <w:szCs w:val="20"/>
          <w:lang w:val="es-CR"/>
        </w:rPr>
        <w:t>(</w:t>
      </w:r>
      <w:r w:rsidR="00DE6CA3" w:rsidRPr="00712E08">
        <w:rPr>
          <w:rFonts w:ascii="Verdana" w:hAnsi="Verdana"/>
          <w:i/>
          <w:w w:val="95"/>
          <w:sz w:val="20"/>
          <w:szCs w:val="20"/>
          <w:lang w:val="es-CR"/>
        </w:rPr>
        <w:t>supra</w:t>
      </w:r>
      <w:r w:rsidR="00DE6CA3" w:rsidRPr="00712E08">
        <w:rPr>
          <w:rFonts w:ascii="Verdana" w:hAnsi="Verdana"/>
          <w:w w:val="95"/>
          <w:sz w:val="20"/>
          <w:szCs w:val="20"/>
          <w:lang w:val="es-CR"/>
        </w:rPr>
        <w:t xml:space="preserve">  párr</w:t>
      </w:r>
      <w:r w:rsidR="000A2ACA">
        <w:rPr>
          <w:rFonts w:ascii="Verdana" w:hAnsi="Verdana"/>
          <w:w w:val="95"/>
          <w:sz w:val="20"/>
          <w:szCs w:val="20"/>
          <w:lang w:val="es-CR"/>
        </w:rPr>
        <w:t>s</w:t>
      </w:r>
      <w:r w:rsidR="00DE6CA3" w:rsidRPr="00712E08">
        <w:rPr>
          <w:rFonts w:ascii="Verdana" w:hAnsi="Verdana"/>
          <w:w w:val="95"/>
          <w:sz w:val="20"/>
          <w:szCs w:val="20"/>
          <w:lang w:val="es-CR"/>
        </w:rPr>
        <w:t xml:space="preserve">. </w:t>
      </w:r>
      <w:r w:rsidR="00114F78">
        <w:rPr>
          <w:rFonts w:ascii="Verdana" w:hAnsi="Verdana"/>
          <w:w w:val="95"/>
          <w:sz w:val="20"/>
          <w:szCs w:val="20"/>
          <w:lang w:val="es-CR"/>
        </w:rPr>
        <w:t>96 y 97</w:t>
      </w:r>
      <w:r w:rsidR="00DE6CA3" w:rsidRPr="00712E08">
        <w:rPr>
          <w:rFonts w:ascii="Verdana" w:hAnsi="Verdana"/>
          <w:w w:val="95"/>
          <w:sz w:val="20"/>
          <w:szCs w:val="20"/>
          <w:lang w:val="es-CR"/>
        </w:rPr>
        <w:t>);</w:t>
      </w:r>
      <w:r w:rsidR="00DF15C3" w:rsidRPr="00AA5F26">
        <w:rPr>
          <w:rFonts w:ascii="Verdana" w:hAnsi="Verdana"/>
          <w:w w:val="95"/>
          <w:sz w:val="20"/>
          <w:szCs w:val="20"/>
          <w:lang w:val="es-CR"/>
        </w:rPr>
        <w:t xml:space="preserve"> </w:t>
      </w:r>
    </w:p>
    <w:p w:rsidR="00DF15C3" w:rsidRPr="00943069" w:rsidRDefault="00DF15C3" w:rsidP="003F26FD">
      <w:pPr>
        <w:spacing w:after="0" w:line="216" w:lineRule="auto"/>
        <w:ind w:left="-153" w:right="-174"/>
        <w:jc w:val="both"/>
        <w:rPr>
          <w:rFonts w:ascii="Verdana" w:hAnsi="Verdana"/>
          <w:w w:val="95"/>
          <w:sz w:val="20"/>
          <w:szCs w:val="20"/>
          <w:lang w:val="es-CR"/>
        </w:rPr>
      </w:pPr>
    </w:p>
    <w:p w:rsidR="00DF15C3" w:rsidRPr="008840F4" w:rsidRDefault="00DF15C3" w:rsidP="003F26FD">
      <w:pPr>
        <w:pStyle w:val="Prrafodelista"/>
        <w:numPr>
          <w:ilvl w:val="0"/>
          <w:numId w:val="11"/>
        </w:numPr>
        <w:spacing w:after="0" w:line="216" w:lineRule="auto"/>
        <w:ind w:right="-174" w:firstLine="0"/>
        <w:jc w:val="both"/>
        <w:rPr>
          <w:rFonts w:ascii="Verdana" w:hAnsi="Verdana"/>
          <w:w w:val="95"/>
          <w:sz w:val="20"/>
          <w:szCs w:val="20"/>
          <w:lang w:val="es-CL"/>
        </w:rPr>
      </w:pPr>
      <w:r w:rsidRPr="00AA5F26">
        <w:rPr>
          <w:rFonts w:ascii="Verdana" w:hAnsi="Verdana"/>
          <w:w w:val="95"/>
          <w:sz w:val="20"/>
          <w:szCs w:val="20"/>
          <w:lang w:val="es-CR"/>
        </w:rPr>
        <w:t xml:space="preserve">dadas las carencias de los informes, en el año 2009, ocho años después de su elaboración, el Ministerio Público trató de ubicar a los agentes de policía que participaron en las diligencias para establecer aspectos fácticos relacionados con la situación del cuerpo y evidencias al momento del hallazgo, en concreto, si la víctima se encontraba dentro de una bolsa. Sobre ese particular, declaró un agente de la policía ante el Ministerio Público el 21 de julio de 2009, indicó que “cuando […] lleg[ó] a la escena del crimen” </w:t>
      </w:r>
      <w:r w:rsidRPr="0022623B">
        <w:rPr>
          <w:rFonts w:ascii="Verdana" w:hAnsi="Verdana"/>
          <w:w w:val="95"/>
          <w:sz w:val="20"/>
          <w:szCs w:val="20"/>
          <w:lang w:val="es-CR"/>
        </w:rPr>
        <w:t>retiró a las “personas curiosas” y “la persona fallecida estaba tapada, pero no rec[ordó] la posición del cadáver por el tiempo que [había] pasado”</w:t>
      </w:r>
      <w:r w:rsidRPr="0022623B">
        <w:rPr>
          <w:rStyle w:val="Refdenotaalpie"/>
          <w:rFonts w:ascii="Verdana" w:hAnsi="Verdana"/>
          <w:w w:val="95"/>
          <w:sz w:val="20"/>
          <w:szCs w:val="20"/>
          <w:lang w:val="es-CR"/>
        </w:rPr>
        <w:footnoteReference w:id="293"/>
      </w:r>
      <w:r w:rsidRPr="0022623B">
        <w:rPr>
          <w:rFonts w:ascii="Verdana" w:hAnsi="Verdana"/>
          <w:w w:val="95"/>
          <w:sz w:val="20"/>
          <w:szCs w:val="20"/>
          <w:lang w:val="es-CR"/>
        </w:rPr>
        <w:t xml:space="preserve">. Además, </w:t>
      </w:r>
      <w:r w:rsidR="00CB39EB" w:rsidRPr="0022623B">
        <w:rPr>
          <w:rFonts w:ascii="Verdana" w:hAnsi="Verdana"/>
          <w:w w:val="95"/>
          <w:sz w:val="20"/>
          <w:szCs w:val="20"/>
          <w:lang w:val="es-CR"/>
        </w:rPr>
        <w:t xml:space="preserve">el Auxiliar Fiscal de la Agencia No. 1 de </w:t>
      </w:r>
      <w:r w:rsidRPr="0022623B">
        <w:rPr>
          <w:rFonts w:ascii="Verdana" w:hAnsi="Verdana"/>
          <w:w w:val="95"/>
          <w:sz w:val="20"/>
          <w:szCs w:val="20"/>
          <w:lang w:val="es-CR"/>
        </w:rPr>
        <w:t xml:space="preserve">la </w:t>
      </w:r>
      <w:r w:rsidR="00F77273" w:rsidRPr="0022623B">
        <w:rPr>
          <w:rFonts w:ascii="Verdana" w:hAnsi="Verdana"/>
          <w:w w:val="95"/>
          <w:sz w:val="20"/>
          <w:szCs w:val="20"/>
          <w:lang w:val="es-CR"/>
        </w:rPr>
        <w:t>Fiscalía Municipal de Mixco</w:t>
      </w:r>
      <w:r w:rsidRPr="0022623B">
        <w:rPr>
          <w:rFonts w:ascii="Verdana" w:hAnsi="Verdana"/>
          <w:w w:val="95"/>
          <w:sz w:val="20"/>
          <w:szCs w:val="20"/>
          <w:lang w:val="es-CR"/>
        </w:rPr>
        <w:t xml:space="preserve"> pidió información el 13 de julio de 2009 al Jefe de Bomber</w:t>
      </w:r>
      <w:r w:rsidRPr="00856A1B">
        <w:rPr>
          <w:rFonts w:ascii="Verdana" w:hAnsi="Verdana"/>
          <w:w w:val="95"/>
          <w:sz w:val="20"/>
          <w:szCs w:val="20"/>
          <w:lang w:val="es-CR"/>
        </w:rPr>
        <w:t>os Municipales de la ciudad capital</w:t>
      </w:r>
      <w:r w:rsidRPr="00AA5F26">
        <w:rPr>
          <w:rFonts w:ascii="Verdana" w:hAnsi="Verdana"/>
          <w:w w:val="95"/>
          <w:sz w:val="20"/>
          <w:szCs w:val="20"/>
          <w:lang w:val="es-CR"/>
        </w:rPr>
        <w:t xml:space="preserve">, respecto a </w:t>
      </w:r>
      <w:r>
        <w:rPr>
          <w:rFonts w:ascii="Verdana" w:hAnsi="Verdana"/>
          <w:w w:val="95"/>
          <w:sz w:val="20"/>
          <w:szCs w:val="20"/>
          <w:lang w:val="es-CR"/>
        </w:rPr>
        <w:t>“[</w:t>
      </w:r>
      <w:r w:rsidRPr="00AA5F26">
        <w:rPr>
          <w:rFonts w:ascii="Verdana" w:hAnsi="Verdana"/>
          <w:w w:val="95"/>
          <w:sz w:val="20"/>
          <w:szCs w:val="20"/>
          <w:lang w:val="es-CR"/>
        </w:rPr>
        <w:t>los</w:t>
      </w:r>
      <w:r>
        <w:rPr>
          <w:rFonts w:ascii="Verdana" w:hAnsi="Verdana"/>
          <w:w w:val="95"/>
          <w:sz w:val="20"/>
          <w:szCs w:val="20"/>
          <w:lang w:val="es-CR"/>
        </w:rPr>
        <w:t>]</w:t>
      </w:r>
      <w:r w:rsidRPr="00AA5F26">
        <w:rPr>
          <w:rFonts w:ascii="Verdana" w:hAnsi="Verdana"/>
          <w:w w:val="95"/>
          <w:sz w:val="20"/>
          <w:szCs w:val="20"/>
          <w:lang w:val="es-CR"/>
        </w:rPr>
        <w:t xml:space="preserve"> procedimiento</w:t>
      </w:r>
      <w:r>
        <w:rPr>
          <w:rFonts w:ascii="Verdana" w:hAnsi="Verdana"/>
          <w:w w:val="95"/>
          <w:sz w:val="20"/>
          <w:szCs w:val="20"/>
          <w:lang w:val="es-CR"/>
        </w:rPr>
        <w:t>[</w:t>
      </w:r>
      <w:r w:rsidRPr="00AA5F26">
        <w:rPr>
          <w:rFonts w:ascii="Verdana" w:hAnsi="Verdana"/>
          <w:w w:val="95"/>
          <w:sz w:val="20"/>
          <w:szCs w:val="20"/>
          <w:lang w:val="es-CR"/>
        </w:rPr>
        <w:t>s</w:t>
      </w:r>
      <w:r>
        <w:rPr>
          <w:rFonts w:ascii="Verdana" w:hAnsi="Verdana"/>
          <w:w w:val="95"/>
          <w:sz w:val="20"/>
          <w:szCs w:val="20"/>
          <w:lang w:val="es-CR"/>
        </w:rPr>
        <w:t>]</w:t>
      </w:r>
      <w:r w:rsidRPr="00AA5F26">
        <w:rPr>
          <w:rFonts w:ascii="Verdana" w:hAnsi="Verdana"/>
          <w:w w:val="95"/>
          <w:sz w:val="20"/>
          <w:szCs w:val="20"/>
          <w:lang w:val="es-CR"/>
        </w:rPr>
        <w:t xml:space="preserve"> que cubri</w:t>
      </w:r>
      <w:r>
        <w:rPr>
          <w:rFonts w:ascii="Verdana" w:hAnsi="Verdana"/>
          <w:w w:val="95"/>
          <w:sz w:val="20"/>
          <w:szCs w:val="20"/>
          <w:lang w:val="es-CR"/>
        </w:rPr>
        <w:t>[</w:t>
      </w:r>
      <w:r w:rsidRPr="00AA5F26">
        <w:rPr>
          <w:rFonts w:ascii="Verdana" w:hAnsi="Verdana"/>
          <w:w w:val="95"/>
          <w:sz w:val="20"/>
          <w:szCs w:val="20"/>
          <w:lang w:val="es-CR"/>
        </w:rPr>
        <w:t>eron</w:t>
      </w:r>
      <w:r>
        <w:rPr>
          <w:rFonts w:ascii="Verdana" w:hAnsi="Verdana"/>
          <w:w w:val="95"/>
          <w:sz w:val="20"/>
          <w:szCs w:val="20"/>
          <w:lang w:val="es-CR"/>
        </w:rPr>
        <w:t>]</w:t>
      </w:r>
      <w:r w:rsidRPr="00AA5F26">
        <w:rPr>
          <w:rFonts w:ascii="Verdana" w:hAnsi="Verdana"/>
          <w:w w:val="95"/>
          <w:sz w:val="20"/>
          <w:szCs w:val="20"/>
          <w:lang w:val="es-CR"/>
        </w:rPr>
        <w:t xml:space="preserve"> el día 18 de diciembre de 2001 en </w:t>
      </w:r>
      <w:r>
        <w:rPr>
          <w:rFonts w:ascii="Verdana" w:hAnsi="Verdana"/>
          <w:w w:val="95"/>
          <w:sz w:val="20"/>
          <w:szCs w:val="20"/>
          <w:lang w:val="es-CR"/>
        </w:rPr>
        <w:t>[</w:t>
      </w:r>
      <w:r w:rsidRPr="00AA5F26">
        <w:rPr>
          <w:rFonts w:ascii="Verdana" w:hAnsi="Verdana"/>
          <w:w w:val="95"/>
          <w:sz w:val="20"/>
          <w:szCs w:val="20"/>
          <w:lang w:val="es-CR"/>
        </w:rPr>
        <w:t>el</w:t>
      </w:r>
      <w:r>
        <w:rPr>
          <w:rFonts w:ascii="Verdana" w:hAnsi="Verdana"/>
          <w:w w:val="95"/>
          <w:sz w:val="20"/>
          <w:szCs w:val="20"/>
          <w:lang w:val="es-CR"/>
        </w:rPr>
        <w:t>]</w:t>
      </w:r>
      <w:r w:rsidRPr="00AA5F26">
        <w:rPr>
          <w:rFonts w:ascii="Verdana" w:hAnsi="Verdana"/>
          <w:w w:val="95"/>
          <w:sz w:val="20"/>
          <w:szCs w:val="20"/>
          <w:lang w:val="es-CR"/>
        </w:rPr>
        <w:t xml:space="preserve"> terreno</w:t>
      </w:r>
      <w:r>
        <w:rPr>
          <w:rFonts w:ascii="Verdana" w:hAnsi="Verdana"/>
          <w:w w:val="95"/>
          <w:sz w:val="20"/>
          <w:szCs w:val="20"/>
          <w:lang w:val="es-CR"/>
        </w:rPr>
        <w:t>”</w:t>
      </w:r>
      <w:r w:rsidRPr="00AA5F26">
        <w:rPr>
          <w:rFonts w:ascii="Verdana" w:hAnsi="Verdana"/>
          <w:w w:val="95"/>
          <w:sz w:val="20"/>
          <w:szCs w:val="20"/>
          <w:lang w:val="es-CR"/>
        </w:rPr>
        <w:t xml:space="preserve"> donde fue ubicado el cuerpo de María Isabel V</w:t>
      </w:r>
      <w:r>
        <w:rPr>
          <w:rFonts w:ascii="Verdana" w:hAnsi="Verdana"/>
          <w:w w:val="95"/>
          <w:sz w:val="20"/>
          <w:szCs w:val="20"/>
          <w:lang w:val="es-CR"/>
        </w:rPr>
        <w:t>e</w:t>
      </w:r>
      <w:r w:rsidRPr="00AA5F26">
        <w:rPr>
          <w:rFonts w:ascii="Verdana" w:hAnsi="Verdana"/>
          <w:w w:val="95"/>
          <w:sz w:val="20"/>
          <w:szCs w:val="20"/>
          <w:lang w:val="es-CR"/>
        </w:rPr>
        <w:t>liz Franco”</w:t>
      </w:r>
      <w:r w:rsidRPr="00AA5F26">
        <w:rPr>
          <w:rStyle w:val="Refdenotaalpie"/>
          <w:rFonts w:ascii="Verdana" w:hAnsi="Verdana" w:cs="Calibri"/>
          <w:w w:val="95"/>
          <w:sz w:val="20"/>
          <w:szCs w:val="20"/>
          <w:lang w:val="es-CR"/>
        </w:rPr>
        <w:footnoteReference w:id="294"/>
      </w:r>
      <w:r w:rsidRPr="00943069">
        <w:rPr>
          <w:rFonts w:ascii="Verdana" w:hAnsi="Verdana"/>
          <w:w w:val="95"/>
          <w:sz w:val="20"/>
          <w:szCs w:val="20"/>
          <w:lang w:val="es-CR"/>
        </w:rPr>
        <w:t>. El 27 de julio de 2009 el Secretario Ejecutivo d</w:t>
      </w:r>
      <w:r w:rsidRPr="00AA5F26">
        <w:rPr>
          <w:rFonts w:ascii="Verdana" w:hAnsi="Verdana"/>
          <w:w w:val="95"/>
          <w:sz w:val="20"/>
          <w:szCs w:val="20"/>
          <w:lang w:val="es-CR"/>
        </w:rPr>
        <w:t>el Cuerpo de Bomberos Municipales respondió que en sus archivos no constaban datos sobre el hecho en cuestión (</w:t>
      </w:r>
      <w:r w:rsidRPr="00AA5F26">
        <w:rPr>
          <w:rFonts w:ascii="Verdana" w:hAnsi="Verdana"/>
          <w:i/>
          <w:w w:val="95"/>
          <w:sz w:val="20"/>
          <w:szCs w:val="20"/>
          <w:lang w:val="es-CR"/>
        </w:rPr>
        <w:t>supra</w:t>
      </w:r>
      <w:r w:rsidRPr="00AA5F26">
        <w:rPr>
          <w:rFonts w:ascii="Verdana" w:hAnsi="Verdana"/>
          <w:w w:val="95"/>
          <w:sz w:val="20"/>
          <w:szCs w:val="20"/>
          <w:lang w:val="es-CR"/>
        </w:rPr>
        <w:t xml:space="preserve"> </w:t>
      </w:r>
      <w:r w:rsidR="00434E52">
        <w:rPr>
          <w:rFonts w:ascii="Verdana" w:hAnsi="Verdana"/>
          <w:w w:val="95"/>
          <w:sz w:val="20"/>
          <w:szCs w:val="20"/>
          <w:lang w:val="es-CR"/>
        </w:rPr>
        <w:t xml:space="preserve">nota al pie </w:t>
      </w:r>
      <w:r w:rsidR="006D50ED">
        <w:rPr>
          <w:rFonts w:ascii="Verdana" w:hAnsi="Verdana"/>
          <w:w w:val="95"/>
          <w:sz w:val="20"/>
          <w:szCs w:val="20"/>
          <w:lang w:val="es-CR"/>
        </w:rPr>
        <w:t xml:space="preserve">de página </w:t>
      </w:r>
      <w:r w:rsidR="00DD3394">
        <w:rPr>
          <w:rFonts w:ascii="Verdana" w:hAnsi="Verdana"/>
          <w:w w:val="95"/>
          <w:sz w:val="20"/>
          <w:szCs w:val="20"/>
          <w:lang w:val="es-CR"/>
        </w:rPr>
        <w:t>190</w:t>
      </w:r>
      <w:r w:rsidR="00F15CBE" w:rsidRPr="008840F4">
        <w:rPr>
          <w:rFonts w:ascii="Verdana" w:hAnsi="Verdana"/>
          <w:w w:val="95"/>
          <w:sz w:val="20"/>
          <w:szCs w:val="20"/>
          <w:lang w:val="es-CL"/>
        </w:rPr>
        <w:t>)</w:t>
      </w:r>
      <w:r w:rsidRPr="00AA5F26">
        <w:rPr>
          <w:rStyle w:val="Refdenotaalpie"/>
          <w:rFonts w:ascii="Verdana" w:hAnsi="Verdana" w:cs="Calibri"/>
          <w:w w:val="95"/>
          <w:sz w:val="20"/>
          <w:szCs w:val="20"/>
          <w:lang w:val="es-CR"/>
        </w:rPr>
        <w:footnoteReference w:id="295"/>
      </w:r>
      <w:r w:rsidR="00F15CBE" w:rsidRPr="008840F4">
        <w:rPr>
          <w:rFonts w:ascii="Verdana" w:hAnsi="Verdana"/>
          <w:w w:val="95"/>
          <w:sz w:val="20"/>
          <w:szCs w:val="20"/>
          <w:lang w:val="es-CL"/>
        </w:rPr>
        <w:t>;</w:t>
      </w:r>
    </w:p>
    <w:p w:rsidR="00DF15C3" w:rsidRPr="008840F4" w:rsidRDefault="00DF15C3" w:rsidP="003F26FD">
      <w:pPr>
        <w:spacing w:after="0" w:line="216" w:lineRule="auto"/>
        <w:ind w:left="-153" w:right="-174"/>
        <w:jc w:val="both"/>
        <w:rPr>
          <w:rFonts w:ascii="Verdana" w:hAnsi="Verdana"/>
          <w:w w:val="95"/>
          <w:sz w:val="20"/>
          <w:szCs w:val="20"/>
          <w:lang w:val="es-CL"/>
        </w:rPr>
      </w:pPr>
    </w:p>
    <w:p w:rsidR="00DF15C3" w:rsidRPr="00856A1B" w:rsidRDefault="00DF15C3" w:rsidP="003F26FD">
      <w:pPr>
        <w:pStyle w:val="Prrafodelista"/>
        <w:numPr>
          <w:ilvl w:val="0"/>
          <w:numId w:val="11"/>
        </w:numPr>
        <w:spacing w:after="0" w:line="216" w:lineRule="auto"/>
        <w:ind w:right="-174" w:firstLine="0"/>
        <w:jc w:val="both"/>
        <w:rPr>
          <w:rFonts w:ascii="Verdana" w:hAnsi="Verdana"/>
          <w:w w:val="95"/>
          <w:sz w:val="20"/>
          <w:szCs w:val="20"/>
          <w:lang w:val="es-CR"/>
        </w:rPr>
      </w:pPr>
      <w:r w:rsidRPr="00AA5F26">
        <w:rPr>
          <w:rFonts w:ascii="Verdana" w:hAnsi="Verdana"/>
          <w:w w:val="95"/>
          <w:sz w:val="20"/>
          <w:szCs w:val="20"/>
          <w:lang w:val="es-CR"/>
        </w:rPr>
        <w:t>las primeras diligencias fueron reportadas de manera distinta por las autoridades. Así</w:t>
      </w:r>
      <w:r w:rsidR="000F0D22">
        <w:rPr>
          <w:rFonts w:ascii="Verdana" w:hAnsi="Verdana"/>
          <w:w w:val="95"/>
          <w:sz w:val="20"/>
          <w:szCs w:val="20"/>
          <w:lang w:val="es-CR"/>
        </w:rPr>
        <w:t>,</w:t>
      </w:r>
      <w:r w:rsidRPr="00AA5F26">
        <w:rPr>
          <w:rFonts w:ascii="Verdana" w:hAnsi="Verdana"/>
          <w:w w:val="95"/>
          <w:sz w:val="20"/>
          <w:szCs w:val="20"/>
          <w:lang w:val="es-CR"/>
        </w:rPr>
        <w:t xml:space="preserve"> en la inspección </w:t>
      </w:r>
      <w:r w:rsidRPr="00E317C0">
        <w:rPr>
          <w:rFonts w:ascii="Verdana" w:hAnsi="Verdana"/>
          <w:w w:val="95"/>
          <w:sz w:val="20"/>
          <w:szCs w:val="20"/>
          <w:lang w:val="es-CR"/>
        </w:rPr>
        <w:t xml:space="preserve">ocular se señala que </w:t>
      </w:r>
      <w:r w:rsidR="004022F4" w:rsidRPr="0022623B">
        <w:rPr>
          <w:rFonts w:ascii="Verdana" w:hAnsi="Verdana"/>
          <w:w w:val="95"/>
          <w:sz w:val="20"/>
          <w:szCs w:val="20"/>
          <w:lang w:val="es-CR"/>
        </w:rPr>
        <w:t xml:space="preserve">la diligencia </w:t>
      </w:r>
      <w:r w:rsidRPr="0022623B">
        <w:rPr>
          <w:rFonts w:ascii="Verdana" w:hAnsi="Verdana"/>
          <w:w w:val="95"/>
          <w:sz w:val="20"/>
          <w:szCs w:val="20"/>
          <w:lang w:val="es-CR"/>
        </w:rPr>
        <w:t>finalizó</w:t>
      </w:r>
      <w:r w:rsidRPr="00E317C0">
        <w:rPr>
          <w:rFonts w:ascii="Verdana" w:hAnsi="Verdana"/>
          <w:w w:val="95"/>
          <w:sz w:val="20"/>
          <w:szCs w:val="20"/>
          <w:lang w:val="es-CR"/>
        </w:rPr>
        <w:t xml:space="preserve"> a las </w:t>
      </w:r>
      <w:r w:rsidR="00F77273" w:rsidRPr="00856A1B">
        <w:rPr>
          <w:rFonts w:ascii="Verdana" w:hAnsi="Verdana"/>
          <w:w w:val="95"/>
          <w:sz w:val="20"/>
          <w:szCs w:val="20"/>
          <w:lang w:val="es-CR"/>
        </w:rPr>
        <w:t>16:15 horas,</w:t>
      </w:r>
      <w:r w:rsidRPr="00856A1B">
        <w:rPr>
          <w:rFonts w:ascii="Verdana" w:hAnsi="Verdana"/>
          <w:w w:val="95"/>
          <w:sz w:val="20"/>
          <w:szCs w:val="20"/>
          <w:lang w:val="es-CR"/>
        </w:rPr>
        <w:t xml:space="preserve"> pero según el informe de los agentes de la PNC que a</w:t>
      </w:r>
      <w:r w:rsidR="0022623B">
        <w:rPr>
          <w:rFonts w:ascii="Verdana" w:hAnsi="Verdana"/>
          <w:w w:val="95"/>
          <w:sz w:val="20"/>
          <w:szCs w:val="20"/>
          <w:lang w:val="es-CR"/>
        </w:rPr>
        <w:t>cudieron al lugar del hallazgo,</w:t>
      </w:r>
      <w:r w:rsidR="005D6EFA" w:rsidRPr="00856A1B">
        <w:rPr>
          <w:rFonts w:ascii="Verdana" w:hAnsi="Verdana"/>
          <w:w w:val="95"/>
          <w:sz w:val="20"/>
          <w:szCs w:val="20"/>
          <w:lang w:val="es-CR"/>
        </w:rPr>
        <w:t xml:space="preserve"> </w:t>
      </w:r>
      <w:r w:rsidRPr="00856A1B">
        <w:rPr>
          <w:rFonts w:ascii="Verdana" w:hAnsi="Verdana"/>
          <w:w w:val="95"/>
          <w:sz w:val="20"/>
          <w:szCs w:val="20"/>
          <w:lang w:val="es-CR"/>
        </w:rPr>
        <w:t xml:space="preserve">los técnicos de inspecciones oculares de la Unidad de Homicidios llegaron a las </w:t>
      </w:r>
      <w:r w:rsidR="00F77273" w:rsidRPr="00856A1B">
        <w:rPr>
          <w:rFonts w:ascii="Verdana" w:hAnsi="Verdana"/>
          <w:w w:val="95"/>
          <w:sz w:val="20"/>
          <w:szCs w:val="20"/>
          <w:lang w:val="es-CR"/>
        </w:rPr>
        <w:t xml:space="preserve">15:20 </w:t>
      </w:r>
      <w:r w:rsidR="00734535" w:rsidRPr="00856A1B">
        <w:rPr>
          <w:rFonts w:ascii="Verdana" w:hAnsi="Verdana"/>
          <w:w w:val="95"/>
          <w:sz w:val="20"/>
          <w:szCs w:val="20"/>
          <w:lang w:val="es-CR"/>
        </w:rPr>
        <w:t>horas</w:t>
      </w:r>
      <w:r w:rsidR="000A2ACA">
        <w:rPr>
          <w:rFonts w:ascii="Verdana" w:hAnsi="Verdana"/>
          <w:w w:val="95"/>
          <w:sz w:val="20"/>
          <w:szCs w:val="20"/>
          <w:lang w:val="es-CR"/>
        </w:rPr>
        <w:t xml:space="preserve">. </w:t>
      </w:r>
      <w:r w:rsidR="000A2ACA" w:rsidRPr="00F7281C">
        <w:rPr>
          <w:rFonts w:ascii="Verdana" w:hAnsi="Verdana"/>
          <w:w w:val="95"/>
          <w:sz w:val="20"/>
          <w:szCs w:val="20"/>
          <w:lang w:val="es-CR"/>
        </w:rPr>
        <w:t xml:space="preserve">No obstante, en el acta de levantamiento del cadáver se indica que </w:t>
      </w:r>
      <w:r w:rsidRPr="00F7281C">
        <w:rPr>
          <w:rFonts w:ascii="Verdana" w:hAnsi="Verdana"/>
          <w:w w:val="95"/>
          <w:sz w:val="20"/>
          <w:szCs w:val="20"/>
          <w:lang w:val="es-CR"/>
        </w:rPr>
        <w:t>el</w:t>
      </w:r>
      <w:r w:rsidRPr="00856A1B">
        <w:rPr>
          <w:rFonts w:ascii="Verdana" w:hAnsi="Verdana"/>
          <w:w w:val="95"/>
          <w:sz w:val="20"/>
          <w:szCs w:val="20"/>
          <w:lang w:val="es-CR"/>
        </w:rPr>
        <w:t xml:space="preserve"> cuerpo fue trasladado a la morgue en </w:t>
      </w:r>
      <w:r w:rsidR="00734535" w:rsidRPr="0022623B">
        <w:rPr>
          <w:rFonts w:ascii="Verdana" w:hAnsi="Verdana"/>
          <w:w w:val="95"/>
          <w:sz w:val="20"/>
          <w:szCs w:val="20"/>
          <w:lang w:val="es-CR"/>
        </w:rPr>
        <w:t>la unidad policial</w:t>
      </w:r>
      <w:r w:rsidRPr="0022623B">
        <w:rPr>
          <w:rFonts w:ascii="Verdana" w:hAnsi="Verdana"/>
          <w:w w:val="95"/>
          <w:sz w:val="20"/>
          <w:szCs w:val="20"/>
          <w:lang w:val="es-CR"/>
        </w:rPr>
        <w:t xml:space="preserve"> </w:t>
      </w:r>
      <w:r w:rsidR="00734535" w:rsidRPr="0022623B">
        <w:rPr>
          <w:rFonts w:ascii="Verdana" w:hAnsi="Verdana"/>
          <w:w w:val="95"/>
          <w:sz w:val="20"/>
          <w:szCs w:val="20"/>
          <w:lang w:val="es-CR"/>
        </w:rPr>
        <w:t xml:space="preserve">No. </w:t>
      </w:r>
      <w:r w:rsidRPr="0022623B">
        <w:rPr>
          <w:rFonts w:ascii="Verdana" w:hAnsi="Verdana"/>
          <w:w w:val="95"/>
          <w:sz w:val="20"/>
          <w:szCs w:val="20"/>
          <w:lang w:val="es-CR"/>
        </w:rPr>
        <w:t>16</w:t>
      </w:r>
      <w:r w:rsidR="00734535" w:rsidRPr="0022623B">
        <w:rPr>
          <w:rFonts w:ascii="Verdana" w:hAnsi="Verdana"/>
          <w:w w:val="95"/>
          <w:sz w:val="20"/>
          <w:szCs w:val="20"/>
          <w:lang w:val="es-CR"/>
        </w:rPr>
        <w:t>-</w:t>
      </w:r>
      <w:r w:rsidRPr="0022623B">
        <w:rPr>
          <w:rFonts w:ascii="Verdana" w:hAnsi="Verdana"/>
          <w:w w:val="95"/>
          <w:sz w:val="20"/>
          <w:szCs w:val="20"/>
          <w:lang w:val="es-CR"/>
        </w:rPr>
        <w:t>045</w:t>
      </w:r>
      <w:r w:rsidR="00C20142" w:rsidRPr="0022623B">
        <w:rPr>
          <w:rFonts w:ascii="Verdana" w:hAnsi="Verdana"/>
          <w:w w:val="95"/>
          <w:sz w:val="20"/>
          <w:szCs w:val="20"/>
          <w:lang w:val="es-CR"/>
        </w:rPr>
        <w:t>,</w:t>
      </w:r>
      <w:r w:rsidRPr="00856A1B">
        <w:rPr>
          <w:rFonts w:ascii="Verdana" w:hAnsi="Verdana"/>
          <w:w w:val="95"/>
          <w:sz w:val="20"/>
          <w:szCs w:val="20"/>
          <w:lang w:val="es-CR"/>
        </w:rPr>
        <w:t xml:space="preserve"> a las </w:t>
      </w:r>
      <w:r w:rsidR="00F77273" w:rsidRPr="00856A1B">
        <w:rPr>
          <w:rFonts w:ascii="Verdana" w:hAnsi="Verdana"/>
          <w:w w:val="95"/>
          <w:sz w:val="20"/>
          <w:szCs w:val="20"/>
          <w:lang w:val="es-CR"/>
        </w:rPr>
        <w:t xml:space="preserve">15:45 </w:t>
      </w:r>
      <w:r w:rsidR="00734535" w:rsidRPr="00856A1B">
        <w:rPr>
          <w:rFonts w:ascii="Verdana" w:hAnsi="Verdana"/>
          <w:w w:val="95"/>
          <w:sz w:val="20"/>
          <w:szCs w:val="20"/>
          <w:lang w:val="es-CR"/>
        </w:rPr>
        <w:t>horas</w:t>
      </w:r>
      <w:r w:rsidR="00C20142">
        <w:rPr>
          <w:rFonts w:ascii="Verdana" w:hAnsi="Verdana"/>
          <w:w w:val="95"/>
          <w:sz w:val="20"/>
          <w:szCs w:val="20"/>
          <w:lang w:val="es-CR"/>
        </w:rPr>
        <w:t>,</w:t>
      </w:r>
      <w:r w:rsidRPr="00856A1B">
        <w:rPr>
          <w:rFonts w:ascii="Verdana" w:hAnsi="Verdana"/>
          <w:w w:val="95"/>
          <w:sz w:val="20"/>
          <w:szCs w:val="20"/>
          <w:lang w:val="es-CR"/>
        </w:rPr>
        <w:t xml:space="preserve"> después de finalizada la diligencia</w:t>
      </w:r>
      <w:r w:rsidRPr="00856A1B">
        <w:rPr>
          <w:rStyle w:val="Refdenotaalpie"/>
          <w:rFonts w:ascii="Verdana" w:hAnsi="Verdana"/>
          <w:w w:val="95"/>
          <w:sz w:val="20"/>
          <w:szCs w:val="20"/>
          <w:lang w:val="es-CR"/>
        </w:rPr>
        <w:footnoteReference w:id="296"/>
      </w:r>
      <w:r w:rsidRPr="00856A1B">
        <w:rPr>
          <w:rFonts w:ascii="Verdana" w:hAnsi="Verdana"/>
          <w:w w:val="95"/>
          <w:sz w:val="20"/>
          <w:szCs w:val="20"/>
          <w:lang w:val="es-CR"/>
        </w:rPr>
        <w:t xml:space="preserve"> (</w:t>
      </w:r>
      <w:r w:rsidRPr="00856A1B">
        <w:rPr>
          <w:rFonts w:ascii="Verdana" w:hAnsi="Verdana"/>
          <w:i/>
          <w:w w:val="95"/>
          <w:sz w:val="20"/>
          <w:szCs w:val="20"/>
          <w:lang w:val="es-CR"/>
        </w:rPr>
        <w:t>supra</w:t>
      </w:r>
      <w:r w:rsidRPr="00856A1B">
        <w:rPr>
          <w:rFonts w:ascii="Verdana" w:hAnsi="Verdana"/>
          <w:w w:val="95"/>
          <w:sz w:val="20"/>
          <w:szCs w:val="20"/>
          <w:lang w:val="es-CR"/>
        </w:rPr>
        <w:t xml:space="preserve"> párr. </w:t>
      </w:r>
      <w:r w:rsidR="00A15602" w:rsidRPr="00856A1B">
        <w:rPr>
          <w:rFonts w:ascii="Verdana" w:hAnsi="Verdana"/>
          <w:w w:val="95"/>
          <w:sz w:val="20"/>
          <w:szCs w:val="20"/>
          <w:lang w:val="es-CR"/>
        </w:rPr>
        <w:t>97</w:t>
      </w:r>
      <w:r w:rsidR="00434E52" w:rsidRPr="00856A1B">
        <w:rPr>
          <w:rFonts w:ascii="Verdana" w:hAnsi="Verdana"/>
          <w:w w:val="95"/>
          <w:sz w:val="20"/>
          <w:szCs w:val="20"/>
          <w:lang w:val="es-CR"/>
        </w:rPr>
        <w:t xml:space="preserve">); </w:t>
      </w:r>
    </w:p>
    <w:p w:rsidR="00DF15C3" w:rsidRPr="00D008DC" w:rsidRDefault="00DF15C3" w:rsidP="003F26FD">
      <w:pPr>
        <w:spacing w:after="0" w:line="216" w:lineRule="auto"/>
        <w:ind w:left="-153" w:right="-174"/>
        <w:jc w:val="both"/>
        <w:rPr>
          <w:rFonts w:ascii="Verdana" w:hAnsi="Verdana"/>
          <w:w w:val="95"/>
          <w:sz w:val="20"/>
          <w:szCs w:val="20"/>
          <w:lang w:val="es-CR"/>
        </w:rPr>
      </w:pPr>
    </w:p>
    <w:p w:rsidR="00DF15C3" w:rsidRPr="00856A1B" w:rsidRDefault="00DF15C3" w:rsidP="003F26FD">
      <w:pPr>
        <w:pStyle w:val="Prrafodelista"/>
        <w:numPr>
          <w:ilvl w:val="0"/>
          <w:numId w:val="11"/>
        </w:numPr>
        <w:spacing w:after="0" w:line="216" w:lineRule="auto"/>
        <w:ind w:right="-174" w:firstLine="0"/>
        <w:jc w:val="both"/>
        <w:rPr>
          <w:rFonts w:ascii="Verdana" w:hAnsi="Verdana"/>
          <w:w w:val="95"/>
          <w:sz w:val="20"/>
          <w:szCs w:val="20"/>
          <w:lang w:val="es-CR"/>
        </w:rPr>
      </w:pPr>
      <w:r w:rsidRPr="00AA5F26">
        <w:rPr>
          <w:rFonts w:ascii="Verdana" w:hAnsi="Verdana"/>
          <w:w w:val="95"/>
          <w:sz w:val="20"/>
          <w:szCs w:val="20"/>
          <w:lang w:val="es-CR"/>
        </w:rPr>
        <w:t>en el informe policial se indica que los objetos encontrados quedaron en poder de la Auxiliar Fiscal del Ministerio Público, pero en el acta elaborada por ella no consigna lo ocurrido con dichos objetos. Además, las prendas de vestir de María Isabel y un nylon transparente, señaladas en el acta de remisión de indicios, fueron entregadas a la madre de la menor, por lo que, el 19 de diciembre de 2001 fueron recolectadas en el lugar en donde se velaba el cuerpo de la niña. Dichos objetos fueron embalados ese mismo día, identificándose nueve indicios, y enviados al Laboratorio del Departamento Técnico Científico del Ministerio Público (</w:t>
      </w:r>
      <w:r w:rsidRPr="00AA5F26">
        <w:rPr>
          <w:rFonts w:ascii="Verdana" w:hAnsi="Verdana"/>
          <w:i/>
          <w:w w:val="95"/>
          <w:sz w:val="20"/>
          <w:szCs w:val="20"/>
          <w:lang w:val="es-CR"/>
        </w:rPr>
        <w:t>supra</w:t>
      </w:r>
      <w:r w:rsidR="00A15602">
        <w:rPr>
          <w:rFonts w:ascii="Verdana" w:hAnsi="Verdana"/>
          <w:w w:val="95"/>
          <w:sz w:val="20"/>
          <w:szCs w:val="20"/>
          <w:lang w:val="es-CR"/>
        </w:rPr>
        <w:t xml:space="preserve"> párr. 110</w:t>
      </w:r>
      <w:r w:rsidR="00434E52" w:rsidRPr="00AA5F26">
        <w:rPr>
          <w:rFonts w:ascii="Verdana" w:hAnsi="Verdana"/>
          <w:w w:val="95"/>
          <w:sz w:val="20"/>
          <w:szCs w:val="20"/>
          <w:lang w:val="es-CR"/>
        </w:rPr>
        <w:t xml:space="preserve">). </w:t>
      </w:r>
      <w:r w:rsidRPr="00AA5F26">
        <w:rPr>
          <w:rFonts w:ascii="Verdana" w:hAnsi="Verdana"/>
          <w:w w:val="95"/>
          <w:sz w:val="20"/>
          <w:szCs w:val="20"/>
          <w:lang w:val="es-CR"/>
        </w:rPr>
        <w:t>Sin embargo, con posterioridad fueron extraviados “un pantalón de lona, dos toallas y un par de calcetas</w:t>
      </w:r>
      <w:r w:rsidR="00F7281C">
        <w:rPr>
          <w:rFonts w:ascii="Verdana" w:hAnsi="Verdana"/>
          <w:w w:val="95"/>
          <w:sz w:val="20"/>
          <w:szCs w:val="20"/>
          <w:lang w:val="es-CR"/>
        </w:rPr>
        <w:t>”</w:t>
      </w:r>
      <w:r w:rsidRPr="00AA5F26">
        <w:rPr>
          <w:rFonts w:ascii="Verdana" w:hAnsi="Verdana"/>
          <w:w w:val="95"/>
          <w:sz w:val="20"/>
          <w:szCs w:val="20"/>
          <w:lang w:val="es-CR"/>
        </w:rPr>
        <w:t xml:space="preserve">. </w:t>
      </w:r>
      <w:r w:rsidR="00F77273" w:rsidRPr="00856A1B">
        <w:rPr>
          <w:rFonts w:ascii="Verdana" w:hAnsi="Verdana"/>
          <w:w w:val="95"/>
          <w:sz w:val="20"/>
          <w:szCs w:val="20"/>
          <w:lang w:val="es-CR"/>
        </w:rPr>
        <w:t>El 14 de enero de 2011 el Agente Fiscal requirió su búsqueda exhaustiva. Por lo que, al menos hasta</w:t>
      </w:r>
      <w:r w:rsidR="00F77273" w:rsidRPr="0022623B">
        <w:rPr>
          <w:rFonts w:ascii="Verdana" w:hAnsi="Verdana"/>
          <w:w w:val="95"/>
          <w:sz w:val="20"/>
          <w:szCs w:val="20"/>
          <w:lang w:val="es-CR"/>
        </w:rPr>
        <w:t xml:space="preserve"> julio</w:t>
      </w:r>
      <w:r w:rsidR="00F77273" w:rsidRPr="00856A1B">
        <w:rPr>
          <w:rFonts w:ascii="Verdana" w:hAnsi="Verdana"/>
          <w:w w:val="95"/>
          <w:sz w:val="20"/>
          <w:szCs w:val="20"/>
          <w:lang w:val="es-CR"/>
        </w:rPr>
        <w:t xml:space="preserve"> de 2011 se desconocía su ubicación, y</w:t>
      </w:r>
      <w:r w:rsidRPr="00856A1B">
        <w:rPr>
          <w:rFonts w:ascii="Verdana" w:hAnsi="Verdana"/>
          <w:w w:val="95"/>
          <w:sz w:val="20"/>
          <w:szCs w:val="20"/>
          <w:lang w:val="es-CR"/>
        </w:rPr>
        <w:t xml:space="preserve"> </w:t>
      </w:r>
    </w:p>
    <w:p w:rsidR="00DF15C3" w:rsidRPr="00943069" w:rsidRDefault="00DF15C3" w:rsidP="003F26FD">
      <w:pPr>
        <w:spacing w:after="0" w:line="216" w:lineRule="auto"/>
        <w:ind w:left="-153" w:right="-174"/>
        <w:jc w:val="both"/>
        <w:rPr>
          <w:rFonts w:ascii="Verdana" w:hAnsi="Verdana"/>
          <w:w w:val="95"/>
          <w:sz w:val="20"/>
          <w:szCs w:val="20"/>
          <w:lang w:val="es-CR"/>
        </w:rPr>
      </w:pPr>
    </w:p>
    <w:p w:rsidR="00DF15C3" w:rsidRPr="00943069" w:rsidRDefault="00DF15C3" w:rsidP="003F26FD">
      <w:pPr>
        <w:pStyle w:val="Prrafodelista"/>
        <w:numPr>
          <w:ilvl w:val="0"/>
          <w:numId w:val="11"/>
        </w:numPr>
        <w:spacing w:after="0" w:line="216" w:lineRule="auto"/>
        <w:ind w:right="-174" w:firstLine="0"/>
        <w:jc w:val="both"/>
        <w:rPr>
          <w:rFonts w:ascii="Verdana" w:hAnsi="Verdana"/>
          <w:w w:val="95"/>
          <w:sz w:val="20"/>
          <w:szCs w:val="20"/>
          <w:lang w:val="es-CR"/>
        </w:rPr>
      </w:pPr>
      <w:r w:rsidRPr="00856A1B">
        <w:rPr>
          <w:rFonts w:ascii="Verdana" w:hAnsi="Verdana"/>
          <w:w w:val="95"/>
          <w:sz w:val="20"/>
          <w:szCs w:val="20"/>
          <w:lang w:val="es-CR"/>
        </w:rPr>
        <w:t>en la autopsia no aparece la hora ni la fec</w:t>
      </w:r>
      <w:r w:rsidR="00A15602" w:rsidRPr="00856A1B">
        <w:rPr>
          <w:rFonts w:ascii="Verdana" w:hAnsi="Verdana"/>
          <w:w w:val="95"/>
          <w:sz w:val="20"/>
          <w:szCs w:val="20"/>
          <w:lang w:val="es-CR"/>
        </w:rPr>
        <w:t xml:space="preserve">ha </w:t>
      </w:r>
      <w:r w:rsidR="00A15602" w:rsidRPr="0022623B">
        <w:rPr>
          <w:rFonts w:ascii="Verdana" w:hAnsi="Verdana"/>
          <w:w w:val="95"/>
          <w:sz w:val="20"/>
          <w:szCs w:val="20"/>
          <w:lang w:val="es-CR"/>
        </w:rPr>
        <w:t xml:space="preserve">de la muerte de María Isabel, </w:t>
      </w:r>
      <w:r w:rsidR="00B741C3" w:rsidRPr="0022623B">
        <w:rPr>
          <w:rFonts w:ascii="Verdana" w:hAnsi="Verdana"/>
          <w:w w:val="95"/>
          <w:sz w:val="20"/>
          <w:szCs w:val="20"/>
          <w:lang w:val="es-CR"/>
        </w:rPr>
        <w:t xml:space="preserve">y posteriormente </w:t>
      </w:r>
      <w:r w:rsidR="00F77273" w:rsidRPr="0022623B">
        <w:rPr>
          <w:rFonts w:ascii="Verdana" w:hAnsi="Verdana"/>
          <w:w w:val="95"/>
          <w:sz w:val="20"/>
          <w:szCs w:val="20"/>
          <w:lang w:val="es-CR"/>
        </w:rPr>
        <w:t>se solicitó una interpretación de la autopsia</w:t>
      </w:r>
      <w:r w:rsidR="00B741C3" w:rsidRPr="0022623B">
        <w:rPr>
          <w:rFonts w:ascii="Verdana" w:hAnsi="Verdana"/>
          <w:w w:val="95"/>
          <w:sz w:val="20"/>
          <w:szCs w:val="20"/>
          <w:lang w:val="es-CR"/>
        </w:rPr>
        <w:t>,</w:t>
      </w:r>
      <w:r w:rsidR="00A15602" w:rsidRPr="0022623B">
        <w:rPr>
          <w:rFonts w:ascii="Verdana" w:hAnsi="Verdana"/>
          <w:w w:val="95"/>
          <w:sz w:val="20"/>
          <w:szCs w:val="20"/>
          <w:lang w:val="es-CR"/>
        </w:rPr>
        <w:t xml:space="preserve"> </w:t>
      </w:r>
      <w:r w:rsidR="00954D94" w:rsidRPr="0022623B">
        <w:rPr>
          <w:rFonts w:ascii="Verdana" w:hAnsi="Verdana"/>
          <w:w w:val="95"/>
          <w:sz w:val="20"/>
          <w:szCs w:val="20"/>
          <w:lang w:val="es-CR"/>
        </w:rPr>
        <w:t xml:space="preserve">en la cual </w:t>
      </w:r>
      <w:r w:rsidRPr="0022623B">
        <w:rPr>
          <w:rFonts w:ascii="Verdana" w:hAnsi="Verdana"/>
          <w:w w:val="95"/>
          <w:sz w:val="20"/>
          <w:szCs w:val="20"/>
          <w:lang w:val="es-CR"/>
        </w:rPr>
        <w:t xml:space="preserve">sólo se estimó que el tiempo de fallecimiento </w:t>
      </w:r>
      <w:r w:rsidR="00B741C3" w:rsidRPr="0022623B">
        <w:rPr>
          <w:rFonts w:ascii="Verdana" w:hAnsi="Verdana"/>
          <w:w w:val="95"/>
          <w:sz w:val="20"/>
          <w:szCs w:val="20"/>
          <w:lang w:val="es-CR"/>
        </w:rPr>
        <w:t xml:space="preserve">fue </w:t>
      </w:r>
      <w:r w:rsidR="00954D94" w:rsidRPr="0022623B">
        <w:rPr>
          <w:rFonts w:ascii="Verdana" w:hAnsi="Verdana"/>
          <w:w w:val="95"/>
          <w:sz w:val="20"/>
          <w:szCs w:val="20"/>
          <w:lang w:val="es-CR"/>
        </w:rPr>
        <w:t>“</w:t>
      </w:r>
      <w:r w:rsidR="00B741C3" w:rsidRPr="0022623B">
        <w:rPr>
          <w:rFonts w:ascii="Verdana" w:hAnsi="Verdana"/>
          <w:w w:val="95"/>
          <w:sz w:val="20"/>
          <w:szCs w:val="20"/>
          <w:lang w:val="es-CR"/>
        </w:rPr>
        <w:t xml:space="preserve">de </w:t>
      </w:r>
      <w:r w:rsidRPr="0022623B">
        <w:rPr>
          <w:rFonts w:ascii="Verdana" w:hAnsi="Verdana"/>
          <w:w w:val="95"/>
          <w:sz w:val="20"/>
          <w:szCs w:val="20"/>
          <w:lang w:val="es-CR"/>
        </w:rPr>
        <w:t>seis y doce horas</w:t>
      </w:r>
      <w:r w:rsidR="00954D94" w:rsidRPr="0022623B">
        <w:rPr>
          <w:rFonts w:ascii="Verdana" w:hAnsi="Verdana"/>
          <w:w w:val="95"/>
          <w:sz w:val="20"/>
          <w:szCs w:val="20"/>
          <w:lang w:val="es-CR"/>
        </w:rPr>
        <w:t>”</w:t>
      </w:r>
      <w:r w:rsidRPr="00856A1B">
        <w:rPr>
          <w:rFonts w:ascii="Verdana" w:hAnsi="Verdana"/>
          <w:w w:val="95"/>
          <w:sz w:val="20"/>
          <w:szCs w:val="20"/>
          <w:lang w:val="es-CR"/>
        </w:rPr>
        <w:t xml:space="preserve"> (</w:t>
      </w:r>
      <w:r w:rsidRPr="00856A1B">
        <w:rPr>
          <w:rFonts w:ascii="Verdana" w:hAnsi="Verdana"/>
          <w:i/>
          <w:w w:val="95"/>
          <w:sz w:val="20"/>
          <w:szCs w:val="20"/>
          <w:lang w:val="es-CR"/>
        </w:rPr>
        <w:t>supra</w:t>
      </w:r>
      <w:r w:rsidRPr="00856A1B">
        <w:rPr>
          <w:rFonts w:ascii="Verdana" w:hAnsi="Verdana"/>
          <w:w w:val="95"/>
          <w:sz w:val="20"/>
          <w:szCs w:val="20"/>
          <w:lang w:val="es-CR"/>
        </w:rPr>
        <w:t xml:space="preserve"> </w:t>
      </w:r>
      <w:r w:rsidR="00434E52" w:rsidRPr="00856A1B">
        <w:rPr>
          <w:rFonts w:ascii="Verdana" w:hAnsi="Verdana"/>
          <w:w w:val="95"/>
          <w:sz w:val="20"/>
          <w:szCs w:val="20"/>
          <w:lang w:val="es-CR"/>
        </w:rPr>
        <w:t>párr.</w:t>
      </w:r>
      <w:r w:rsidR="009A4D7F" w:rsidRPr="00856A1B">
        <w:rPr>
          <w:rFonts w:ascii="Verdana" w:hAnsi="Verdana"/>
          <w:w w:val="95"/>
          <w:sz w:val="20"/>
          <w:szCs w:val="20"/>
          <w:lang w:val="es-CR"/>
        </w:rPr>
        <w:t xml:space="preserve"> </w:t>
      </w:r>
      <w:r w:rsidR="00A15602" w:rsidRPr="00856A1B">
        <w:rPr>
          <w:rFonts w:ascii="Verdana" w:hAnsi="Verdana"/>
          <w:w w:val="95"/>
          <w:sz w:val="20"/>
          <w:szCs w:val="20"/>
          <w:lang w:val="es-CR"/>
        </w:rPr>
        <w:t>111</w:t>
      </w:r>
      <w:r w:rsidR="00434E52" w:rsidRPr="00856A1B">
        <w:rPr>
          <w:rFonts w:ascii="Verdana" w:hAnsi="Verdana"/>
          <w:w w:val="95"/>
          <w:sz w:val="20"/>
          <w:szCs w:val="20"/>
          <w:lang w:val="es-CR"/>
        </w:rPr>
        <w:t xml:space="preserve">), </w:t>
      </w:r>
      <w:r w:rsidRPr="00856A1B">
        <w:rPr>
          <w:rFonts w:ascii="Verdana" w:hAnsi="Verdana"/>
          <w:w w:val="95"/>
          <w:sz w:val="20"/>
          <w:szCs w:val="20"/>
          <w:lang w:val="es-CR"/>
        </w:rPr>
        <w:t>pero no se indica si es a partir del hallazgo del cuerpo o partir de la necropsia. Ésta,</w:t>
      </w:r>
      <w:r w:rsidRPr="00AA5F26">
        <w:rPr>
          <w:rFonts w:ascii="Verdana" w:hAnsi="Verdana"/>
          <w:w w:val="95"/>
          <w:sz w:val="20"/>
          <w:szCs w:val="20"/>
          <w:lang w:val="es-CR"/>
        </w:rPr>
        <w:t xml:space="preserve"> de acuerdo al médico que la firmó, no posibilitaba la determinación “del momento y forma </w:t>
      </w:r>
      <w:r w:rsidR="00270B5B">
        <w:rPr>
          <w:rFonts w:ascii="Verdana" w:hAnsi="Verdana"/>
          <w:w w:val="95"/>
          <w:sz w:val="20"/>
          <w:szCs w:val="20"/>
          <w:lang w:val="es-CR"/>
        </w:rPr>
        <w:t xml:space="preserve">en que falleció [María Isabel]” </w:t>
      </w:r>
      <w:r w:rsidRPr="00AA5F26">
        <w:rPr>
          <w:rFonts w:ascii="Verdana" w:hAnsi="Verdana"/>
          <w:w w:val="95"/>
          <w:sz w:val="20"/>
          <w:szCs w:val="20"/>
          <w:lang w:val="es-CR"/>
        </w:rPr>
        <w:t>(</w:t>
      </w:r>
      <w:r w:rsidRPr="00AA5F26">
        <w:rPr>
          <w:rFonts w:ascii="Verdana" w:hAnsi="Verdana"/>
          <w:i/>
          <w:w w:val="95"/>
          <w:sz w:val="20"/>
          <w:szCs w:val="20"/>
          <w:lang w:val="es-CR"/>
        </w:rPr>
        <w:t>supra</w:t>
      </w:r>
      <w:r w:rsidRPr="00AA5F26">
        <w:rPr>
          <w:rFonts w:ascii="Verdana" w:hAnsi="Verdana"/>
          <w:w w:val="95"/>
          <w:sz w:val="20"/>
          <w:szCs w:val="20"/>
          <w:lang w:val="es-CR"/>
        </w:rPr>
        <w:t xml:space="preserve"> párr. </w:t>
      </w:r>
      <w:r w:rsidR="00A15602">
        <w:rPr>
          <w:rFonts w:ascii="Verdana" w:hAnsi="Verdana"/>
          <w:w w:val="95"/>
          <w:sz w:val="20"/>
          <w:szCs w:val="20"/>
          <w:lang w:val="es-CR"/>
        </w:rPr>
        <w:t>111</w:t>
      </w:r>
      <w:r w:rsidR="00434E52" w:rsidRPr="00AA5F26">
        <w:rPr>
          <w:rFonts w:ascii="Verdana" w:hAnsi="Verdana"/>
          <w:w w:val="95"/>
          <w:sz w:val="20"/>
          <w:szCs w:val="20"/>
          <w:lang w:val="es-CR"/>
        </w:rPr>
        <w:t xml:space="preserve">). </w:t>
      </w:r>
      <w:r w:rsidRPr="00AA5F26">
        <w:rPr>
          <w:rFonts w:ascii="Verdana" w:hAnsi="Verdana"/>
          <w:w w:val="95"/>
          <w:sz w:val="20"/>
          <w:szCs w:val="20"/>
          <w:lang w:val="es-CR"/>
        </w:rPr>
        <w:t>Tampoco se hicieron exámenes para determinar si la niña había sido objeto o no de violencia sexual</w:t>
      </w:r>
      <w:r>
        <w:rPr>
          <w:rStyle w:val="Refdenotaalpie"/>
          <w:rFonts w:ascii="Verdana" w:hAnsi="Verdana"/>
          <w:w w:val="95"/>
          <w:sz w:val="20"/>
          <w:szCs w:val="20"/>
          <w:lang w:val="es-CR"/>
        </w:rPr>
        <w:footnoteReference w:id="297"/>
      </w:r>
      <w:r w:rsidRPr="00AA5F26">
        <w:rPr>
          <w:rFonts w:ascii="Verdana" w:hAnsi="Verdana"/>
          <w:w w:val="95"/>
          <w:sz w:val="20"/>
          <w:szCs w:val="20"/>
          <w:lang w:val="es-CR"/>
        </w:rPr>
        <w:t>.</w:t>
      </w:r>
      <w:r w:rsidR="000A2ACA">
        <w:rPr>
          <w:rFonts w:ascii="Verdana" w:hAnsi="Verdana"/>
          <w:w w:val="95"/>
          <w:sz w:val="20"/>
          <w:szCs w:val="20"/>
          <w:lang w:val="es-CR"/>
        </w:rPr>
        <w:t xml:space="preserve"> </w:t>
      </w:r>
      <w:r w:rsidR="000A2ACA" w:rsidRPr="00F7281C">
        <w:rPr>
          <w:rFonts w:ascii="Verdana" w:hAnsi="Verdana"/>
          <w:w w:val="95"/>
          <w:sz w:val="20"/>
          <w:szCs w:val="20"/>
          <w:lang w:val="es-CR"/>
        </w:rPr>
        <w:t>Por lo que la recopilación de información fue incompleta</w:t>
      </w:r>
      <w:r w:rsidRPr="00F7281C">
        <w:rPr>
          <w:rFonts w:ascii="Verdana" w:hAnsi="Verdana"/>
          <w:w w:val="95"/>
          <w:sz w:val="20"/>
          <w:szCs w:val="20"/>
          <w:lang w:val="es-CR"/>
        </w:rPr>
        <w:t>.</w:t>
      </w:r>
      <w:r w:rsidRPr="00AA5F26">
        <w:rPr>
          <w:rFonts w:ascii="Verdana" w:hAnsi="Verdana"/>
          <w:w w:val="95"/>
          <w:sz w:val="20"/>
          <w:szCs w:val="20"/>
          <w:lang w:val="es-CR"/>
        </w:rPr>
        <w:t xml:space="preserve"> El perito José Mario Nájera Ochoa</w:t>
      </w:r>
      <w:r w:rsidRPr="00AA5F26">
        <w:rPr>
          <w:rFonts w:ascii="Verdana" w:hAnsi="Verdana"/>
          <w:i/>
          <w:w w:val="95"/>
          <w:sz w:val="20"/>
          <w:szCs w:val="20"/>
          <w:lang w:val="es-CR"/>
        </w:rPr>
        <w:t xml:space="preserve"> </w:t>
      </w:r>
      <w:r w:rsidRPr="00AA5F26">
        <w:rPr>
          <w:rFonts w:ascii="Verdana" w:hAnsi="Verdana"/>
          <w:w w:val="95"/>
          <w:sz w:val="20"/>
          <w:szCs w:val="20"/>
          <w:lang w:val="es-CR"/>
        </w:rPr>
        <w:t xml:space="preserve">manifestó que: “la descripción de los fenómenos cadavéricos </w:t>
      </w:r>
      <w:r>
        <w:rPr>
          <w:rFonts w:ascii="Verdana" w:hAnsi="Verdana"/>
          <w:w w:val="95"/>
          <w:sz w:val="20"/>
          <w:szCs w:val="20"/>
          <w:lang w:val="es-CR"/>
        </w:rPr>
        <w:t>[era]</w:t>
      </w:r>
      <w:r w:rsidRPr="00AA5F26">
        <w:rPr>
          <w:rFonts w:ascii="Verdana" w:hAnsi="Verdana"/>
          <w:w w:val="95"/>
          <w:sz w:val="20"/>
          <w:szCs w:val="20"/>
          <w:lang w:val="es-CR"/>
        </w:rPr>
        <w:t xml:space="preserve"> incompleta”, pese a que se indicó que el cadáver presentaba “estigmas de mordidas, no se hizo mención a la obtención de muestras de las áreas para efectuar estudios de ADN”</w:t>
      </w:r>
      <w:r w:rsidRPr="00C35AA0">
        <w:rPr>
          <w:rStyle w:val="Refdenotaalpie"/>
          <w:rFonts w:ascii="Verdana" w:hAnsi="Verdana"/>
          <w:w w:val="95"/>
          <w:sz w:val="20"/>
          <w:szCs w:val="20"/>
        </w:rPr>
        <w:footnoteReference w:id="298"/>
      </w:r>
      <w:r w:rsidRPr="00AA5F26">
        <w:rPr>
          <w:rFonts w:ascii="Verdana" w:hAnsi="Verdana"/>
          <w:w w:val="95"/>
          <w:sz w:val="20"/>
          <w:szCs w:val="20"/>
          <w:lang w:val="es-CR"/>
        </w:rPr>
        <w:t>, “no describ[ió] ningún dato compatible con asfixia mecánica</w:t>
      </w:r>
      <w:r w:rsidRPr="00C35AA0">
        <w:rPr>
          <w:rStyle w:val="Refdenotaalpie"/>
          <w:rFonts w:ascii="Verdana" w:hAnsi="Verdana"/>
          <w:w w:val="95"/>
          <w:sz w:val="20"/>
          <w:szCs w:val="20"/>
        </w:rPr>
        <w:footnoteReference w:id="299"/>
      </w:r>
      <w:r w:rsidRPr="00AA5F26">
        <w:rPr>
          <w:rFonts w:ascii="Verdana" w:hAnsi="Verdana"/>
          <w:w w:val="95"/>
          <w:sz w:val="20"/>
          <w:szCs w:val="20"/>
          <w:lang w:val="es-CR"/>
        </w:rPr>
        <w:t>”, y pese a que “se encontraron restos alimenticios en el estómago [no] se consign[ó] que fuer</w:t>
      </w:r>
      <w:r>
        <w:rPr>
          <w:rFonts w:ascii="Verdana" w:hAnsi="Verdana"/>
          <w:w w:val="95"/>
          <w:sz w:val="20"/>
          <w:szCs w:val="20"/>
          <w:lang w:val="es-CR"/>
        </w:rPr>
        <w:t>[a]</w:t>
      </w:r>
      <w:r w:rsidRPr="00AA5F26">
        <w:rPr>
          <w:rFonts w:ascii="Verdana" w:hAnsi="Verdana"/>
          <w:w w:val="95"/>
          <w:sz w:val="20"/>
          <w:szCs w:val="20"/>
          <w:lang w:val="es-CR"/>
        </w:rPr>
        <w:t xml:space="preserve">n enviados al laboratorio”. Por lo que concluyó que en este caso “la investigación forense fue deficiente”. Por otro lado, el Estado señaló que </w:t>
      </w:r>
      <w:r>
        <w:rPr>
          <w:rFonts w:ascii="Verdana" w:hAnsi="Verdana"/>
          <w:w w:val="95"/>
          <w:sz w:val="20"/>
          <w:szCs w:val="20"/>
          <w:lang w:val="es-CR"/>
        </w:rPr>
        <w:t>“[</w:t>
      </w:r>
      <w:r w:rsidRPr="00AA5F26">
        <w:rPr>
          <w:rFonts w:ascii="Verdana" w:hAnsi="Verdana"/>
          <w:w w:val="95"/>
          <w:sz w:val="20"/>
          <w:szCs w:val="20"/>
          <w:lang w:val="es-CR"/>
        </w:rPr>
        <w:t>e</w:t>
      </w:r>
      <w:r>
        <w:rPr>
          <w:rFonts w:ascii="Verdana" w:hAnsi="Verdana"/>
          <w:w w:val="95"/>
          <w:sz w:val="20"/>
          <w:szCs w:val="20"/>
          <w:lang w:val="es-CR"/>
        </w:rPr>
        <w:t>]</w:t>
      </w:r>
      <w:r w:rsidRPr="00AA5F26">
        <w:rPr>
          <w:rFonts w:ascii="Verdana" w:hAnsi="Verdana"/>
          <w:w w:val="95"/>
          <w:sz w:val="20"/>
          <w:szCs w:val="20"/>
          <w:lang w:val="es-CR"/>
        </w:rPr>
        <w:t xml:space="preserve">n el año 2001 no [estaba] contemplado dentro de la legislación vigente, lineamientos ni protocolos para realizar necropsias”. </w:t>
      </w:r>
    </w:p>
    <w:p w:rsidR="00DF15C3" w:rsidRPr="00943069" w:rsidRDefault="00DF15C3" w:rsidP="003F26FD">
      <w:pPr>
        <w:pStyle w:val="Prrafodelista"/>
        <w:spacing w:after="0" w:line="216" w:lineRule="auto"/>
        <w:ind w:right="-174"/>
        <w:jc w:val="both"/>
        <w:rPr>
          <w:rFonts w:ascii="Verdana" w:hAnsi="Verdana"/>
          <w:w w:val="95"/>
          <w:sz w:val="20"/>
          <w:szCs w:val="20"/>
          <w:lang w:val="es-CR"/>
        </w:rPr>
      </w:pPr>
    </w:p>
    <w:p w:rsidR="00DF15C3" w:rsidRPr="00943069" w:rsidRDefault="00DF15C3" w:rsidP="003F26FD">
      <w:pPr>
        <w:widowControl w:val="0"/>
        <w:numPr>
          <w:ilvl w:val="0"/>
          <w:numId w:val="17"/>
        </w:numPr>
        <w:autoSpaceDE w:val="0"/>
        <w:autoSpaceDN w:val="0"/>
        <w:adjustRightInd w:val="0"/>
        <w:spacing w:after="0" w:line="216" w:lineRule="auto"/>
        <w:ind w:left="-142" w:right="-174" w:hanging="11"/>
        <w:jc w:val="both"/>
        <w:rPr>
          <w:rFonts w:ascii="Verdana" w:hAnsi="Verdana"/>
          <w:w w:val="95"/>
          <w:sz w:val="20"/>
          <w:szCs w:val="20"/>
          <w:lang w:val="es-CR"/>
        </w:rPr>
      </w:pPr>
      <w:r w:rsidRPr="00AA5F26">
        <w:rPr>
          <w:rFonts w:ascii="Verdana" w:hAnsi="Verdana"/>
          <w:w w:val="95"/>
          <w:sz w:val="20"/>
          <w:szCs w:val="20"/>
          <w:lang w:val="es-CR"/>
        </w:rPr>
        <w:t>Como se demostró respecto a las prendas de vestir de María I</w:t>
      </w:r>
      <w:r>
        <w:rPr>
          <w:rFonts w:ascii="Verdana" w:hAnsi="Verdana"/>
          <w:w w:val="95"/>
          <w:sz w:val="20"/>
          <w:szCs w:val="20"/>
          <w:lang w:val="es-CR"/>
        </w:rPr>
        <w:t>sabel y las</w:t>
      </w:r>
      <w:r w:rsidRPr="00AA5F26">
        <w:rPr>
          <w:rFonts w:ascii="Verdana" w:hAnsi="Verdana"/>
          <w:w w:val="95"/>
          <w:sz w:val="20"/>
          <w:szCs w:val="20"/>
          <w:lang w:val="es-CR"/>
        </w:rPr>
        <w:t xml:space="preserve"> dos toallas</w:t>
      </w:r>
      <w:r w:rsidR="000F0D22">
        <w:rPr>
          <w:rFonts w:ascii="Verdana" w:hAnsi="Verdana"/>
          <w:w w:val="95"/>
          <w:sz w:val="20"/>
          <w:szCs w:val="20"/>
          <w:lang w:val="es-CR"/>
        </w:rPr>
        <w:t>,</w:t>
      </w:r>
      <w:r w:rsidRPr="00AA5F26">
        <w:rPr>
          <w:rFonts w:ascii="Verdana" w:hAnsi="Verdana"/>
          <w:w w:val="95"/>
          <w:sz w:val="20"/>
          <w:szCs w:val="20"/>
          <w:lang w:val="es-CR"/>
        </w:rPr>
        <w:t xml:space="preserve"> no se aseguró la cadena de custodia, por lo que se han visto expuestas y no se podría asegurar </w:t>
      </w:r>
      <w:r>
        <w:rPr>
          <w:rFonts w:ascii="Verdana" w:hAnsi="Verdana"/>
          <w:w w:val="95"/>
          <w:sz w:val="20"/>
          <w:szCs w:val="20"/>
          <w:lang w:val="es-CR"/>
        </w:rPr>
        <w:t xml:space="preserve">que </w:t>
      </w:r>
      <w:r w:rsidRPr="00AA5F26">
        <w:rPr>
          <w:rFonts w:ascii="Verdana" w:hAnsi="Verdana"/>
          <w:w w:val="95"/>
          <w:sz w:val="20"/>
          <w:szCs w:val="20"/>
          <w:lang w:val="es-CR"/>
        </w:rPr>
        <w:t>no hayan sido contaminadas. Dicha evidencia después fue objeto de diversos exámenes para determinar la existencia de sangre, semen y elementos pilosos, entre otros, y como se indicó en el apartado sobre hechos (</w:t>
      </w:r>
      <w:r w:rsidRPr="00AA5F26">
        <w:rPr>
          <w:rFonts w:ascii="Verdana" w:hAnsi="Verdana"/>
          <w:i/>
          <w:w w:val="95"/>
          <w:sz w:val="20"/>
          <w:szCs w:val="20"/>
          <w:lang w:val="es-CR"/>
        </w:rPr>
        <w:t>supra</w:t>
      </w:r>
      <w:r w:rsidRPr="00AA5F26">
        <w:rPr>
          <w:rFonts w:ascii="Verdana" w:hAnsi="Verdana"/>
          <w:w w:val="95"/>
          <w:sz w:val="20"/>
          <w:szCs w:val="20"/>
          <w:lang w:val="es-CR"/>
        </w:rPr>
        <w:t xml:space="preserve"> párr. </w:t>
      </w:r>
      <w:r w:rsidR="00A15602">
        <w:rPr>
          <w:rFonts w:ascii="Verdana" w:hAnsi="Verdana"/>
          <w:w w:val="95"/>
          <w:sz w:val="20"/>
          <w:szCs w:val="20"/>
          <w:lang w:val="es-CR"/>
        </w:rPr>
        <w:t>110</w:t>
      </w:r>
      <w:r w:rsidR="00296674">
        <w:rPr>
          <w:rFonts w:ascii="Verdana" w:hAnsi="Verdana"/>
          <w:w w:val="95"/>
          <w:sz w:val="20"/>
          <w:szCs w:val="20"/>
          <w:lang w:val="es-CR"/>
        </w:rPr>
        <w:t xml:space="preserve">), </w:t>
      </w:r>
      <w:r w:rsidRPr="00AA5F26">
        <w:rPr>
          <w:rFonts w:ascii="Verdana" w:hAnsi="Verdana"/>
          <w:w w:val="95"/>
          <w:sz w:val="20"/>
          <w:szCs w:val="20"/>
          <w:lang w:val="es-CR"/>
        </w:rPr>
        <w:t>respecto de algunas prendas resultó negativa la presencia de sangre y semen. Igualmente los residuos de vómito en la</w:t>
      </w:r>
      <w:r>
        <w:rPr>
          <w:rFonts w:ascii="Verdana" w:hAnsi="Verdana"/>
          <w:w w:val="95"/>
          <w:sz w:val="20"/>
          <w:szCs w:val="20"/>
          <w:lang w:val="es-CR"/>
        </w:rPr>
        <w:t>s</w:t>
      </w:r>
      <w:r w:rsidRPr="00AA5F26">
        <w:rPr>
          <w:rFonts w:ascii="Verdana" w:hAnsi="Verdana"/>
          <w:w w:val="95"/>
          <w:sz w:val="20"/>
          <w:szCs w:val="20"/>
          <w:lang w:val="es-CR"/>
        </w:rPr>
        <w:t xml:space="preserve"> prendas fueron objeto de exámenes de toxicología, y del informe se desprende que no se contó con una muestra útil, ya que los residuos eran insuficientes o ya se encontraban secos (</w:t>
      </w:r>
      <w:r w:rsidRPr="00AA5F26">
        <w:rPr>
          <w:rFonts w:ascii="Verdana" w:hAnsi="Verdana"/>
          <w:i/>
          <w:w w:val="95"/>
          <w:sz w:val="20"/>
          <w:szCs w:val="20"/>
          <w:lang w:val="es-CR"/>
        </w:rPr>
        <w:t>supra</w:t>
      </w:r>
      <w:r w:rsidRPr="00AA5F26">
        <w:rPr>
          <w:rFonts w:ascii="Verdana" w:hAnsi="Verdana"/>
          <w:w w:val="95"/>
          <w:sz w:val="20"/>
          <w:szCs w:val="20"/>
          <w:lang w:val="es-CR"/>
        </w:rPr>
        <w:t xml:space="preserve"> párr. </w:t>
      </w:r>
      <w:r w:rsidR="00A15602">
        <w:rPr>
          <w:rFonts w:ascii="Verdana" w:hAnsi="Verdana"/>
          <w:w w:val="95"/>
          <w:sz w:val="20"/>
          <w:szCs w:val="20"/>
          <w:lang w:val="es-CR"/>
        </w:rPr>
        <w:t>110</w:t>
      </w:r>
      <w:r w:rsidR="00434E52" w:rsidRPr="00AA5F26">
        <w:rPr>
          <w:rFonts w:ascii="Verdana" w:hAnsi="Verdana"/>
          <w:w w:val="95"/>
          <w:sz w:val="20"/>
          <w:szCs w:val="20"/>
          <w:lang w:val="es-CR"/>
        </w:rPr>
        <w:t xml:space="preserve">), </w:t>
      </w:r>
      <w:r w:rsidRPr="00AA5F26">
        <w:rPr>
          <w:rFonts w:ascii="Verdana" w:hAnsi="Verdana"/>
          <w:w w:val="95"/>
          <w:sz w:val="20"/>
          <w:szCs w:val="20"/>
          <w:lang w:val="es-CR"/>
        </w:rPr>
        <w:t>lo que demuestra que al no al asegurarse adecuadamente la prueba los análisis resultaron infructuosos. Posteriormente, recién en el año 2011 se han efectuado pruebas de ADN y se realizó una comparación entre el ADN de un sospechoso y algunas de las prendas de vestir de María Isabel, ya que no se cuenta con una muestra de ADN de la niña</w:t>
      </w:r>
      <w:r w:rsidRPr="00AA5F26">
        <w:rPr>
          <w:rFonts w:ascii="Verdana" w:hAnsi="Verdana"/>
          <w:w w:val="95"/>
          <w:sz w:val="20"/>
          <w:szCs w:val="20"/>
          <w:vertAlign w:val="superscript"/>
          <w:lang w:val="es-CR"/>
        </w:rPr>
        <w:footnoteReference w:id="300"/>
      </w:r>
      <w:r w:rsidRPr="00943069">
        <w:rPr>
          <w:rFonts w:ascii="Verdana" w:hAnsi="Verdana"/>
          <w:w w:val="95"/>
          <w:sz w:val="20"/>
          <w:szCs w:val="20"/>
          <w:lang w:val="es-CR"/>
        </w:rPr>
        <w:t>. En el informe pericial se destaca que “en algunas de las prendas no se encontraba material genético útil para ser comparado” (</w:t>
      </w:r>
      <w:r w:rsidRPr="00AA5F26">
        <w:rPr>
          <w:rFonts w:ascii="Verdana" w:hAnsi="Verdana"/>
          <w:i/>
          <w:w w:val="95"/>
          <w:sz w:val="20"/>
          <w:szCs w:val="20"/>
          <w:lang w:val="es-CR"/>
        </w:rPr>
        <w:t>supra</w:t>
      </w:r>
      <w:r w:rsidRPr="00AA5F26">
        <w:rPr>
          <w:rFonts w:ascii="Verdana" w:hAnsi="Verdana"/>
          <w:w w:val="95"/>
          <w:sz w:val="20"/>
          <w:szCs w:val="20"/>
          <w:lang w:val="es-CR"/>
        </w:rPr>
        <w:t xml:space="preserve"> párr. </w:t>
      </w:r>
      <w:r w:rsidR="00A15602">
        <w:rPr>
          <w:rFonts w:ascii="Verdana" w:hAnsi="Verdana"/>
          <w:w w:val="95"/>
          <w:sz w:val="20"/>
          <w:szCs w:val="20"/>
          <w:lang w:val="es-CR"/>
        </w:rPr>
        <w:t>112</w:t>
      </w:r>
      <w:r w:rsidR="00434E52" w:rsidRPr="00AA5F26">
        <w:rPr>
          <w:rFonts w:ascii="Verdana" w:hAnsi="Verdana"/>
          <w:w w:val="95"/>
          <w:sz w:val="20"/>
          <w:szCs w:val="20"/>
          <w:lang w:val="es-CR"/>
        </w:rPr>
        <w:t xml:space="preserve">). </w:t>
      </w:r>
      <w:r w:rsidRPr="00AA5F26">
        <w:rPr>
          <w:rFonts w:ascii="Verdana" w:hAnsi="Verdana"/>
          <w:w w:val="95"/>
          <w:sz w:val="20"/>
          <w:szCs w:val="20"/>
          <w:lang w:val="es-CR"/>
        </w:rPr>
        <w:t xml:space="preserve">Respecto a este punto, el Estado alegó que “si bien aceptó su responsabilidad de no haber practicado todas las pruebas al cadáver, lo hizo a la luz de las que puede practicar a partir de 2007, cuando ya se había establecido el [INACIF], </w:t>
      </w:r>
      <w:r>
        <w:rPr>
          <w:rFonts w:ascii="Verdana" w:hAnsi="Verdana"/>
          <w:w w:val="95"/>
          <w:sz w:val="20"/>
          <w:szCs w:val="20"/>
          <w:lang w:val="es-CR"/>
        </w:rPr>
        <w:t>[</w:t>
      </w:r>
      <w:r w:rsidRPr="00AA5F26">
        <w:rPr>
          <w:rFonts w:ascii="Verdana" w:hAnsi="Verdana"/>
          <w:w w:val="95"/>
          <w:sz w:val="20"/>
          <w:szCs w:val="20"/>
          <w:lang w:val="es-CR"/>
        </w:rPr>
        <w:t>p</w:t>
      </w:r>
      <w:r>
        <w:rPr>
          <w:rFonts w:ascii="Verdana" w:hAnsi="Verdana"/>
          <w:w w:val="95"/>
          <w:sz w:val="20"/>
          <w:szCs w:val="20"/>
          <w:lang w:val="es-CR"/>
        </w:rPr>
        <w:t>]</w:t>
      </w:r>
      <w:r w:rsidRPr="00AA5F26">
        <w:rPr>
          <w:rFonts w:ascii="Verdana" w:hAnsi="Verdana"/>
          <w:w w:val="95"/>
          <w:sz w:val="20"/>
          <w:szCs w:val="20"/>
          <w:lang w:val="es-CR"/>
        </w:rPr>
        <w:t>or lo que la aceptación del Estado no debe interpretarse por no haber realizado las pruebas que tenía a su disposición en el momento de los hechos”. El perito Nájera Ochoa manifestó que cuando “ocurrió el hecho, los estudios de ADN no se efectuaban en Guatemala y las muestras eran llevadas al extranjero”</w:t>
      </w:r>
      <w:r w:rsidRPr="00D008DC">
        <w:rPr>
          <w:rFonts w:ascii="Verdana" w:hAnsi="Verdana"/>
          <w:w w:val="95"/>
          <w:sz w:val="20"/>
          <w:szCs w:val="20"/>
          <w:vertAlign w:val="superscript"/>
          <w:lang w:val="es-CR"/>
        </w:rPr>
        <w:footnoteReference w:id="301"/>
      </w:r>
      <w:r w:rsidRPr="00943069">
        <w:rPr>
          <w:rFonts w:ascii="Verdana" w:hAnsi="Verdana"/>
          <w:w w:val="95"/>
          <w:sz w:val="20"/>
          <w:szCs w:val="20"/>
          <w:lang w:val="es-CR"/>
        </w:rPr>
        <w:t>, lo cual no fue controvertido por el Estado. No obstante, si bien el Estado no contaba con dicha prueba, como mínimo debió observar los está</w:t>
      </w:r>
      <w:r w:rsidRPr="00AA5F26">
        <w:rPr>
          <w:rFonts w:ascii="Verdana" w:hAnsi="Verdana"/>
          <w:w w:val="95"/>
          <w:sz w:val="20"/>
          <w:szCs w:val="20"/>
          <w:lang w:val="es-CR"/>
        </w:rPr>
        <w:t>ndares mínimos internacionales para la recolección y preservación de las evidencias. Dichas falencias investigativas difícilmente pueden ser subsanadas por tardías e insuficientes diligencias probatorias que el Estado ha tratado de impulsar. Claramente no se siguieron los debidos protocolos de acuerdo a los estándares fijados por este Tribunal a la luz de diversos instrumentos internacionales para asegurar la cadena de custodia de las evidencias y preservarlas para posteriores exámenes, lo que repercutió en los análisis periciales. La pérdida de evidencia podría impedir identificar al verdadero responsable de los hechos.</w:t>
      </w:r>
    </w:p>
    <w:p w:rsidR="00DF15C3" w:rsidRPr="00943069" w:rsidRDefault="00DF15C3" w:rsidP="003F26FD">
      <w:pPr>
        <w:pStyle w:val="Prrafodelista"/>
        <w:widowControl w:val="0"/>
        <w:autoSpaceDE w:val="0"/>
        <w:autoSpaceDN w:val="0"/>
        <w:adjustRightInd w:val="0"/>
        <w:spacing w:after="0" w:line="216" w:lineRule="auto"/>
        <w:ind w:left="-142" w:right="-174" w:hanging="11"/>
        <w:contextualSpacing w:val="0"/>
        <w:jc w:val="both"/>
        <w:rPr>
          <w:rFonts w:ascii="Verdana" w:hAnsi="Verdana"/>
          <w:w w:val="95"/>
          <w:sz w:val="20"/>
          <w:szCs w:val="20"/>
          <w:lang w:val="es-CR"/>
        </w:rPr>
      </w:pPr>
    </w:p>
    <w:p w:rsidR="00DF15C3" w:rsidRPr="00943069" w:rsidRDefault="00DF15C3" w:rsidP="003F26FD">
      <w:pPr>
        <w:widowControl w:val="0"/>
        <w:numPr>
          <w:ilvl w:val="0"/>
          <w:numId w:val="17"/>
        </w:numPr>
        <w:autoSpaceDE w:val="0"/>
        <w:autoSpaceDN w:val="0"/>
        <w:adjustRightInd w:val="0"/>
        <w:spacing w:after="0" w:line="216" w:lineRule="auto"/>
        <w:ind w:left="-142" w:right="-174" w:hanging="11"/>
        <w:jc w:val="both"/>
        <w:rPr>
          <w:rFonts w:ascii="Verdana" w:hAnsi="Verdana"/>
          <w:w w:val="95"/>
          <w:sz w:val="20"/>
          <w:szCs w:val="20"/>
          <w:lang w:val="es-CR"/>
        </w:rPr>
      </w:pPr>
      <w:r w:rsidRPr="00AA5F26">
        <w:rPr>
          <w:rFonts w:ascii="Verdana" w:hAnsi="Verdana"/>
          <w:w w:val="95"/>
          <w:sz w:val="20"/>
          <w:szCs w:val="20"/>
          <w:lang w:val="es-CR"/>
        </w:rPr>
        <w:t xml:space="preserve">De todo lo expuesto se desprende que el Estado no realizó las diligencias </w:t>
      </w:r>
      <w:r>
        <w:rPr>
          <w:rFonts w:ascii="Verdana" w:hAnsi="Verdana"/>
          <w:w w:val="95"/>
          <w:sz w:val="20"/>
          <w:szCs w:val="20"/>
          <w:lang w:val="es-CR"/>
        </w:rPr>
        <w:t xml:space="preserve"> </w:t>
      </w:r>
      <w:r w:rsidRPr="00450B8D">
        <w:rPr>
          <w:rFonts w:ascii="Verdana" w:hAnsi="Verdana"/>
          <w:w w:val="95"/>
          <w:sz w:val="20"/>
          <w:szCs w:val="20"/>
          <w:lang w:val="es-CR"/>
        </w:rPr>
        <w:t xml:space="preserve">indispensables </w:t>
      </w:r>
      <w:r w:rsidRPr="00AA5F26">
        <w:rPr>
          <w:rFonts w:ascii="Verdana" w:hAnsi="Verdana"/>
          <w:w w:val="95"/>
          <w:sz w:val="20"/>
          <w:szCs w:val="20"/>
          <w:lang w:val="es-CR"/>
        </w:rPr>
        <w:t xml:space="preserve">a partir del hallazgo, el 18 de diciembre de 2001, del cuerpo de María Isabel. En esta primera etapa se presentaron diversas irregularidades que han repercutido en la investigación y que difícilmente podrían ser subsanadas por tardías diligencias, a saber: a) falta de aseguramiento del lugar del hallazgo del cadáver; b) falta de rigurosidad en la inspección ocular; c) deficiencias en la elaboración del acta de levantamiento del cadáver; d) traslado inadecuado del cadáver; e) recolección inadecuada de las evidencias y su manejo indebido; f) no se aseguró la cadena de custodia de las evidencias, y g) </w:t>
      </w:r>
      <w:r>
        <w:rPr>
          <w:rFonts w:ascii="Verdana" w:hAnsi="Verdana"/>
          <w:w w:val="95"/>
          <w:sz w:val="20"/>
          <w:szCs w:val="20"/>
          <w:lang w:val="es-CR"/>
        </w:rPr>
        <w:t>necropsia</w:t>
      </w:r>
      <w:r w:rsidRPr="00AA5F26">
        <w:rPr>
          <w:rFonts w:ascii="Verdana" w:hAnsi="Verdana"/>
          <w:w w:val="95"/>
          <w:sz w:val="20"/>
          <w:szCs w:val="20"/>
          <w:lang w:val="es-CR"/>
        </w:rPr>
        <w:t xml:space="preserve"> incompleta</w:t>
      </w:r>
      <w:r w:rsidR="00C20142">
        <w:rPr>
          <w:rFonts w:ascii="Verdana" w:hAnsi="Verdana"/>
          <w:w w:val="95"/>
          <w:sz w:val="20"/>
          <w:szCs w:val="20"/>
          <w:lang w:val="es-CR"/>
        </w:rPr>
        <w:t>.</w:t>
      </w:r>
    </w:p>
    <w:p w:rsidR="00DF15C3" w:rsidRPr="00E92566" w:rsidRDefault="00DF15C3" w:rsidP="003F26FD">
      <w:pPr>
        <w:widowControl w:val="0"/>
        <w:autoSpaceDE w:val="0"/>
        <w:autoSpaceDN w:val="0"/>
        <w:adjustRightInd w:val="0"/>
        <w:spacing w:after="0" w:line="216" w:lineRule="auto"/>
        <w:ind w:right="-174"/>
        <w:jc w:val="both"/>
        <w:rPr>
          <w:rFonts w:ascii="Verdana" w:hAnsi="Verdana"/>
          <w:w w:val="95"/>
          <w:sz w:val="20"/>
          <w:szCs w:val="20"/>
          <w:lang w:val="es-CL"/>
        </w:rPr>
      </w:pPr>
    </w:p>
    <w:p w:rsidR="00DF15C3" w:rsidRPr="002B1610" w:rsidRDefault="00DF15C3" w:rsidP="003F26FD">
      <w:pPr>
        <w:pStyle w:val="Ttulo3"/>
        <w:spacing w:before="0" w:line="216" w:lineRule="auto"/>
        <w:ind w:left="567" w:right="-174"/>
        <w:jc w:val="both"/>
        <w:rPr>
          <w:rFonts w:ascii="Verdana" w:hAnsi="Verdana"/>
          <w:i/>
          <w:color w:val="auto"/>
          <w:w w:val="95"/>
          <w:sz w:val="20"/>
        </w:rPr>
      </w:pPr>
      <w:bookmarkStart w:id="99" w:name="_Toc394313680"/>
      <w:r w:rsidRPr="002B1610">
        <w:rPr>
          <w:rFonts w:ascii="Verdana" w:hAnsi="Verdana"/>
          <w:i/>
          <w:color w:val="auto"/>
          <w:w w:val="95"/>
          <w:sz w:val="20"/>
        </w:rPr>
        <w:t>B.2) Seguimiento de llamadas</w:t>
      </w:r>
      <w:r>
        <w:rPr>
          <w:rFonts w:ascii="Verdana" w:hAnsi="Verdana"/>
          <w:i/>
          <w:color w:val="auto"/>
          <w:w w:val="95"/>
          <w:sz w:val="20"/>
        </w:rPr>
        <w:t xml:space="preserve"> telefónicas</w:t>
      </w:r>
      <w:bookmarkEnd w:id="99"/>
    </w:p>
    <w:p w:rsidR="00DF15C3" w:rsidRPr="002B1610" w:rsidRDefault="00DF15C3" w:rsidP="003F26FD">
      <w:pPr>
        <w:spacing w:after="0" w:line="216" w:lineRule="auto"/>
        <w:ind w:right="-174"/>
        <w:rPr>
          <w:rFonts w:ascii="Verdana" w:hAnsi="Verdana"/>
          <w:w w:val="95"/>
          <w:lang w:val="es-ES_tradnl"/>
        </w:rPr>
      </w:pPr>
    </w:p>
    <w:p w:rsidR="00DF15C3" w:rsidRPr="00943069" w:rsidRDefault="00DF15C3" w:rsidP="003F26FD">
      <w:pPr>
        <w:widowControl w:val="0"/>
        <w:numPr>
          <w:ilvl w:val="0"/>
          <w:numId w:val="17"/>
        </w:numPr>
        <w:autoSpaceDE w:val="0"/>
        <w:autoSpaceDN w:val="0"/>
        <w:adjustRightInd w:val="0"/>
        <w:spacing w:after="0" w:line="216" w:lineRule="auto"/>
        <w:ind w:left="-142" w:right="-174" w:firstLine="0"/>
        <w:jc w:val="both"/>
        <w:rPr>
          <w:rFonts w:ascii="Verdana" w:hAnsi="Verdana"/>
          <w:w w:val="95"/>
          <w:sz w:val="20"/>
          <w:szCs w:val="20"/>
          <w:lang w:val="es-CR"/>
        </w:rPr>
      </w:pPr>
      <w:r w:rsidRPr="00943069">
        <w:rPr>
          <w:rFonts w:ascii="Verdana" w:hAnsi="Verdana"/>
          <w:w w:val="95"/>
          <w:sz w:val="20"/>
          <w:szCs w:val="20"/>
          <w:lang w:val="es-CR"/>
        </w:rPr>
        <w:t>En cuanto al seguimiento de la llamada telefónica real</w:t>
      </w:r>
      <w:r>
        <w:rPr>
          <w:rFonts w:ascii="Verdana" w:hAnsi="Verdana"/>
          <w:w w:val="95"/>
          <w:sz w:val="20"/>
          <w:szCs w:val="20"/>
          <w:lang w:val="es-CR"/>
        </w:rPr>
        <w:t>izada por un informante anónimo</w:t>
      </w:r>
      <w:r w:rsidRPr="00943069">
        <w:rPr>
          <w:rFonts w:ascii="Verdana" w:hAnsi="Verdana"/>
          <w:w w:val="95"/>
          <w:sz w:val="20"/>
          <w:szCs w:val="20"/>
          <w:lang w:val="es-CR"/>
        </w:rPr>
        <w:t xml:space="preserve"> el 18 de diciembre de 2001 en la que aportó datos </w:t>
      </w:r>
      <w:r w:rsidRPr="00AA5F26">
        <w:rPr>
          <w:rFonts w:ascii="Verdana" w:hAnsi="Verdana"/>
          <w:w w:val="95"/>
          <w:sz w:val="20"/>
          <w:szCs w:val="20"/>
          <w:lang w:val="es-CR"/>
        </w:rPr>
        <w:t>sobre la muerte de María Isabel, el Estado señaló que se realizó el “allanamiento” en la dirección suministrada por aquél (</w:t>
      </w:r>
      <w:r w:rsidRPr="00AA5F26">
        <w:rPr>
          <w:rFonts w:ascii="Verdana" w:hAnsi="Verdana"/>
          <w:i/>
          <w:w w:val="95"/>
          <w:sz w:val="20"/>
          <w:szCs w:val="20"/>
          <w:lang w:val="es-CR"/>
        </w:rPr>
        <w:t>supra</w:t>
      </w:r>
      <w:r w:rsidRPr="00AA5F26">
        <w:rPr>
          <w:rFonts w:ascii="Verdana" w:hAnsi="Verdana"/>
          <w:w w:val="95"/>
          <w:sz w:val="20"/>
          <w:szCs w:val="20"/>
          <w:lang w:val="es-CR"/>
        </w:rPr>
        <w:t xml:space="preserve"> párr. </w:t>
      </w:r>
      <w:r w:rsidR="00BD3EAF">
        <w:rPr>
          <w:rFonts w:ascii="Verdana" w:hAnsi="Verdana"/>
          <w:w w:val="95"/>
          <w:sz w:val="20"/>
          <w:szCs w:val="20"/>
          <w:lang w:val="es-CR"/>
        </w:rPr>
        <w:t>109</w:t>
      </w:r>
      <w:r w:rsidRPr="00AA5F26">
        <w:rPr>
          <w:rFonts w:ascii="Verdana" w:hAnsi="Verdana"/>
          <w:w w:val="95"/>
          <w:sz w:val="20"/>
          <w:szCs w:val="20"/>
          <w:lang w:val="es-CR"/>
        </w:rPr>
        <w:t>)</w:t>
      </w:r>
      <w:r w:rsidRPr="00943069">
        <w:rPr>
          <w:rStyle w:val="Refdenotaalpie"/>
          <w:rFonts w:ascii="Verdana" w:hAnsi="Verdana"/>
          <w:w w:val="95"/>
          <w:sz w:val="20"/>
          <w:szCs w:val="20"/>
          <w:lang w:val="es-CR"/>
        </w:rPr>
        <w:footnoteReference w:id="302"/>
      </w:r>
      <w:r w:rsidRPr="00943069">
        <w:rPr>
          <w:rFonts w:ascii="Verdana" w:hAnsi="Verdana"/>
          <w:w w:val="95"/>
          <w:sz w:val="20"/>
          <w:szCs w:val="20"/>
          <w:lang w:val="es-CR"/>
        </w:rPr>
        <w:t>. No obstante, se cumplió en forma efectiva el 8 de julio de 2003, es decir, transcurrido más de un año y medio desde</w:t>
      </w:r>
      <w:r w:rsidRPr="00AA5F26">
        <w:rPr>
          <w:rFonts w:ascii="Verdana" w:hAnsi="Verdana"/>
          <w:w w:val="95"/>
          <w:sz w:val="20"/>
          <w:szCs w:val="20"/>
          <w:lang w:val="es-CR"/>
        </w:rPr>
        <w:t xml:space="preserve"> la llamada refer</w:t>
      </w:r>
      <w:r w:rsidR="000A2ACA">
        <w:rPr>
          <w:rFonts w:ascii="Verdana" w:hAnsi="Verdana"/>
          <w:w w:val="95"/>
          <w:sz w:val="20"/>
          <w:szCs w:val="20"/>
          <w:lang w:val="es-CR"/>
        </w:rPr>
        <w:t>ida. Ni esta diligencia ni la inspección ocular</w:t>
      </w:r>
      <w:r w:rsidRPr="00AA5F26">
        <w:rPr>
          <w:rFonts w:ascii="Verdana" w:hAnsi="Verdana"/>
          <w:w w:val="95"/>
          <w:sz w:val="20"/>
          <w:szCs w:val="20"/>
          <w:lang w:val="es-CR"/>
        </w:rPr>
        <w:t xml:space="preserve"> (</w:t>
      </w:r>
      <w:r w:rsidRPr="00AA5F26">
        <w:rPr>
          <w:rFonts w:ascii="Verdana" w:hAnsi="Verdana"/>
          <w:i/>
          <w:w w:val="95"/>
          <w:sz w:val="20"/>
          <w:szCs w:val="20"/>
          <w:lang w:val="es-CR"/>
        </w:rPr>
        <w:t>supra</w:t>
      </w:r>
      <w:r w:rsidRPr="00AA5F26">
        <w:rPr>
          <w:rFonts w:ascii="Verdana" w:hAnsi="Verdana"/>
          <w:w w:val="95"/>
          <w:sz w:val="20"/>
          <w:szCs w:val="20"/>
          <w:lang w:val="es-CR"/>
        </w:rPr>
        <w:t xml:space="preserve"> párr. </w:t>
      </w:r>
      <w:r w:rsidR="00E85C11">
        <w:rPr>
          <w:rFonts w:ascii="Verdana" w:hAnsi="Verdana"/>
          <w:w w:val="95"/>
          <w:sz w:val="20"/>
          <w:szCs w:val="20"/>
          <w:lang w:val="es-CR"/>
        </w:rPr>
        <w:t>109</w:t>
      </w:r>
      <w:r w:rsidR="00434E52" w:rsidRPr="00AA5F26">
        <w:rPr>
          <w:rFonts w:ascii="Verdana" w:hAnsi="Verdana"/>
          <w:w w:val="95"/>
          <w:sz w:val="20"/>
          <w:szCs w:val="20"/>
          <w:lang w:val="es-CR"/>
        </w:rPr>
        <w:t xml:space="preserve">) </w:t>
      </w:r>
      <w:r w:rsidRPr="00AA5F26">
        <w:rPr>
          <w:rFonts w:ascii="Verdana" w:hAnsi="Verdana"/>
          <w:w w:val="95"/>
          <w:sz w:val="20"/>
          <w:szCs w:val="20"/>
          <w:lang w:val="es-CR"/>
        </w:rPr>
        <w:t>tuvieron resultados positivos.</w:t>
      </w:r>
      <w:r w:rsidRPr="00AA5F26">
        <w:rPr>
          <w:rFonts w:ascii="Verdana" w:hAnsi="Verdana"/>
          <w:b/>
          <w:strike/>
          <w:w w:val="95"/>
          <w:sz w:val="20"/>
          <w:szCs w:val="20"/>
          <w:lang w:val="es-CR"/>
        </w:rPr>
        <w:t xml:space="preserve"> </w:t>
      </w:r>
    </w:p>
    <w:p w:rsidR="00DF15C3" w:rsidRPr="00943069" w:rsidRDefault="00DF15C3" w:rsidP="003F26FD">
      <w:pPr>
        <w:widowControl w:val="0"/>
        <w:autoSpaceDE w:val="0"/>
        <w:autoSpaceDN w:val="0"/>
        <w:adjustRightInd w:val="0"/>
        <w:spacing w:after="0" w:line="216" w:lineRule="auto"/>
        <w:ind w:left="-142" w:right="-174"/>
        <w:jc w:val="both"/>
        <w:rPr>
          <w:rFonts w:ascii="Verdana" w:hAnsi="Verdana"/>
          <w:w w:val="95"/>
          <w:sz w:val="20"/>
          <w:szCs w:val="20"/>
          <w:lang w:val="es-CR"/>
        </w:rPr>
      </w:pPr>
    </w:p>
    <w:p w:rsidR="00DF15C3" w:rsidRPr="00943069" w:rsidRDefault="00DF15C3" w:rsidP="003F26FD">
      <w:pPr>
        <w:widowControl w:val="0"/>
        <w:numPr>
          <w:ilvl w:val="0"/>
          <w:numId w:val="17"/>
        </w:numPr>
        <w:autoSpaceDE w:val="0"/>
        <w:autoSpaceDN w:val="0"/>
        <w:adjustRightInd w:val="0"/>
        <w:spacing w:after="0" w:line="216" w:lineRule="auto"/>
        <w:ind w:left="-142" w:right="-174" w:firstLine="0"/>
        <w:jc w:val="both"/>
        <w:rPr>
          <w:rFonts w:ascii="Verdana" w:hAnsi="Verdana"/>
          <w:w w:val="95"/>
          <w:sz w:val="20"/>
          <w:szCs w:val="20"/>
          <w:lang w:val="es-CR"/>
        </w:rPr>
      </w:pPr>
      <w:r w:rsidRPr="00AA5F26">
        <w:rPr>
          <w:rFonts w:ascii="Verdana" w:hAnsi="Verdana"/>
          <w:w w:val="95"/>
          <w:sz w:val="20"/>
          <w:szCs w:val="20"/>
          <w:lang w:val="es-CR"/>
        </w:rPr>
        <w:t>En lo que se refiere al despliegue de las llamadas del celular que portaba María Isabel el día de los hechos, del expediente se desprende que el 26 de marzo de 2002 se autorizó requerir el despliegue de llamadas</w:t>
      </w:r>
      <w:r>
        <w:rPr>
          <w:rFonts w:ascii="Verdana" w:hAnsi="Verdana"/>
          <w:w w:val="95"/>
          <w:sz w:val="20"/>
          <w:szCs w:val="20"/>
          <w:lang w:val="es-CR"/>
        </w:rPr>
        <w:t xml:space="preserve"> a</w:t>
      </w:r>
      <w:r w:rsidRPr="00AA5F26">
        <w:rPr>
          <w:rFonts w:ascii="Verdana" w:hAnsi="Verdana"/>
          <w:w w:val="95"/>
          <w:sz w:val="20"/>
          <w:szCs w:val="20"/>
          <w:lang w:val="es-CR"/>
        </w:rPr>
        <w:t xml:space="preserve"> diversas empresas de telecomunicaciones con el propósito</w:t>
      </w:r>
      <w:r>
        <w:rPr>
          <w:rFonts w:ascii="Verdana" w:hAnsi="Verdana"/>
          <w:w w:val="95"/>
          <w:sz w:val="20"/>
          <w:szCs w:val="20"/>
          <w:lang w:val="es-CR"/>
        </w:rPr>
        <w:t xml:space="preserve"> de establecer a quien p</w:t>
      </w:r>
      <w:r w:rsidRPr="00450B8D">
        <w:rPr>
          <w:rFonts w:ascii="Verdana" w:hAnsi="Verdana"/>
          <w:w w:val="95"/>
          <w:sz w:val="20"/>
          <w:szCs w:val="20"/>
          <w:lang w:val="es-CR"/>
        </w:rPr>
        <w:t>ertenecían</w:t>
      </w:r>
      <w:r w:rsidRPr="00026A15">
        <w:rPr>
          <w:rFonts w:ascii="Verdana" w:hAnsi="Verdana"/>
          <w:b/>
          <w:w w:val="95"/>
          <w:sz w:val="20"/>
          <w:szCs w:val="20"/>
          <w:lang w:val="es-CR"/>
        </w:rPr>
        <w:t xml:space="preserve"> </w:t>
      </w:r>
      <w:r w:rsidRPr="00AA5F26">
        <w:rPr>
          <w:rFonts w:ascii="Verdana" w:hAnsi="Verdana"/>
          <w:w w:val="95"/>
          <w:sz w:val="20"/>
          <w:szCs w:val="20"/>
          <w:lang w:val="es-CR"/>
        </w:rPr>
        <w:t>determinados números de teléfono, la dirección dónde puede ser localizada la persona propietaria y las llamadas entrantes y salientes entre el 15 y 24 de diciembre de 2001</w:t>
      </w:r>
      <w:r>
        <w:rPr>
          <w:rStyle w:val="Refdenotaalpie"/>
          <w:rFonts w:ascii="Verdana" w:hAnsi="Verdana"/>
          <w:w w:val="95"/>
          <w:sz w:val="20"/>
          <w:szCs w:val="20"/>
          <w:lang w:val="es-CR"/>
        </w:rPr>
        <w:footnoteReference w:id="303"/>
      </w:r>
      <w:r w:rsidRPr="00AA5F26">
        <w:rPr>
          <w:rFonts w:ascii="Verdana" w:hAnsi="Verdana"/>
          <w:w w:val="95"/>
          <w:sz w:val="20"/>
          <w:szCs w:val="20"/>
          <w:lang w:val="es-CR"/>
        </w:rPr>
        <w:t>. Sin embargo,</w:t>
      </w:r>
      <w:r>
        <w:rPr>
          <w:rFonts w:ascii="Verdana" w:hAnsi="Verdana"/>
          <w:w w:val="95"/>
          <w:sz w:val="20"/>
          <w:szCs w:val="20"/>
          <w:lang w:val="es-CR"/>
        </w:rPr>
        <w:t xml:space="preserve"> </w:t>
      </w:r>
      <w:r w:rsidRPr="00450B8D">
        <w:rPr>
          <w:rFonts w:ascii="Verdana" w:hAnsi="Verdana"/>
          <w:w w:val="95"/>
          <w:sz w:val="20"/>
          <w:szCs w:val="20"/>
          <w:lang w:val="es-CR"/>
        </w:rPr>
        <w:t xml:space="preserve">fue recién </w:t>
      </w:r>
      <w:r w:rsidRPr="00856A1B">
        <w:rPr>
          <w:rFonts w:ascii="Verdana" w:hAnsi="Verdana"/>
          <w:w w:val="95"/>
          <w:sz w:val="20"/>
          <w:szCs w:val="20"/>
          <w:lang w:val="es-CR"/>
        </w:rPr>
        <w:t xml:space="preserve">el </w:t>
      </w:r>
      <w:r w:rsidR="00C77DD1" w:rsidRPr="0022623B">
        <w:rPr>
          <w:rFonts w:ascii="Verdana" w:hAnsi="Verdana"/>
          <w:w w:val="95"/>
          <w:sz w:val="20"/>
          <w:szCs w:val="20"/>
          <w:lang w:val="es-CR"/>
        </w:rPr>
        <w:t>8</w:t>
      </w:r>
      <w:r w:rsidR="00F77273" w:rsidRPr="0022623B">
        <w:rPr>
          <w:rFonts w:ascii="Verdana" w:hAnsi="Verdana"/>
          <w:w w:val="95"/>
          <w:sz w:val="20"/>
          <w:szCs w:val="20"/>
          <w:lang w:val="es-CR"/>
        </w:rPr>
        <w:t xml:space="preserve"> de junio</w:t>
      </w:r>
      <w:r w:rsidRPr="0022623B">
        <w:rPr>
          <w:rFonts w:ascii="Verdana" w:hAnsi="Verdana"/>
          <w:w w:val="95"/>
          <w:sz w:val="20"/>
          <w:szCs w:val="20"/>
          <w:lang w:val="es-CR"/>
        </w:rPr>
        <w:t xml:space="preserve"> de 2005 que el </w:t>
      </w:r>
      <w:r w:rsidR="00C77DD1" w:rsidRPr="0022623B">
        <w:rPr>
          <w:rFonts w:ascii="Verdana" w:hAnsi="Verdana"/>
          <w:w w:val="95"/>
          <w:sz w:val="20"/>
          <w:szCs w:val="20"/>
          <w:lang w:val="es-CR"/>
        </w:rPr>
        <w:t>Técnico en</w:t>
      </w:r>
      <w:r w:rsidRPr="0022623B">
        <w:rPr>
          <w:rFonts w:ascii="Verdana" w:hAnsi="Verdana"/>
          <w:w w:val="95"/>
          <w:sz w:val="20"/>
          <w:szCs w:val="20"/>
          <w:lang w:val="es-CR"/>
        </w:rPr>
        <w:t xml:space="preserve"> Investigaciones Criminalísticas remitió al auxiliar</w:t>
      </w:r>
      <w:r w:rsidRPr="00450B8D">
        <w:rPr>
          <w:rFonts w:ascii="Verdana" w:hAnsi="Verdana"/>
          <w:w w:val="95"/>
          <w:sz w:val="20"/>
          <w:szCs w:val="20"/>
          <w:lang w:val="es-CR"/>
        </w:rPr>
        <w:t xml:space="preserve"> fiscal el informe sobre el desplegado de llamadas telefónicas con un análisis y esquemas de las mismas</w:t>
      </w:r>
      <w:r w:rsidR="00C77DD1">
        <w:rPr>
          <w:rFonts w:ascii="Verdana" w:hAnsi="Verdana"/>
          <w:w w:val="95"/>
          <w:sz w:val="20"/>
          <w:szCs w:val="20"/>
          <w:lang w:val="es-CR"/>
        </w:rPr>
        <w:t xml:space="preserve"> (</w:t>
      </w:r>
      <w:r w:rsidR="00C77DD1">
        <w:rPr>
          <w:rFonts w:ascii="Verdana" w:hAnsi="Verdana"/>
          <w:i/>
          <w:w w:val="95"/>
          <w:sz w:val="20"/>
          <w:szCs w:val="20"/>
          <w:lang w:val="es-CR"/>
        </w:rPr>
        <w:t xml:space="preserve">supra </w:t>
      </w:r>
      <w:r w:rsidR="00C77DD1">
        <w:rPr>
          <w:rFonts w:ascii="Verdana" w:hAnsi="Verdana"/>
          <w:w w:val="95"/>
          <w:sz w:val="20"/>
          <w:szCs w:val="20"/>
          <w:lang w:val="es-CR"/>
        </w:rPr>
        <w:t>nota al pie de página 148)</w:t>
      </w:r>
      <w:r w:rsidRPr="00450B8D">
        <w:rPr>
          <w:rFonts w:ascii="Verdana" w:hAnsi="Verdana"/>
          <w:w w:val="95"/>
          <w:sz w:val="20"/>
          <w:szCs w:val="20"/>
          <w:lang w:val="es-CR"/>
        </w:rPr>
        <w:t>. Con base en ese informe se hicieron algunas investigaciones complementarias.</w:t>
      </w:r>
      <w:r w:rsidRPr="00AA5F26">
        <w:rPr>
          <w:rFonts w:ascii="Verdana" w:hAnsi="Verdana"/>
          <w:w w:val="95"/>
          <w:sz w:val="20"/>
          <w:szCs w:val="20"/>
          <w:lang w:val="es-CR"/>
        </w:rPr>
        <w:t xml:space="preserve"> </w:t>
      </w:r>
    </w:p>
    <w:p w:rsidR="00DF15C3" w:rsidRPr="00943069" w:rsidRDefault="00DF15C3" w:rsidP="003F26FD">
      <w:pPr>
        <w:widowControl w:val="0"/>
        <w:autoSpaceDE w:val="0"/>
        <w:autoSpaceDN w:val="0"/>
        <w:adjustRightInd w:val="0"/>
        <w:spacing w:after="0" w:line="216" w:lineRule="auto"/>
        <w:ind w:left="-142" w:right="-174"/>
        <w:jc w:val="both"/>
        <w:rPr>
          <w:rFonts w:ascii="Verdana" w:hAnsi="Verdana"/>
          <w:w w:val="95"/>
          <w:sz w:val="20"/>
          <w:szCs w:val="20"/>
          <w:lang w:val="es-CR"/>
        </w:rPr>
      </w:pPr>
      <w:r w:rsidRPr="00AA5F26">
        <w:rPr>
          <w:rFonts w:ascii="Verdana" w:hAnsi="Verdana"/>
          <w:w w:val="95"/>
          <w:sz w:val="20"/>
          <w:szCs w:val="20"/>
          <w:lang w:val="es-CR"/>
        </w:rPr>
        <w:tab/>
      </w:r>
      <w:r w:rsidRPr="00AA5F26">
        <w:rPr>
          <w:rFonts w:ascii="Verdana" w:hAnsi="Verdana"/>
          <w:w w:val="95"/>
          <w:sz w:val="20"/>
          <w:szCs w:val="20"/>
          <w:lang w:val="es-CR"/>
        </w:rPr>
        <w:tab/>
      </w:r>
      <w:r w:rsidRPr="00AA5F26">
        <w:rPr>
          <w:rFonts w:ascii="Verdana" w:hAnsi="Verdana"/>
          <w:w w:val="95"/>
          <w:sz w:val="20"/>
          <w:szCs w:val="20"/>
          <w:lang w:val="es-CR"/>
        </w:rPr>
        <w:tab/>
      </w:r>
    </w:p>
    <w:p w:rsidR="00DF15C3" w:rsidRPr="00943069" w:rsidRDefault="00DF15C3" w:rsidP="003F26FD">
      <w:pPr>
        <w:widowControl w:val="0"/>
        <w:numPr>
          <w:ilvl w:val="0"/>
          <w:numId w:val="17"/>
        </w:numPr>
        <w:autoSpaceDE w:val="0"/>
        <w:autoSpaceDN w:val="0"/>
        <w:adjustRightInd w:val="0"/>
        <w:spacing w:after="0" w:line="216" w:lineRule="auto"/>
        <w:ind w:left="-142" w:right="-174" w:firstLine="0"/>
        <w:jc w:val="both"/>
        <w:rPr>
          <w:rFonts w:ascii="Verdana" w:hAnsi="Verdana"/>
          <w:w w:val="95"/>
          <w:sz w:val="20"/>
          <w:szCs w:val="20"/>
          <w:lang w:val="es-CR"/>
        </w:rPr>
      </w:pPr>
      <w:r w:rsidRPr="00AA5F26">
        <w:rPr>
          <w:rFonts w:ascii="Verdana" w:hAnsi="Verdana"/>
          <w:w w:val="95"/>
          <w:sz w:val="20"/>
          <w:szCs w:val="20"/>
          <w:lang w:val="es-CR"/>
        </w:rPr>
        <w:t xml:space="preserve">Sin perjuicio de la pertinencia de las medidas efectuadas, de lo expuesto se deriva que, en el caso </w:t>
      </w:r>
      <w:r w:rsidRPr="00AA5F26">
        <w:rPr>
          <w:rFonts w:ascii="Verdana" w:hAnsi="Verdana"/>
          <w:i/>
          <w:w w:val="95"/>
          <w:sz w:val="20"/>
          <w:szCs w:val="20"/>
          <w:lang w:val="es-CR"/>
        </w:rPr>
        <w:t>subjudice,</w:t>
      </w:r>
      <w:r w:rsidRPr="00AA5F26">
        <w:rPr>
          <w:rFonts w:ascii="Verdana" w:hAnsi="Verdana"/>
          <w:w w:val="95"/>
          <w:sz w:val="20"/>
          <w:szCs w:val="20"/>
          <w:lang w:val="es-CR"/>
        </w:rPr>
        <w:t xml:space="preserve"> el Estado no actuó con la debida prontitud para procurar la efectividad de determinadas diligencias dirigidas a esclarecer los hechos</w:t>
      </w:r>
      <w:r w:rsidR="000A2ACA">
        <w:rPr>
          <w:rFonts w:ascii="Verdana" w:hAnsi="Verdana"/>
          <w:w w:val="95"/>
          <w:sz w:val="20"/>
          <w:szCs w:val="20"/>
          <w:lang w:val="es-CR"/>
        </w:rPr>
        <w:t>,</w:t>
      </w:r>
      <w:r w:rsidRPr="00AA5F26">
        <w:rPr>
          <w:rFonts w:ascii="Verdana" w:hAnsi="Verdana"/>
          <w:w w:val="95"/>
          <w:sz w:val="20"/>
          <w:szCs w:val="20"/>
          <w:lang w:val="es-CR"/>
        </w:rPr>
        <w:t xml:space="preserve"> pues el allanamiento se efectuó</w:t>
      </w:r>
      <w:r w:rsidR="009D792A">
        <w:rPr>
          <w:rFonts w:ascii="Verdana" w:hAnsi="Verdana"/>
          <w:w w:val="95"/>
          <w:sz w:val="20"/>
          <w:szCs w:val="20"/>
          <w:lang w:val="es-CR"/>
        </w:rPr>
        <w:t xml:space="preserve"> </w:t>
      </w:r>
      <w:r w:rsidR="009D792A" w:rsidRPr="0022623B">
        <w:rPr>
          <w:rFonts w:ascii="Verdana" w:hAnsi="Verdana"/>
          <w:w w:val="95"/>
          <w:sz w:val="20"/>
          <w:szCs w:val="20"/>
          <w:lang w:val="es-CR"/>
        </w:rPr>
        <w:t>más de</w:t>
      </w:r>
      <w:r w:rsidRPr="00AA5F26">
        <w:rPr>
          <w:rFonts w:ascii="Verdana" w:hAnsi="Verdana"/>
          <w:w w:val="95"/>
          <w:sz w:val="20"/>
          <w:szCs w:val="20"/>
          <w:lang w:val="es-CR"/>
        </w:rPr>
        <w:t xml:space="preserve"> un año y seis meses después de haberse recibido la llamada anónima de 18 de diciembre de 2001, y el análisis de las llamadas telefónicas fue considerado después más de tres años de contar con la información. </w:t>
      </w:r>
    </w:p>
    <w:p w:rsidR="00DF15C3" w:rsidRPr="00943069" w:rsidRDefault="00DF15C3" w:rsidP="003F26FD">
      <w:pPr>
        <w:widowControl w:val="0"/>
        <w:autoSpaceDE w:val="0"/>
        <w:autoSpaceDN w:val="0"/>
        <w:adjustRightInd w:val="0"/>
        <w:spacing w:after="0" w:line="216" w:lineRule="auto"/>
        <w:ind w:left="-142" w:right="-174"/>
        <w:jc w:val="both"/>
        <w:rPr>
          <w:rFonts w:ascii="Verdana" w:hAnsi="Verdana"/>
          <w:w w:val="95"/>
          <w:sz w:val="20"/>
          <w:szCs w:val="20"/>
          <w:lang w:val="es-CR"/>
        </w:rPr>
      </w:pPr>
      <w:r w:rsidRPr="00AA5F26">
        <w:rPr>
          <w:rFonts w:ascii="Verdana" w:hAnsi="Verdana"/>
          <w:w w:val="95"/>
          <w:sz w:val="20"/>
          <w:szCs w:val="20"/>
          <w:lang w:val="es-CR"/>
        </w:rPr>
        <w:tab/>
      </w:r>
    </w:p>
    <w:p w:rsidR="00DF15C3" w:rsidRPr="00943069" w:rsidRDefault="00DF15C3" w:rsidP="003F26FD">
      <w:pPr>
        <w:pStyle w:val="Prrafodelista"/>
        <w:spacing w:after="0" w:line="216" w:lineRule="auto"/>
        <w:ind w:left="567" w:right="-174"/>
        <w:outlineLvl w:val="2"/>
        <w:rPr>
          <w:rFonts w:ascii="Verdana" w:hAnsi="Verdana"/>
          <w:b/>
          <w:i/>
          <w:w w:val="95"/>
          <w:sz w:val="20"/>
          <w:szCs w:val="20"/>
          <w:lang w:val="es-CR"/>
        </w:rPr>
      </w:pPr>
      <w:bookmarkStart w:id="100" w:name="_Toc394313681"/>
      <w:r w:rsidRPr="00AA5F26">
        <w:rPr>
          <w:rFonts w:ascii="Verdana" w:hAnsi="Verdana"/>
          <w:b/>
          <w:i/>
          <w:w w:val="95"/>
          <w:sz w:val="20"/>
          <w:szCs w:val="20"/>
          <w:lang w:val="es-CR"/>
        </w:rPr>
        <w:t>B.3) Falta de adopción de medidas cautelares respecto a un sospechoso</w:t>
      </w:r>
      <w:bookmarkEnd w:id="100"/>
    </w:p>
    <w:p w:rsidR="00DF15C3" w:rsidRPr="00943069" w:rsidRDefault="00DF15C3" w:rsidP="003F26FD">
      <w:pPr>
        <w:widowControl w:val="0"/>
        <w:autoSpaceDE w:val="0"/>
        <w:autoSpaceDN w:val="0"/>
        <w:adjustRightInd w:val="0"/>
        <w:spacing w:after="0" w:line="216" w:lineRule="auto"/>
        <w:ind w:left="-142" w:right="-174"/>
        <w:jc w:val="both"/>
        <w:rPr>
          <w:rFonts w:ascii="Verdana" w:hAnsi="Verdana"/>
          <w:w w:val="95"/>
          <w:sz w:val="20"/>
          <w:szCs w:val="20"/>
          <w:lang w:val="es-CR"/>
        </w:rPr>
      </w:pPr>
    </w:p>
    <w:p w:rsidR="00DF15C3" w:rsidRPr="00943069" w:rsidRDefault="00F15CBE" w:rsidP="003F26FD">
      <w:pPr>
        <w:widowControl w:val="0"/>
        <w:numPr>
          <w:ilvl w:val="0"/>
          <w:numId w:val="17"/>
        </w:numPr>
        <w:autoSpaceDE w:val="0"/>
        <w:autoSpaceDN w:val="0"/>
        <w:adjustRightInd w:val="0"/>
        <w:spacing w:after="0" w:line="216" w:lineRule="auto"/>
        <w:ind w:left="-142" w:right="-174" w:firstLine="0"/>
        <w:jc w:val="both"/>
        <w:rPr>
          <w:rFonts w:ascii="Verdana" w:hAnsi="Verdana"/>
          <w:w w:val="95"/>
          <w:sz w:val="20"/>
          <w:szCs w:val="20"/>
          <w:lang w:val="es-CR"/>
        </w:rPr>
      </w:pPr>
      <w:r w:rsidRPr="0022623B">
        <w:rPr>
          <w:rFonts w:ascii="Verdana" w:hAnsi="Verdana"/>
          <w:w w:val="95"/>
          <w:sz w:val="20"/>
          <w:szCs w:val="20"/>
          <w:lang w:val="es-CL"/>
        </w:rPr>
        <w:t>Este Tribunal ha constatado que la</w:t>
      </w:r>
      <w:r w:rsidR="0030483D" w:rsidRPr="0022623B">
        <w:rPr>
          <w:rFonts w:ascii="Verdana" w:hAnsi="Verdana"/>
          <w:w w:val="95"/>
          <w:sz w:val="20"/>
          <w:szCs w:val="20"/>
          <w:lang w:val="es-CR"/>
        </w:rPr>
        <w:t xml:space="preserve"> </w:t>
      </w:r>
      <w:r w:rsidR="00DF15C3" w:rsidRPr="00AA5F26">
        <w:rPr>
          <w:rFonts w:ascii="Verdana" w:hAnsi="Verdana"/>
          <w:w w:val="95"/>
          <w:sz w:val="20"/>
          <w:szCs w:val="20"/>
          <w:lang w:val="es-CR"/>
        </w:rPr>
        <w:t xml:space="preserve">ampliación </w:t>
      </w:r>
      <w:r w:rsidR="00DF15C3">
        <w:rPr>
          <w:rFonts w:ascii="Verdana" w:hAnsi="Verdana"/>
          <w:w w:val="95"/>
          <w:sz w:val="20"/>
          <w:szCs w:val="20"/>
          <w:lang w:val="es-CR"/>
        </w:rPr>
        <w:t xml:space="preserve">de 10 de abril de 2002 </w:t>
      </w:r>
      <w:r w:rsidR="00DF15C3" w:rsidRPr="00AA5F26">
        <w:rPr>
          <w:rFonts w:ascii="Verdana" w:hAnsi="Verdana"/>
          <w:w w:val="95"/>
          <w:sz w:val="20"/>
          <w:szCs w:val="20"/>
          <w:lang w:val="es-CR"/>
        </w:rPr>
        <w:t xml:space="preserve">de un informe rendido </w:t>
      </w:r>
      <w:r w:rsidR="00DF15C3" w:rsidRPr="00BD3EAF">
        <w:rPr>
          <w:rFonts w:ascii="Verdana" w:hAnsi="Verdana"/>
          <w:w w:val="95"/>
          <w:sz w:val="20"/>
          <w:szCs w:val="20"/>
          <w:lang w:val="es-CR"/>
        </w:rPr>
        <w:t xml:space="preserve">el 20 de febrero de 2002 </w:t>
      </w:r>
      <w:r w:rsidR="00DF15C3" w:rsidRPr="00BD3EAF">
        <w:rPr>
          <w:rFonts w:ascii="Verdana" w:hAnsi="Verdana" w:cs="Calibri"/>
          <w:w w:val="95"/>
          <w:sz w:val="20"/>
          <w:szCs w:val="20"/>
          <w:lang w:val="es-CR"/>
        </w:rPr>
        <w:t>contiene un análisis de la relación entre María Isabel y uno de los sospechosos y los indicios que podrían hacer pensar que él sería responsable del homicidio de María Isabel, por lo que los investigadores sugieren capturar al sospechoso ante “el peligro de su fuga”.</w:t>
      </w:r>
      <w:r w:rsidR="00DF15C3" w:rsidRPr="00BD3EAF">
        <w:rPr>
          <w:rFonts w:ascii="Verdana" w:hAnsi="Verdana"/>
          <w:w w:val="95"/>
          <w:sz w:val="20"/>
          <w:szCs w:val="20"/>
          <w:lang w:val="es-CR"/>
        </w:rPr>
        <w:t xml:space="preserve"> Posteriormente, el 21 de junio de 2006 </w:t>
      </w:r>
      <w:r w:rsidR="00DF15C3" w:rsidRPr="00BD3EAF">
        <w:rPr>
          <w:rFonts w:ascii="Verdana" w:hAnsi="Verdana" w:cs="Calibri"/>
          <w:w w:val="95"/>
          <w:sz w:val="20"/>
          <w:szCs w:val="20"/>
          <w:lang w:val="es-CR"/>
        </w:rPr>
        <w:t>la</w:t>
      </w:r>
      <w:r w:rsidR="00DF15C3" w:rsidRPr="00AA5F26">
        <w:rPr>
          <w:rFonts w:ascii="Verdana" w:hAnsi="Verdana" w:cs="Calibri"/>
          <w:w w:val="95"/>
          <w:sz w:val="20"/>
          <w:szCs w:val="20"/>
          <w:lang w:val="es-CR"/>
        </w:rPr>
        <w:t xml:space="preserve"> Dirección de Investigaciones Criminalísticas señaló en su informe que no ha</w:t>
      </w:r>
      <w:r w:rsidR="00DF15C3">
        <w:rPr>
          <w:rFonts w:ascii="Verdana" w:hAnsi="Verdana" w:cs="Calibri"/>
          <w:w w:val="95"/>
          <w:sz w:val="20"/>
          <w:szCs w:val="20"/>
          <w:lang w:val="es-CR"/>
        </w:rPr>
        <w:t>bía</w:t>
      </w:r>
      <w:r w:rsidR="00DF15C3" w:rsidRPr="00AA5F26">
        <w:rPr>
          <w:rFonts w:ascii="Verdana" w:hAnsi="Verdana" w:cs="Calibri"/>
          <w:w w:val="95"/>
          <w:sz w:val="20"/>
          <w:szCs w:val="20"/>
          <w:lang w:val="es-CR"/>
        </w:rPr>
        <w:t xml:space="preserve"> sido posible ubicarlo (</w:t>
      </w:r>
      <w:r w:rsidR="00DF15C3" w:rsidRPr="00AA5F26">
        <w:rPr>
          <w:rFonts w:ascii="Verdana" w:hAnsi="Verdana"/>
          <w:i/>
          <w:w w:val="95"/>
          <w:sz w:val="20"/>
          <w:szCs w:val="20"/>
          <w:lang w:val="es-CR"/>
        </w:rPr>
        <w:t>supra</w:t>
      </w:r>
      <w:r w:rsidR="00DF15C3" w:rsidRPr="00AA5F26">
        <w:rPr>
          <w:rFonts w:ascii="Verdana" w:hAnsi="Verdana"/>
          <w:w w:val="95"/>
          <w:sz w:val="20"/>
          <w:szCs w:val="20"/>
          <w:lang w:val="es-CR"/>
        </w:rPr>
        <w:t xml:space="preserve"> </w:t>
      </w:r>
      <w:r w:rsidR="00137D39">
        <w:rPr>
          <w:rFonts w:ascii="Verdana" w:hAnsi="Verdana"/>
          <w:w w:val="95"/>
          <w:sz w:val="20"/>
          <w:szCs w:val="20"/>
          <w:lang w:val="es-CR"/>
        </w:rPr>
        <w:t>nota al pie de págin</w:t>
      </w:r>
      <w:r w:rsidR="00DD3394">
        <w:rPr>
          <w:rFonts w:ascii="Verdana" w:hAnsi="Verdana"/>
          <w:w w:val="95"/>
          <w:sz w:val="20"/>
          <w:szCs w:val="20"/>
          <w:lang w:val="es-CR"/>
        </w:rPr>
        <w:t>a 171</w:t>
      </w:r>
      <w:r w:rsidR="00434E52" w:rsidRPr="00AA5F26">
        <w:rPr>
          <w:rFonts w:ascii="Verdana" w:hAnsi="Verdana"/>
          <w:w w:val="95"/>
          <w:sz w:val="20"/>
          <w:szCs w:val="20"/>
          <w:lang w:val="es-CR"/>
        </w:rPr>
        <w:t>).</w:t>
      </w:r>
    </w:p>
    <w:p w:rsidR="00DF15C3" w:rsidRPr="00943069" w:rsidRDefault="00DF15C3" w:rsidP="003F26FD">
      <w:pPr>
        <w:widowControl w:val="0"/>
        <w:autoSpaceDE w:val="0"/>
        <w:autoSpaceDN w:val="0"/>
        <w:adjustRightInd w:val="0"/>
        <w:spacing w:after="0" w:line="216" w:lineRule="auto"/>
        <w:ind w:left="-142" w:right="-174"/>
        <w:jc w:val="both"/>
        <w:rPr>
          <w:rFonts w:ascii="Verdana" w:hAnsi="Verdana"/>
          <w:w w:val="95"/>
          <w:sz w:val="20"/>
          <w:szCs w:val="20"/>
          <w:lang w:val="es-CR"/>
        </w:rPr>
      </w:pPr>
    </w:p>
    <w:p w:rsidR="00DF15C3" w:rsidRPr="001345E6" w:rsidRDefault="00DF15C3" w:rsidP="003F26FD">
      <w:pPr>
        <w:widowControl w:val="0"/>
        <w:numPr>
          <w:ilvl w:val="0"/>
          <w:numId w:val="17"/>
        </w:numPr>
        <w:autoSpaceDE w:val="0"/>
        <w:autoSpaceDN w:val="0"/>
        <w:adjustRightInd w:val="0"/>
        <w:spacing w:after="0" w:line="216" w:lineRule="auto"/>
        <w:ind w:left="-142" w:right="-174" w:firstLine="0"/>
        <w:jc w:val="both"/>
        <w:rPr>
          <w:rFonts w:ascii="Verdana" w:hAnsi="Verdana"/>
          <w:w w:val="95"/>
          <w:sz w:val="20"/>
          <w:szCs w:val="20"/>
          <w:lang w:val="es-CR"/>
        </w:rPr>
      </w:pPr>
      <w:r w:rsidRPr="00AA5F26">
        <w:rPr>
          <w:rFonts w:ascii="Verdana" w:hAnsi="Verdana"/>
          <w:w w:val="95"/>
          <w:sz w:val="20"/>
          <w:szCs w:val="20"/>
          <w:lang w:val="es-CR"/>
        </w:rPr>
        <w:t>El Estado aceptó su responsabilidad en este punto (</w:t>
      </w:r>
      <w:r w:rsidRPr="00AA5F26">
        <w:rPr>
          <w:rFonts w:ascii="Verdana" w:hAnsi="Verdana"/>
          <w:i/>
          <w:w w:val="95"/>
          <w:sz w:val="20"/>
          <w:szCs w:val="20"/>
          <w:lang w:val="es-CR"/>
        </w:rPr>
        <w:t>supra</w:t>
      </w:r>
      <w:r w:rsidRPr="00AA5F26">
        <w:rPr>
          <w:rFonts w:ascii="Verdana" w:hAnsi="Verdana"/>
          <w:w w:val="95"/>
          <w:sz w:val="20"/>
          <w:szCs w:val="20"/>
          <w:lang w:val="es-CR"/>
        </w:rPr>
        <w:t xml:space="preserve"> párr. </w:t>
      </w:r>
      <w:r w:rsidR="00434E52">
        <w:rPr>
          <w:rFonts w:ascii="Verdana" w:hAnsi="Verdana"/>
          <w:w w:val="95"/>
          <w:sz w:val="20"/>
          <w:szCs w:val="20"/>
          <w:lang w:val="es-CR"/>
        </w:rPr>
        <w:t>19</w:t>
      </w:r>
      <w:r w:rsidR="00434E52" w:rsidRPr="00AA5F26">
        <w:rPr>
          <w:rFonts w:ascii="Verdana" w:hAnsi="Verdana"/>
          <w:w w:val="95"/>
          <w:sz w:val="20"/>
          <w:szCs w:val="20"/>
          <w:lang w:val="es-CR"/>
        </w:rPr>
        <w:t xml:space="preserve">) </w:t>
      </w:r>
      <w:r w:rsidRPr="00AA5F26">
        <w:rPr>
          <w:rFonts w:ascii="Verdana" w:hAnsi="Verdana"/>
          <w:w w:val="95"/>
          <w:sz w:val="20"/>
          <w:szCs w:val="20"/>
          <w:lang w:val="es-CR"/>
        </w:rPr>
        <w:t>y de acuerdo a los expedientes aportados, no fue aplicada al sospechoso medida cautelar alguna y cuando se pretendió ubicar de nuevo su paradero, cuatro años después, no fue posible localizarlo. La Corte, teniendo en cuenta el reconocimiento estatal, considera que el Estado no dio el debido seguimiento a los indicios o circunstancias del sospechoso que podrían haber fundado la necesidad de la adopción de una medida cautelar. Dicha circunstancia impidió una debida investigación del sospechoso, afectando la investigación</w:t>
      </w:r>
      <w:r>
        <w:rPr>
          <w:rFonts w:ascii="Verdana" w:hAnsi="Verdana"/>
          <w:w w:val="95"/>
          <w:sz w:val="20"/>
          <w:szCs w:val="20"/>
          <w:lang w:val="es-CR"/>
        </w:rPr>
        <w:t>.</w:t>
      </w:r>
      <w:r w:rsidRPr="00AA5F26">
        <w:rPr>
          <w:rFonts w:ascii="Verdana" w:hAnsi="Verdana"/>
          <w:b/>
          <w:w w:val="95"/>
          <w:sz w:val="20"/>
          <w:szCs w:val="20"/>
          <w:lang w:val="es-CR"/>
        </w:rPr>
        <w:t xml:space="preserve"> </w:t>
      </w:r>
    </w:p>
    <w:p w:rsidR="00DF15C3" w:rsidRPr="00943069" w:rsidRDefault="00DF15C3" w:rsidP="003F26FD">
      <w:pPr>
        <w:widowControl w:val="0"/>
        <w:autoSpaceDE w:val="0"/>
        <w:autoSpaceDN w:val="0"/>
        <w:adjustRightInd w:val="0"/>
        <w:spacing w:after="0" w:line="216" w:lineRule="auto"/>
        <w:ind w:right="-174"/>
        <w:jc w:val="both"/>
        <w:rPr>
          <w:rFonts w:ascii="Verdana" w:hAnsi="Verdana"/>
          <w:w w:val="95"/>
          <w:sz w:val="20"/>
          <w:szCs w:val="20"/>
          <w:lang w:val="es-CR"/>
        </w:rPr>
      </w:pPr>
    </w:p>
    <w:p w:rsidR="009B438C" w:rsidRDefault="00DF15C3" w:rsidP="003F26FD">
      <w:pPr>
        <w:pStyle w:val="Ttulo3"/>
        <w:spacing w:before="0" w:line="216" w:lineRule="auto"/>
        <w:ind w:left="567" w:right="-174"/>
        <w:jc w:val="both"/>
        <w:rPr>
          <w:rFonts w:ascii="Verdana" w:hAnsi="Verdana"/>
          <w:i/>
          <w:color w:val="auto"/>
          <w:w w:val="95"/>
          <w:sz w:val="20"/>
          <w:lang w:val="es-CR"/>
        </w:rPr>
      </w:pPr>
      <w:bookmarkStart w:id="101" w:name="_Toc394313682"/>
      <w:r>
        <w:rPr>
          <w:rFonts w:ascii="Verdana" w:hAnsi="Verdana"/>
          <w:i/>
          <w:color w:val="auto"/>
          <w:w w:val="95"/>
          <w:sz w:val="20"/>
          <w:lang w:val="es-CR"/>
        </w:rPr>
        <w:t>B.4) Discriminación y f</w:t>
      </w:r>
      <w:r w:rsidRPr="00AA5F26">
        <w:rPr>
          <w:rFonts w:ascii="Verdana" w:hAnsi="Verdana"/>
          <w:i/>
          <w:color w:val="auto"/>
          <w:w w:val="95"/>
          <w:sz w:val="20"/>
          <w:lang w:val="es-CR"/>
        </w:rPr>
        <w:t>alta de investigación con perspectiva de género</w:t>
      </w:r>
      <w:bookmarkEnd w:id="101"/>
    </w:p>
    <w:p w:rsidR="00763922" w:rsidRPr="00763922" w:rsidRDefault="00763922" w:rsidP="003F26FD">
      <w:pPr>
        <w:widowControl w:val="0"/>
        <w:autoSpaceDE w:val="0"/>
        <w:autoSpaceDN w:val="0"/>
        <w:adjustRightInd w:val="0"/>
        <w:spacing w:after="0" w:line="216" w:lineRule="auto"/>
        <w:ind w:left="-142" w:right="-174"/>
        <w:jc w:val="both"/>
        <w:rPr>
          <w:lang w:val="es-CR"/>
        </w:rPr>
      </w:pPr>
    </w:p>
    <w:p w:rsidR="00DF15C3" w:rsidRPr="00943069" w:rsidRDefault="00DF15C3" w:rsidP="003F26FD">
      <w:pPr>
        <w:widowControl w:val="0"/>
        <w:numPr>
          <w:ilvl w:val="0"/>
          <w:numId w:val="17"/>
        </w:numPr>
        <w:autoSpaceDE w:val="0"/>
        <w:autoSpaceDN w:val="0"/>
        <w:adjustRightInd w:val="0"/>
        <w:spacing w:after="0" w:line="216" w:lineRule="auto"/>
        <w:ind w:left="-142" w:right="-174" w:firstLine="0"/>
        <w:jc w:val="both"/>
        <w:rPr>
          <w:rFonts w:ascii="Verdana" w:hAnsi="Verdana"/>
          <w:w w:val="95"/>
          <w:sz w:val="20"/>
          <w:szCs w:val="20"/>
          <w:lang w:val="es-CR"/>
        </w:rPr>
      </w:pPr>
      <w:r w:rsidRPr="00AA5F26">
        <w:rPr>
          <w:rFonts w:ascii="Verdana" w:hAnsi="Verdana"/>
          <w:w w:val="95"/>
          <w:sz w:val="20"/>
          <w:szCs w:val="20"/>
          <w:lang w:val="es-CR"/>
        </w:rPr>
        <w:t xml:space="preserve">El Tribunal ha establecido en su jurisprudencia que el artículo 1.1 de la Convención es una norma de carácter general, cuyo contenido se extiende a todas las disposiciones del tratado, ya que dispone la obligación de los Estados Partes de respetar y garantizar el pleno y libre ejercicio de los derechos y libertades allí reconocidos “sin discriminación alguna”. Es decir, cualquiera sea el origen o la forma que asuma, todo tratamiento que pueda ser considerado discriminatorio respecto del ejercicio de cualquiera de los derechos garantizados en la Convención es </w:t>
      </w:r>
      <w:r w:rsidRPr="00AA5F26">
        <w:rPr>
          <w:rFonts w:ascii="Verdana" w:hAnsi="Verdana"/>
          <w:i/>
          <w:w w:val="95"/>
          <w:sz w:val="20"/>
          <w:szCs w:val="20"/>
          <w:lang w:val="es-CR"/>
        </w:rPr>
        <w:t xml:space="preserve">per se </w:t>
      </w:r>
      <w:r w:rsidRPr="00AA5F26">
        <w:rPr>
          <w:rFonts w:ascii="Verdana" w:hAnsi="Verdana"/>
          <w:w w:val="95"/>
          <w:sz w:val="20"/>
          <w:szCs w:val="20"/>
          <w:lang w:val="es-CR"/>
        </w:rPr>
        <w:t>incompatible con la misma</w:t>
      </w:r>
      <w:r w:rsidRPr="00943069">
        <w:rPr>
          <w:rStyle w:val="Refdenotaalpie"/>
          <w:rFonts w:ascii="Verdana" w:hAnsi="Verdana"/>
          <w:w w:val="95"/>
          <w:sz w:val="20"/>
        </w:rPr>
        <w:footnoteReference w:id="304"/>
      </w:r>
      <w:r w:rsidRPr="00943069">
        <w:rPr>
          <w:rFonts w:ascii="Verdana" w:hAnsi="Verdana"/>
          <w:w w:val="95"/>
          <w:sz w:val="20"/>
          <w:szCs w:val="20"/>
          <w:lang w:val="es-CR"/>
        </w:rPr>
        <w:t xml:space="preserve">. </w:t>
      </w:r>
      <w:r w:rsidRPr="00AA5F26">
        <w:rPr>
          <w:rFonts w:ascii="Verdana" w:hAnsi="Verdana" w:cs="Arial"/>
          <w:w w:val="95"/>
          <w:sz w:val="20"/>
          <w:szCs w:val="20"/>
          <w:lang w:val="es-CR"/>
        </w:rPr>
        <w:t>El incumplimiento por el Estado, mediante cualquier tratamiento discriminatorio, de la obligación general de respetar y garantizar los derechos humanos, le genera responsabilidad internacional</w:t>
      </w:r>
      <w:r w:rsidRPr="00943069">
        <w:rPr>
          <w:rStyle w:val="Refdenotaalpie"/>
          <w:rFonts w:ascii="Verdana" w:hAnsi="Verdana" w:cs="Arial"/>
          <w:w w:val="95"/>
          <w:sz w:val="20"/>
        </w:rPr>
        <w:footnoteReference w:id="305"/>
      </w:r>
      <w:r w:rsidRPr="00943069">
        <w:rPr>
          <w:rFonts w:ascii="Verdana" w:hAnsi="Verdana" w:cs="Arial"/>
          <w:w w:val="95"/>
          <w:sz w:val="20"/>
          <w:szCs w:val="20"/>
          <w:lang w:val="es-CR"/>
        </w:rPr>
        <w:t>. Es por ello que existe un vínculo indisoluble entre la obligación de respetar y garantizar lo</w:t>
      </w:r>
      <w:r w:rsidRPr="00AA5F26">
        <w:rPr>
          <w:rFonts w:ascii="Verdana" w:hAnsi="Verdana" w:cs="Arial"/>
          <w:w w:val="95"/>
          <w:sz w:val="20"/>
          <w:szCs w:val="20"/>
          <w:lang w:val="es-CR"/>
        </w:rPr>
        <w:t>s derechos humanos y el principio de igualdad y no discriminación</w:t>
      </w:r>
      <w:r w:rsidRPr="00943069">
        <w:rPr>
          <w:rStyle w:val="Refdenotaalpie"/>
          <w:rFonts w:ascii="Verdana" w:hAnsi="Verdana" w:cs="Arial"/>
          <w:w w:val="95"/>
          <w:sz w:val="20"/>
        </w:rPr>
        <w:footnoteReference w:id="306"/>
      </w:r>
      <w:r w:rsidRPr="00943069">
        <w:rPr>
          <w:rFonts w:ascii="Verdana" w:hAnsi="Verdana" w:cs="Arial"/>
          <w:w w:val="95"/>
          <w:sz w:val="20"/>
          <w:szCs w:val="20"/>
          <w:lang w:val="es-CR"/>
        </w:rPr>
        <w:t>.</w:t>
      </w:r>
    </w:p>
    <w:p w:rsidR="00DF15C3" w:rsidRPr="00943069" w:rsidRDefault="00DF15C3" w:rsidP="003F26FD">
      <w:pPr>
        <w:widowControl w:val="0"/>
        <w:autoSpaceDE w:val="0"/>
        <w:autoSpaceDN w:val="0"/>
        <w:adjustRightInd w:val="0"/>
        <w:spacing w:after="0" w:line="216" w:lineRule="auto"/>
        <w:ind w:left="-142" w:right="-174"/>
        <w:jc w:val="both"/>
        <w:rPr>
          <w:rFonts w:ascii="Verdana" w:hAnsi="Verdana"/>
          <w:w w:val="95"/>
          <w:sz w:val="20"/>
          <w:szCs w:val="20"/>
          <w:lang w:val="es-CR"/>
        </w:rPr>
      </w:pPr>
    </w:p>
    <w:p w:rsidR="00DF15C3" w:rsidRPr="00450B8D" w:rsidRDefault="00DF15C3" w:rsidP="003F26FD">
      <w:pPr>
        <w:widowControl w:val="0"/>
        <w:numPr>
          <w:ilvl w:val="0"/>
          <w:numId w:val="17"/>
        </w:numPr>
        <w:autoSpaceDE w:val="0"/>
        <w:autoSpaceDN w:val="0"/>
        <w:adjustRightInd w:val="0"/>
        <w:spacing w:after="0" w:line="216" w:lineRule="auto"/>
        <w:ind w:left="-142" w:right="-174" w:firstLine="0"/>
        <w:jc w:val="both"/>
        <w:rPr>
          <w:rFonts w:ascii="Verdana" w:hAnsi="Verdana" w:cs="Arial"/>
          <w:w w:val="95"/>
          <w:sz w:val="20"/>
          <w:szCs w:val="20"/>
          <w:lang w:val="es-CR"/>
        </w:rPr>
      </w:pPr>
      <w:r w:rsidRPr="00450B8D">
        <w:rPr>
          <w:rFonts w:ascii="Verdana" w:hAnsi="Verdana" w:cs="Arial"/>
          <w:w w:val="95"/>
          <w:sz w:val="20"/>
          <w:szCs w:val="20"/>
          <w:lang w:val="es-CR"/>
        </w:rPr>
        <w:t>El principio de la protección igualitaria y efectiva de la ley y de la no discriminación constituye un dato sobresaliente en el sistema tutelar de los derechos humanos consagrado en numerosos instrumentos internacionales y desarrollado por la doctrina y jurisprudencia</w:t>
      </w:r>
      <w:r w:rsidRPr="00450B8D">
        <w:rPr>
          <w:rStyle w:val="Refdenotaalpie"/>
          <w:rFonts w:ascii="Verdana" w:hAnsi="Verdana" w:cs="Arial"/>
          <w:w w:val="95"/>
          <w:sz w:val="20"/>
        </w:rPr>
        <w:footnoteReference w:id="307"/>
      </w:r>
      <w:r w:rsidRPr="00450B8D">
        <w:rPr>
          <w:rFonts w:ascii="Verdana" w:hAnsi="Verdana" w:cs="Arial"/>
          <w:w w:val="95"/>
          <w:sz w:val="20"/>
          <w:szCs w:val="20"/>
          <w:lang w:val="es-CR"/>
        </w:rPr>
        <w:t xml:space="preserve">. En la actual etapa de la evolución del derecho internacional, el principio fundamental de igualdad y no discriminación ha ingresado en el dominio del </w:t>
      </w:r>
      <w:r w:rsidRPr="00450B8D">
        <w:rPr>
          <w:rFonts w:ascii="Verdana" w:hAnsi="Verdana" w:cs="Arial"/>
          <w:i/>
          <w:iCs/>
          <w:w w:val="95"/>
          <w:sz w:val="20"/>
          <w:szCs w:val="20"/>
          <w:lang w:val="es-CR"/>
        </w:rPr>
        <w:t xml:space="preserve">jus cogens. </w:t>
      </w:r>
      <w:r w:rsidRPr="00450B8D">
        <w:rPr>
          <w:rFonts w:ascii="Verdana" w:hAnsi="Verdana" w:cs="Arial"/>
          <w:w w:val="95"/>
          <w:sz w:val="20"/>
          <w:szCs w:val="20"/>
          <w:lang w:val="es-CR"/>
        </w:rPr>
        <w:t>Sobre él descansa el andamiaje jurídico del orden público nacional e internacional y permean todo el ordenamiento jurídico</w:t>
      </w:r>
      <w:r w:rsidRPr="00450B8D">
        <w:rPr>
          <w:rStyle w:val="Refdenotaalpie"/>
          <w:rFonts w:ascii="Verdana" w:hAnsi="Verdana" w:cs="Arial"/>
          <w:w w:val="95"/>
          <w:sz w:val="20"/>
        </w:rPr>
        <w:footnoteReference w:id="308"/>
      </w:r>
      <w:r w:rsidRPr="00450B8D">
        <w:rPr>
          <w:rFonts w:ascii="Verdana" w:hAnsi="Verdana" w:cs="Arial"/>
          <w:w w:val="95"/>
          <w:sz w:val="20"/>
          <w:szCs w:val="20"/>
          <w:lang w:val="es-CR"/>
        </w:rPr>
        <w:t>.</w:t>
      </w:r>
    </w:p>
    <w:p w:rsidR="00DF15C3" w:rsidRPr="00943069" w:rsidRDefault="00DF15C3" w:rsidP="003F26FD">
      <w:pPr>
        <w:widowControl w:val="0"/>
        <w:autoSpaceDE w:val="0"/>
        <w:autoSpaceDN w:val="0"/>
        <w:adjustRightInd w:val="0"/>
        <w:spacing w:after="0" w:line="216" w:lineRule="auto"/>
        <w:ind w:left="-142" w:right="-174"/>
        <w:jc w:val="both"/>
        <w:rPr>
          <w:rFonts w:ascii="Verdana" w:hAnsi="Verdana" w:cs="Arial"/>
          <w:w w:val="95"/>
          <w:sz w:val="20"/>
          <w:szCs w:val="20"/>
          <w:lang w:val="es-CR"/>
        </w:rPr>
      </w:pPr>
    </w:p>
    <w:p w:rsidR="00DF15C3" w:rsidRDefault="00DF15C3" w:rsidP="003F26FD">
      <w:pPr>
        <w:widowControl w:val="0"/>
        <w:numPr>
          <w:ilvl w:val="0"/>
          <w:numId w:val="17"/>
        </w:numPr>
        <w:autoSpaceDE w:val="0"/>
        <w:autoSpaceDN w:val="0"/>
        <w:adjustRightInd w:val="0"/>
        <w:spacing w:after="0" w:line="216" w:lineRule="auto"/>
        <w:ind w:left="-142" w:right="-174" w:firstLine="0"/>
        <w:jc w:val="both"/>
        <w:rPr>
          <w:rFonts w:ascii="Verdana" w:hAnsi="Verdana" w:cs="Arial"/>
          <w:w w:val="95"/>
          <w:sz w:val="20"/>
          <w:szCs w:val="20"/>
          <w:lang w:val="es-CR"/>
        </w:rPr>
      </w:pPr>
      <w:r w:rsidRPr="007D7C64">
        <w:rPr>
          <w:rFonts w:ascii="Verdana" w:hAnsi="Verdana" w:cs="Arial"/>
          <w:w w:val="95"/>
          <w:sz w:val="20"/>
          <w:szCs w:val="20"/>
          <w:lang w:val="es-CR"/>
        </w:rPr>
        <w:t xml:space="preserve">Además, el Tribunal ha establecido que los Estados deben abstenerse de realizar acciones que de cualquier manera vayan dirigidas, directa o indirectamente, a crear situaciones de discriminación </w:t>
      </w:r>
      <w:r w:rsidRPr="007D7C64">
        <w:rPr>
          <w:rFonts w:ascii="Verdana" w:hAnsi="Verdana" w:cs="Arial"/>
          <w:i/>
          <w:iCs/>
          <w:w w:val="95"/>
          <w:sz w:val="20"/>
          <w:szCs w:val="20"/>
          <w:lang w:val="es-CR"/>
        </w:rPr>
        <w:t>de jure</w:t>
      </w:r>
      <w:r w:rsidRPr="007D7C64">
        <w:rPr>
          <w:rFonts w:ascii="Verdana" w:hAnsi="Verdana" w:cs="Arial"/>
          <w:w w:val="95"/>
          <w:sz w:val="20"/>
          <w:szCs w:val="20"/>
          <w:lang w:val="es-CR"/>
        </w:rPr>
        <w:t xml:space="preserve"> o </w:t>
      </w:r>
      <w:r w:rsidRPr="007D7C64">
        <w:rPr>
          <w:rFonts w:ascii="Verdana" w:hAnsi="Verdana" w:cs="Arial"/>
          <w:i/>
          <w:iCs/>
          <w:w w:val="95"/>
          <w:sz w:val="20"/>
          <w:szCs w:val="20"/>
          <w:lang w:val="es-CR"/>
        </w:rPr>
        <w:t>de facto</w:t>
      </w:r>
      <w:r w:rsidRPr="00943069">
        <w:rPr>
          <w:rStyle w:val="Refdenotaalpie"/>
          <w:rFonts w:ascii="Verdana" w:hAnsi="Verdana" w:cs="Arial"/>
          <w:w w:val="95"/>
          <w:sz w:val="20"/>
        </w:rPr>
        <w:footnoteReference w:id="309"/>
      </w:r>
      <w:r w:rsidRPr="007D7C64">
        <w:rPr>
          <w:rFonts w:ascii="Verdana" w:hAnsi="Verdana" w:cs="Arial"/>
          <w:w w:val="95"/>
          <w:sz w:val="20"/>
          <w:szCs w:val="20"/>
          <w:lang w:val="es-CR"/>
        </w:rPr>
        <w:t>. Los Estados están obligados a adoptar medidas positivas para revertir o cambiar situaciones discriminatorias existentes en sus sociedades, en perjuicio de determinado grupo de personas. Esto implica el deber especial de protección que el Estado debe ejercer con respecto a actuaciones y prácticas de terceros que, bajo su tolerancia o aquiescencia, creen, mantengan o favorezcan las situaciones discriminatorias</w:t>
      </w:r>
      <w:r w:rsidRPr="00943069">
        <w:rPr>
          <w:rStyle w:val="Refdenotaalpie"/>
          <w:rFonts w:ascii="Verdana" w:hAnsi="Verdana" w:cs="Arial"/>
          <w:w w:val="95"/>
          <w:sz w:val="20"/>
        </w:rPr>
        <w:footnoteReference w:id="310"/>
      </w:r>
      <w:r w:rsidRPr="007D7C64">
        <w:rPr>
          <w:rFonts w:ascii="Verdana" w:hAnsi="Verdana" w:cs="Arial"/>
          <w:w w:val="95"/>
          <w:sz w:val="20"/>
          <w:szCs w:val="20"/>
          <w:lang w:val="es-CR"/>
        </w:rPr>
        <w:t>.</w:t>
      </w:r>
    </w:p>
    <w:p w:rsidR="00DF15C3" w:rsidRDefault="00DF15C3" w:rsidP="003F26FD">
      <w:pPr>
        <w:widowControl w:val="0"/>
        <w:autoSpaceDE w:val="0"/>
        <w:autoSpaceDN w:val="0"/>
        <w:adjustRightInd w:val="0"/>
        <w:spacing w:after="0" w:line="216" w:lineRule="auto"/>
        <w:ind w:right="-174"/>
        <w:jc w:val="both"/>
        <w:rPr>
          <w:rFonts w:ascii="Verdana" w:hAnsi="Verdana"/>
          <w:bCs/>
          <w:w w:val="95"/>
          <w:sz w:val="20"/>
          <w:szCs w:val="20"/>
          <w:lang w:val="es-CR"/>
        </w:rPr>
      </w:pPr>
    </w:p>
    <w:p w:rsidR="00DF15C3" w:rsidRPr="00450B8D" w:rsidRDefault="00DF15C3" w:rsidP="003F26FD">
      <w:pPr>
        <w:widowControl w:val="0"/>
        <w:numPr>
          <w:ilvl w:val="0"/>
          <w:numId w:val="17"/>
        </w:numPr>
        <w:autoSpaceDE w:val="0"/>
        <w:autoSpaceDN w:val="0"/>
        <w:adjustRightInd w:val="0"/>
        <w:spacing w:after="0" w:line="216" w:lineRule="auto"/>
        <w:ind w:left="-180" w:right="-174" w:firstLine="0"/>
        <w:jc w:val="both"/>
        <w:rPr>
          <w:rFonts w:ascii="Verdana" w:hAnsi="Verdana"/>
          <w:w w:val="95"/>
          <w:sz w:val="20"/>
          <w:szCs w:val="20"/>
          <w:lang w:val="es-CR"/>
        </w:rPr>
      </w:pPr>
      <w:r w:rsidRPr="00450B8D">
        <w:rPr>
          <w:rFonts w:ascii="Verdana" w:hAnsi="Verdana"/>
          <w:w w:val="95"/>
          <w:sz w:val="20"/>
          <w:szCs w:val="20"/>
          <w:lang w:val="es-CR"/>
        </w:rPr>
        <w:t>La Corte estima que la violencia basada en el género, es decir la violencia dirigida contra una mujer por ser mujer o la violencia que afecta a la mujer de manera desproporcionada, es una forma de discriminación en contra de la mujer, tal como han señalado otros organismos internacionales de protección de derechos humanos, como el Tribunal Europeo de Derechos Humanos y el CEDAW</w:t>
      </w:r>
      <w:r w:rsidRPr="00450B8D">
        <w:rPr>
          <w:rStyle w:val="Refdenotaalpie"/>
          <w:rFonts w:ascii="Verdana" w:hAnsi="Verdana"/>
          <w:w w:val="95"/>
          <w:sz w:val="20"/>
        </w:rPr>
        <w:footnoteReference w:id="311"/>
      </w:r>
      <w:r w:rsidRPr="00450B8D">
        <w:rPr>
          <w:rFonts w:ascii="Verdana" w:hAnsi="Verdana"/>
          <w:w w:val="95"/>
          <w:sz w:val="20"/>
          <w:szCs w:val="20"/>
          <w:lang w:val="es-CR"/>
        </w:rPr>
        <w:t>. Tanto la Convención de</w:t>
      </w:r>
      <w:r w:rsidR="00E74BC1">
        <w:rPr>
          <w:rFonts w:ascii="Verdana" w:hAnsi="Verdana"/>
          <w:w w:val="95"/>
          <w:sz w:val="20"/>
          <w:szCs w:val="20"/>
          <w:lang w:val="es-CR"/>
        </w:rPr>
        <w:t xml:space="preserve"> Belém do Pará (preámbulo y artículo</w:t>
      </w:r>
      <w:r w:rsidRPr="00450B8D">
        <w:rPr>
          <w:rFonts w:ascii="Verdana" w:hAnsi="Verdana"/>
          <w:w w:val="95"/>
          <w:sz w:val="20"/>
          <w:szCs w:val="20"/>
          <w:lang w:val="es-CR"/>
        </w:rPr>
        <w:t xml:space="preserve"> 6) como </w:t>
      </w:r>
      <w:r>
        <w:rPr>
          <w:rFonts w:ascii="Verdana" w:hAnsi="Verdana"/>
          <w:w w:val="95"/>
          <w:sz w:val="20"/>
          <w:szCs w:val="20"/>
          <w:lang w:val="es-CR"/>
        </w:rPr>
        <w:t>el</w:t>
      </w:r>
      <w:r w:rsidRPr="00450B8D">
        <w:rPr>
          <w:rFonts w:ascii="Verdana" w:hAnsi="Verdana"/>
          <w:w w:val="95"/>
          <w:sz w:val="20"/>
          <w:szCs w:val="20"/>
          <w:lang w:val="es-CR"/>
        </w:rPr>
        <w:t xml:space="preserve"> CEDAW (preámbulo) han reconocido el vínculo existente entre la violencia contra las mujeres y la discriminación. En el mismo sentido, el Convenio del Consejo de Europa sobre prevención y lucha contra la violencia contra las mujeres y la violencia doméstica (Estambul, 2011) afirma que “la violencia contra las mujeres es una manifestación de desequilibrio histórico entre la mujer y el hombre que ha llevado a la dominación y a la discriminación de la mujer por el hombre, privando así a la mujer de su plena emancipación”, así como que “la naturaleza estructural de la violencia contra las mujeres está basada en el género”</w:t>
      </w:r>
      <w:r w:rsidRPr="00450B8D">
        <w:rPr>
          <w:rStyle w:val="Refdenotaalpie"/>
          <w:rFonts w:ascii="Verdana" w:hAnsi="Verdana"/>
          <w:w w:val="95"/>
          <w:sz w:val="20"/>
        </w:rPr>
        <w:footnoteReference w:id="312"/>
      </w:r>
      <w:r w:rsidRPr="00450B8D">
        <w:rPr>
          <w:rFonts w:ascii="Verdana" w:hAnsi="Verdana"/>
          <w:w w:val="95"/>
          <w:sz w:val="20"/>
          <w:szCs w:val="20"/>
          <w:lang w:val="es-CR"/>
        </w:rPr>
        <w:t xml:space="preserve">.  </w:t>
      </w:r>
    </w:p>
    <w:p w:rsidR="00DF15C3" w:rsidRPr="00450B8D" w:rsidRDefault="00DF15C3" w:rsidP="003F26FD">
      <w:pPr>
        <w:widowControl w:val="0"/>
        <w:autoSpaceDE w:val="0"/>
        <w:autoSpaceDN w:val="0"/>
        <w:adjustRightInd w:val="0"/>
        <w:spacing w:after="0" w:line="216" w:lineRule="auto"/>
        <w:ind w:left="-180" w:right="-174"/>
        <w:jc w:val="both"/>
        <w:rPr>
          <w:rFonts w:ascii="Verdana" w:hAnsi="Verdana"/>
          <w:w w:val="95"/>
          <w:sz w:val="20"/>
          <w:szCs w:val="20"/>
          <w:lang w:val="es-CR"/>
        </w:rPr>
      </w:pPr>
    </w:p>
    <w:p w:rsidR="00DF15C3" w:rsidRPr="00450B8D" w:rsidRDefault="00DF15C3" w:rsidP="003F26FD">
      <w:pPr>
        <w:widowControl w:val="0"/>
        <w:numPr>
          <w:ilvl w:val="0"/>
          <w:numId w:val="17"/>
        </w:numPr>
        <w:autoSpaceDE w:val="0"/>
        <w:autoSpaceDN w:val="0"/>
        <w:adjustRightInd w:val="0"/>
        <w:spacing w:after="0" w:line="216" w:lineRule="auto"/>
        <w:ind w:left="-180" w:right="-174" w:firstLine="0"/>
        <w:jc w:val="both"/>
        <w:rPr>
          <w:rFonts w:ascii="Verdana" w:hAnsi="Verdana"/>
          <w:w w:val="95"/>
          <w:sz w:val="20"/>
          <w:szCs w:val="20"/>
          <w:lang w:val="es-CR"/>
        </w:rPr>
      </w:pPr>
      <w:r w:rsidRPr="00450B8D">
        <w:rPr>
          <w:rFonts w:ascii="Verdana" w:hAnsi="Verdana"/>
          <w:w w:val="95"/>
          <w:sz w:val="20"/>
          <w:szCs w:val="20"/>
          <w:lang w:val="es-CR"/>
        </w:rPr>
        <w:t>La Corte reitera que la ineficacia judicial frente a casos individuales de violencia contra las mujeres propicia un ambiente de impunidad que facilita y promueve la repetición de los hechos de violencia en general y envía un mensaje según el cual la violencia contra las mujeres puede ser tolerada y aceptada, lo que favorece su perpetuación</w:t>
      </w:r>
      <w:r>
        <w:rPr>
          <w:rFonts w:ascii="Verdana" w:hAnsi="Verdana"/>
          <w:w w:val="95"/>
          <w:sz w:val="20"/>
          <w:szCs w:val="20"/>
          <w:lang w:val="es-CR"/>
        </w:rPr>
        <w:t xml:space="preserve"> y la aceptación social del fenómeno</w:t>
      </w:r>
      <w:r w:rsidRPr="00450B8D">
        <w:rPr>
          <w:rFonts w:ascii="Verdana" w:hAnsi="Verdana"/>
          <w:w w:val="95"/>
          <w:sz w:val="20"/>
          <w:szCs w:val="20"/>
          <w:lang w:val="es-CR"/>
        </w:rPr>
        <w:t>, el sentimiento y la sensación de inseguridad de las mujeres, así como una persistente desconfianza de estas en el sistema de administración de justicia</w:t>
      </w:r>
      <w:r w:rsidRPr="00450B8D">
        <w:rPr>
          <w:rStyle w:val="Refdenotaalpie"/>
          <w:rFonts w:ascii="Verdana" w:hAnsi="Verdana"/>
          <w:w w:val="95"/>
          <w:sz w:val="20"/>
        </w:rPr>
        <w:footnoteReference w:id="313"/>
      </w:r>
      <w:r w:rsidRPr="00450B8D">
        <w:rPr>
          <w:rFonts w:ascii="Verdana" w:hAnsi="Verdana"/>
          <w:w w:val="95"/>
          <w:sz w:val="20"/>
          <w:szCs w:val="20"/>
          <w:lang w:val="es-CR"/>
        </w:rPr>
        <w:t>. Dicha ineficacia o indiferencia constituye en sí misma una discriminación [de la mujer] en el acceso a la justicia</w:t>
      </w:r>
      <w:r w:rsidRPr="00450B8D">
        <w:rPr>
          <w:rStyle w:val="Refdenotaalpie"/>
          <w:rFonts w:ascii="Verdana" w:hAnsi="Verdana"/>
          <w:w w:val="95"/>
          <w:sz w:val="20"/>
        </w:rPr>
        <w:footnoteReference w:id="314"/>
      </w:r>
      <w:r w:rsidRPr="00450B8D">
        <w:rPr>
          <w:rFonts w:ascii="Verdana" w:hAnsi="Verdana"/>
          <w:w w:val="95"/>
          <w:sz w:val="20"/>
          <w:szCs w:val="20"/>
          <w:lang w:val="es-CR"/>
        </w:rPr>
        <w:t xml:space="preserve">. Por ello, cuando existan indicios o sospechas concretas de violencia de género, la falta de investigación por parte de las autoridades de los posibles móviles discriminatorios que tuvo un acto de violencia contra la mujer, puede constituir en sí misma una forma de discriminación basada en el género. </w:t>
      </w:r>
    </w:p>
    <w:p w:rsidR="00DF15C3" w:rsidRPr="00450B8D" w:rsidRDefault="00DF15C3" w:rsidP="003F26FD">
      <w:pPr>
        <w:widowControl w:val="0"/>
        <w:autoSpaceDE w:val="0"/>
        <w:autoSpaceDN w:val="0"/>
        <w:adjustRightInd w:val="0"/>
        <w:spacing w:after="0" w:line="216" w:lineRule="auto"/>
        <w:ind w:left="-180" w:right="-174"/>
        <w:jc w:val="both"/>
        <w:rPr>
          <w:rFonts w:ascii="Verdana" w:hAnsi="Verdana"/>
          <w:w w:val="95"/>
          <w:sz w:val="20"/>
          <w:szCs w:val="20"/>
          <w:lang w:val="es-CR"/>
        </w:rPr>
      </w:pPr>
    </w:p>
    <w:p w:rsidR="00DF15C3" w:rsidRPr="00450B8D" w:rsidRDefault="00DF15C3" w:rsidP="003F26FD">
      <w:pPr>
        <w:widowControl w:val="0"/>
        <w:numPr>
          <w:ilvl w:val="0"/>
          <w:numId w:val="17"/>
        </w:numPr>
        <w:autoSpaceDE w:val="0"/>
        <w:autoSpaceDN w:val="0"/>
        <w:adjustRightInd w:val="0"/>
        <w:spacing w:after="0" w:line="216" w:lineRule="auto"/>
        <w:ind w:left="-180" w:right="-174" w:firstLine="0"/>
        <w:jc w:val="both"/>
        <w:rPr>
          <w:rFonts w:ascii="Verdana" w:hAnsi="Verdana"/>
          <w:w w:val="95"/>
          <w:sz w:val="20"/>
          <w:szCs w:val="20"/>
          <w:lang w:val="es-CR"/>
        </w:rPr>
      </w:pPr>
      <w:r w:rsidRPr="00450B8D">
        <w:rPr>
          <w:rFonts w:ascii="Verdana" w:hAnsi="Verdana"/>
          <w:w w:val="95"/>
          <w:sz w:val="20"/>
          <w:szCs w:val="20"/>
          <w:lang w:val="es-CR"/>
        </w:rPr>
        <w:t>Según</w:t>
      </w:r>
      <w:r w:rsidR="00525912">
        <w:rPr>
          <w:rFonts w:ascii="Verdana" w:hAnsi="Verdana"/>
          <w:w w:val="95"/>
          <w:sz w:val="20"/>
          <w:szCs w:val="20"/>
          <w:lang w:val="es-CR"/>
        </w:rPr>
        <w:t xml:space="preserve"> </w:t>
      </w:r>
      <w:r w:rsidR="005B697D" w:rsidRPr="0022623B">
        <w:rPr>
          <w:rFonts w:ascii="Verdana" w:hAnsi="Verdana"/>
          <w:w w:val="95"/>
          <w:sz w:val="20"/>
          <w:szCs w:val="20"/>
          <w:lang w:val="es-CR"/>
        </w:rPr>
        <w:t>determinadas pautas</w:t>
      </w:r>
      <w:r w:rsidRPr="00450B8D">
        <w:rPr>
          <w:rFonts w:ascii="Verdana" w:hAnsi="Verdana"/>
          <w:w w:val="95"/>
          <w:sz w:val="20"/>
          <w:szCs w:val="20"/>
          <w:lang w:val="es-CR"/>
        </w:rPr>
        <w:t xml:space="preserve"> internacionales en materia de violencia contra la mujer y violencia sexual</w:t>
      </w:r>
      <w:r w:rsidRPr="00450B8D">
        <w:rPr>
          <w:rStyle w:val="Refdenotaalpie"/>
          <w:rFonts w:ascii="Verdana" w:hAnsi="Verdana"/>
          <w:w w:val="95"/>
          <w:sz w:val="20"/>
        </w:rPr>
        <w:footnoteReference w:id="315"/>
      </w:r>
      <w:r w:rsidRPr="00450B8D">
        <w:rPr>
          <w:rFonts w:ascii="Verdana" w:hAnsi="Verdana"/>
          <w:w w:val="95"/>
          <w:sz w:val="20"/>
          <w:szCs w:val="20"/>
          <w:lang w:val="es-CR"/>
        </w:rPr>
        <w:t xml:space="preserve">, las pruebas relativas a los antecedentes sexuales de la víctima son en principio inadmisibles, por lo que la apertura de líneas de investigación </w:t>
      </w:r>
      <w:r w:rsidR="00BD3EAF">
        <w:rPr>
          <w:rFonts w:ascii="Verdana" w:hAnsi="Verdana"/>
          <w:w w:val="95"/>
          <w:sz w:val="20"/>
          <w:szCs w:val="20"/>
          <w:lang w:val="es-CR"/>
        </w:rPr>
        <w:t xml:space="preserve">sobre el comportamiento social </w:t>
      </w:r>
      <w:r w:rsidRPr="00450B8D">
        <w:rPr>
          <w:rFonts w:ascii="Verdana" w:hAnsi="Verdana"/>
          <w:w w:val="95"/>
          <w:sz w:val="20"/>
          <w:szCs w:val="20"/>
          <w:lang w:val="es-CR"/>
        </w:rPr>
        <w:t>o sexual previo de las víctimas en casos de violencia de género no es más que la manifestación de políticas o actitudes basadas en estereotipos de género.</w:t>
      </w:r>
    </w:p>
    <w:p w:rsidR="00DF15C3" w:rsidRPr="00540F6F" w:rsidRDefault="00DF15C3" w:rsidP="003F26FD">
      <w:pPr>
        <w:widowControl w:val="0"/>
        <w:autoSpaceDE w:val="0"/>
        <w:autoSpaceDN w:val="0"/>
        <w:adjustRightInd w:val="0"/>
        <w:spacing w:after="0" w:line="216" w:lineRule="auto"/>
        <w:ind w:right="-174"/>
        <w:jc w:val="both"/>
        <w:rPr>
          <w:rFonts w:ascii="Verdana" w:hAnsi="Verdana"/>
          <w:w w:val="95"/>
          <w:sz w:val="20"/>
          <w:szCs w:val="20"/>
          <w:lang w:val="es-CR"/>
        </w:rPr>
      </w:pPr>
    </w:p>
    <w:p w:rsidR="00DF15C3" w:rsidRPr="00540F6F" w:rsidRDefault="00DF15C3" w:rsidP="003F26FD">
      <w:pPr>
        <w:widowControl w:val="0"/>
        <w:numPr>
          <w:ilvl w:val="0"/>
          <w:numId w:val="17"/>
        </w:numPr>
        <w:autoSpaceDE w:val="0"/>
        <w:autoSpaceDN w:val="0"/>
        <w:adjustRightInd w:val="0"/>
        <w:spacing w:after="0" w:line="216" w:lineRule="auto"/>
        <w:ind w:left="-180" w:right="-174" w:firstLine="0"/>
        <w:jc w:val="both"/>
        <w:rPr>
          <w:rFonts w:ascii="Verdana" w:hAnsi="Verdana"/>
          <w:w w:val="95"/>
          <w:sz w:val="20"/>
          <w:szCs w:val="20"/>
          <w:lang w:val="es-CR"/>
        </w:rPr>
      </w:pPr>
      <w:r w:rsidRPr="00540F6F">
        <w:rPr>
          <w:rFonts w:ascii="Verdana" w:hAnsi="Verdana"/>
          <w:bCs/>
          <w:w w:val="95"/>
          <w:sz w:val="20"/>
          <w:szCs w:val="20"/>
          <w:lang w:val="es-CR"/>
        </w:rPr>
        <w:t>Como ya fue demostrado en el presente caso, las autoridades a cargo de la investigación omitieron pruebas pertinentes para determinar la violencia sexual, o las realizaron tardíamente cuando ya los elementos de prueba, cuya cadena de custodia no se resguardó, estaban contaminados (</w:t>
      </w:r>
      <w:r w:rsidRPr="00540F6F">
        <w:rPr>
          <w:rFonts w:ascii="Verdana" w:hAnsi="Verdana"/>
          <w:bCs/>
          <w:i/>
          <w:w w:val="95"/>
          <w:sz w:val="20"/>
          <w:szCs w:val="20"/>
          <w:lang w:val="es-CR"/>
        </w:rPr>
        <w:t>supra</w:t>
      </w:r>
      <w:r w:rsidRPr="00540F6F">
        <w:rPr>
          <w:rFonts w:ascii="Verdana" w:hAnsi="Verdana"/>
          <w:bCs/>
          <w:w w:val="95"/>
          <w:sz w:val="20"/>
          <w:szCs w:val="20"/>
          <w:lang w:val="es-CR"/>
        </w:rPr>
        <w:t xml:space="preserve"> párr. </w:t>
      </w:r>
      <w:r w:rsidR="00C20142">
        <w:rPr>
          <w:rFonts w:ascii="Verdana" w:hAnsi="Verdana"/>
          <w:bCs/>
          <w:w w:val="95"/>
          <w:sz w:val="20"/>
          <w:szCs w:val="20"/>
          <w:lang w:val="es-CR"/>
        </w:rPr>
        <w:t>196.b</w:t>
      </w:r>
      <w:r w:rsidR="00434E52" w:rsidRPr="00540F6F">
        <w:rPr>
          <w:rFonts w:ascii="Verdana" w:hAnsi="Verdana"/>
          <w:bCs/>
          <w:w w:val="95"/>
          <w:sz w:val="20"/>
          <w:szCs w:val="20"/>
          <w:lang w:val="es-CR"/>
        </w:rPr>
        <w:t xml:space="preserve">). </w:t>
      </w:r>
      <w:r w:rsidRPr="00540F6F">
        <w:rPr>
          <w:rFonts w:ascii="Verdana" w:hAnsi="Verdana"/>
          <w:bCs/>
          <w:w w:val="95"/>
          <w:sz w:val="20"/>
          <w:szCs w:val="20"/>
          <w:lang w:val="es-CR"/>
        </w:rPr>
        <w:t>Además, la Corte considera que la falta de debida diligencia en la investigación del homicidio de la víctima está estrechamente vinculada a la ausencia de normas o protocolos específicos para la investigación de casos de homicidios de mujeres por razón de género y de violencia contra la mujer en general. Tal como ha reconocido el Estado, en el momento de los hechos, no había legislación ni procedimientos específicos para investigar casos de violencia contra la mujer. La mayoría de las leyes y medidas para luchar contra dicho fenómeno han sido adoptadas por el Estado con posterioridad a los hechos del presente caso</w:t>
      </w:r>
      <w:r w:rsidRPr="00540F6F">
        <w:rPr>
          <w:rFonts w:ascii="Verdana" w:hAnsi="Verdana"/>
          <w:w w:val="95"/>
          <w:sz w:val="20"/>
          <w:szCs w:val="20"/>
          <w:vertAlign w:val="superscript"/>
        </w:rPr>
        <w:footnoteReference w:id="316"/>
      </w:r>
      <w:r w:rsidRPr="00540F6F">
        <w:rPr>
          <w:rFonts w:ascii="Verdana" w:hAnsi="Verdana"/>
          <w:bCs/>
          <w:w w:val="95"/>
          <w:sz w:val="20"/>
          <w:szCs w:val="20"/>
          <w:lang w:val="es-CR"/>
        </w:rPr>
        <w:t>, por lo que no han podido ser apl</w:t>
      </w:r>
      <w:r w:rsidR="00BD3EAF">
        <w:rPr>
          <w:rFonts w:ascii="Verdana" w:hAnsi="Verdana"/>
          <w:bCs/>
          <w:w w:val="95"/>
          <w:sz w:val="20"/>
          <w:szCs w:val="20"/>
          <w:lang w:val="es-CR"/>
        </w:rPr>
        <w:t>icadas al mismo ni han contribui</w:t>
      </w:r>
      <w:r w:rsidRPr="00540F6F">
        <w:rPr>
          <w:rFonts w:ascii="Verdana" w:hAnsi="Verdana"/>
          <w:bCs/>
          <w:w w:val="95"/>
          <w:sz w:val="20"/>
          <w:szCs w:val="20"/>
          <w:lang w:val="es-CR"/>
        </w:rPr>
        <w:t>do para la efectividad de la investigación llevada a cabo en relación a la muerte de María Isabel V</w:t>
      </w:r>
      <w:r>
        <w:rPr>
          <w:rFonts w:ascii="Verdana" w:hAnsi="Verdana"/>
          <w:bCs/>
          <w:w w:val="95"/>
          <w:sz w:val="20"/>
          <w:szCs w:val="20"/>
          <w:lang w:val="es-CR"/>
        </w:rPr>
        <w:t>e</w:t>
      </w:r>
      <w:r w:rsidRPr="00540F6F">
        <w:rPr>
          <w:rFonts w:ascii="Verdana" w:hAnsi="Verdana"/>
          <w:bCs/>
          <w:w w:val="95"/>
          <w:sz w:val="20"/>
          <w:szCs w:val="20"/>
          <w:lang w:val="es-CR"/>
        </w:rPr>
        <w:t>liz Franco. Lo anterior podría, en parte, explicar la negligencia estatal, pero no justificarla o fungir como eximente de la responsabilidad internacional del Estado. Ello, en tanto las normas en que se sustentan los derechos y obligaciones aquí examinados mandan la plena observancia de éstas y aquéllos en forma inmediatamente exigible al Estado a partir de la entrada en vigor de los tratados respectivos. Por ello, el Tribunal no puede admitir el argumento del Estado según el cual se eximiría de responsabilidad con base en que las autoridades estatales tomaron todas las medidas pertinentes de conformidad con la legislación vigente en ese momento y dentro de sus posibilidades.</w:t>
      </w:r>
    </w:p>
    <w:p w:rsidR="00DF15C3" w:rsidRPr="00540F6F" w:rsidRDefault="00DF15C3" w:rsidP="003F26FD">
      <w:pPr>
        <w:widowControl w:val="0"/>
        <w:autoSpaceDE w:val="0"/>
        <w:autoSpaceDN w:val="0"/>
        <w:adjustRightInd w:val="0"/>
        <w:spacing w:after="0" w:line="216" w:lineRule="auto"/>
        <w:ind w:left="-180" w:right="-174"/>
        <w:jc w:val="both"/>
        <w:rPr>
          <w:rFonts w:ascii="Verdana" w:hAnsi="Verdana"/>
          <w:w w:val="95"/>
          <w:sz w:val="20"/>
          <w:szCs w:val="20"/>
          <w:lang w:val="es-CR"/>
        </w:rPr>
      </w:pPr>
    </w:p>
    <w:p w:rsidR="00DF15C3" w:rsidRPr="00540F6F" w:rsidRDefault="00DF15C3" w:rsidP="003F26FD">
      <w:pPr>
        <w:pStyle w:val="Prrafodelista"/>
        <w:widowControl w:val="0"/>
        <w:numPr>
          <w:ilvl w:val="0"/>
          <w:numId w:val="17"/>
        </w:numPr>
        <w:autoSpaceDE w:val="0"/>
        <w:autoSpaceDN w:val="0"/>
        <w:adjustRightInd w:val="0"/>
        <w:spacing w:after="0" w:line="216" w:lineRule="auto"/>
        <w:ind w:left="-142" w:right="-174" w:firstLine="0"/>
        <w:jc w:val="both"/>
        <w:rPr>
          <w:rFonts w:ascii="Verdana" w:hAnsi="Verdana"/>
          <w:w w:val="95"/>
          <w:sz w:val="20"/>
          <w:szCs w:val="20"/>
          <w:lang w:val="es-CR"/>
        </w:rPr>
      </w:pPr>
      <w:r w:rsidRPr="00540F6F">
        <w:rPr>
          <w:rFonts w:ascii="Verdana" w:hAnsi="Verdana"/>
          <w:bCs/>
          <w:w w:val="95"/>
          <w:sz w:val="20"/>
          <w:szCs w:val="20"/>
          <w:lang w:val="es-CR"/>
        </w:rPr>
        <w:t>Adicionalmente, las dificultades para establecer si María Isabel V</w:t>
      </w:r>
      <w:r>
        <w:rPr>
          <w:rFonts w:ascii="Verdana" w:hAnsi="Verdana"/>
          <w:bCs/>
          <w:w w:val="95"/>
          <w:sz w:val="20"/>
          <w:szCs w:val="20"/>
          <w:lang w:val="es-CR"/>
        </w:rPr>
        <w:t>e</w:t>
      </w:r>
      <w:r w:rsidRPr="00540F6F">
        <w:rPr>
          <w:rFonts w:ascii="Verdana" w:hAnsi="Verdana"/>
          <w:bCs/>
          <w:w w:val="95"/>
          <w:sz w:val="20"/>
          <w:szCs w:val="20"/>
          <w:lang w:val="es-CR"/>
        </w:rPr>
        <w:t xml:space="preserve">liz Franco fue víctima de violencia contra la mujer según la Convención de Belém do Pará deriva en parte de la ausencia de una investigación profunda y efectiva por parte de las autoridades estatales sobre el incidente violento que causó la muerte de la víctima, así como de sus posibles causas y motivaciones. La Corte ya ha señalado que en el momento de los hechos </w:t>
      </w:r>
      <w:r>
        <w:rPr>
          <w:rFonts w:ascii="Verdana" w:hAnsi="Verdana"/>
          <w:bCs/>
          <w:w w:val="95"/>
          <w:sz w:val="20"/>
          <w:szCs w:val="20"/>
          <w:lang w:val="es-CR"/>
        </w:rPr>
        <w:t>ocurridos en el 2001,</w:t>
      </w:r>
      <w:r w:rsidRPr="00540F6F">
        <w:rPr>
          <w:rFonts w:ascii="Verdana" w:hAnsi="Verdana"/>
          <w:bCs/>
          <w:w w:val="95"/>
          <w:sz w:val="20"/>
          <w:szCs w:val="20"/>
          <w:lang w:val="es-CR"/>
        </w:rPr>
        <w:t xml:space="preserve"> existía en Guatemala un contexto de incremento de homicidios que involucraba actos contra mujeres (</w:t>
      </w:r>
      <w:r w:rsidRPr="00540F6F">
        <w:rPr>
          <w:rFonts w:ascii="Verdana" w:hAnsi="Verdana"/>
          <w:bCs/>
          <w:i/>
          <w:w w:val="95"/>
          <w:sz w:val="20"/>
          <w:szCs w:val="20"/>
          <w:lang w:val="es-CR"/>
        </w:rPr>
        <w:t>supra</w:t>
      </w:r>
      <w:r w:rsidRPr="00540F6F">
        <w:rPr>
          <w:rFonts w:ascii="Verdana" w:hAnsi="Verdana"/>
          <w:bCs/>
          <w:w w:val="95"/>
          <w:sz w:val="20"/>
          <w:szCs w:val="20"/>
          <w:lang w:val="es-CR"/>
        </w:rPr>
        <w:t xml:space="preserve"> párr. </w:t>
      </w:r>
      <w:r w:rsidR="00BD3EAF">
        <w:rPr>
          <w:rFonts w:ascii="Verdana" w:hAnsi="Verdana"/>
          <w:bCs/>
          <w:w w:val="95"/>
          <w:sz w:val="20"/>
          <w:szCs w:val="20"/>
          <w:lang w:val="es-CR"/>
        </w:rPr>
        <w:t>81</w:t>
      </w:r>
      <w:r w:rsidR="00434E52" w:rsidRPr="00540F6F">
        <w:rPr>
          <w:rFonts w:ascii="Verdana" w:hAnsi="Verdana"/>
          <w:bCs/>
          <w:w w:val="95"/>
          <w:sz w:val="20"/>
          <w:szCs w:val="20"/>
          <w:lang w:val="es-CR"/>
        </w:rPr>
        <w:t xml:space="preserve">), </w:t>
      </w:r>
      <w:r w:rsidRPr="00540F6F">
        <w:rPr>
          <w:rFonts w:ascii="Verdana" w:hAnsi="Verdana"/>
          <w:bCs/>
          <w:w w:val="95"/>
          <w:sz w:val="20"/>
          <w:szCs w:val="20"/>
          <w:lang w:val="es-CR"/>
        </w:rPr>
        <w:t xml:space="preserve">a lo que se une que en el presente caso había indicios suficientes para sospechar que el homicidio de la víctima pudo tener un móvil discriminatorio, por el odio o </w:t>
      </w:r>
      <w:r w:rsidRPr="001E0CE4">
        <w:rPr>
          <w:rFonts w:ascii="Verdana" w:hAnsi="Verdana"/>
          <w:bCs/>
          <w:w w:val="95"/>
          <w:sz w:val="20"/>
          <w:szCs w:val="20"/>
          <w:lang w:val="es-CR"/>
        </w:rPr>
        <w:t>desprecio por su condición de mujer, o que fue perpetrado con algún tipo de violencia sexual (</w:t>
      </w:r>
      <w:r w:rsidRPr="001E0CE4">
        <w:rPr>
          <w:rFonts w:ascii="Verdana" w:hAnsi="Verdana"/>
          <w:bCs/>
          <w:i/>
          <w:w w:val="95"/>
          <w:sz w:val="20"/>
          <w:szCs w:val="20"/>
          <w:lang w:val="es-CR"/>
        </w:rPr>
        <w:t>supra</w:t>
      </w:r>
      <w:r w:rsidRPr="001E0CE4">
        <w:rPr>
          <w:rFonts w:ascii="Verdana" w:hAnsi="Verdana"/>
          <w:bCs/>
          <w:w w:val="95"/>
          <w:sz w:val="20"/>
          <w:szCs w:val="20"/>
          <w:lang w:val="es-CR"/>
        </w:rPr>
        <w:t xml:space="preserve"> párr</w:t>
      </w:r>
      <w:r w:rsidR="008524C7">
        <w:rPr>
          <w:rFonts w:ascii="Verdana" w:hAnsi="Verdana"/>
          <w:bCs/>
          <w:w w:val="95"/>
          <w:sz w:val="20"/>
          <w:szCs w:val="20"/>
          <w:lang w:val="es-CR"/>
        </w:rPr>
        <w:t>s</w:t>
      </w:r>
      <w:r w:rsidRPr="001E0CE4">
        <w:rPr>
          <w:rFonts w:ascii="Verdana" w:hAnsi="Verdana"/>
          <w:bCs/>
          <w:w w:val="95"/>
          <w:sz w:val="20"/>
          <w:szCs w:val="20"/>
          <w:lang w:val="es-CR"/>
        </w:rPr>
        <w:t xml:space="preserve">. </w:t>
      </w:r>
      <w:r w:rsidR="00C20142">
        <w:rPr>
          <w:rFonts w:ascii="Verdana" w:hAnsi="Verdana"/>
          <w:bCs/>
          <w:w w:val="95"/>
          <w:sz w:val="20"/>
          <w:szCs w:val="20"/>
          <w:lang w:val="es-CR"/>
        </w:rPr>
        <w:t>178</w:t>
      </w:r>
      <w:r w:rsidR="008524C7">
        <w:rPr>
          <w:rFonts w:ascii="Verdana" w:hAnsi="Verdana"/>
          <w:bCs/>
          <w:w w:val="95"/>
          <w:sz w:val="20"/>
          <w:szCs w:val="20"/>
          <w:lang w:val="es-CR"/>
        </w:rPr>
        <w:t xml:space="preserve"> y 196.b)</w:t>
      </w:r>
      <w:r w:rsidR="009B70EA" w:rsidRPr="001E0CE4">
        <w:rPr>
          <w:rFonts w:ascii="Verdana" w:hAnsi="Verdana"/>
          <w:bCs/>
          <w:w w:val="95"/>
          <w:sz w:val="20"/>
          <w:szCs w:val="20"/>
          <w:lang w:val="es-CR"/>
        </w:rPr>
        <w:t xml:space="preserve"> e </w:t>
      </w:r>
      <w:r w:rsidR="009B70EA" w:rsidRPr="001E0CE4">
        <w:rPr>
          <w:rFonts w:ascii="Verdana" w:hAnsi="Verdana"/>
          <w:bCs/>
          <w:i/>
          <w:w w:val="95"/>
          <w:sz w:val="20"/>
          <w:szCs w:val="20"/>
          <w:lang w:val="es-CR"/>
        </w:rPr>
        <w:t xml:space="preserve">infra </w:t>
      </w:r>
      <w:r w:rsidR="00BD3EAF" w:rsidRPr="001E0CE4">
        <w:rPr>
          <w:rFonts w:ascii="Verdana" w:hAnsi="Verdana"/>
          <w:bCs/>
          <w:w w:val="95"/>
          <w:sz w:val="20"/>
          <w:szCs w:val="20"/>
          <w:lang w:val="es-CR"/>
        </w:rPr>
        <w:t>párr. 225</w:t>
      </w:r>
      <w:r w:rsidRPr="001E0CE4">
        <w:rPr>
          <w:rFonts w:ascii="Verdana" w:hAnsi="Verdana"/>
          <w:bCs/>
          <w:w w:val="95"/>
          <w:sz w:val="20"/>
          <w:szCs w:val="20"/>
          <w:lang w:val="es-CR"/>
        </w:rPr>
        <w:t>). Además, según se desprende del expediente judicial, la señora Rosa Elvira Franco Sandoval</w:t>
      </w:r>
      <w:r w:rsidRPr="00540F6F">
        <w:rPr>
          <w:rFonts w:ascii="Verdana" w:hAnsi="Verdana"/>
          <w:bCs/>
          <w:w w:val="95"/>
          <w:sz w:val="20"/>
          <w:szCs w:val="20"/>
          <w:lang w:val="es-CR"/>
        </w:rPr>
        <w:t xml:space="preserve"> comunicó mediante escrito al Fiscal General y Jefe del Ministerio Público que cuando tuvo que ir a la morgue a reconocer a su hija, el forense “le indicó que su hija había sido violada” (</w:t>
      </w:r>
      <w:r w:rsidRPr="00540F6F">
        <w:rPr>
          <w:rFonts w:ascii="Verdana" w:hAnsi="Verdana"/>
          <w:bCs/>
          <w:i/>
          <w:w w:val="95"/>
          <w:sz w:val="20"/>
          <w:szCs w:val="20"/>
          <w:lang w:val="es-CR"/>
        </w:rPr>
        <w:t>supra</w:t>
      </w:r>
      <w:r w:rsidRPr="00540F6F">
        <w:rPr>
          <w:rFonts w:ascii="Verdana" w:hAnsi="Verdana"/>
          <w:bCs/>
          <w:w w:val="95"/>
          <w:sz w:val="20"/>
          <w:szCs w:val="20"/>
          <w:lang w:val="es-CR"/>
        </w:rPr>
        <w:t xml:space="preserve"> párr</w:t>
      </w:r>
      <w:r w:rsidR="00434E52" w:rsidRPr="00540F6F">
        <w:rPr>
          <w:rFonts w:ascii="Verdana" w:hAnsi="Verdana"/>
          <w:bCs/>
          <w:w w:val="95"/>
          <w:sz w:val="20"/>
          <w:szCs w:val="20"/>
          <w:lang w:val="es-CR"/>
        </w:rPr>
        <w:t>.</w:t>
      </w:r>
      <w:r w:rsidR="00434E52">
        <w:rPr>
          <w:rFonts w:ascii="Verdana" w:hAnsi="Verdana"/>
          <w:bCs/>
          <w:w w:val="95"/>
          <w:sz w:val="20"/>
          <w:szCs w:val="20"/>
          <w:lang w:val="es-CR"/>
        </w:rPr>
        <w:t xml:space="preserve"> </w:t>
      </w:r>
      <w:r w:rsidR="00BD3EAF">
        <w:rPr>
          <w:rFonts w:ascii="Verdana" w:hAnsi="Verdana"/>
          <w:bCs/>
          <w:w w:val="95"/>
          <w:sz w:val="20"/>
          <w:szCs w:val="20"/>
          <w:lang w:val="es-CR"/>
        </w:rPr>
        <w:t>98</w:t>
      </w:r>
      <w:r w:rsidR="00434E52" w:rsidRPr="00540F6F">
        <w:rPr>
          <w:rFonts w:ascii="Verdana" w:hAnsi="Verdana"/>
          <w:bCs/>
          <w:w w:val="95"/>
          <w:sz w:val="20"/>
          <w:szCs w:val="20"/>
          <w:lang w:val="es-CR"/>
        </w:rPr>
        <w:t xml:space="preserve">). </w:t>
      </w:r>
    </w:p>
    <w:p w:rsidR="00DF15C3" w:rsidRPr="00540F6F" w:rsidRDefault="00DF15C3" w:rsidP="003F26FD">
      <w:pPr>
        <w:pStyle w:val="Prrafodelista"/>
        <w:widowControl w:val="0"/>
        <w:autoSpaceDE w:val="0"/>
        <w:autoSpaceDN w:val="0"/>
        <w:adjustRightInd w:val="0"/>
        <w:spacing w:after="0" w:line="216" w:lineRule="auto"/>
        <w:ind w:left="-142" w:right="-174"/>
        <w:jc w:val="both"/>
        <w:rPr>
          <w:rFonts w:ascii="Verdana" w:hAnsi="Verdana"/>
          <w:w w:val="95"/>
          <w:sz w:val="20"/>
          <w:szCs w:val="20"/>
          <w:lang w:val="es-CR"/>
        </w:rPr>
      </w:pPr>
    </w:p>
    <w:p w:rsidR="00DF15C3" w:rsidRPr="00540F6F" w:rsidRDefault="00DF15C3" w:rsidP="003F26FD">
      <w:pPr>
        <w:pStyle w:val="Prrafodelista"/>
        <w:widowControl w:val="0"/>
        <w:numPr>
          <w:ilvl w:val="0"/>
          <w:numId w:val="17"/>
        </w:numPr>
        <w:autoSpaceDE w:val="0"/>
        <w:autoSpaceDN w:val="0"/>
        <w:adjustRightInd w:val="0"/>
        <w:spacing w:after="0" w:line="216" w:lineRule="auto"/>
        <w:ind w:left="-142" w:right="-174" w:firstLine="0"/>
        <w:jc w:val="both"/>
        <w:rPr>
          <w:rFonts w:ascii="Verdana" w:hAnsi="Verdana"/>
          <w:w w:val="95"/>
          <w:sz w:val="20"/>
          <w:szCs w:val="20"/>
          <w:lang w:val="es-CR"/>
        </w:rPr>
      </w:pPr>
      <w:r w:rsidRPr="00540F6F">
        <w:rPr>
          <w:rFonts w:ascii="Verdana" w:hAnsi="Verdana"/>
          <w:w w:val="95"/>
          <w:sz w:val="20"/>
          <w:szCs w:val="20"/>
          <w:lang w:val="es-CR"/>
        </w:rPr>
        <w:t>Este incumplimiento del deber de no discriminación se vio agravado en el presente caso por el hecho de que algunos funcionarios a cargo de la investigación del caso efectuaron declaraciones que denotan la existencia de prejuicios y estereotipos sobre el rol social de las mujeres. Del acervo probatorio se desprende que en algunos informes de la investigación se hizo referencia explícita a la forma de vestir de María Isabel, a su vida social y nocturna, a sus creencias religiosas, así como a la falta de preocupación o vigilancia por parte de su familia.</w:t>
      </w:r>
      <w:r w:rsidRPr="00540F6F">
        <w:rPr>
          <w:rFonts w:ascii="Verdana" w:hAnsi="Verdana"/>
          <w:color w:val="FF0000"/>
          <w:w w:val="95"/>
          <w:sz w:val="20"/>
          <w:szCs w:val="20"/>
          <w:lang w:val="es-CR"/>
        </w:rPr>
        <w:t xml:space="preserve"> </w:t>
      </w:r>
      <w:r w:rsidRPr="00540F6F">
        <w:rPr>
          <w:rFonts w:ascii="Verdana" w:hAnsi="Verdana"/>
          <w:w w:val="95"/>
          <w:sz w:val="20"/>
          <w:szCs w:val="20"/>
          <w:lang w:val="es-CR"/>
        </w:rPr>
        <w:t>Según un escrito de la madre d</w:t>
      </w:r>
      <w:r w:rsidRPr="009B438C">
        <w:rPr>
          <w:rFonts w:ascii="Verdana" w:hAnsi="Verdana"/>
          <w:w w:val="95"/>
          <w:sz w:val="20"/>
          <w:szCs w:val="20"/>
          <w:lang w:val="es-CR"/>
        </w:rPr>
        <w:t>e la víctima de 27 de abril de 2007 (</w:t>
      </w:r>
      <w:r w:rsidRPr="009B438C">
        <w:rPr>
          <w:rFonts w:ascii="Verdana" w:hAnsi="Verdana"/>
          <w:i/>
          <w:w w:val="95"/>
          <w:sz w:val="20"/>
          <w:szCs w:val="20"/>
          <w:lang w:val="es-CR"/>
        </w:rPr>
        <w:t xml:space="preserve">supra </w:t>
      </w:r>
      <w:r w:rsidRPr="009B438C">
        <w:rPr>
          <w:rFonts w:ascii="Verdana" w:hAnsi="Verdana"/>
          <w:w w:val="95"/>
          <w:sz w:val="20"/>
          <w:szCs w:val="20"/>
          <w:lang w:val="es-CR"/>
        </w:rPr>
        <w:t xml:space="preserve">párr. </w:t>
      </w:r>
      <w:r w:rsidR="00BD3EAF" w:rsidRPr="009B438C">
        <w:rPr>
          <w:rFonts w:ascii="Verdana" w:hAnsi="Verdana"/>
          <w:w w:val="95"/>
          <w:sz w:val="20"/>
          <w:szCs w:val="20"/>
          <w:lang w:val="es-CR"/>
        </w:rPr>
        <w:t>118</w:t>
      </w:r>
      <w:r w:rsidR="00434E52" w:rsidRPr="009B438C">
        <w:rPr>
          <w:rFonts w:ascii="Verdana" w:hAnsi="Verdana"/>
          <w:w w:val="95"/>
          <w:sz w:val="20"/>
          <w:szCs w:val="20"/>
          <w:lang w:val="es-CR"/>
        </w:rPr>
        <w:t xml:space="preserve">), </w:t>
      </w:r>
      <w:r w:rsidRPr="009B438C">
        <w:rPr>
          <w:rFonts w:ascii="Verdana" w:hAnsi="Verdana"/>
          <w:w w:val="95"/>
          <w:sz w:val="20"/>
          <w:szCs w:val="20"/>
          <w:lang w:val="es-CR"/>
        </w:rPr>
        <w:t xml:space="preserve">la </w:t>
      </w:r>
      <w:r w:rsidR="003C2186" w:rsidRPr="0022623B">
        <w:rPr>
          <w:rFonts w:ascii="Verdana" w:hAnsi="Verdana"/>
          <w:w w:val="95"/>
          <w:sz w:val="20"/>
          <w:szCs w:val="20"/>
          <w:lang w:val="es-CR"/>
        </w:rPr>
        <w:t xml:space="preserve">Auxiliar </w:t>
      </w:r>
      <w:r w:rsidRPr="0022623B">
        <w:rPr>
          <w:rFonts w:ascii="Verdana" w:hAnsi="Verdana"/>
          <w:w w:val="95"/>
          <w:sz w:val="20"/>
          <w:szCs w:val="20"/>
          <w:lang w:val="es-CR"/>
        </w:rPr>
        <w:t xml:space="preserve">Fiscal de </w:t>
      </w:r>
      <w:r w:rsidR="00F77273" w:rsidRPr="0022623B">
        <w:rPr>
          <w:rFonts w:ascii="Verdana" w:hAnsi="Verdana"/>
          <w:w w:val="95"/>
          <w:sz w:val="20"/>
          <w:szCs w:val="20"/>
          <w:lang w:val="es-CR"/>
        </w:rPr>
        <w:t>la Agencia</w:t>
      </w:r>
      <w:r w:rsidR="00F77273" w:rsidRPr="009B438C">
        <w:rPr>
          <w:rFonts w:ascii="Verdana" w:hAnsi="Verdana"/>
          <w:b/>
          <w:w w:val="95"/>
          <w:sz w:val="20"/>
          <w:szCs w:val="20"/>
          <w:lang w:val="es-CR"/>
        </w:rPr>
        <w:t xml:space="preserve"> </w:t>
      </w:r>
      <w:r w:rsidR="00F77273" w:rsidRPr="009B438C">
        <w:rPr>
          <w:rFonts w:ascii="Verdana" w:hAnsi="Verdana"/>
          <w:w w:val="95"/>
          <w:sz w:val="20"/>
          <w:szCs w:val="20"/>
          <w:lang w:val="es-CR"/>
        </w:rPr>
        <w:t>No. 5 de Mixco</w:t>
      </w:r>
      <w:r w:rsidRPr="009B438C">
        <w:rPr>
          <w:rFonts w:ascii="Verdana" w:hAnsi="Verdana"/>
          <w:w w:val="95"/>
          <w:sz w:val="20"/>
          <w:szCs w:val="20"/>
          <w:lang w:val="es-CR"/>
        </w:rPr>
        <w:t xml:space="preserve"> le habría dicho que María Isabel “era una cualquiera,</w:t>
      </w:r>
      <w:r w:rsidR="00E74BC1" w:rsidRPr="009B438C">
        <w:rPr>
          <w:rFonts w:ascii="Verdana" w:hAnsi="Verdana"/>
          <w:w w:val="95"/>
          <w:sz w:val="20"/>
          <w:szCs w:val="20"/>
          <w:lang w:val="es-CR"/>
        </w:rPr>
        <w:t xml:space="preserve"> </w:t>
      </w:r>
      <w:r w:rsidRPr="009B438C">
        <w:rPr>
          <w:rFonts w:ascii="Verdana" w:hAnsi="Verdana"/>
          <w:w w:val="95"/>
          <w:sz w:val="20"/>
          <w:szCs w:val="20"/>
          <w:lang w:val="es-CR"/>
        </w:rPr>
        <w:t>una prostituta”</w:t>
      </w:r>
      <w:r w:rsidRPr="009B438C">
        <w:rPr>
          <w:rStyle w:val="Refdenotaalpie"/>
          <w:rFonts w:ascii="Verdana" w:hAnsi="Verdana"/>
          <w:w w:val="95"/>
          <w:sz w:val="20"/>
          <w:szCs w:val="20"/>
          <w:lang w:val="es-CR"/>
        </w:rPr>
        <w:footnoteReference w:id="317"/>
      </w:r>
      <w:r w:rsidRPr="009B438C">
        <w:rPr>
          <w:rFonts w:ascii="Verdana" w:hAnsi="Verdana"/>
          <w:w w:val="95"/>
          <w:sz w:val="20"/>
          <w:szCs w:val="20"/>
          <w:lang w:val="es-CR"/>
        </w:rPr>
        <w:t>.</w:t>
      </w:r>
      <w:r w:rsidRPr="00540F6F">
        <w:rPr>
          <w:rFonts w:ascii="Verdana" w:hAnsi="Verdana"/>
          <w:w w:val="95"/>
          <w:sz w:val="20"/>
          <w:szCs w:val="20"/>
          <w:lang w:val="es-CR"/>
        </w:rPr>
        <w:t xml:space="preserve"> Asimismo, con base en información suministrada en un peritaje psicológico practicado a una amiga de María Isabel, el perito</w:t>
      </w:r>
      <w:r w:rsidR="00C20142">
        <w:rPr>
          <w:rFonts w:ascii="Verdana" w:hAnsi="Verdana"/>
          <w:w w:val="95"/>
          <w:sz w:val="20"/>
          <w:szCs w:val="20"/>
          <w:lang w:val="es-CR"/>
        </w:rPr>
        <w:t>, sin fundamento,</w:t>
      </w:r>
      <w:r w:rsidRPr="00540F6F">
        <w:rPr>
          <w:rFonts w:ascii="Verdana" w:hAnsi="Verdana"/>
          <w:w w:val="95"/>
          <w:sz w:val="20"/>
          <w:szCs w:val="20"/>
          <w:lang w:val="es-CR"/>
        </w:rPr>
        <w:t xml:space="preserve"> en su informe, concluyó que la víctima habría sufrido de “inestabilidad emocional al andar con varios novios y amigos” (</w:t>
      </w:r>
      <w:r w:rsidRPr="00540F6F">
        <w:rPr>
          <w:rFonts w:ascii="Verdana" w:hAnsi="Verdana"/>
          <w:i/>
          <w:w w:val="95"/>
          <w:sz w:val="20"/>
          <w:szCs w:val="20"/>
          <w:lang w:val="es-CR"/>
        </w:rPr>
        <w:t xml:space="preserve">supra </w:t>
      </w:r>
      <w:r w:rsidRPr="00540F6F">
        <w:rPr>
          <w:rFonts w:ascii="Verdana" w:hAnsi="Verdana"/>
          <w:w w:val="95"/>
          <w:sz w:val="20"/>
          <w:szCs w:val="20"/>
          <w:lang w:val="es-CR"/>
        </w:rPr>
        <w:t xml:space="preserve">párr. </w:t>
      </w:r>
      <w:r w:rsidR="00BD3EAF">
        <w:rPr>
          <w:rFonts w:ascii="Verdana" w:hAnsi="Verdana"/>
          <w:w w:val="95"/>
          <w:sz w:val="20"/>
          <w:szCs w:val="20"/>
          <w:lang w:val="es-CR"/>
        </w:rPr>
        <w:t>118</w:t>
      </w:r>
      <w:r w:rsidR="00434E52" w:rsidRPr="00540F6F">
        <w:rPr>
          <w:rFonts w:ascii="Verdana" w:hAnsi="Verdana"/>
          <w:w w:val="95"/>
          <w:sz w:val="20"/>
          <w:szCs w:val="20"/>
          <w:lang w:val="es-CR"/>
        </w:rPr>
        <w:t>).</w:t>
      </w:r>
      <w:r w:rsidR="00434E52" w:rsidRPr="00540F6F">
        <w:rPr>
          <w:rFonts w:ascii="Verdana" w:hAnsi="Verdana"/>
          <w:color w:val="FF0000"/>
          <w:w w:val="95"/>
          <w:sz w:val="20"/>
          <w:szCs w:val="20"/>
          <w:lang w:val="es-CR"/>
        </w:rPr>
        <w:t xml:space="preserve"> </w:t>
      </w:r>
      <w:r w:rsidRPr="00540F6F">
        <w:rPr>
          <w:rFonts w:ascii="Verdana" w:hAnsi="Verdana"/>
          <w:w w:val="95"/>
          <w:sz w:val="20"/>
          <w:szCs w:val="20"/>
          <w:lang w:val="es-CR"/>
        </w:rPr>
        <w:t>Si bien es cierto, como alegó el Estado, que algunas de estas afirmaciones provenían de las declaraciones rendidas por testigos o entrevistados (conocidos y amigos de la víctima) en el marco de la investigación, el hecho de que se diera relevancia en los interrogatorios y en los informes a ciertos aspectos de la vida privada y del comportamiento previo de María Isabel demuestra la existencia de estereotipos de género. Esta conclusión coincide con el contexto al que hacen referencia ciertos estudios y testimonios de mujeres sobrevivientes y sus familiares, así como la perita Solís García, sobre la “tendencia de los investigadores a desacreditar a las víctimas y culpabilizarlas</w:t>
      </w:r>
      <w:r w:rsidR="00C20142">
        <w:rPr>
          <w:rFonts w:ascii="Verdana" w:hAnsi="Verdana"/>
          <w:w w:val="95"/>
          <w:sz w:val="20"/>
          <w:szCs w:val="20"/>
          <w:lang w:val="es-CR"/>
        </w:rPr>
        <w:t xml:space="preserve"> por su estilo de vida, o ropa” </w:t>
      </w:r>
      <w:r w:rsidRPr="00540F6F">
        <w:rPr>
          <w:rFonts w:ascii="Verdana" w:hAnsi="Verdana"/>
          <w:w w:val="95"/>
          <w:sz w:val="20"/>
          <w:szCs w:val="20"/>
          <w:lang w:val="es-CR"/>
        </w:rPr>
        <w:t>y la indagación de aspectos relativos a las relaciones personales y sexualidad de las víctimas (</w:t>
      </w:r>
      <w:r w:rsidRPr="00540F6F">
        <w:rPr>
          <w:rFonts w:ascii="Verdana" w:hAnsi="Verdana"/>
          <w:i/>
          <w:w w:val="95"/>
          <w:sz w:val="20"/>
          <w:szCs w:val="20"/>
          <w:lang w:val="es-CR"/>
        </w:rPr>
        <w:t xml:space="preserve">supra </w:t>
      </w:r>
      <w:r w:rsidRPr="00540F6F">
        <w:rPr>
          <w:rFonts w:ascii="Verdana" w:hAnsi="Verdana"/>
          <w:w w:val="95"/>
          <w:sz w:val="20"/>
          <w:szCs w:val="20"/>
          <w:lang w:val="es-CR"/>
        </w:rPr>
        <w:t xml:space="preserve">párr. </w:t>
      </w:r>
      <w:r w:rsidR="00BD3EAF">
        <w:rPr>
          <w:rFonts w:ascii="Verdana" w:hAnsi="Verdana"/>
          <w:w w:val="95"/>
          <w:sz w:val="20"/>
          <w:szCs w:val="20"/>
          <w:lang w:val="es-CR"/>
        </w:rPr>
        <w:t>90</w:t>
      </w:r>
      <w:r w:rsidR="00434E52" w:rsidRPr="00540F6F">
        <w:rPr>
          <w:rFonts w:ascii="Verdana" w:hAnsi="Verdana"/>
          <w:w w:val="95"/>
          <w:sz w:val="20"/>
          <w:szCs w:val="20"/>
          <w:lang w:val="es-CR"/>
        </w:rPr>
        <w:t xml:space="preserve">). </w:t>
      </w:r>
    </w:p>
    <w:p w:rsidR="00DF15C3" w:rsidRPr="00540F6F" w:rsidRDefault="00DF15C3" w:rsidP="003F26FD">
      <w:pPr>
        <w:pStyle w:val="Prrafodelista"/>
        <w:widowControl w:val="0"/>
        <w:autoSpaceDE w:val="0"/>
        <w:autoSpaceDN w:val="0"/>
        <w:adjustRightInd w:val="0"/>
        <w:spacing w:after="0" w:line="216" w:lineRule="auto"/>
        <w:ind w:left="-142" w:right="-174"/>
        <w:jc w:val="both"/>
        <w:rPr>
          <w:rFonts w:ascii="Verdana" w:hAnsi="Verdana"/>
          <w:w w:val="95"/>
          <w:sz w:val="20"/>
          <w:szCs w:val="20"/>
          <w:lang w:val="es-CR"/>
        </w:rPr>
      </w:pPr>
    </w:p>
    <w:p w:rsidR="00DF15C3" w:rsidRDefault="00DF15C3" w:rsidP="003F26FD">
      <w:pPr>
        <w:pStyle w:val="Prrafodelista"/>
        <w:widowControl w:val="0"/>
        <w:numPr>
          <w:ilvl w:val="0"/>
          <w:numId w:val="17"/>
        </w:numPr>
        <w:autoSpaceDE w:val="0"/>
        <w:autoSpaceDN w:val="0"/>
        <w:adjustRightInd w:val="0"/>
        <w:spacing w:after="0" w:line="216" w:lineRule="auto"/>
        <w:ind w:left="-142" w:right="-174" w:firstLine="0"/>
        <w:jc w:val="both"/>
        <w:rPr>
          <w:rFonts w:ascii="Verdana" w:hAnsi="Verdana"/>
          <w:w w:val="95"/>
          <w:sz w:val="20"/>
          <w:szCs w:val="20"/>
          <w:lang w:val="es-CR"/>
        </w:rPr>
      </w:pPr>
      <w:r w:rsidRPr="00540F6F">
        <w:rPr>
          <w:rFonts w:ascii="Verdana" w:hAnsi="Verdana"/>
          <w:w w:val="95"/>
          <w:sz w:val="20"/>
          <w:szCs w:val="20"/>
          <w:lang w:val="es-CR"/>
        </w:rPr>
        <w:t>En el presente caso, los estereotipos de género tuvieron una influencia negativa en la investigación del caso, en la medida en que trasladaron la culpa de lo acontecido a la víctima y a sus familiares, cerrando otras líneas posibles de investigación sobre las circunstancias del caso e identificación de los autores. Al respecto, la Corte ya ha tenido ocasión de señalar que la creación y uso de estereotipos se convierte en una de las causas y consecuencias de la violencia de género en contra de la mujer</w:t>
      </w:r>
      <w:r w:rsidRPr="00540F6F">
        <w:rPr>
          <w:rStyle w:val="Refdenotaalpie"/>
          <w:rFonts w:ascii="Verdana" w:hAnsi="Verdana"/>
          <w:w w:val="95"/>
          <w:sz w:val="20"/>
        </w:rPr>
        <w:footnoteReference w:id="318"/>
      </w:r>
      <w:r w:rsidRPr="00540F6F">
        <w:rPr>
          <w:rFonts w:ascii="Verdana" w:hAnsi="Verdana"/>
          <w:w w:val="95"/>
          <w:sz w:val="20"/>
          <w:szCs w:val="20"/>
          <w:lang w:val="es-CR"/>
        </w:rPr>
        <w:t xml:space="preserve">. </w:t>
      </w:r>
    </w:p>
    <w:p w:rsidR="00DF15C3" w:rsidRPr="00B42D02" w:rsidRDefault="00DF15C3" w:rsidP="003F26FD">
      <w:pPr>
        <w:pStyle w:val="Prrafodelista"/>
        <w:ind w:right="-174"/>
        <w:rPr>
          <w:rFonts w:ascii="Verdana" w:hAnsi="Verdana"/>
          <w:w w:val="95"/>
          <w:sz w:val="20"/>
          <w:szCs w:val="20"/>
          <w:lang w:val="es-CR"/>
        </w:rPr>
      </w:pPr>
    </w:p>
    <w:p w:rsidR="00DF15C3" w:rsidRPr="00190FD6" w:rsidRDefault="00DF15C3" w:rsidP="003F26FD">
      <w:pPr>
        <w:pStyle w:val="Prrafodelista"/>
        <w:widowControl w:val="0"/>
        <w:numPr>
          <w:ilvl w:val="0"/>
          <w:numId w:val="17"/>
        </w:numPr>
        <w:autoSpaceDE w:val="0"/>
        <w:autoSpaceDN w:val="0"/>
        <w:adjustRightInd w:val="0"/>
        <w:spacing w:after="0" w:line="216" w:lineRule="auto"/>
        <w:ind w:left="-142" w:right="-174" w:firstLine="0"/>
        <w:jc w:val="both"/>
        <w:rPr>
          <w:rFonts w:ascii="Verdana" w:hAnsi="Verdana"/>
          <w:w w:val="95"/>
          <w:sz w:val="20"/>
          <w:szCs w:val="20"/>
          <w:lang w:val="es-CR"/>
        </w:rPr>
      </w:pPr>
      <w:r w:rsidRPr="003622B1">
        <w:rPr>
          <w:rFonts w:ascii="Verdana" w:hAnsi="Verdana" w:cs="Arial"/>
          <w:w w:val="95"/>
          <w:sz w:val="20"/>
          <w:szCs w:val="20"/>
          <w:lang w:val="es-CR"/>
        </w:rPr>
        <w:t>La Corte,</w:t>
      </w:r>
      <w:r w:rsidRPr="00B42D02">
        <w:rPr>
          <w:rFonts w:ascii="Verdana" w:hAnsi="Verdana" w:cs="Arial"/>
          <w:w w:val="95"/>
          <w:sz w:val="20"/>
          <w:szCs w:val="20"/>
          <w:lang w:val="es-CR"/>
        </w:rPr>
        <w:t xml:space="preserve"> refiriéndose a los artículos 1.1 y 24 de la Convención, ha indicado que  “la diferencia entre los dos artículos radica en que la obligación general del artículo 1.1 se refiere al deber del Estado de respetar y garantizar ‘sin discriminación’ los derechos contenidos en la Convención Americana. [E]n otras palabras, si un Estado discrimina en el respeto o garantía de un derecho convencional, violaría el artículo 1.1 y el derecho sustantivo en cuestión. Si por el contrario la discriminación se refiere a una protección desigual de la ley interna o su aplicación, el hecho debe analizarse a la luz del artículo 24”</w:t>
      </w:r>
      <w:r w:rsidRPr="00943069">
        <w:rPr>
          <w:rStyle w:val="Refdenotaalpie"/>
          <w:rFonts w:ascii="Verdana" w:hAnsi="Verdana" w:cs="Arial"/>
          <w:w w:val="95"/>
          <w:sz w:val="20"/>
        </w:rPr>
        <w:footnoteReference w:id="319"/>
      </w:r>
      <w:r w:rsidRPr="00B42D02">
        <w:rPr>
          <w:rFonts w:ascii="Verdana" w:hAnsi="Verdana" w:cs="Arial"/>
          <w:w w:val="95"/>
          <w:sz w:val="20"/>
          <w:szCs w:val="20"/>
          <w:lang w:val="es-CR"/>
        </w:rPr>
        <w:t>.</w:t>
      </w:r>
    </w:p>
    <w:p w:rsidR="00DF15C3" w:rsidRPr="00190FD6" w:rsidRDefault="00DF15C3" w:rsidP="003F26FD">
      <w:pPr>
        <w:pStyle w:val="Prrafodelista"/>
        <w:ind w:right="-174"/>
        <w:rPr>
          <w:rFonts w:ascii="Verdana" w:hAnsi="Verdana"/>
          <w:w w:val="95"/>
          <w:sz w:val="20"/>
          <w:szCs w:val="20"/>
          <w:lang w:val="es-CR"/>
        </w:rPr>
      </w:pPr>
    </w:p>
    <w:p w:rsidR="00DF15C3" w:rsidRPr="002F740A" w:rsidRDefault="00DF15C3" w:rsidP="003F26FD">
      <w:pPr>
        <w:pStyle w:val="Prrafodelista"/>
        <w:widowControl w:val="0"/>
        <w:numPr>
          <w:ilvl w:val="0"/>
          <w:numId w:val="17"/>
        </w:numPr>
        <w:autoSpaceDE w:val="0"/>
        <w:autoSpaceDN w:val="0"/>
        <w:adjustRightInd w:val="0"/>
        <w:spacing w:after="0" w:line="216" w:lineRule="auto"/>
        <w:ind w:left="-142" w:right="-174" w:firstLine="0"/>
        <w:jc w:val="both"/>
        <w:rPr>
          <w:rFonts w:ascii="Verdana" w:hAnsi="Verdana"/>
          <w:w w:val="95"/>
          <w:sz w:val="20"/>
          <w:szCs w:val="20"/>
          <w:lang w:val="es-CR"/>
        </w:rPr>
      </w:pPr>
      <w:r w:rsidRPr="003622B1">
        <w:rPr>
          <w:rFonts w:ascii="Verdana" w:hAnsi="Verdana"/>
          <w:w w:val="95"/>
          <w:sz w:val="20"/>
          <w:szCs w:val="20"/>
          <w:lang w:val="es-CR"/>
        </w:rPr>
        <w:t xml:space="preserve">Los hechos del presente caso </w:t>
      </w:r>
      <w:r w:rsidR="00F7281C" w:rsidRPr="00CC0F98">
        <w:rPr>
          <w:rFonts w:ascii="Verdana" w:hAnsi="Verdana"/>
          <w:w w:val="95"/>
          <w:sz w:val="20"/>
          <w:szCs w:val="20"/>
          <w:lang w:val="es-CR"/>
        </w:rPr>
        <w:t xml:space="preserve">comprenden ambas modalidades de discriminación y por lo tanto </w:t>
      </w:r>
      <w:r w:rsidRPr="00CC0F98">
        <w:rPr>
          <w:rFonts w:ascii="Verdana" w:hAnsi="Verdana"/>
          <w:w w:val="95"/>
          <w:sz w:val="20"/>
          <w:szCs w:val="20"/>
          <w:lang w:val="es-CR"/>
        </w:rPr>
        <w:t xml:space="preserve">no </w:t>
      </w:r>
      <w:r w:rsidR="00F7281C" w:rsidRPr="00CC0F98">
        <w:rPr>
          <w:rFonts w:ascii="Verdana" w:hAnsi="Verdana"/>
          <w:w w:val="95"/>
          <w:sz w:val="20"/>
          <w:szCs w:val="20"/>
          <w:lang w:val="es-CR"/>
        </w:rPr>
        <w:t>se hace</w:t>
      </w:r>
      <w:r w:rsidRPr="00CC0F98">
        <w:rPr>
          <w:rFonts w:ascii="Verdana" w:hAnsi="Verdana"/>
          <w:w w:val="95"/>
          <w:sz w:val="20"/>
          <w:szCs w:val="20"/>
          <w:lang w:val="es-CR"/>
        </w:rPr>
        <w:t xml:space="preserve"> necesario realizar una distinción, por lo cual la Corte considera que se ha violado tanto el derecho</w:t>
      </w:r>
      <w:r w:rsidRPr="003622B1">
        <w:rPr>
          <w:rFonts w:ascii="Verdana" w:hAnsi="Verdana"/>
          <w:w w:val="95"/>
          <w:sz w:val="20"/>
          <w:szCs w:val="20"/>
          <w:lang w:val="es-CR"/>
        </w:rPr>
        <w:t xml:space="preserve"> a la igual protección de la ley (artículo 24) como el deber de respetar y garantizar sin discriminación los derechos contenidos en la Convención Americana (artículo 1.1). </w:t>
      </w:r>
    </w:p>
    <w:p w:rsidR="00DF15C3" w:rsidRPr="00190FD6" w:rsidRDefault="00DF15C3" w:rsidP="003F26FD">
      <w:pPr>
        <w:widowControl w:val="0"/>
        <w:autoSpaceDE w:val="0"/>
        <w:autoSpaceDN w:val="0"/>
        <w:adjustRightInd w:val="0"/>
        <w:spacing w:after="0" w:line="216" w:lineRule="auto"/>
        <w:ind w:right="-174"/>
        <w:jc w:val="both"/>
        <w:rPr>
          <w:rFonts w:ascii="Verdana" w:hAnsi="Verdana"/>
          <w:b/>
          <w:w w:val="95"/>
          <w:sz w:val="20"/>
          <w:szCs w:val="20"/>
          <w:lang w:val="es-CR"/>
        </w:rPr>
      </w:pPr>
    </w:p>
    <w:p w:rsidR="00697C37" w:rsidRDefault="00DF15C3" w:rsidP="003F26FD">
      <w:pPr>
        <w:pStyle w:val="Prrafodelista"/>
        <w:widowControl w:val="0"/>
        <w:numPr>
          <w:ilvl w:val="0"/>
          <w:numId w:val="17"/>
        </w:numPr>
        <w:autoSpaceDE w:val="0"/>
        <w:autoSpaceDN w:val="0"/>
        <w:adjustRightInd w:val="0"/>
        <w:spacing w:after="0" w:line="216" w:lineRule="auto"/>
        <w:ind w:left="-180" w:right="-174" w:firstLine="0"/>
        <w:jc w:val="both"/>
        <w:rPr>
          <w:rFonts w:ascii="Verdana" w:hAnsi="Verdana"/>
          <w:w w:val="95"/>
          <w:sz w:val="20"/>
          <w:szCs w:val="20"/>
          <w:lang w:val="es-CR"/>
        </w:rPr>
      </w:pPr>
      <w:r w:rsidRPr="003622B1">
        <w:rPr>
          <w:rFonts w:ascii="Verdana" w:hAnsi="Verdana"/>
          <w:bCs/>
          <w:w w:val="95"/>
          <w:sz w:val="20"/>
          <w:szCs w:val="20"/>
          <w:lang w:val="es-CR"/>
        </w:rPr>
        <w:t>En consecuencia,</w:t>
      </w:r>
      <w:r w:rsidRPr="00375301">
        <w:rPr>
          <w:rFonts w:ascii="Verdana" w:hAnsi="Verdana"/>
          <w:bCs/>
          <w:w w:val="95"/>
          <w:sz w:val="20"/>
          <w:szCs w:val="20"/>
          <w:lang w:val="es-CR"/>
        </w:rPr>
        <w:t xml:space="preserve"> la Corte estima que la investigación del homicidio de María Isabel no ha sido conducida con una perspectiva de género de acuerdo a las obligaciones especiales impuestas por la Convención de Belém do Pará. </w:t>
      </w:r>
      <w:r w:rsidRPr="003622B1">
        <w:rPr>
          <w:rFonts w:ascii="Verdana" w:hAnsi="Verdana"/>
          <w:w w:val="95"/>
          <w:sz w:val="20"/>
          <w:szCs w:val="20"/>
          <w:lang w:val="es-CR"/>
        </w:rPr>
        <w:t xml:space="preserve">Por ello, en el marco de la investigación, en el presente caso el Estado violó el derecho a la igual protección de la ley contenido en el artículo 24 de la Convención Americana, en relación con el deber de no discriminación contenido en el artículo 1.1 del tratado. </w:t>
      </w:r>
    </w:p>
    <w:p w:rsidR="00DF15C3" w:rsidRPr="0098363F" w:rsidRDefault="00DF15C3" w:rsidP="003F26FD">
      <w:pPr>
        <w:widowControl w:val="0"/>
        <w:autoSpaceDE w:val="0"/>
        <w:autoSpaceDN w:val="0"/>
        <w:adjustRightInd w:val="0"/>
        <w:spacing w:after="0" w:line="216" w:lineRule="auto"/>
        <w:ind w:right="-174"/>
        <w:jc w:val="both"/>
        <w:rPr>
          <w:rFonts w:ascii="Verdana" w:hAnsi="Verdana"/>
          <w:w w:val="95"/>
          <w:sz w:val="20"/>
          <w:szCs w:val="20"/>
          <w:lang w:val="es-CR"/>
        </w:rPr>
      </w:pPr>
    </w:p>
    <w:p w:rsidR="00DF15C3" w:rsidRPr="00943069" w:rsidRDefault="00DF15C3" w:rsidP="003F26FD">
      <w:pPr>
        <w:pStyle w:val="Prrafodelista"/>
        <w:spacing w:after="0" w:line="216" w:lineRule="auto"/>
        <w:ind w:left="567" w:right="-174"/>
        <w:outlineLvl w:val="2"/>
        <w:rPr>
          <w:rFonts w:ascii="Verdana" w:hAnsi="Verdana"/>
          <w:b/>
          <w:i/>
          <w:w w:val="95"/>
          <w:sz w:val="20"/>
          <w:szCs w:val="20"/>
          <w:lang w:val="es-CR"/>
        </w:rPr>
      </w:pPr>
      <w:bookmarkStart w:id="102" w:name="_Toc394313683"/>
      <w:r>
        <w:rPr>
          <w:rFonts w:ascii="Verdana" w:hAnsi="Verdana"/>
          <w:b/>
          <w:i/>
          <w:w w:val="95"/>
          <w:sz w:val="20"/>
          <w:szCs w:val="20"/>
          <w:lang w:val="es-CR"/>
        </w:rPr>
        <w:t>B.5</w:t>
      </w:r>
      <w:r w:rsidRPr="00AA5F26">
        <w:rPr>
          <w:rFonts w:ascii="Verdana" w:hAnsi="Verdana"/>
          <w:b/>
          <w:i/>
          <w:w w:val="95"/>
          <w:sz w:val="20"/>
          <w:szCs w:val="20"/>
          <w:lang w:val="es-CR"/>
        </w:rPr>
        <w:t>) Plazo razonable</w:t>
      </w:r>
      <w:bookmarkEnd w:id="102"/>
    </w:p>
    <w:p w:rsidR="00DF15C3" w:rsidRPr="00943069" w:rsidRDefault="00DF15C3" w:rsidP="003F26FD">
      <w:pPr>
        <w:pStyle w:val="Prrafodelista"/>
        <w:spacing w:after="0" w:line="216" w:lineRule="auto"/>
        <w:ind w:left="-142" w:right="-174"/>
        <w:rPr>
          <w:rFonts w:ascii="Verdana" w:hAnsi="Verdana"/>
          <w:w w:val="95"/>
          <w:sz w:val="20"/>
          <w:szCs w:val="20"/>
          <w:lang w:val="es-CR"/>
        </w:rPr>
      </w:pPr>
    </w:p>
    <w:p w:rsidR="00DF15C3" w:rsidRDefault="00DF15C3" w:rsidP="003F26FD">
      <w:pPr>
        <w:pStyle w:val="Prrafodelista"/>
        <w:numPr>
          <w:ilvl w:val="0"/>
          <w:numId w:val="17"/>
        </w:numPr>
        <w:autoSpaceDE w:val="0"/>
        <w:autoSpaceDN w:val="0"/>
        <w:spacing w:after="0" w:line="216" w:lineRule="auto"/>
        <w:ind w:left="-142" w:right="-174" w:hanging="11"/>
        <w:contextualSpacing w:val="0"/>
        <w:jc w:val="both"/>
        <w:rPr>
          <w:rFonts w:ascii="Verdana" w:hAnsi="Verdana"/>
          <w:w w:val="95"/>
          <w:sz w:val="20"/>
          <w:szCs w:val="20"/>
          <w:lang w:val="es-CR"/>
        </w:rPr>
      </w:pPr>
      <w:r w:rsidRPr="00AA5F26">
        <w:rPr>
          <w:rFonts w:ascii="Verdana" w:hAnsi="Verdana"/>
          <w:w w:val="95"/>
          <w:sz w:val="20"/>
          <w:szCs w:val="20"/>
          <w:lang w:val="es-CR"/>
        </w:rPr>
        <w:t xml:space="preserve">Por otra parte, en cuanto a la </w:t>
      </w:r>
      <w:r w:rsidRPr="003622B1">
        <w:rPr>
          <w:rFonts w:ascii="Verdana" w:hAnsi="Verdana"/>
          <w:w w:val="95"/>
          <w:sz w:val="20"/>
          <w:szCs w:val="20"/>
          <w:lang w:val="es-CR"/>
        </w:rPr>
        <w:t>alegad</w:t>
      </w:r>
      <w:r w:rsidRPr="00AA5F26">
        <w:rPr>
          <w:rFonts w:ascii="Verdana" w:hAnsi="Verdana"/>
          <w:w w:val="95"/>
          <w:sz w:val="20"/>
          <w:szCs w:val="20"/>
          <w:lang w:val="es-CR"/>
        </w:rPr>
        <w:t>a vulneración del plazo razonable argumentado por las representantes, la Corte se remite a sus pronunciamientos anteriores en</w:t>
      </w:r>
      <w:r>
        <w:rPr>
          <w:rFonts w:ascii="Verdana" w:hAnsi="Verdana"/>
          <w:w w:val="95"/>
          <w:sz w:val="20"/>
          <w:szCs w:val="20"/>
          <w:lang w:val="es-CR"/>
        </w:rPr>
        <w:t xml:space="preserve"> los</w:t>
      </w:r>
      <w:r w:rsidRPr="00AA5F26">
        <w:rPr>
          <w:rFonts w:ascii="Verdana" w:hAnsi="Verdana"/>
          <w:w w:val="95"/>
          <w:sz w:val="20"/>
          <w:szCs w:val="20"/>
          <w:lang w:val="es-CR"/>
        </w:rPr>
        <w:t xml:space="preserve"> que ha señalado que</w:t>
      </w:r>
      <w:r>
        <w:rPr>
          <w:rFonts w:ascii="Verdana" w:hAnsi="Verdana"/>
          <w:w w:val="95"/>
          <w:sz w:val="20"/>
          <w:szCs w:val="20"/>
          <w:lang w:val="es-CR"/>
        </w:rPr>
        <w:t>,</w:t>
      </w:r>
      <w:r w:rsidRPr="00AA5F26">
        <w:rPr>
          <w:rFonts w:ascii="Verdana" w:hAnsi="Verdana"/>
          <w:w w:val="95"/>
          <w:sz w:val="20"/>
          <w:szCs w:val="20"/>
          <w:lang w:val="es-CR"/>
        </w:rPr>
        <w:t xml:space="preserve"> </w:t>
      </w:r>
      <w:r>
        <w:rPr>
          <w:rFonts w:ascii="Verdana" w:hAnsi="Verdana"/>
          <w:w w:val="95"/>
          <w:sz w:val="20"/>
          <w:szCs w:val="20"/>
          <w:lang w:val="es-CR"/>
        </w:rPr>
        <w:t xml:space="preserve">para que </w:t>
      </w:r>
      <w:r w:rsidRPr="00AA5F26">
        <w:rPr>
          <w:rFonts w:ascii="Verdana" w:hAnsi="Verdana"/>
          <w:w w:val="95"/>
          <w:sz w:val="20"/>
          <w:szCs w:val="20"/>
          <w:lang w:val="es-CR"/>
        </w:rPr>
        <w:t>la investigación sea conducida de manera seria, imparcial y como un deber jurídico propio, el derecho de acceso a la justicia requiere que se haga efectiva la determinación de los hechos que se investigan en tiempo razonable</w:t>
      </w:r>
      <w:r>
        <w:rPr>
          <w:rStyle w:val="Refdenotaalpie"/>
          <w:rFonts w:ascii="Verdana" w:hAnsi="Verdana"/>
          <w:w w:val="95"/>
          <w:sz w:val="20"/>
          <w:szCs w:val="20"/>
          <w:lang w:val="es-CR"/>
        </w:rPr>
        <w:footnoteReference w:id="320"/>
      </w:r>
      <w:r w:rsidRPr="00AA5F26">
        <w:rPr>
          <w:rFonts w:ascii="Verdana" w:hAnsi="Verdana"/>
          <w:w w:val="95"/>
          <w:sz w:val="20"/>
          <w:szCs w:val="20"/>
          <w:lang w:val="es-CR"/>
        </w:rPr>
        <w:t>. Este Tribunal ha señalado que el “plazo razonable” al que se refiere el artículo 8.1 de la Convención se debe apreciar en relación con la duración total del procedimiento que se desarrolla hasta que se dicta la sentencia definitiva</w:t>
      </w:r>
      <w:r>
        <w:rPr>
          <w:rStyle w:val="Refdenotaalpie"/>
          <w:rFonts w:ascii="Verdana" w:hAnsi="Verdana"/>
          <w:w w:val="95"/>
          <w:sz w:val="20"/>
          <w:szCs w:val="20"/>
          <w:lang w:val="es-CR"/>
        </w:rPr>
        <w:footnoteReference w:id="321"/>
      </w:r>
      <w:r w:rsidRPr="00AA5F26">
        <w:rPr>
          <w:rFonts w:ascii="Verdana" w:hAnsi="Verdana"/>
          <w:w w:val="95"/>
          <w:sz w:val="20"/>
          <w:szCs w:val="20"/>
          <w:lang w:val="es-CR"/>
        </w:rPr>
        <w:t xml:space="preserve">. La Corte considera que una demora prolongada, como la que se ha dado en este caso, constituye en </w:t>
      </w:r>
      <w:r w:rsidRPr="00E317C0">
        <w:rPr>
          <w:rFonts w:ascii="Verdana" w:hAnsi="Verdana"/>
          <w:w w:val="95"/>
          <w:sz w:val="20"/>
          <w:szCs w:val="20"/>
          <w:lang w:val="es-CR"/>
        </w:rPr>
        <w:t>principio, por sí misma, una violación a las garantías judiciales</w:t>
      </w:r>
      <w:r w:rsidRPr="00E317C0">
        <w:rPr>
          <w:rStyle w:val="Refdenotaalpie"/>
          <w:rFonts w:ascii="Verdana" w:hAnsi="Verdana"/>
          <w:w w:val="95"/>
          <w:sz w:val="20"/>
          <w:szCs w:val="20"/>
        </w:rPr>
        <w:footnoteReference w:id="322"/>
      </w:r>
      <w:r w:rsidRPr="00E317C0">
        <w:rPr>
          <w:rFonts w:ascii="Verdana" w:hAnsi="Verdana"/>
          <w:w w:val="95"/>
          <w:sz w:val="20"/>
          <w:szCs w:val="20"/>
          <w:lang w:val="es-CR"/>
        </w:rPr>
        <w:t>.</w:t>
      </w:r>
    </w:p>
    <w:p w:rsidR="00DF15C3" w:rsidRDefault="00DF15C3" w:rsidP="003F26FD">
      <w:pPr>
        <w:pStyle w:val="Prrafodelista"/>
        <w:autoSpaceDE w:val="0"/>
        <w:autoSpaceDN w:val="0"/>
        <w:spacing w:after="0" w:line="216" w:lineRule="auto"/>
        <w:ind w:left="-142" w:right="-174"/>
        <w:contextualSpacing w:val="0"/>
        <w:jc w:val="both"/>
        <w:rPr>
          <w:rFonts w:ascii="Verdana" w:hAnsi="Verdana"/>
          <w:w w:val="95"/>
          <w:sz w:val="20"/>
          <w:szCs w:val="20"/>
          <w:lang w:val="es-CR"/>
        </w:rPr>
      </w:pPr>
    </w:p>
    <w:p w:rsidR="00DF15C3" w:rsidRPr="00E317C0" w:rsidRDefault="00DF15C3" w:rsidP="003F26FD">
      <w:pPr>
        <w:pStyle w:val="Prrafodelista"/>
        <w:numPr>
          <w:ilvl w:val="0"/>
          <w:numId w:val="17"/>
        </w:numPr>
        <w:autoSpaceDE w:val="0"/>
        <w:autoSpaceDN w:val="0"/>
        <w:spacing w:after="0" w:line="216" w:lineRule="auto"/>
        <w:ind w:left="-142" w:right="-174" w:hanging="11"/>
        <w:contextualSpacing w:val="0"/>
        <w:jc w:val="both"/>
        <w:rPr>
          <w:rFonts w:ascii="Verdana" w:hAnsi="Verdana"/>
          <w:w w:val="95"/>
          <w:sz w:val="20"/>
          <w:szCs w:val="20"/>
          <w:lang w:val="es-CR"/>
        </w:rPr>
      </w:pPr>
      <w:r w:rsidRPr="00E317C0">
        <w:rPr>
          <w:rFonts w:ascii="Verdana" w:hAnsi="Verdana"/>
          <w:w w:val="95"/>
          <w:sz w:val="20"/>
          <w:szCs w:val="20"/>
          <w:lang w:val="es-CR"/>
        </w:rPr>
        <w:t>En el presente caso, la Corte resalta que en fase inicial durante el conflicto de competencia sustanciado entre el 11 de mar</w:t>
      </w:r>
      <w:r w:rsidR="00C20142">
        <w:rPr>
          <w:rFonts w:ascii="Verdana" w:hAnsi="Verdana"/>
          <w:w w:val="95"/>
          <w:sz w:val="20"/>
          <w:szCs w:val="20"/>
          <w:lang w:val="es-CR"/>
        </w:rPr>
        <w:t>zo y el 21 de noviembre de 2002</w:t>
      </w:r>
      <w:r w:rsidRPr="00E317C0">
        <w:rPr>
          <w:rFonts w:ascii="Verdana" w:hAnsi="Verdana"/>
          <w:w w:val="95"/>
          <w:sz w:val="20"/>
          <w:szCs w:val="20"/>
          <w:lang w:val="es-CR"/>
        </w:rPr>
        <w:t xml:space="preserve"> </w:t>
      </w:r>
      <w:r w:rsidRPr="00E317C0">
        <w:rPr>
          <w:rFonts w:ascii="Verdana" w:hAnsi="Verdana" w:cs="Arial"/>
          <w:w w:val="95"/>
          <w:sz w:val="20"/>
          <w:szCs w:val="20"/>
          <w:lang w:val="es-CR"/>
        </w:rPr>
        <w:t>hubo un atraso en la investigación</w:t>
      </w:r>
      <w:r w:rsidR="00C20142">
        <w:rPr>
          <w:rFonts w:ascii="Verdana" w:hAnsi="Verdana" w:cs="Arial"/>
          <w:w w:val="95"/>
          <w:sz w:val="20"/>
          <w:szCs w:val="20"/>
          <w:lang w:val="es-CR"/>
        </w:rPr>
        <w:t>, como el mismo Estado lo reconoció</w:t>
      </w:r>
      <w:r w:rsidRPr="00E317C0">
        <w:rPr>
          <w:rFonts w:ascii="Verdana" w:hAnsi="Verdana" w:cs="Arial"/>
          <w:w w:val="95"/>
          <w:sz w:val="20"/>
          <w:szCs w:val="20"/>
          <w:lang w:val="es-CR"/>
        </w:rPr>
        <w:t xml:space="preserve"> </w:t>
      </w:r>
      <w:r w:rsidR="00C20142" w:rsidRPr="00E317C0">
        <w:rPr>
          <w:rFonts w:ascii="Verdana" w:hAnsi="Verdana" w:cs="Arial"/>
          <w:w w:val="95"/>
          <w:sz w:val="20"/>
          <w:szCs w:val="20"/>
          <w:lang w:val="es-CR"/>
        </w:rPr>
        <w:t>(</w:t>
      </w:r>
      <w:r w:rsidR="00C20142" w:rsidRPr="00E317C0">
        <w:rPr>
          <w:rFonts w:ascii="Verdana" w:hAnsi="Verdana" w:cs="Arial"/>
          <w:i/>
          <w:w w:val="95"/>
          <w:sz w:val="20"/>
          <w:szCs w:val="20"/>
          <w:lang w:val="es-CR"/>
        </w:rPr>
        <w:t>supra</w:t>
      </w:r>
      <w:r w:rsidR="00C20142" w:rsidRPr="00E317C0">
        <w:rPr>
          <w:rFonts w:ascii="Verdana" w:hAnsi="Verdana" w:cs="Arial"/>
          <w:w w:val="95"/>
          <w:sz w:val="20"/>
          <w:szCs w:val="20"/>
          <w:lang w:val="es-CR"/>
        </w:rPr>
        <w:t xml:space="preserve"> párr. </w:t>
      </w:r>
      <w:r w:rsidR="00C20142">
        <w:rPr>
          <w:rFonts w:ascii="Verdana" w:hAnsi="Verdana" w:cs="Arial"/>
          <w:w w:val="95"/>
          <w:sz w:val="20"/>
          <w:szCs w:val="20"/>
          <w:lang w:val="es-CR"/>
        </w:rPr>
        <w:t>19</w:t>
      </w:r>
      <w:r w:rsidR="00C20142" w:rsidRPr="00E317C0">
        <w:rPr>
          <w:rFonts w:ascii="Verdana" w:hAnsi="Verdana"/>
          <w:w w:val="95"/>
          <w:sz w:val="20"/>
          <w:szCs w:val="20"/>
          <w:lang w:val="es-CR"/>
        </w:rPr>
        <w:t>)</w:t>
      </w:r>
      <w:r w:rsidR="00C20142">
        <w:rPr>
          <w:rFonts w:ascii="Verdana" w:hAnsi="Verdana"/>
          <w:w w:val="95"/>
          <w:sz w:val="20"/>
          <w:szCs w:val="20"/>
          <w:lang w:val="es-CR"/>
        </w:rPr>
        <w:t>,</w:t>
      </w:r>
      <w:r w:rsidR="00C20142" w:rsidRPr="00E317C0">
        <w:rPr>
          <w:rFonts w:ascii="Verdana" w:hAnsi="Verdana"/>
          <w:w w:val="95"/>
          <w:sz w:val="20"/>
          <w:szCs w:val="20"/>
          <w:lang w:val="es-CR"/>
        </w:rPr>
        <w:t xml:space="preserve"> </w:t>
      </w:r>
      <w:r w:rsidRPr="00E317C0">
        <w:rPr>
          <w:rFonts w:ascii="Verdana" w:hAnsi="Verdana" w:cs="Arial"/>
          <w:w w:val="95"/>
          <w:sz w:val="20"/>
          <w:szCs w:val="20"/>
          <w:lang w:val="es-CR"/>
        </w:rPr>
        <w:t xml:space="preserve">de por lo menos </w:t>
      </w:r>
      <w:r w:rsidR="00F15CBE" w:rsidRPr="00F449B2">
        <w:rPr>
          <w:rFonts w:ascii="Verdana" w:hAnsi="Verdana" w:cs="Arial"/>
          <w:w w:val="95"/>
          <w:sz w:val="20"/>
          <w:szCs w:val="20"/>
          <w:lang w:val="es-CR"/>
        </w:rPr>
        <w:t>ocho</w:t>
      </w:r>
      <w:r w:rsidR="00DC2C9D" w:rsidRPr="00F449B2">
        <w:rPr>
          <w:rFonts w:ascii="Verdana" w:hAnsi="Verdana" w:cs="Arial"/>
          <w:w w:val="95"/>
          <w:sz w:val="20"/>
          <w:szCs w:val="20"/>
          <w:lang w:val="es-CR"/>
        </w:rPr>
        <w:t xml:space="preserve"> </w:t>
      </w:r>
      <w:r w:rsidRPr="00E317C0">
        <w:rPr>
          <w:rFonts w:ascii="Verdana" w:hAnsi="Verdana" w:cs="Arial"/>
          <w:w w:val="95"/>
          <w:sz w:val="20"/>
          <w:szCs w:val="20"/>
          <w:lang w:val="es-CR"/>
        </w:rPr>
        <w:t>meses</w:t>
      </w:r>
      <w:r w:rsidR="00C20142">
        <w:rPr>
          <w:rFonts w:ascii="Verdana" w:hAnsi="Verdana" w:cs="Arial"/>
          <w:w w:val="95"/>
          <w:sz w:val="20"/>
          <w:szCs w:val="20"/>
          <w:lang w:val="es-CR"/>
        </w:rPr>
        <w:t xml:space="preserve">. </w:t>
      </w:r>
      <w:r w:rsidRPr="00E317C0">
        <w:rPr>
          <w:rFonts w:ascii="Verdana" w:hAnsi="Verdana"/>
          <w:w w:val="95"/>
          <w:sz w:val="20"/>
          <w:szCs w:val="20"/>
          <w:lang w:val="es-CR"/>
        </w:rPr>
        <w:t>Cabe señalar que si bien es posible plantear una duda de competencia</w:t>
      </w:r>
      <w:r>
        <w:rPr>
          <w:rStyle w:val="Refdenotaalpie"/>
          <w:rFonts w:ascii="Verdana" w:hAnsi="Verdana"/>
          <w:w w:val="95"/>
          <w:sz w:val="20"/>
          <w:szCs w:val="20"/>
        </w:rPr>
        <w:footnoteReference w:id="323"/>
      </w:r>
      <w:r w:rsidRPr="00E317C0">
        <w:rPr>
          <w:rFonts w:ascii="Verdana" w:hAnsi="Verdana"/>
          <w:w w:val="95"/>
          <w:sz w:val="20"/>
          <w:szCs w:val="20"/>
          <w:lang w:val="es-CR"/>
        </w:rPr>
        <w:t>, como está normado en el Código Procesal Penal de Guatemala</w:t>
      </w:r>
      <w:r>
        <w:rPr>
          <w:rStyle w:val="Refdenotaalpie"/>
          <w:rFonts w:ascii="Verdana" w:hAnsi="Verdana"/>
          <w:w w:val="95"/>
          <w:sz w:val="20"/>
          <w:szCs w:val="20"/>
        </w:rPr>
        <w:footnoteReference w:id="324"/>
      </w:r>
      <w:r w:rsidRPr="00E317C0">
        <w:rPr>
          <w:rFonts w:ascii="Verdana" w:hAnsi="Verdana"/>
          <w:w w:val="95"/>
          <w:sz w:val="20"/>
          <w:szCs w:val="20"/>
          <w:lang w:val="es-CR"/>
        </w:rPr>
        <w:t>, también es fundamental que dicho conflicto se resuelva con prontitud, para evitar dilaciones en la investigación o en el procedimiento penal. En los expedientes aportados por las partes se desprende que durante el período del conflicto se ordenó únicamente una diligencia sustantiva de investigación por el Juzgado Primero de Mixco y se tramitaron distintos oficios</w:t>
      </w:r>
      <w:r>
        <w:rPr>
          <w:rStyle w:val="Refdenotaalpie"/>
          <w:rFonts w:ascii="Verdana" w:hAnsi="Verdana"/>
          <w:w w:val="95"/>
          <w:sz w:val="20"/>
          <w:szCs w:val="20"/>
        </w:rPr>
        <w:footnoteReference w:id="325"/>
      </w:r>
      <w:r w:rsidRPr="00E317C0">
        <w:rPr>
          <w:rFonts w:ascii="Verdana" w:hAnsi="Verdana"/>
          <w:w w:val="95"/>
          <w:sz w:val="20"/>
          <w:szCs w:val="20"/>
          <w:lang w:val="es-CR"/>
        </w:rPr>
        <w:t>. No obstante, en un oficio de un agente de la Fiscalía de Mixco se indicó que no se había continuado con la investigación en la Fiscalía debido a que recibió instrucciones de su superior jerárquico para no continuar con ésta, ya que no les correspondía</w:t>
      </w:r>
      <w:r>
        <w:rPr>
          <w:rFonts w:ascii="Verdana" w:hAnsi="Verdana"/>
          <w:w w:val="95"/>
          <w:sz w:val="20"/>
          <w:szCs w:val="20"/>
          <w:lang w:val="es-CR"/>
        </w:rPr>
        <w:t>,</w:t>
      </w:r>
      <w:r w:rsidRPr="00E317C0">
        <w:rPr>
          <w:rFonts w:ascii="Verdana" w:hAnsi="Verdana"/>
          <w:w w:val="95"/>
          <w:sz w:val="20"/>
          <w:szCs w:val="20"/>
          <w:lang w:val="es-CR"/>
        </w:rPr>
        <w:t xml:space="preserve"> y señaló que una vez que el juez resolviera la declinatoria de competencia se enviaría el expediente a la Agencia [Fiscal] No. 5 de Mixco</w:t>
      </w:r>
      <w:r>
        <w:rPr>
          <w:rStyle w:val="Refdenotaalpie"/>
          <w:rFonts w:ascii="Verdana" w:hAnsi="Verdana"/>
          <w:w w:val="95"/>
          <w:sz w:val="20"/>
          <w:szCs w:val="20"/>
        </w:rPr>
        <w:footnoteReference w:id="326"/>
      </w:r>
      <w:r w:rsidRPr="00E317C0">
        <w:rPr>
          <w:rFonts w:ascii="Verdana" w:hAnsi="Verdana"/>
          <w:w w:val="95"/>
          <w:sz w:val="20"/>
          <w:szCs w:val="20"/>
          <w:lang w:val="es-CR"/>
        </w:rPr>
        <w:t xml:space="preserve">. En consideración del reconocimiento estatal y de lo expuesto, este Tribunal considera que la duda de competencia causó una inercia en la investigación durante aproximadamente </w:t>
      </w:r>
      <w:r w:rsidR="00F77273" w:rsidRPr="002857CA">
        <w:rPr>
          <w:rFonts w:ascii="Verdana" w:hAnsi="Verdana"/>
          <w:w w:val="95"/>
          <w:sz w:val="20"/>
          <w:szCs w:val="20"/>
          <w:lang w:val="es-CR"/>
        </w:rPr>
        <w:t>ocho</w:t>
      </w:r>
      <w:r w:rsidR="00BD3EAF" w:rsidRPr="002857CA">
        <w:rPr>
          <w:rFonts w:ascii="Verdana" w:hAnsi="Verdana"/>
          <w:w w:val="95"/>
          <w:sz w:val="20"/>
          <w:szCs w:val="20"/>
          <w:lang w:val="es-CR"/>
        </w:rPr>
        <w:t xml:space="preserve"> </w:t>
      </w:r>
      <w:r w:rsidRPr="006A3F93">
        <w:rPr>
          <w:rFonts w:ascii="Verdana" w:hAnsi="Verdana"/>
          <w:w w:val="95"/>
          <w:sz w:val="20"/>
          <w:szCs w:val="20"/>
          <w:lang w:val="es-CR"/>
        </w:rPr>
        <w:t>meses</w:t>
      </w:r>
      <w:r w:rsidRPr="00E317C0">
        <w:rPr>
          <w:rFonts w:ascii="Verdana" w:hAnsi="Verdana"/>
          <w:w w:val="95"/>
          <w:sz w:val="20"/>
          <w:szCs w:val="20"/>
          <w:lang w:val="es-CR"/>
        </w:rPr>
        <w:t xml:space="preserve">. </w:t>
      </w:r>
    </w:p>
    <w:p w:rsidR="00DF15C3" w:rsidRPr="00943069" w:rsidRDefault="00DF15C3" w:rsidP="003F26FD">
      <w:pPr>
        <w:widowControl w:val="0"/>
        <w:autoSpaceDE w:val="0"/>
        <w:autoSpaceDN w:val="0"/>
        <w:adjustRightInd w:val="0"/>
        <w:spacing w:after="0" w:line="216" w:lineRule="auto"/>
        <w:ind w:left="-153" w:right="-174"/>
        <w:jc w:val="both"/>
        <w:rPr>
          <w:rFonts w:ascii="Verdana" w:hAnsi="Verdana"/>
          <w:w w:val="95"/>
          <w:sz w:val="20"/>
          <w:szCs w:val="20"/>
          <w:lang w:val="es-CR"/>
        </w:rPr>
      </w:pPr>
    </w:p>
    <w:p w:rsidR="00DF15C3" w:rsidRPr="00943069" w:rsidRDefault="00DF15C3" w:rsidP="003F26FD">
      <w:pPr>
        <w:widowControl w:val="0"/>
        <w:numPr>
          <w:ilvl w:val="0"/>
          <w:numId w:val="17"/>
        </w:numPr>
        <w:autoSpaceDE w:val="0"/>
        <w:autoSpaceDN w:val="0"/>
        <w:adjustRightInd w:val="0"/>
        <w:spacing w:after="0" w:line="216" w:lineRule="auto"/>
        <w:ind w:left="-142" w:right="-174" w:hanging="11"/>
        <w:jc w:val="both"/>
        <w:rPr>
          <w:rFonts w:ascii="Verdana" w:hAnsi="Verdana"/>
          <w:w w:val="95"/>
          <w:sz w:val="20"/>
          <w:szCs w:val="20"/>
          <w:lang w:val="es-CR"/>
        </w:rPr>
      </w:pPr>
      <w:r w:rsidRPr="00AA5F26">
        <w:rPr>
          <w:rFonts w:ascii="Verdana" w:hAnsi="Verdana"/>
          <w:w w:val="95"/>
          <w:sz w:val="20"/>
          <w:szCs w:val="20"/>
          <w:lang w:val="es-CR"/>
        </w:rPr>
        <w:t>Además, hubo otros</w:t>
      </w:r>
      <w:r w:rsidRPr="00AA5F26">
        <w:rPr>
          <w:rFonts w:ascii="Verdana" w:hAnsi="Verdana"/>
          <w:b/>
          <w:w w:val="95"/>
          <w:sz w:val="20"/>
          <w:szCs w:val="20"/>
          <w:lang w:val="es-CR"/>
        </w:rPr>
        <w:t xml:space="preserve"> </w:t>
      </w:r>
      <w:r w:rsidRPr="00AA5F26">
        <w:rPr>
          <w:rFonts w:ascii="Verdana" w:hAnsi="Verdana"/>
          <w:w w:val="95"/>
          <w:sz w:val="20"/>
          <w:szCs w:val="20"/>
          <w:lang w:val="es-CR"/>
        </w:rPr>
        <w:t>lapsos prolongados de ausenc</w:t>
      </w:r>
      <w:r w:rsidRPr="009A4D7F">
        <w:rPr>
          <w:rFonts w:ascii="Verdana" w:hAnsi="Verdana"/>
          <w:w w:val="95"/>
          <w:sz w:val="20"/>
          <w:szCs w:val="20"/>
          <w:lang w:val="es-CR"/>
        </w:rPr>
        <w:t xml:space="preserve">ia de actividad. </w:t>
      </w:r>
      <w:r w:rsidR="00F15CBE" w:rsidRPr="009A4D7F">
        <w:rPr>
          <w:rFonts w:ascii="Verdana" w:hAnsi="Verdana"/>
          <w:w w:val="95"/>
          <w:sz w:val="20"/>
          <w:szCs w:val="20"/>
          <w:lang w:val="es-CR"/>
        </w:rPr>
        <w:t>Así, de los hechos se desprende que no hubo actividad de investigación sustantiva entre</w:t>
      </w:r>
      <w:r w:rsidR="00D26F5F" w:rsidRPr="009A4D7F">
        <w:rPr>
          <w:rFonts w:ascii="Verdana" w:hAnsi="Verdana"/>
          <w:w w:val="95"/>
          <w:sz w:val="20"/>
          <w:szCs w:val="20"/>
          <w:lang w:val="es-CR"/>
        </w:rPr>
        <w:t xml:space="preserve"> </w:t>
      </w:r>
      <w:r w:rsidR="00D26F5F" w:rsidRPr="002857CA">
        <w:rPr>
          <w:rFonts w:ascii="Verdana" w:hAnsi="Verdana"/>
          <w:w w:val="95"/>
          <w:sz w:val="20"/>
          <w:szCs w:val="20"/>
          <w:lang w:val="es-CR"/>
        </w:rPr>
        <w:t>el 21 de julio de 2003 y el 19 de mayo de 2004, entre septiembre de 2004 y junio de 2005, entre febrero de 2007 y julio de 2009, y entre ese mes y diciembre de 2010.</w:t>
      </w:r>
      <w:r w:rsidR="00F15CBE" w:rsidRPr="002857CA">
        <w:rPr>
          <w:rFonts w:ascii="Verdana" w:hAnsi="Verdana"/>
          <w:w w:val="95"/>
          <w:sz w:val="20"/>
          <w:szCs w:val="20"/>
          <w:lang w:val="es-CR"/>
        </w:rPr>
        <w:t xml:space="preserve"> </w:t>
      </w:r>
      <w:r w:rsidRPr="002857CA">
        <w:rPr>
          <w:rFonts w:ascii="Verdana" w:hAnsi="Verdana"/>
          <w:w w:val="95"/>
          <w:sz w:val="20"/>
          <w:szCs w:val="20"/>
          <w:lang w:val="es-CR"/>
        </w:rPr>
        <w:t>Asimismo, no ha sido allegada al Tribunal información sobre actuaciones de investigación</w:t>
      </w:r>
      <w:r w:rsidRPr="00AA5F26">
        <w:rPr>
          <w:rFonts w:ascii="Verdana" w:hAnsi="Verdana"/>
          <w:w w:val="95"/>
          <w:sz w:val="20"/>
          <w:szCs w:val="20"/>
          <w:lang w:val="es-CR"/>
        </w:rPr>
        <w:t xml:space="preserve"> efectuadas durante el año 2013. Es claro en el</w:t>
      </w:r>
      <w:r w:rsidRPr="00AA5F26">
        <w:rPr>
          <w:rFonts w:ascii="Verdana" w:hAnsi="Verdana"/>
          <w:b/>
          <w:w w:val="95"/>
          <w:sz w:val="20"/>
          <w:szCs w:val="20"/>
          <w:lang w:val="es-CR"/>
        </w:rPr>
        <w:t xml:space="preserve"> </w:t>
      </w:r>
      <w:r w:rsidRPr="00AA5F26">
        <w:rPr>
          <w:rFonts w:ascii="Verdana" w:hAnsi="Verdana"/>
          <w:w w:val="95"/>
          <w:sz w:val="20"/>
          <w:szCs w:val="20"/>
          <w:lang w:val="es-CR"/>
        </w:rPr>
        <w:t xml:space="preserve">caso que, siendo el de investigar un deber de oficio que debe ser conducido por las autoridades estatales, la inactividad durante los lapsos mencionados responden a la conducta de aquéllas. En consecuencia, para la Corte no es necesario realizar el análisis de los criterios mencionados dado que es evidente que el tiempo transcurrido es atribuible a la conducta estatal, y sobrepasa excesivamente el plazo que pudiera considerarse razonable para que el Estado investigara los hechos del presente caso. Por lo tanto, </w:t>
      </w:r>
      <w:r>
        <w:rPr>
          <w:rStyle w:val="nfasis"/>
          <w:rFonts w:ascii="Verdana" w:hAnsi="Verdana" w:cs="Arial"/>
          <w:bCs/>
          <w:i w:val="0"/>
          <w:w w:val="95"/>
          <w:sz w:val="20"/>
          <w:szCs w:val="20"/>
          <w:lang w:val="es-CR"/>
        </w:rPr>
        <w:t>los más de doce años</w:t>
      </w:r>
      <w:r>
        <w:rPr>
          <w:rStyle w:val="nfasis"/>
          <w:rFonts w:ascii="Verdana" w:hAnsi="Verdana" w:cs="Arial"/>
          <w:bCs/>
          <w:w w:val="95"/>
          <w:sz w:val="20"/>
          <w:szCs w:val="20"/>
          <w:lang w:val="es-CR"/>
        </w:rPr>
        <w:t xml:space="preserve"> </w:t>
      </w:r>
      <w:r>
        <w:rPr>
          <w:rStyle w:val="nfasis"/>
          <w:rFonts w:ascii="Verdana" w:hAnsi="Verdana" w:cs="Arial"/>
          <w:bCs/>
          <w:i w:val="0"/>
          <w:w w:val="95"/>
          <w:sz w:val="20"/>
          <w:szCs w:val="20"/>
          <w:lang w:val="es-CR"/>
        </w:rPr>
        <w:t>que</w:t>
      </w:r>
      <w:r w:rsidRPr="00C35AA0">
        <w:rPr>
          <w:rFonts w:ascii="Verdana" w:hAnsi="Verdana" w:cs="Arial"/>
          <w:i/>
          <w:w w:val="95"/>
          <w:sz w:val="20"/>
          <w:szCs w:val="20"/>
          <w:lang w:val="es-CR"/>
        </w:rPr>
        <w:t xml:space="preserve"> </w:t>
      </w:r>
      <w:r w:rsidRPr="00AA5F26">
        <w:rPr>
          <w:rFonts w:ascii="Verdana" w:hAnsi="Verdana" w:cs="Arial"/>
          <w:w w:val="95"/>
          <w:sz w:val="20"/>
          <w:szCs w:val="20"/>
          <w:lang w:val="es-CR"/>
        </w:rPr>
        <w:t>ha tomado la investigación excede los límites de la razonabilidad</w:t>
      </w:r>
      <w:r w:rsidRPr="00943069">
        <w:rPr>
          <w:rStyle w:val="Refdenotaalpie"/>
          <w:rFonts w:ascii="Verdana" w:hAnsi="Verdana" w:cs="Arial"/>
          <w:w w:val="95"/>
          <w:sz w:val="20"/>
          <w:szCs w:val="20"/>
        </w:rPr>
        <w:footnoteReference w:id="327"/>
      </w:r>
      <w:r w:rsidRPr="00943069">
        <w:rPr>
          <w:rFonts w:ascii="Verdana" w:hAnsi="Verdana" w:cs="Arial"/>
          <w:w w:val="95"/>
          <w:sz w:val="20"/>
          <w:szCs w:val="20"/>
          <w:lang w:val="es-CR"/>
        </w:rPr>
        <w:t>, máxime siendo que en la actualidad el caso se encuentra aún en la etapa preparatoria o de investigación</w:t>
      </w:r>
      <w:r w:rsidRPr="00943069">
        <w:rPr>
          <w:rStyle w:val="Refdenotaalpie"/>
          <w:rFonts w:ascii="Verdana" w:hAnsi="Verdana"/>
          <w:w w:val="95"/>
          <w:sz w:val="20"/>
          <w:szCs w:val="20"/>
        </w:rPr>
        <w:footnoteReference w:id="328"/>
      </w:r>
      <w:r>
        <w:rPr>
          <w:rFonts w:ascii="Verdana" w:hAnsi="Verdana" w:cs="Arial"/>
          <w:w w:val="95"/>
          <w:sz w:val="20"/>
          <w:szCs w:val="20"/>
          <w:lang w:val="es-CR"/>
        </w:rPr>
        <w:t xml:space="preserve">. </w:t>
      </w:r>
      <w:r w:rsidRPr="00943069">
        <w:rPr>
          <w:rFonts w:ascii="Verdana" w:hAnsi="Verdana"/>
          <w:w w:val="95"/>
          <w:sz w:val="20"/>
          <w:szCs w:val="20"/>
          <w:lang w:val="es-CR"/>
        </w:rPr>
        <w:t xml:space="preserve">Esta falta de investigación durante tan largo período configura una flagrante denegación de justicia y una violación al derecho de acceso a la justicia de las víctimas. </w:t>
      </w:r>
    </w:p>
    <w:p w:rsidR="00DF15C3" w:rsidRPr="00943069" w:rsidRDefault="00DF15C3" w:rsidP="003F26FD">
      <w:pPr>
        <w:pStyle w:val="NormalWeb"/>
        <w:tabs>
          <w:tab w:val="left" w:pos="7470"/>
        </w:tabs>
        <w:spacing w:before="0" w:beforeAutospacing="0" w:after="0" w:afterAutospacing="0" w:line="216" w:lineRule="auto"/>
        <w:ind w:left="-142" w:right="-174" w:hanging="11"/>
        <w:jc w:val="both"/>
        <w:rPr>
          <w:rFonts w:ascii="Verdana" w:hAnsi="Verdana"/>
          <w:w w:val="95"/>
          <w:sz w:val="20"/>
          <w:szCs w:val="20"/>
        </w:rPr>
      </w:pPr>
      <w:r w:rsidRPr="00AA5F26">
        <w:rPr>
          <w:rFonts w:ascii="Verdana" w:hAnsi="Verdana"/>
          <w:w w:val="95"/>
          <w:sz w:val="20"/>
          <w:szCs w:val="20"/>
        </w:rPr>
        <w:tab/>
      </w:r>
    </w:p>
    <w:p w:rsidR="00DF15C3" w:rsidRDefault="00DF15C3" w:rsidP="003F26FD">
      <w:pPr>
        <w:pStyle w:val="NormalWeb"/>
        <w:numPr>
          <w:ilvl w:val="0"/>
          <w:numId w:val="17"/>
        </w:numPr>
        <w:spacing w:before="0" w:beforeAutospacing="0" w:after="0" w:afterAutospacing="0" w:line="216" w:lineRule="auto"/>
        <w:ind w:left="-142" w:right="-174" w:hanging="11"/>
        <w:jc w:val="both"/>
        <w:rPr>
          <w:rFonts w:ascii="Verdana" w:hAnsi="Verdana"/>
          <w:w w:val="95"/>
          <w:sz w:val="20"/>
          <w:szCs w:val="20"/>
        </w:rPr>
      </w:pPr>
      <w:r w:rsidRPr="00AA5F26">
        <w:rPr>
          <w:rFonts w:ascii="Verdana" w:hAnsi="Verdana" w:cs="Arial"/>
          <w:w w:val="95"/>
          <w:sz w:val="20"/>
          <w:szCs w:val="20"/>
        </w:rPr>
        <w:t xml:space="preserve">Lo anterior se refleja en que debido al </w:t>
      </w:r>
      <w:r>
        <w:rPr>
          <w:rFonts w:ascii="Verdana" w:hAnsi="Verdana" w:cs="Arial"/>
          <w:w w:val="95"/>
          <w:sz w:val="20"/>
          <w:szCs w:val="20"/>
        </w:rPr>
        <w:t xml:space="preserve">tiempo transcurrido, más de </w:t>
      </w:r>
      <w:r w:rsidRPr="00BA711F">
        <w:rPr>
          <w:rFonts w:ascii="Verdana" w:hAnsi="Verdana" w:cs="Arial"/>
          <w:w w:val="95"/>
          <w:sz w:val="20"/>
          <w:szCs w:val="20"/>
        </w:rPr>
        <w:t>doce</w:t>
      </w:r>
      <w:r w:rsidRPr="009B7EB2">
        <w:rPr>
          <w:rFonts w:ascii="Verdana" w:hAnsi="Verdana" w:cs="Arial"/>
          <w:w w:val="95"/>
          <w:sz w:val="20"/>
          <w:szCs w:val="20"/>
        </w:rPr>
        <w:t xml:space="preserve"> </w:t>
      </w:r>
      <w:r w:rsidRPr="00AA5F26">
        <w:rPr>
          <w:rFonts w:ascii="Verdana" w:hAnsi="Verdana" w:cs="Arial"/>
          <w:w w:val="95"/>
          <w:sz w:val="20"/>
          <w:szCs w:val="20"/>
        </w:rPr>
        <w:t xml:space="preserve">años, el </w:t>
      </w:r>
      <w:r w:rsidRPr="00AA5F26">
        <w:rPr>
          <w:rFonts w:ascii="Verdana" w:hAnsi="Verdana"/>
          <w:w w:val="95"/>
          <w:sz w:val="20"/>
          <w:szCs w:val="20"/>
        </w:rPr>
        <w:t>Juzgado de Primera Instancia de Mixco</w:t>
      </w:r>
      <w:r w:rsidRPr="00AA5F26">
        <w:rPr>
          <w:rFonts w:ascii="Verdana" w:hAnsi="Verdana" w:cs="Arial"/>
          <w:w w:val="95"/>
          <w:sz w:val="20"/>
          <w:szCs w:val="20"/>
        </w:rPr>
        <w:t xml:space="preserve"> </w:t>
      </w:r>
      <w:r w:rsidRPr="00AA5F26">
        <w:rPr>
          <w:rFonts w:ascii="Verdana" w:hAnsi="Verdana"/>
          <w:w w:val="95"/>
          <w:sz w:val="20"/>
          <w:szCs w:val="20"/>
        </w:rPr>
        <w:t>ha pedido información al Ministerio Público sobre el estado de la investigación, para emitir el acto conclusivo para presentar una acusación o petición de apertura a juicio</w:t>
      </w:r>
      <w:r w:rsidRPr="00C35AA0">
        <w:rPr>
          <w:rStyle w:val="Refdenotaalpie"/>
          <w:rFonts w:ascii="Verdana" w:hAnsi="Verdana"/>
          <w:w w:val="95"/>
          <w:sz w:val="20"/>
          <w:szCs w:val="20"/>
        </w:rPr>
        <w:footnoteReference w:id="329"/>
      </w:r>
      <w:r w:rsidRPr="00AA5F26">
        <w:rPr>
          <w:rFonts w:ascii="Verdana" w:hAnsi="Verdana"/>
          <w:w w:val="95"/>
          <w:sz w:val="20"/>
          <w:szCs w:val="20"/>
        </w:rPr>
        <w:t xml:space="preserve">. </w:t>
      </w:r>
      <w:r w:rsidRPr="00AA5F26">
        <w:rPr>
          <w:rFonts w:ascii="Verdana" w:hAnsi="Verdana" w:cs="Calibri"/>
          <w:w w:val="95"/>
          <w:sz w:val="20"/>
          <w:szCs w:val="20"/>
        </w:rPr>
        <w:t xml:space="preserve">En respuesta a ello, el 21 de octubre de 2009 el Ministerio Público manifestó </w:t>
      </w:r>
      <w:r w:rsidRPr="00AA5F26">
        <w:rPr>
          <w:rFonts w:ascii="Verdana" w:hAnsi="Verdana" w:cs="Arial"/>
          <w:w w:val="95"/>
          <w:sz w:val="20"/>
          <w:szCs w:val="20"/>
        </w:rPr>
        <w:t>que “solicita</w:t>
      </w:r>
      <w:r>
        <w:rPr>
          <w:rFonts w:ascii="Verdana" w:hAnsi="Verdana" w:cs="Arial"/>
          <w:w w:val="95"/>
          <w:sz w:val="20"/>
          <w:szCs w:val="20"/>
        </w:rPr>
        <w:t>[</w:t>
      </w:r>
      <w:r w:rsidRPr="00AA5F26">
        <w:rPr>
          <w:rFonts w:ascii="Verdana" w:hAnsi="Verdana" w:cs="Arial"/>
          <w:w w:val="95"/>
          <w:sz w:val="20"/>
          <w:szCs w:val="20"/>
        </w:rPr>
        <w:t>ba</w:t>
      </w:r>
      <w:r>
        <w:rPr>
          <w:rFonts w:ascii="Verdana" w:hAnsi="Verdana" w:cs="Arial"/>
          <w:w w:val="95"/>
          <w:sz w:val="20"/>
          <w:szCs w:val="20"/>
        </w:rPr>
        <w:t>]</w:t>
      </w:r>
      <w:r w:rsidRPr="00AA5F26">
        <w:rPr>
          <w:rFonts w:ascii="Verdana" w:hAnsi="Verdana" w:cs="Arial"/>
          <w:w w:val="95"/>
          <w:sz w:val="20"/>
          <w:szCs w:val="20"/>
        </w:rPr>
        <w:t xml:space="preserve"> [al Juzgado] dejar el caso en el estado que se encontraba [investigación]”, ya que se encontraba en proceso ante Corte Interamericana y tenía conocimiento del mismo </w:t>
      </w:r>
      <w:r>
        <w:rPr>
          <w:rFonts w:ascii="Verdana" w:hAnsi="Verdana" w:cs="Arial"/>
          <w:w w:val="95"/>
          <w:sz w:val="20"/>
          <w:szCs w:val="20"/>
        </w:rPr>
        <w:t>la Comisión Presidencial Coordinadora de la Política del Ejecutivo en materia de Derechos Humanos (</w:t>
      </w:r>
      <w:r w:rsidRPr="00AA5F26">
        <w:rPr>
          <w:rFonts w:ascii="Verdana" w:hAnsi="Verdana" w:cs="Arial"/>
          <w:w w:val="95"/>
          <w:sz w:val="20"/>
          <w:szCs w:val="20"/>
        </w:rPr>
        <w:t>COPREDEH</w:t>
      </w:r>
      <w:r>
        <w:rPr>
          <w:rFonts w:ascii="Verdana" w:hAnsi="Verdana" w:cs="Arial"/>
          <w:w w:val="95"/>
          <w:sz w:val="20"/>
          <w:szCs w:val="20"/>
        </w:rPr>
        <w:t>)</w:t>
      </w:r>
      <w:r w:rsidRPr="00AA5F26">
        <w:rPr>
          <w:rFonts w:ascii="Verdana" w:hAnsi="Verdana" w:cs="Arial"/>
          <w:w w:val="95"/>
          <w:sz w:val="20"/>
          <w:szCs w:val="20"/>
        </w:rPr>
        <w:t xml:space="preserve"> y </w:t>
      </w:r>
      <w:r>
        <w:rPr>
          <w:rFonts w:ascii="Verdana" w:hAnsi="Verdana" w:cs="Arial"/>
          <w:w w:val="95"/>
          <w:sz w:val="20"/>
          <w:szCs w:val="20"/>
        </w:rPr>
        <w:t>el Centro por la Justicia y Derecho Internacional (</w:t>
      </w:r>
      <w:r w:rsidRPr="00AA5F26">
        <w:rPr>
          <w:rFonts w:ascii="Verdana" w:hAnsi="Verdana" w:cs="Arial"/>
          <w:w w:val="95"/>
          <w:sz w:val="20"/>
          <w:szCs w:val="20"/>
        </w:rPr>
        <w:t>CEJIL</w:t>
      </w:r>
      <w:r>
        <w:rPr>
          <w:rFonts w:ascii="Verdana" w:hAnsi="Verdana" w:cs="Arial"/>
          <w:w w:val="95"/>
          <w:sz w:val="20"/>
          <w:szCs w:val="20"/>
        </w:rPr>
        <w:t>),</w:t>
      </w:r>
      <w:r w:rsidRPr="00AA5F26">
        <w:rPr>
          <w:rFonts w:ascii="Verdana" w:hAnsi="Verdana" w:cs="Arial"/>
          <w:w w:val="95"/>
          <w:sz w:val="20"/>
          <w:szCs w:val="20"/>
        </w:rPr>
        <w:t xml:space="preserve"> y que a esa fecha “[sería] uno de los casos que encabeza los Femicidios impunes en Guatemala”. </w:t>
      </w:r>
      <w:r w:rsidR="00C20142" w:rsidRPr="002857CA">
        <w:rPr>
          <w:rFonts w:ascii="Verdana" w:hAnsi="Verdana" w:cs="Arial"/>
          <w:w w:val="95"/>
          <w:sz w:val="20"/>
          <w:szCs w:val="20"/>
        </w:rPr>
        <w:t>Como se advierte, las razones señaladas por el Ministerio Público no obedecieron a cuestiones de orden investigativo.</w:t>
      </w:r>
      <w:r w:rsidR="00C20142">
        <w:rPr>
          <w:rFonts w:ascii="Verdana" w:hAnsi="Verdana" w:cs="Arial"/>
          <w:b/>
          <w:w w:val="95"/>
          <w:sz w:val="20"/>
          <w:szCs w:val="20"/>
        </w:rPr>
        <w:t xml:space="preserve"> </w:t>
      </w:r>
      <w:r w:rsidRPr="00AA5F26">
        <w:rPr>
          <w:rFonts w:ascii="Verdana" w:hAnsi="Verdana" w:cs="Arial"/>
          <w:w w:val="95"/>
          <w:sz w:val="20"/>
          <w:szCs w:val="20"/>
        </w:rPr>
        <w:t xml:space="preserve">Ante otro pedido de dicho juzgado, en </w:t>
      </w:r>
      <w:r w:rsidRPr="00AA5F26">
        <w:rPr>
          <w:rFonts w:ascii="Verdana" w:hAnsi="Verdana" w:cs="Calibri"/>
          <w:w w:val="95"/>
          <w:sz w:val="20"/>
          <w:szCs w:val="20"/>
        </w:rPr>
        <w:t>el año 2012 el Ministerio Público solicitó mantener abierto el proceso debido a que “la investigación estaba activa” (</w:t>
      </w:r>
      <w:r w:rsidRPr="00AA5F26">
        <w:rPr>
          <w:rFonts w:ascii="Verdana" w:hAnsi="Verdana" w:cs="Calibri"/>
          <w:i/>
          <w:w w:val="95"/>
          <w:sz w:val="20"/>
          <w:szCs w:val="20"/>
        </w:rPr>
        <w:t xml:space="preserve">supra </w:t>
      </w:r>
      <w:r w:rsidR="009B70EA">
        <w:rPr>
          <w:rFonts w:ascii="Verdana" w:hAnsi="Verdana" w:cs="Calibri"/>
          <w:w w:val="95"/>
          <w:sz w:val="20"/>
          <w:szCs w:val="20"/>
        </w:rPr>
        <w:t>nota al pie de página</w:t>
      </w:r>
      <w:r w:rsidR="00434E52">
        <w:rPr>
          <w:rFonts w:ascii="Verdana" w:hAnsi="Verdana" w:cs="Calibri"/>
          <w:w w:val="95"/>
          <w:sz w:val="20"/>
          <w:szCs w:val="20"/>
        </w:rPr>
        <w:t xml:space="preserve"> </w:t>
      </w:r>
      <w:r w:rsidR="00DD3394">
        <w:rPr>
          <w:rFonts w:ascii="Verdana" w:hAnsi="Verdana" w:cs="Calibri"/>
          <w:w w:val="95"/>
          <w:sz w:val="20"/>
          <w:szCs w:val="20"/>
        </w:rPr>
        <w:t>207</w:t>
      </w:r>
      <w:r w:rsidR="00D97216">
        <w:rPr>
          <w:rFonts w:ascii="Verdana" w:hAnsi="Verdana" w:cs="Calibri"/>
          <w:w w:val="95"/>
          <w:sz w:val="20"/>
          <w:szCs w:val="20"/>
        </w:rPr>
        <w:t>)</w:t>
      </w:r>
      <w:r w:rsidRPr="00AA5F26">
        <w:rPr>
          <w:rFonts w:ascii="Verdana" w:hAnsi="Verdana" w:cs="Calibri"/>
          <w:w w:val="95"/>
          <w:sz w:val="20"/>
          <w:szCs w:val="20"/>
        </w:rPr>
        <w:t xml:space="preserve">. Del acervo probatorio </w:t>
      </w:r>
      <w:r w:rsidRPr="00AA5F26">
        <w:rPr>
          <w:rFonts w:ascii="Verdana" w:hAnsi="Verdana" w:cs="Arial"/>
          <w:w w:val="95"/>
          <w:sz w:val="20"/>
          <w:szCs w:val="20"/>
        </w:rPr>
        <w:t>se desprende que actualmente en la investigación no se ha identificado a responsable alguno ni se sigue alguna estrategia de investigativa de acuerdo a la prueba e indicios recabados que permitan el esclarecimiento del caso. Si bien esta</w:t>
      </w:r>
      <w:r w:rsidRPr="00AA5F26">
        <w:rPr>
          <w:rFonts w:ascii="Verdana" w:hAnsi="Verdana"/>
          <w:w w:val="95"/>
          <w:sz w:val="20"/>
          <w:szCs w:val="20"/>
        </w:rPr>
        <w:t xml:space="preserve"> Corte ha establecido que el deber de investigar es un deber de medios, no de resultados</w:t>
      </w:r>
      <w:r w:rsidRPr="00C35AA0">
        <w:rPr>
          <w:rStyle w:val="Refdenotaalpie"/>
          <w:rFonts w:ascii="Verdana" w:hAnsi="Verdana"/>
          <w:w w:val="95"/>
          <w:sz w:val="20"/>
          <w:szCs w:val="20"/>
        </w:rPr>
        <w:footnoteReference w:id="330"/>
      </w:r>
      <w:r w:rsidRPr="00AA5F26">
        <w:rPr>
          <w:rFonts w:ascii="Verdana" w:hAnsi="Verdana"/>
          <w:w w:val="95"/>
          <w:sz w:val="20"/>
          <w:szCs w:val="20"/>
        </w:rPr>
        <w:t>, ello no significa que la investigación pueda ser emprendida como “una simple formalidad condenada de antemano a ser infructuosa”</w:t>
      </w:r>
      <w:r w:rsidRPr="00C35AA0">
        <w:rPr>
          <w:rStyle w:val="Refdenotaalpie"/>
          <w:rFonts w:ascii="Verdana" w:hAnsi="Verdana"/>
          <w:w w:val="95"/>
          <w:sz w:val="20"/>
          <w:szCs w:val="20"/>
        </w:rPr>
        <w:footnoteReference w:id="331"/>
      </w:r>
      <w:r w:rsidRPr="00AA5F26">
        <w:rPr>
          <w:rFonts w:ascii="Verdana" w:hAnsi="Verdana"/>
          <w:w w:val="95"/>
          <w:sz w:val="20"/>
          <w:szCs w:val="20"/>
        </w:rPr>
        <w:t>. Al respecto, el Tribunal ha establecido que “cada acto estatal que conforma el proceso investigativo, así como la investigación en su totalidad, debe estar orientado hacia una finalidad específica, la determinación de la verdad y la investigación, persecución, captura, enjuiciamiento, y en su caso, la sanción de los responsables de los hechos”</w:t>
      </w:r>
      <w:r w:rsidRPr="00C35AA0">
        <w:rPr>
          <w:rStyle w:val="Refdenotaalpie"/>
          <w:rFonts w:ascii="Verdana" w:hAnsi="Verdana"/>
          <w:w w:val="95"/>
          <w:sz w:val="20"/>
          <w:szCs w:val="20"/>
        </w:rPr>
        <w:footnoteReference w:id="332"/>
      </w:r>
      <w:r w:rsidRPr="00AA5F26">
        <w:rPr>
          <w:rFonts w:ascii="Verdana" w:hAnsi="Verdana"/>
          <w:w w:val="95"/>
          <w:sz w:val="20"/>
          <w:szCs w:val="20"/>
        </w:rPr>
        <w:t xml:space="preserve">. </w:t>
      </w:r>
    </w:p>
    <w:p w:rsidR="00DF15C3" w:rsidRDefault="00DF15C3" w:rsidP="003F26FD">
      <w:pPr>
        <w:pStyle w:val="NormalWeb"/>
        <w:spacing w:before="0" w:beforeAutospacing="0" w:after="0" w:afterAutospacing="0" w:line="216" w:lineRule="auto"/>
        <w:ind w:left="-142" w:right="-174"/>
        <w:jc w:val="both"/>
        <w:rPr>
          <w:rFonts w:ascii="Verdana" w:hAnsi="Verdana"/>
          <w:w w:val="95"/>
          <w:sz w:val="20"/>
          <w:szCs w:val="20"/>
        </w:rPr>
      </w:pPr>
    </w:p>
    <w:p w:rsidR="00DF15C3" w:rsidRPr="00E317C0" w:rsidRDefault="00DF15C3" w:rsidP="003F26FD">
      <w:pPr>
        <w:pStyle w:val="NormalWeb"/>
        <w:numPr>
          <w:ilvl w:val="0"/>
          <w:numId w:val="17"/>
        </w:numPr>
        <w:spacing w:before="0" w:beforeAutospacing="0" w:after="0" w:afterAutospacing="0" w:line="216" w:lineRule="auto"/>
        <w:ind w:left="-142" w:right="-174" w:hanging="11"/>
        <w:jc w:val="both"/>
        <w:rPr>
          <w:rFonts w:ascii="Verdana" w:hAnsi="Verdana"/>
          <w:w w:val="95"/>
          <w:sz w:val="20"/>
          <w:szCs w:val="20"/>
        </w:rPr>
      </w:pPr>
      <w:r w:rsidRPr="00E317C0">
        <w:rPr>
          <w:rFonts w:ascii="Verdana" w:hAnsi="Verdana"/>
          <w:w w:val="95"/>
          <w:sz w:val="20"/>
          <w:szCs w:val="20"/>
        </w:rPr>
        <w:t xml:space="preserve">Por otro lado, </w:t>
      </w:r>
      <w:r w:rsidRPr="00E317C0">
        <w:rPr>
          <w:rFonts w:ascii="Verdana" w:hAnsi="Verdana" w:cs="Arial"/>
          <w:w w:val="95"/>
          <w:sz w:val="20"/>
          <w:szCs w:val="20"/>
        </w:rPr>
        <w:t>la Corte ha constatado qu</w:t>
      </w:r>
      <w:r w:rsidR="00BD3EAF">
        <w:rPr>
          <w:rFonts w:ascii="Verdana" w:hAnsi="Verdana" w:cs="Arial"/>
          <w:w w:val="95"/>
          <w:sz w:val="20"/>
          <w:szCs w:val="20"/>
        </w:rPr>
        <w:t xml:space="preserve">e la señora Rosa Elvira Franco </w:t>
      </w:r>
      <w:r w:rsidRPr="00E317C0">
        <w:rPr>
          <w:rFonts w:ascii="Verdana" w:hAnsi="Verdana" w:cs="Arial"/>
          <w:w w:val="95"/>
          <w:sz w:val="20"/>
          <w:szCs w:val="20"/>
        </w:rPr>
        <w:t>ha tenido acceso a la investigación y ha participado activamente en ésta a través de declaraciones, envío de escritos, presentación de información y consultas a los funcionarios encargados del caso, entre otros.</w:t>
      </w:r>
      <w:r w:rsidRPr="00E317C0">
        <w:rPr>
          <w:rFonts w:ascii="Verdana" w:hAnsi="Verdana"/>
          <w:w w:val="95"/>
          <w:sz w:val="20"/>
          <w:szCs w:val="20"/>
        </w:rPr>
        <w:t xml:space="preserve"> Sin embargo, el Estado ha argumentado que dicha intervención de la señora Franco ha obstaculizado la investigación al aportar diversa información, contradictoria o inconsistente, que a su juicio no ha resultado útil.</w:t>
      </w:r>
      <w:r w:rsidRPr="00E317C0">
        <w:rPr>
          <w:rFonts w:ascii="Verdana" w:hAnsi="Verdana" w:cs="Arial"/>
          <w:w w:val="95"/>
          <w:sz w:val="20"/>
          <w:szCs w:val="20"/>
        </w:rPr>
        <w:t xml:space="preserve"> </w:t>
      </w:r>
      <w:r w:rsidRPr="00540F6F">
        <w:rPr>
          <w:rFonts w:ascii="Verdana" w:hAnsi="Verdana" w:cs="Arial"/>
          <w:w w:val="95"/>
          <w:sz w:val="20"/>
          <w:szCs w:val="20"/>
        </w:rPr>
        <w:t xml:space="preserve">Al respecto, </w:t>
      </w:r>
      <w:r w:rsidRPr="00540F6F">
        <w:rPr>
          <w:rFonts w:ascii="Verdana" w:hAnsi="Verdana"/>
          <w:w w:val="95"/>
          <w:sz w:val="20"/>
          <w:szCs w:val="20"/>
        </w:rPr>
        <w:t>este Tribunal considera que dicho alegato del Estado es inadmisible para justificar una demora indebida en los procedimientos, ya que en la jurisdicción interna corresponde</w:t>
      </w:r>
      <w:r w:rsidRPr="00E317C0">
        <w:rPr>
          <w:rFonts w:ascii="Verdana" w:hAnsi="Verdana"/>
          <w:w w:val="95"/>
          <w:sz w:val="20"/>
          <w:szCs w:val="20"/>
        </w:rPr>
        <w:t xml:space="preserve"> a los órganos competentes </w:t>
      </w:r>
      <w:r w:rsidRPr="00E317C0">
        <w:rPr>
          <w:rFonts w:ascii="Verdana" w:eastAsia="Times" w:hAnsi="Verdana"/>
          <w:w w:val="95"/>
          <w:sz w:val="20"/>
          <w:szCs w:val="20"/>
        </w:rPr>
        <w:t>dirigir la investigación y encauzarla de acuerdo a las estrategias o líneas de investigación determinadas por ellos para el esclarecimiento de los hechos y, en todo caso,</w:t>
      </w:r>
      <w:r w:rsidRPr="00E317C0">
        <w:rPr>
          <w:rFonts w:ascii="Verdana" w:hAnsi="Verdana"/>
          <w:w w:val="95"/>
          <w:sz w:val="20"/>
          <w:szCs w:val="20"/>
        </w:rPr>
        <w:t xml:space="preserve"> la investigación debe ser impulsada de oficio, sin que sean las víctimas o sus familiares quienes tengan la carga de asumir tal iniciativa</w:t>
      </w:r>
      <w:r w:rsidRPr="00C35AA0">
        <w:rPr>
          <w:rStyle w:val="Refdenotaalpie"/>
          <w:rFonts w:ascii="Verdana" w:hAnsi="Verdana"/>
          <w:w w:val="95"/>
          <w:sz w:val="20"/>
          <w:szCs w:val="20"/>
        </w:rPr>
        <w:footnoteReference w:id="333"/>
      </w:r>
      <w:r w:rsidRPr="00E317C0">
        <w:rPr>
          <w:rFonts w:ascii="Verdana" w:hAnsi="Verdana"/>
          <w:w w:val="95"/>
          <w:sz w:val="20"/>
          <w:szCs w:val="20"/>
        </w:rPr>
        <w:t xml:space="preserve">, que corresponde al Estado. </w:t>
      </w:r>
    </w:p>
    <w:p w:rsidR="00DF15C3" w:rsidRPr="00943069" w:rsidRDefault="00DF15C3" w:rsidP="003F26FD">
      <w:pPr>
        <w:pStyle w:val="NormalWeb"/>
        <w:spacing w:before="0" w:beforeAutospacing="0" w:after="0" w:afterAutospacing="0" w:line="216" w:lineRule="auto"/>
        <w:ind w:left="-142" w:right="-174"/>
        <w:jc w:val="both"/>
        <w:rPr>
          <w:rFonts w:ascii="Verdana" w:hAnsi="Verdana"/>
          <w:w w:val="95"/>
          <w:sz w:val="20"/>
          <w:szCs w:val="20"/>
        </w:rPr>
      </w:pPr>
    </w:p>
    <w:p w:rsidR="00DF15C3" w:rsidRDefault="00DF15C3" w:rsidP="003F26FD">
      <w:pPr>
        <w:pStyle w:val="NormalWeb"/>
        <w:numPr>
          <w:ilvl w:val="0"/>
          <w:numId w:val="17"/>
        </w:numPr>
        <w:spacing w:before="0" w:beforeAutospacing="0" w:after="0" w:afterAutospacing="0" w:line="216" w:lineRule="auto"/>
        <w:ind w:left="-142" w:right="-174" w:hanging="11"/>
        <w:jc w:val="both"/>
        <w:rPr>
          <w:rFonts w:ascii="Verdana" w:hAnsi="Verdana"/>
          <w:w w:val="95"/>
          <w:sz w:val="20"/>
          <w:szCs w:val="20"/>
        </w:rPr>
      </w:pPr>
      <w:r w:rsidRPr="00AA5F26">
        <w:rPr>
          <w:rFonts w:ascii="Verdana" w:hAnsi="Verdana"/>
          <w:w w:val="95"/>
          <w:sz w:val="20"/>
          <w:szCs w:val="20"/>
        </w:rPr>
        <w:t xml:space="preserve">De lo expuesto, la Corte concluye que el lapso de más de </w:t>
      </w:r>
      <w:r w:rsidRPr="00BA711F">
        <w:rPr>
          <w:rFonts w:ascii="Verdana" w:hAnsi="Verdana"/>
          <w:w w:val="95"/>
          <w:sz w:val="20"/>
          <w:szCs w:val="20"/>
        </w:rPr>
        <w:t>doce</w:t>
      </w:r>
      <w:r>
        <w:rPr>
          <w:rFonts w:ascii="Verdana" w:hAnsi="Verdana"/>
          <w:w w:val="95"/>
          <w:sz w:val="20"/>
          <w:szCs w:val="20"/>
        </w:rPr>
        <w:t xml:space="preserve"> </w:t>
      </w:r>
      <w:r w:rsidRPr="00AA5F26">
        <w:rPr>
          <w:rFonts w:ascii="Verdana" w:hAnsi="Verdana"/>
          <w:w w:val="95"/>
          <w:sz w:val="20"/>
          <w:szCs w:val="20"/>
        </w:rPr>
        <w:t xml:space="preserve">años que ha demorado la justicia interna sólo en la fase de investigación de los hechos sobrepasa excesivamente un plazo que pueda considerarse razonable para que el Estado realizara las correspondientes diligencias investigativas, y constituye una flagrante denegación de justicia. Por consiguiente, </w:t>
      </w:r>
      <w:r w:rsidRPr="00AA5F26">
        <w:rPr>
          <w:rFonts w:ascii="Verdana" w:hAnsi="Verdana" w:cs="Helvetica"/>
          <w:w w:val="95"/>
          <w:sz w:val="20"/>
          <w:szCs w:val="20"/>
          <w:lang w:bidi="en-US"/>
        </w:rPr>
        <w:t xml:space="preserve">el presente caso se encuentra en un estado de impunidad en el que no han sido identificados ni, en su caso, sancionados los responsables del homicidio de María Isabel y sus familiares no han podido conocer la verdad de los hechos. </w:t>
      </w:r>
      <w:r w:rsidRPr="00AA5F26">
        <w:rPr>
          <w:rFonts w:ascii="Verdana" w:hAnsi="Verdana"/>
          <w:w w:val="95"/>
          <w:sz w:val="20"/>
          <w:szCs w:val="20"/>
        </w:rPr>
        <w:t>La obligación del Estado de investigar debe cumplirse diligentemente para evitar la impunidad y que este tipo de hechos vuelvan a repetirse</w:t>
      </w:r>
      <w:r>
        <w:rPr>
          <w:rFonts w:ascii="Verdana" w:hAnsi="Verdana"/>
          <w:w w:val="95"/>
          <w:sz w:val="20"/>
          <w:szCs w:val="20"/>
        </w:rPr>
        <w:t xml:space="preserve"> (</w:t>
      </w:r>
      <w:r w:rsidRPr="0012383C">
        <w:rPr>
          <w:rFonts w:ascii="Verdana" w:hAnsi="Verdana"/>
          <w:i/>
          <w:w w:val="95"/>
          <w:sz w:val="20"/>
          <w:szCs w:val="20"/>
        </w:rPr>
        <w:t>supra</w:t>
      </w:r>
      <w:r>
        <w:rPr>
          <w:rFonts w:ascii="Verdana" w:hAnsi="Verdana"/>
          <w:w w:val="95"/>
          <w:sz w:val="20"/>
          <w:szCs w:val="20"/>
        </w:rPr>
        <w:t xml:space="preserve"> párr. </w:t>
      </w:r>
      <w:r w:rsidR="00BD3EAF">
        <w:rPr>
          <w:rFonts w:ascii="Verdana" w:hAnsi="Verdana"/>
          <w:w w:val="95"/>
          <w:sz w:val="20"/>
          <w:szCs w:val="20"/>
        </w:rPr>
        <w:t>183</w:t>
      </w:r>
      <w:r w:rsidR="00434E52">
        <w:rPr>
          <w:rFonts w:ascii="Verdana" w:hAnsi="Verdana"/>
          <w:w w:val="95"/>
          <w:sz w:val="20"/>
          <w:szCs w:val="20"/>
        </w:rPr>
        <w:t>).</w:t>
      </w:r>
    </w:p>
    <w:p w:rsidR="00DF15C3" w:rsidRPr="0012383C" w:rsidRDefault="00DF15C3" w:rsidP="003F26FD">
      <w:pPr>
        <w:pStyle w:val="NormalWeb"/>
        <w:spacing w:before="0" w:beforeAutospacing="0" w:after="0" w:afterAutospacing="0" w:line="216" w:lineRule="auto"/>
        <w:ind w:left="-142" w:right="-174"/>
        <w:jc w:val="both"/>
        <w:rPr>
          <w:rFonts w:ascii="Verdana" w:hAnsi="Verdana"/>
          <w:w w:val="95"/>
          <w:sz w:val="20"/>
          <w:szCs w:val="20"/>
        </w:rPr>
      </w:pPr>
    </w:p>
    <w:p w:rsidR="00DF15C3" w:rsidRPr="00540F6F" w:rsidRDefault="00DF15C3" w:rsidP="003F26FD">
      <w:pPr>
        <w:pStyle w:val="NormalWeb"/>
        <w:numPr>
          <w:ilvl w:val="0"/>
          <w:numId w:val="17"/>
        </w:numPr>
        <w:spacing w:before="0" w:beforeAutospacing="0" w:after="0" w:afterAutospacing="0" w:line="216" w:lineRule="auto"/>
        <w:ind w:left="-142" w:right="-174" w:hanging="11"/>
        <w:jc w:val="both"/>
        <w:rPr>
          <w:rFonts w:ascii="Verdana" w:hAnsi="Verdana"/>
          <w:w w:val="95"/>
          <w:sz w:val="20"/>
          <w:szCs w:val="20"/>
        </w:rPr>
      </w:pPr>
      <w:r w:rsidRPr="00540F6F">
        <w:rPr>
          <w:rFonts w:ascii="Verdana" w:hAnsi="Verdana"/>
          <w:w w:val="95"/>
          <w:sz w:val="20"/>
          <w:szCs w:val="20"/>
        </w:rPr>
        <w:t>Aunado a lo anterior, este Tribunal resalta que la violencia contra la mujer, en razón de su género, es un problema histórico, social y cultural que se encuentra arraigado en la sociedad guatemalteca. Ello en razón de que durante y después del conflicto armado las mujeres sufrieron formas específicas de violenc</w:t>
      </w:r>
      <w:r w:rsidR="005A3D77">
        <w:rPr>
          <w:rFonts w:ascii="Verdana" w:hAnsi="Verdana"/>
          <w:w w:val="95"/>
          <w:sz w:val="20"/>
          <w:szCs w:val="20"/>
        </w:rPr>
        <w:t>ia de género, quedando los perp</w:t>
      </w:r>
      <w:r w:rsidRPr="00540F6F">
        <w:rPr>
          <w:rFonts w:ascii="Verdana" w:hAnsi="Verdana"/>
          <w:w w:val="95"/>
          <w:sz w:val="20"/>
          <w:szCs w:val="20"/>
        </w:rPr>
        <w:t>et</w:t>
      </w:r>
      <w:r w:rsidR="00E74BC1">
        <w:rPr>
          <w:rFonts w:ascii="Verdana" w:hAnsi="Verdana"/>
          <w:w w:val="95"/>
          <w:sz w:val="20"/>
          <w:szCs w:val="20"/>
        </w:rPr>
        <w:t>r</w:t>
      </w:r>
      <w:r w:rsidRPr="00540F6F">
        <w:rPr>
          <w:rFonts w:ascii="Verdana" w:hAnsi="Verdana"/>
          <w:w w:val="95"/>
          <w:sz w:val="20"/>
          <w:szCs w:val="20"/>
        </w:rPr>
        <w:t xml:space="preserve">adores en total impunidad, por la incapacidad de los </w:t>
      </w:r>
      <w:r w:rsidRPr="001E0CE4">
        <w:rPr>
          <w:rFonts w:ascii="Verdana" w:hAnsi="Verdana"/>
          <w:w w:val="95"/>
          <w:sz w:val="20"/>
          <w:szCs w:val="20"/>
        </w:rPr>
        <w:t>tribunales de justicia de investigar, juzgar, y en su caso, sancionar a los responsables (</w:t>
      </w:r>
      <w:r w:rsidRPr="001E0CE4">
        <w:rPr>
          <w:rFonts w:ascii="Verdana" w:hAnsi="Verdana"/>
          <w:i/>
          <w:w w:val="95"/>
          <w:sz w:val="20"/>
          <w:szCs w:val="20"/>
        </w:rPr>
        <w:t>supra</w:t>
      </w:r>
      <w:r w:rsidR="00D97216">
        <w:rPr>
          <w:rFonts w:ascii="Verdana" w:hAnsi="Verdana"/>
          <w:w w:val="95"/>
          <w:sz w:val="20"/>
          <w:szCs w:val="20"/>
        </w:rPr>
        <w:t xml:space="preserve"> párrs. 68, 69, 81,83 y 84</w:t>
      </w:r>
      <w:r w:rsidR="00434E52" w:rsidRPr="001E0CE4">
        <w:rPr>
          <w:rFonts w:ascii="Verdana" w:hAnsi="Verdana"/>
          <w:w w:val="95"/>
          <w:sz w:val="20"/>
          <w:szCs w:val="20"/>
        </w:rPr>
        <w:t xml:space="preserve">). </w:t>
      </w:r>
      <w:r w:rsidRPr="001E0CE4">
        <w:rPr>
          <w:rFonts w:ascii="Verdana" w:hAnsi="Verdana"/>
          <w:w w:val="95"/>
          <w:sz w:val="20"/>
          <w:szCs w:val="20"/>
        </w:rPr>
        <w:t xml:space="preserve">Pese a que Guatemala fue uno de los primeros </w:t>
      </w:r>
      <w:r w:rsidR="00D97216">
        <w:rPr>
          <w:rFonts w:ascii="Verdana" w:hAnsi="Verdana"/>
          <w:w w:val="95"/>
          <w:sz w:val="20"/>
          <w:szCs w:val="20"/>
        </w:rPr>
        <w:t xml:space="preserve">Estados </w:t>
      </w:r>
      <w:r w:rsidRPr="001E0CE4">
        <w:rPr>
          <w:rFonts w:ascii="Verdana" w:hAnsi="Verdana"/>
          <w:w w:val="95"/>
          <w:sz w:val="20"/>
          <w:szCs w:val="20"/>
        </w:rPr>
        <w:t xml:space="preserve">en ratificar la Convención de </w:t>
      </w:r>
      <w:r w:rsidR="000A2ACA">
        <w:rPr>
          <w:rFonts w:ascii="Verdana" w:hAnsi="Verdana"/>
          <w:w w:val="95"/>
          <w:sz w:val="20"/>
          <w:szCs w:val="20"/>
        </w:rPr>
        <w:t>Belém</w:t>
      </w:r>
      <w:r w:rsidRPr="001E0CE4">
        <w:rPr>
          <w:rFonts w:ascii="Verdana" w:hAnsi="Verdana"/>
          <w:w w:val="95"/>
          <w:sz w:val="20"/>
          <w:szCs w:val="20"/>
        </w:rPr>
        <w:t xml:space="preserve"> do Pará, por esas razones históricas, la violencia contra la mujer ha permanecido invisibilizada, situación que se refleja en la falta de investigar los homicidios desde una perspectiva de género, ya que las muertes de mujeres son investigadas como homicidios simples, </w:t>
      </w:r>
      <w:r w:rsidR="00F364D2" w:rsidRPr="002857CA">
        <w:rPr>
          <w:rFonts w:ascii="Verdana" w:hAnsi="Verdana"/>
          <w:w w:val="95"/>
          <w:sz w:val="20"/>
          <w:szCs w:val="20"/>
        </w:rPr>
        <w:t>manteniéndose dichos hechos en la impunidad</w:t>
      </w:r>
      <w:r w:rsidRPr="002857CA">
        <w:rPr>
          <w:rFonts w:ascii="Verdana" w:hAnsi="Verdana"/>
          <w:w w:val="95"/>
          <w:sz w:val="20"/>
          <w:szCs w:val="20"/>
        </w:rPr>
        <w:t>. Asimismo, no existen estadísticas oficiales respecto de los</w:t>
      </w:r>
      <w:r w:rsidRPr="00540F6F">
        <w:rPr>
          <w:rFonts w:ascii="Verdana" w:hAnsi="Verdana"/>
          <w:w w:val="95"/>
          <w:sz w:val="20"/>
          <w:szCs w:val="20"/>
        </w:rPr>
        <w:t xml:space="preserve"> delitos por razón de género antes del año 2008, que permitan visibilizar la situación de las mujeres, y que las autoridades estatales tomen consciencia de la problemática y adopten las políticas públicas necesarias para combatir este tipo de hechos.</w:t>
      </w:r>
    </w:p>
    <w:p w:rsidR="00DF15C3" w:rsidRPr="00FE501D" w:rsidRDefault="00DF15C3" w:rsidP="003F26FD">
      <w:pPr>
        <w:pStyle w:val="NormalWeb"/>
        <w:spacing w:before="0" w:beforeAutospacing="0" w:after="0" w:afterAutospacing="0" w:line="216" w:lineRule="auto"/>
        <w:ind w:left="-142" w:right="-174"/>
        <w:jc w:val="both"/>
        <w:rPr>
          <w:rFonts w:ascii="Verdana" w:hAnsi="Verdana"/>
          <w:w w:val="95"/>
          <w:sz w:val="20"/>
          <w:szCs w:val="20"/>
        </w:rPr>
      </w:pPr>
    </w:p>
    <w:p w:rsidR="00DF15C3" w:rsidRPr="001E6DFB" w:rsidRDefault="00DF15C3" w:rsidP="003F26FD">
      <w:pPr>
        <w:pStyle w:val="NormalWeb"/>
        <w:numPr>
          <w:ilvl w:val="0"/>
          <w:numId w:val="17"/>
        </w:numPr>
        <w:spacing w:before="0" w:beforeAutospacing="0" w:after="0" w:afterAutospacing="0" w:line="216" w:lineRule="auto"/>
        <w:ind w:left="-142" w:right="-174" w:hanging="11"/>
        <w:jc w:val="both"/>
        <w:rPr>
          <w:rFonts w:ascii="Verdana" w:hAnsi="Verdana"/>
          <w:w w:val="95"/>
          <w:sz w:val="20"/>
          <w:szCs w:val="20"/>
        </w:rPr>
      </w:pPr>
      <w:r w:rsidRPr="00AA5F26">
        <w:rPr>
          <w:rFonts w:ascii="Verdana" w:hAnsi="Verdana"/>
          <w:w w:val="95"/>
          <w:sz w:val="20"/>
          <w:szCs w:val="20"/>
        </w:rPr>
        <w:t xml:space="preserve">Por otro lado, en cuanto a la alegada falta de sanción de los funcionarios públicos responsables de las irregularidades en la tramitación de la investigación, este Tribunal en algunos de los apartados anteriores ya consideró las referidas irregularidades o negligencias en las investigaciones, por lo que queda comprendido dicho alegato, y no resulta necesario pronunciarse al respecto. </w:t>
      </w:r>
    </w:p>
    <w:p w:rsidR="00DF15C3" w:rsidRPr="002B1610" w:rsidRDefault="00DF15C3" w:rsidP="003F26FD">
      <w:pPr>
        <w:pStyle w:val="NormalWeb"/>
        <w:spacing w:before="0" w:beforeAutospacing="0" w:after="0" w:afterAutospacing="0" w:line="216" w:lineRule="auto"/>
        <w:ind w:right="-174"/>
        <w:jc w:val="both"/>
        <w:rPr>
          <w:rFonts w:ascii="Verdana" w:eastAsia="Calibri" w:hAnsi="Verdana"/>
          <w:w w:val="95"/>
          <w:sz w:val="20"/>
          <w:szCs w:val="20"/>
          <w:lang w:eastAsia="en-US"/>
        </w:rPr>
      </w:pPr>
    </w:p>
    <w:p w:rsidR="00DF15C3" w:rsidRPr="002B1610" w:rsidRDefault="00DF15C3" w:rsidP="003F26FD">
      <w:pPr>
        <w:pStyle w:val="NormalWeb"/>
        <w:numPr>
          <w:ilvl w:val="0"/>
          <w:numId w:val="9"/>
        </w:numPr>
        <w:spacing w:before="0" w:beforeAutospacing="0" w:after="0" w:afterAutospacing="0" w:line="216" w:lineRule="auto"/>
        <w:ind w:left="284" w:right="-174" w:firstLine="0"/>
        <w:outlineLvl w:val="1"/>
        <w:rPr>
          <w:rFonts w:ascii="Verdana" w:hAnsi="Verdana"/>
          <w:b/>
          <w:w w:val="95"/>
          <w:sz w:val="20"/>
          <w:szCs w:val="20"/>
        </w:rPr>
      </w:pPr>
      <w:bookmarkStart w:id="103" w:name="_Toc394313684"/>
      <w:r w:rsidRPr="002B1610">
        <w:rPr>
          <w:rFonts w:ascii="Verdana" w:hAnsi="Verdana"/>
          <w:b/>
          <w:w w:val="95"/>
          <w:sz w:val="20"/>
          <w:szCs w:val="20"/>
        </w:rPr>
        <w:t>Conclusión</w:t>
      </w:r>
      <w:bookmarkEnd w:id="103"/>
    </w:p>
    <w:p w:rsidR="00DF15C3" w:rsidRPr="002B1610" w:rsidRDefault="00DF15C3" w:rsidP="003F26FD">
      <w:pPr>
        <w:pStyle w:val="NormalWeb"/>
        <w:spacing w:before="0" w:beforeAutospacing="0" w:after="0" w:afterAutospacing="0" w:line="216" w:lineRule="auto"/>
        <w:ind w:left="-142" w:right="-174"/>
        <w:jc w:val="both"/>
        <w:rPr>
          <w:rFonts w:ascii="Verdana" w:hAnsi="Verdana"/>
          <w:w w:val="95"/>
          <w:sz w:val="20"/>
          <w:szCs w:val="20"/>
        </w:rPr>
      </w:pPr>
    </w:p>
    <w:p w:rsidR="00DF15C3" w:rsidRPr="00830540" w:rsidRDefault="00DF15C3" w:rsidP="003F26FD">
      <w:pPr>
        <w:pStyle w:val="NormalWeb"/>
        <w:numPr>
          <w:ilvl w:val="0"/>
          <w:numId w:val="17"/>
        </w:numPr>
        <w:spacing w:before="0" w:beforeAutospacing="0" w:after="0" w:afterAutospacing="0" w:line="216" w:lineRule="auto"/>
        <w:ind w:left="-142" w:right="-174" w:firstLine="0"/>
        <w:jc w:val="both"/>
        <w:rPr>
          <w:rFonts w:ascii="Verdana" w:hAnsi="Verdana"/>
          <w:b/>
          <w:strike/>
          <w:w w:val="95"/>
          <w:sz w:val="20"/>
          <w:szCs w:val="20"/>
        </w:rPr>
      </w:pPr>
      <w:r w:rsidRPr="0060474A">
        <w:rPr>
          <w:rFonts w:ascii="Verdana" w:hAnsi="Verdana"/>
          <w:bCs/>
          <w:w w:val="95"/>
          <w:sz w:val="20"/>
          <w:szCs w:val="20"/>
        </w:rPr>
        <w:t xml:space="preserve"> Por lo expuesto, la Corte colige que pese a indicios de que</w:t>
      </w:r>
      <w:r w:rsidRPr="0060474A">
        <w:rPr>
          <w:rFonts w:ascii="Verdana" w:hAnsi="Verdana"/>
          <w:w w:val="95"/>
          <w:sz w:val="20"/>
          <w:szCs w:val="20"/>
        </w:rPr>
        <w:t xml:space="preserve"> el homicidio de María Isabel podría haberse cometido por razones de género, la investigación no fue conducida con una perspectiva de género y se demostró que hubo faltas a la debida diligencia y actos de sesgo discriminatorio en la misma. La investigación, ha sobrepasado excesivamente el plazo razonable y aún continúa en su fase investigativa inicial. Además, la falta de diligencia en el caso, como reconoció el Estado, se vinculó a la inexistencia de normas y protocolos para la investigación de este tipo de hechos.</w:t>
      </w:r>
      <w:r w:rsidRPr="0060474A">
        <w:rPr>
          <w:rFonts w:ascii="Verdana" w:hAnsi="Verdana"/>
          <w:bCs/>
          <w:w w:val="95"/>
          <w:sz w:val="20"/>
          <w:szCs w:val="20"/>
        </w:rPr>
        <w:t xml:space="preserve"> Por todo lo dicho, esta Corte concluye que </w:t>
      </w:r>
      <w:r w:rsidRPr="0060474A">
        <w:rPr>
          <w:rFonts w:ascii="Verdana" w:hAnsi="Verdana"/>
          <w:w w:val="95"/>
          <w:sz w:val="20"/>
          <w:szCs w:val="20"/>
        </w:rPr>
        <w:t>la investigación abierta a nivel interno no ha garantizado el acceso a la justicia de los familiares de María Isabel V</w:t>
      </w:r>
      <w:r>
        <w:rPr>
          <w:rFonts w:ascii="Verdana" w:hAnsi="Verdana"/>
          <w:w w:val="95"/>
          <w:sz w:val="20"/>
          <w:szCs w:val="20"/>
        </w:rPr>
        <w:t>e</w:t>
      </w:r>
      <w:r w:rsidRPr="0060474A">
        <w:rPr>
          <w:rFonts w:ascii="Verdana" w:hAnsi="Verdana"/>
          <w:w w:val="95"/>
          <w:sz w:val="20"/>
          <w:szCs w:val="20"/>
        </w:rPr>
        <w:t>liz Franco, lo cual</w:t>
      </w:r>
      <w:r w:rsidRPr="0060474A">
        <w:rPr>
          <w:rFonts w:ascii="Verdana" w:hAnsi="Verdana"/>
          <w:bCs/>
          <w:w w:val="95"/>
          <w:sz w:val="20"/>
          <w:szCs w:val="20"/>
        </w:rPr>
        <w:t xml:space="preserve"> constituye</w:t>
      </w:r>
      <w:r w:rsidRPr="0060474A">
        <w:rPr>
          <w:rFonts w:ascii="Verdana" w:hAnsi="Verdana"/>
          <w:w w:val="95"/>
          <w:sz w:val="20"/>
          <w:szCs w:val="20"/>
        </w:rPr>
        <w:t xml:space="preserve"> una violación de los derechos a las garantías judiciales y a la protección judicial</w:t>
      </w:r>
      <w:r w:rsidRPr="002B1610">
        <w:rPr>
          <w:rFonts w:ascii="Verdana" w:hAnsi="Verdana"/>
          <w:w w:val="95"/>
          <w:sz w:val="20"/>
          <w:szCs w:val="20"/>
        </w:rPr>
        <w:t xml:space="preserve"> consagrados en los artículos 8.1 y 2</w:t>
      </w:r>
      <w:r>
        <w:rPr>
          <w:rFonts w:ascii="Verdana" w:hAnsi="Verdana"/>
          <w:w w:val="95"/>
          <w:sz w:val="20"/>
          <w:szCs w:val="20"/>
        </w:rPr>
        <w:t xml:space="preserve">5.1 de la Convención Americana, </w:t>
      </w:r>
      <w:r w:rsidR="004315B7">
        <w:rPr>
          <w:rFonts w:ascii="Verdana" w:hAnsi="Verdana"/>
          <w:w w:val="95"/>
          <w:sz w:val="20"/>
          <w:szCs w:val="20"/>
        </w:rPr>
        <w:t xml:space="preserve">y el derecho a la igualdad ante </w:t>
      </w:r>
      <w:r w:rsidRPr="003622B1">
        <w:rPr>
          <w:rFonts w:ascii="Verdana" w:hAnsi="Verdana"/>
          <w:w w:val="95"/>
          <w:sz w:val="20"/>
          <w:szCs w:val="20"/>
        </w:rPr>
        <w:t xml:space="preserve">ley consagrado en el artículo 24 de la Convención, </w:t>
      </w:r>
      <w:r w:rsidRPr="00443A96">
        <w:rPr>
          <w:rFonts w:ascii="Verdana" w:hAnsi="Verdana"/>
          <w:w w:val="95"/>
          <w:sz w:val="20"/>
          <w:szCs w:val="20"/>
        </w:rPr>
        <w:t xml:space="preserve">en relación </w:t>
      </w:r>
      <w:r w:rsidRPr="003622B1">
        <w:rPr>
          <w:rFonts w:ascii="Verdana" w:hAnsi="Verdana"/>
          <w:w w:val="95"/>
          <w:sz w:val="20"/>
          <w:szCs w:val="20"/>
        </w:rPr>
        <w:t>con las obligaciones generales contenidas en</w:t>
      </w:r>
      <w:r w:rsidRPr="00443A96">
        <w:rPr>
          <w:rFonts w:ascii="Verdana" w:hAnsi="Verdana"/>
          <w:w w:val="95"/>
          <w:sz w:val="20"/>
          <w:szCs w:val="20"/>
        </w:rPr>
        <w:t xml:space="preserve"> </w:t>
      </w:r>
      <w:r w:rsidRPr="002B1610">
        <w:rPr>
          <w:rFonts w:ascii="Verdana" w:hAnsi="Verdana"/>
          <w:w w:val="95"/>
          <w:sz w:val="20"/>
          <w:szCs w:val="20"/>
        </w:rPr>
        <w:t>los artículos</w:t>
      </w:r>
      <w:r>
        <w:rPr>
          <w:rFonts w:ascii="Verdana" w:hAnsi="Verdana"/>
          <w:w w:val="95"/>
          <w:sz w:val="20"/>
          <w:szCs w:val="20"/>
        </w:rPr>
        <w:t xml:space="preserve"> </w:t>
      </w:r>
      <w:r w:rsidRPr="003622B1">
        <w:rPr>
          <w:rFonts w:ascii="Verdana" w:hAnsi="Verdana"/>
          <w:w w:val="95"/>
          <w:sz w:val="20"/>
          <w:szCs w:val="20"/>
        </w:rPr>
        <w:t>1.1</w:t>
      </w:r>
      <w:r w:rsidRPr="002B1610">
        <w:rPr>
          <w:rFonts w:ascii="Verdana" w:hAnsi="Verdana"/>
          <w:w w:val="95"/>
          <w:sz w:val="20"/>
          <w:szCs w:val="20"/>
        </w:rPr>
        <w:t xml:space="preserve"> y 2 de la Convención Americana, y con los artículos 7.b y 7.c de la Convención de </w:t>
      </w:r>
      <w:r w:rsidR="000A2ACA">
        <w:rPr>
          <w:rFonts w:ascii="Verdana" w:hAnsi="Verdana"/>
          <w:w w:val="95"/>
          <w:sz w:val="20"/>
          <w:szCs w:val="20"/>
        </w:rPr>
        <w:t>Belém</w:t>
      </w:r>
      <w:r w:rsidRPr="002B1610">
        <w:rPr>
          <w:rFonts w:ascii="Verdana" w:hAnsi="Verdana"/>
          <w:w w:val="95"/>
          <w:sz w:val="20"/>
          <w:szCs w:val="20"/>
        </w:rPr>
        <w:t xml:space="preserve"> do Pará, en perjuicio la señora Rosa Elvira Franco Sandoval, Leonel Enrique Veliz Franco, José Roberto Franco,</w:t>
      </w:r>
      <w:r>
        <w:rPr>
          <w:rFonts w:ascii="Verdana" w:hAnsi="Verdana"/>
          <w:w w:val="95"/>
          <w:sz w:val="20"/>
          <w:szCs w:val="20"/>
        </w:rPr>
        <w:t xml:space="preserve"> y </w:t>
      </w:r>
      <w:r w:rsidRPr="00540F6F">
        <w:rPr>
          <w:rFonts w:ascii="Verdana" w:hAnsi="Verdana"/>
          <w:w w:val="95"/>
          <w:sz w:val="20"/>
          <w:szCs w:val="20"/>
        </w:rPr>
        <w:t>de los abuelos ya fallecidos</w:t>
      </w:r>
      <w:r w:rsidRPr="002B1610">
        <w:rPr>
          <w:rFonts w:ascii="Verdana" w:hAnsi="Verdana"/>
          <w:w w:val="95"/>
          <w:sz w:val="20"/>
          <w:szCs w:val="20"/>
        </w:rPr>
        <w:t xml:space="preserve"> </w:t>
      </w:r>
      <w:r w:rsidRPr="003A66EA">
        <w:rPr>
          <w:rFonts w:ascii="Verdana" w:hAnsi="Verdana"/>
          <w:w w:val="95"/>
          <w:sz w:val="20"/>
          <w:szCs w:val="20"/>
        </w:rPr>
        <w:t>Cruz Elvira Sandoval Polanco y Roberto F</w:t>
      </w:r>
      <w:r>
        <w:rPr>
          <w:rFonts w:ascii="Verdana" w:hAnsi="Verdana"/>
          <w:w w:val="95"/>
          <w:sz w:val="20"/>
          <w:szCs w:val="20"/>
        </w:rPr>
        <w:t>ranco Pérez.</w:t>
      </w:r>
    </w:p>
    <w:p w:rsidR="00DF15C3" w:rsidRDefault="00DF15C3" w:rsidP="003F26FD">
      <w:pPr>
        <w:pStyle w:val="NormalWeb"/>
        <w:spacing w:before="0" w:beforeAutospacing="0" w:after="0" w:afterAutospacing="0" w:line="216" w:lineRule="auto"/>
        <w:ind w:left="-142" w:right="-174"/>
        <w:jc w:val="both"/>
        <w:rPr>
          <w:rFonts w:ascii="Verdana" w:hAnsi="Verdana"/>
          <w:b/>
          <w:strike/>
          <w:w w:val="95"/>
          <w:sz w:val="20"/>
          <w:szCs w:val="20"/>
        </w:rPr>
      </w:pPr>
    </w:p>
    <w:p w:rsidR="00913E7D" w:rsidRPr="00913E7D" w:rsidRDefault="00DF15C3" w:rsidP="003F26FD">
      <w:pPr>
        <w:pStyle w:val="NormalWeb"/>
        <w:numPr>
          <w:ilvl w:val="0"/>
          <w:numId w:val="17"/>
        </w:numPr>
        <w:spacing w:before="0" w:beforeAutospacing="0" w:after="0" w:afterAutospacing="0" w:line="216" w:lineRule="auto"/>
        <w:ind w:left="-142" w:right="-174" w:firstLine="0"/>
        <w:jc w:val="both"/>
        <w:rPr>
          <w:rFonts w:ascii="Verdana" w:hAnsi="Verdana"/>
          <w:b/>
          <w:strike/>
          <w:w w:val="95"/>
          <w:sz w:val="20"/>
          <w:szCs w:val="20"/>
        </w:rPr>
      </w:pPr>
      <w:r w:rsidRPr="00830540">
        <w:rPr>
          <w:rFonts w:ascii="Verdana" w:hAnsi="Verdana"/>
          <w:w w:val="95"/>
          <w:sz w:val="20"/>
          <w:szCs w:val="20"/>
        </w:rPr>
        <w:t xml:space="preserve">Este Tribunal considera que las alegaciones referidas a la violación del artículo 19 de la Convención ya fueron examinadas en el capítulo anterior. Por otra parte, el Tribunal no advierte que en la investigación posterior al hallazgo del cuerpo hubiera medidas especiales que el Estado hubiera debido adoptar en función de carácter de niña de la víctima. Por lo tanto, la Corte no se </w:t>
      </w:r>
      <w:r w:rsidRPr="001E0CE4">
        <w:rPr>
          <w:rFonts w:ascii="Verdana" w:hAnsi="Verdana"/>
          <w:w w:val="95"/>
          <w:sz w:val="20"/>
          <w:szCs w:val="20"/>
        </w:rPr>
        <w:t>pronunciará al respecto en este apartado. Asimismo, en cuanto a la alegada vulneración al deber de garantizar los derechos de María Isabel Veliz Franco por la falta de investigación, lo pertinente, relativo a la conducta estatal hasta el momento del hallazgo del cuerpo, ya ha sido analizado (</w:t>
      </w:r>
      <w:r w:rsidRPr="001E0CE4">
        <w:rPr>
          <w:rFonts w:ascii="Verdana" w:hAnsi="Verdana"/>
          <w:i/>
          <w:w w:val="95"/>
          <w:sz w:val="20"/>
          <w:szCs w:val="20"/>
        </w:rPr>
        <w:t>supra</w:t>
      </w:r>
      <w:r w:rsidRPr="001E0CE4">
        <w:rPr>
          <w:rFonts w:ascii="Verdana" w:hAnsi="Verdana"/>
          <w:w w:val="95"/>
          <w:sz w:val="20"/>
          <w:szCs w:val="20"/>
        </w:rPr>
        <w:t xml:space="preserve"> párr. </w:t>
      </w:r>
      <w:r w:rsidR="00D97216">
        <w:rPr>
          <w:rFonts w:ascii="Verdana" w:hAnsi="Verdana"/>
          <w:w w:val="95"/>
          <w:sz w:val="20"/>
          <w:szCs w:val="20"/>
        </w:rPr>
        <w:t>157</w:t>
      </w:r>
      <w:r w:rsidR="00D019C2" w:rsidRPr="001E0CE4">
        <w:rPr>
          <w:rFonts w:ascii="Verdana" w:hAnsi="Verdana"/>
          <w:w w:val="95"/>
          <w:sz w:val="20"/>
          <w:szCs w:val="20"/>
        </w:rPr>
        <w:t>).</w:t>
      </w:r>
    </w:p>
    <w:p w:rsidR="00DF15C3" w:rsidRPr="001E0CE4" w:rsidRDefault="00D019C2" w:rsidP="003F26FD">
      <w:pPr>
        <w:pStyle w:val="NormalWeb"/>
        <w:spacing w:before="0" w:beforeAutospacing="0" w:after="0" w:afterAutospacing="0" w:line="216" w:lineRule="auto"/>
        <w:ind w:right="-174"/>
        <w:jc w:val="both"/>
        <w:rPr>
          <w:rFonts w:ascii="Verdana" w:hAnsi="Verdana"/>
          <w:b/>
          <w:strike/>
          <w:w w:val="95"/>
          <w:sz w:val="20"/>
          <w:szCs w:val="20"/>
        </w:rPr>
      </w:pPr>
      <w:r w:rsidRPr="001E0CE4">
        <w:rPr>
          <w:rFonts w:ascii="Verdana" w:hAnsi="Verdana"/>
          <w:w w:val="95"/>
          <w:sz w:val="20"/>
          <w:szCs w:val="20"/>
        </w:rPr>
        <w:t xml:space="preserve">  </w:t>
      </w:r>
      <w:r w:rsidRPr="001E0CE4">
        <w:rPr>
          <w:rFonts w:ascii="Verdana" w:hAnsi="Verdana"/>
          <w:b/>
          <w:w w:val="95"/>
          <w:sz w:val="16"/>
          <w:szCs w:val="16"/>
        </w:rPr>
        <w:t xml:space="preserve"> </w:t>
      </w:r>
    </w:p>
    <w:p w:rsidR="00DF15C3" w:rsidRPr="00B833E8" w:rsidRDefault="00DF15C3" w:rsidP="003F26FD">
      <w:pPr>
        <w:pStyle w:val="Ttulo1"/>
        <w:spacing w:before="0" w:after="0" w:line="216" w:lineRule="auto"/>
        <w:ind w:right="-174"/>
        <w:rPr>
          <w:w w:val="95"/>
          <w:szCs w:val="20"/>
          <w:lang w:val="es-MX"/>
        </w:rPr>
      </w:pPr>
      <w:bookmarkStart w:id="104" w:name="_Toc394313685"/>
      <w:r w:rsidRPr="00B833E8">
        <w:rPr>
          <w:w w:val="95"/>
          <w:szCs w:val="20"/>
          <w:lang w:val="es-MX"/>
        </w:rPr>
        <w:t>X</w:t>
      </w:r>
      <w:bookmarkEnd w:id="104"/>
    </w:p>
    <w:p w:rsidR="00DF15C3" w:rsidRPr="00B833E8" w:rsidRDefault="00DF15C3" w:rsidP="003F26FD">
      <w:pPr>
        <w:pStyle w:val="Ttulo1"/>
        <w:spacing w:before="0" w:after="0" w:line="216" w:lineRule="auto"/>
        <w:ind w:right="-174"/>
        <w:rPr>
          <w:w w:val="95"/>
          <w:szCs w:val="20"/>
          <w:lang w:val="es-MX"/>
        </w:rPr>
      </w:pPr>
      <w:bookmarkStart w:id="105" w:name="_Toc394313686"/>
      <w:r w:rsidRPr="00B833E8">
        <w:rPr>
          <w:w w:val="95"/>
          <w:szCs w:val="20"/>
          <w:lang w:val="es-MX"/>
        </w:rPr>
        <w:t>DERECHO A LA INTEGRIDAD PERSONAL DE LOS FAMILIARES</w:t>
      </w:r>
      <w:r w:rsidR="00CC0F98">
        <w:rPr>
          <w:w w:val="95"/>
          <w:szCs w:val="20"/>
          <w:lang w:val="es-MX"/>
        </w:rPr>
        <w:t>,</w:t>
      </w:r>
      <w:r w:rsidRPr="00B833E8">
        <w:rPr>
          <w:w w:val="95"/>
          <w:szCs w:val="20"/>
          <w:lang w:val="es-MX"/>
        </w:rPr>
        <w:t xml:space="preserve"> EN RELACION CON LAS OBLIGACIONES DE RESPETAR Y GARANTIZAR LOS DERECHOS</w:t>
      </w:r>
      <w:bookmarkEnd w:id="105"/>
    </w:p>
    <w:p w:rsidR="00DF15C3" w:rsidRPr="00B833E8" w:rsidRDefault="00DF15C3" w:rsidP="003F26FD">
      <w:pPr>
        <w:spacing w:after="0" w:line="216" w:lineRule="auto"/>
        <w:ind w:right="-174"/>
        <w:jc w:val="center"/>
        <w:rPr>
          <w:rFonts w:ascii="Verdana" w:hAnsi="Verdana"/>
          <w:b/>
          <w:w w:val="95"/>
          <w:sz w:val="20"/>
          <w:szCs w:val="20"/>
        </w:rPr>
      </w:pPr>
    </w:p>
    <w:p w:rsidR="00DF15C3" w:rsidRPr="00B833E8" w:rsidRDefault="00DF15C3" w:rsidP="003F26FD">
      <w:pPr>
        <w:pStyle w:val="Prrafodelista"/>
        <w:numPr>
          <w:ilvl w:val="0"/>
          <w:numId w:val="14"/>
        </w:numPr>
        <w:spacing w:after="0" w:line="216" w:lineRule="auto"/>
        <w:ind w:left="284" w:right="-174" w:hanging="11"/>
        <w:outlineLvl w:val="1"/>
        <w:rPr>
          <w:rFonts w:ascii="Verdana" w:hAnsi="Verdana"/>
          <w:b/>
          <w:w w:val="95"/>
          <w:sz w:val="20"/>
          <w:szCs w:val="20"/>
        </w:rPr>
      </w:pPr>
      <w:bookmarkStart w:id="106" w:name="_Toc394313687"/>
      <w:r w:rsidRPr="00B833E8">
        <w:rPr>
          <w:rFonts w:ascii="Verdana" w:hAnsi="Verdana"/>
          <w:b/>
          <w:w w:val="95"/>
          <w:sz w:val="20"/>
          <w:szCs w:val="20"/>
        </w:rPr>
        <w:t>Argumentos de la Comisión y de las partes</w:t>
      </w:r>
      <w:bookmarkEnd w:id="106"/>
    </w:p>
    <w:p w:rsidR="00DF15C3" w:rsidRPr="00B833E8" w:rsidRDefault="00DF15C3" w:rsidP="003F26FD">
      <w:pPr>
        <w:pStyle w:val="Default"/>
        <w:spacing w:line="216" w:lineRule="auto"/>
        <w:ind w:right="-174"/>
        <w:jc w:val="both"/>
        <w:rPr>
          <w:w w:val="95"/>
          <w:sz w:val="20"/>
          <w:szCs w:val="20"/>
        </w:rPr>
      </w:pPr>
    </w:p>
    <w:p w:rsidR="00DF15C3" w:rsidRPr="002B1610" w:rsidRDefault="00DF15C3" w:rsidP="003F26FD">
      <w:pPr>
        <w:pStyle w:val="Default"/>
        <w:numPr>
          <w:ilvl w:val="0"/>
          <w:numId w:val="17"/>
        </w:numPr>
        <w:spacing w:line="216" w:lineRule="auto"/>
        <w:ind w:left="-142" w:right="-174" w:firstLine="0"/>
        <w:jc w:val="both"/>
        <w:rPr>
          <w:w w:val="95"/>
          <w:sz w:val="20"/>
          <w:szCs w:val="20"/>
        </w:rPr>
      </w:pPr>
      <w:r w:rsidRPr="00B833E8">
        <w:rPr>
          <w:w w:val="95"/>
          <w:sz w:val="20"/>
          <w:szCs w:val="20"/>
        </w:rPr>
        <w:t xml:space="preserve">La </w:t>
      </w:r>
      <w:r w:rsidRPr="00B833E8">
        <w:rPr>
          <w:b/>
          <w:i/>
          <w:iCs/>
          <w:w w:val="95"/>
          <w:sz w:val="20"/>
          <w:szCs w:val="20"/>
        </w:rPr>
        <w:t>Comisión</w:t>
      </w:r>
      <w:r w:rsidRPr="00B833E8">
        <w:rPr>
          <w:i/>
          <w:iCs/>
          <w:w w:val="95"/>
          <w:sz w:val="20"/>
          <w:szCs w:val="20"/>
        </w:rPr>
        <w:t xml:space="preserve"> </w:t>
      </w:r>
      <w:r w:rsidRPr="00B833E8">
        <w:rPr>
          <w:w w:val="95"/>
          <w:sz w:val="20"/>
          <w:szCs w:val="20"/>
        </w:rPr>
        <w:t xml:space="preserve">señaló en su Informe de Fondo que el Estado violó el artículo 5.1 de la Convención, en relación con artículo 1.1 de la misma, en perjuicio de Rosa Elvira Franco Sandoval, Leonel Enrique </w:t>
      </w:r>
      <w:r>
        <w:rPr>
          <w:w w:val="95"/>
          <w:sz w:val="20"/>
          <w:szCs w:val="20"/>
        </w:rPr>
        <w:t>Veliz</w:t>
      </w:r>
      <w:r w:rsidRPr="00B833E8">
        <w:rPr>
          <w:w w:val="95"/>
          <w:sz w:val="20"/>
          <w:szCs w:val="20"/>
        </w:rPr>
        <w:t xml:space="preserve"> Franco, José Roberto Franco Sandoval, Cruz Elvira Sandoval Polanco y Roberto Franco Pérez, en virtud de que: “</w:t>
      </w:r>
      <w:r w:rsidRPr="00B833E8">
        <w:rPr>
          <w:rFonts w:cs="Arial"/>
          <w:w w:val="95"/>
          <w:sz w:val="20"/>
          <w:szCs w:val="20"/>
        </w:rPr>
        <w:t xml:space="preserve">ha quedado demostrado que los familiares de María Isabel </w:t>
      </w:r>
      <w:r>
        <w:rPr>
          <w:rFonts w:cs="Arial"/>
          <w:w w:val="95"/>
          <w:sz w:val="20"/>
          <w:szCs w:val="20"/>
        </w:rPr>
        <w:t>Veliz</w:t>
      </w:r>
      <w:r w:rsidRPr="00B833E8">
        <w:rPr>
          <w:rFonts w:cs="Arial"/>
          <w:w w:val="95"/>
          <w:sz w:val="20"/>
          <w:szCs w:val="20"/>
        </w:rPr>
        <w:t xml:space="preserve"> Franco han padecido un profundo sufrimiento </w:t>
      </w:r>
      <w:r w:rsidRPr="00B833E8">
        <w:rPr>
          <w:rFonts w:cs="Times New Roman"/>
          <w:w w:val="95"/>
          <w:sz w:val="20"/>
          <w:szCs w:val="20"/>
        </w:rPr>
        <w:t xml:space="preserve">y </w:t>
      </w:r>
      <w:r w:rsidRPr="00B833E8">
        <w:rPr>
          <w:rFonts w:cs="Arial"/>
          <w:w w:val="95"/>
          <w:sz w:val="20"/>
          <w:szCs w:val="20"/>
        </w:rPr>
        <w:t xml:space="preserve">angustia a consecuencia de las irregularidades y demoras del Estado </w:t>
      </w:r>
      <w:r w:rsidRPr="00B833E8">
        <w:rPr>
          <w:rFonts w:cs="Arial"/>
          <w:w w:val="95"/>
          <w:sz w:val="20"/>
          <w:szCs w:val="20"/>
        </w:rPr>
        <w:sym w:font="Symbol" w:char="F05B"/>
      </w:r>
      <w:r w:rsidRPr="00B833E8">
        <w:rPr>
          <w:rFonts w:cs="Arial"/>
          <w:w w:val="95"/>
          <w:sz w:val="20"/>
          <w:szCs w:val="20"/>
        </w:rPr>
        <w:t>…</w:t>
      </w:r>
      <w:r w:rsidRPr="00B833E8">
        <w:rPr>
          <w:rFonts w:cs="Arial"/>
          <w:w w:val="95"/>
          <w:sz w:val="20"/>
          <w:szCs w:val="20"/>
        </w:rPr>
        <w:sym w:font="Symbol" w:char="F05D"/>
      </w:r>
      <w:r w:rsidRPr="00B833E8">
        <w:rPr>
          <w:rFonts w:cs="Arial"/>
          <w:w w:val="95"/>
          <w:sz w:val="20"/>
          <w:szCs w:val="20"/>
        </w:rPr>
        <w:t xml:space="preserve"> en la </w:t>
      </w:r>
      <w:r w:rsidRPr="003622B1">
        <w:rPr>
          <w:rFonts w:cs="Arial"/>
          <w:w w:val="95"/>
          <w:sz w:val="20"/>
          <w:szCs w:val="20"/>
        </w:rPr>
        <w:t>prevención e  investigación</w:t>
      </w:r>
      <w:r w:rsidRPr="002B1610">
        <w:rPr>
          <w:rFonts w:cs="Arial"/>
          <w:w w:val="95"/>
          <w:sz w:val="20"/>
          <w:szCs w:val="20"/>
        </w:rPr>
        <w:t xml:space="preserve"> de su desaparición y posterior muerte, y que pese a la gravedad de los hechos, a nueve años desde que se encontró el cadáver asesinado, no hay</w:t>
      </w:r>
      <w:r>
        <w:rPr>
          <w:rFonts w:cs="Arial"/>
          <w:w w:val="95"/>
          <w:sz w:val="20"/>
          <w:szCs w:val="20"/>
        </w:rPr>
        <w:t>a sanción para los responsables</w:t>
      </w:r>
      <w:r w:rsidRPr="002B1610">
        <w:rPr>
          <w:rFonts w:cs="Arial"/>
          <w:w w:val="95"/>
          <w:sz w:val="20"/>
          <w:szCs w:val="20"/>
        </w:rPr>
        <w:t>”</w:t>
      </w:r>
      <w:r>
        <w:rPr>
          <w:rFonts w:cs="Arial"/>
          <w:w w:val="95"/>
          <w:sz w:val="20"/>
          <w:szCs w:val="20"/>
        </w:rPr>
        <w:t>.</w:t>
      </w:r>
      <w:r w:rsidRPr="002B1610">
        <w:rPr>
          <w:rFonts w:cs="Arial"/>
          <w:w w:val="95"/>
          <w:sz w:val="20"/>
          <w:szCs w:val="20"/>
        </w:rPr>
        <w:t xml:space="preserve"> Además observó “la escasa importancia y sensibilidad que los funcionarios estatales le otorgaron a las preocupaciones y al sufrimiento de la madre de María Isabel </w:t>
      </w:r>
      <w:r>
        <w:rPr>
          <w:rFonts w:cs="Arial"/>
          <w:w w:val="95"/>
          <w:sz w:val="20"/>
          <w:szCs w:val="20"/>
        </w:rPr>
        <w:t xml:space="preserve">Veliz </w:t>
      </w:r>
      <w:r w:rsidRPr="002B1610">
        <w:rPr>
          <w:rFonts w:cs="Arial"/>
          <w:w w:val="95"/>
          <w:sz w:val="20"/>
          <w:szCs w:val="20"/>
        </w:rPr>
        <w:t xml:space="preserve">Franco, cuando intentaba impulsar las investigaciones”. </w:t>
      </w:r>
    </w:p>
    <w:p w:rsidR="00DF15C3" w:rsidRPr="002B1610" w:rsidRDefault="00DF15C3" w:rsidP="003F26FD">
      <w:pPr>
        <w:pStyle w:val="Default"/>
        <w:spacing w:line="216" w:lineRule="auto"/>
        <w:ind w:left="-142" w:right="-174"/>
        <w:jc w:val="both"/>
        <w:rPr>
          <w:w w:val="95"/>
          <w:sz w:val="20"/>
          <w:szCs w:val="20"/>
        </w:rPr>
      </w:pPr>
    </w:p>
    <w:p w:rsidR="00DF15C3" w:rsidRPr="002B1610" w:rsidRDefault="00DF15C3" w:rsidP="003F26FD">
      <w:pPr>
        <w:pStyle w:val="Default"/>
        <w:numPr>
          <w:ilvl w:val="0"/>
          <w:numId w:val="17"/>
        </w:numPr>
        <w:spacing w:line="216" w:lineRule="auto"/>
        <w:ind w:left="-142" w:right="-174" w:firstLine="0"/>
        <w:jc w:val="both"/>
        <w:rPr>
          <w:w w:val="95"/>
          <w:sz w:val="20"/>
          <w:szCs w:val="20"/>
        </w:rPr>
      </w:pPr>
      <w:r w:rsidRPr="002B1610">
        <w:rPr>
          <w:w w:val="95"/>
          <w:sz w:val="20"/>
          <w:szCs w:val="20"/>
        </w:rPr>
        <w:t xml:space="preserve">La </w:t>
      </w:r>
      <w:r w:rsidRPr="002B1610">
        <w:rPr>
          <w:b/>
          <w:i/>
          <w:iCs/>
          <w:w w:val="95"/>
          <w:sz w:val="20"/>
          <w:szCs w:val="20"/>
        </w:rPr>
        <w:t>representante</w:t>
      </w:r>
      <w:r w:rsidRPr="002B1610">
        <w:rPr>
          <w:i/>
          <w:iCs/>
          <w:w w:val="95"/>
          <w:sz w:val="20"/>
          <w:szCs w:val="20"/>
        </w:rPr>
        <w:t xml:space="preserve"> </w:t>
      </w:r>
      <w:r w:rsidRPr="002B1610">
        <w:rPr>
          <w:w w:val="95"/>
          <w:sz w:val="20"/>
          <w:szCs w:val="20"/>
        </w:rPr>
        <w:t>coincid</w:t>
      </w:r>
      <w:r>
        <w:rPr>
          <w:w w:val="95"/>
          <w:sz w:val="20"/>
          <w:szCs w:val="20"/>
        </w:rPr>
        <w:t>ió</w:t>
      </w:r>
      <w:r w:rsidRPr="002B1610">
        <w:rPr>
          <w:w w:val="95"/>
          <w:sz w:val="20"/>
          <w:szCs w:val="20"/>
        </w:rPr>
        <w:t xml:space="preserve"> con lo sostenido por la Comisión y señal</w:t>
      </w:r>
      <w:r>
        <w:rPr>
          <w:w w:val="95"/>
          <w:sz w:val="20"/>
          <w:szCs w:val="20"/>
        </w:rPr>
        <w:t>ó</w:t>
      </w:r>
      <w:r w:rsidRPr="002B1610">
        <w:rPr>
          <w:w w:val="95"/>
          <w:sz w:val="20"/>
          <w:szCs w:val="20"/>
        </w:rPr>
        <w:t xml:space="preserve"> que su madre, sus abuelos y hermanos “vivían con María Isabel al momento de su muerte y mantenían una relación cercana con ella, por lo que experimentaron angustia e incertidumbre ante la inacción de las autoridades una vez que se reportó la desaparición”. Agreg</w:t>
      </w:r>
      <w:r>
        <w:rPr>
          <w:w w:val="95"/>
          <w:sz w:val="20"/>
          <w:szCs w:val="20"/>
        </w:rPr>
        <w:t>ó</w:t>
      </w:r>
      <w:r w:rsidRPr="002B1610">
        <w:rPr>
          <w:w w:val="95"/>
          <w:sz w:val="20"/>
          <w:szCs w:val="20"/>
        </w:rPr>
        <w:t xml:space="preserve"> </w:t>
      </w:r>
      <w:r w:rsidRPr="002B1610">
        <w:rPr>
          <w:rFonts w:cs="Arial"/>
          <w:w w:val="95"/>
          <w:sz w:val="20"/>
          <w:szCs w:val="20"/>
        </w:rPr>
        <w:t>que “</w:t>
      </w:r>
      <w:r w:rsidRPr="002B1610">
        <w:rPr>
          <w:rFonts w:cs="Arial"/>
          <w:w w:val="95"/>
          <w:sz w:val="20"/>
          <w:szCs w:val="20"/>
        </w:rPr>
        <w:sym w:font="Symbol" w:char="F05B"/>
      </w:r>
      <w:r w:rsidRPr="002B1610">
        <w:rPr>
          <w:rFonts w:cs="Arial"/>
          <w:w w:val="95"/>
          <w:sz w:val="20"/>
          <w:szCs w:val="20"/>
        </w:rPr>
        <w:t>…</w:t>
      </w:r>
      <w:r w:rsidRPr="002B1610">
        <w:rPr>
          <w:rFonts w:cs="Arial"/>
          <w:w w:val="95"/>
          <w:sz w:val="20"/>
          <w:szCs w:val="20"/>
        </w:rPr>
        <w:sym w:font="Symbol" w:char="F05D"/>
      </w:r>
      <w:r w:rsidRPr="002B1610">
        <w:rPr>
          <w:rFonts w:cs="Arial"/>
          <w:w w:val="95"/>
          <w:sz w:val="20"/>
          <w:szCs w:val="20"/>
        </w:rPr>
        <w:t xml:space="preserve"> a lo largo del proceso de investigación, se calificó a María Isabel de ser una persona que “tenía relación con maras”, “tenía muchos novios” e incluso se hizo referencia a ella como “la loca”. Además se ha calificado a su madre como negligente</w:t>
      </w:r>
      <w:r w:rsidRPr="002B1610">
        <w:rPr>
          <w:rFonts w:cs="Arial"/>
          <w:w w:val="95"/>
          <w:sz w:val="20"/>
          <w:szCs w:val="20"/>
        </w:rPr>
        <w:sym w:font="Symbol" w:char="F05B"/>
      </w:r>
      <w:r w:rsidRPr="002B1610">
        <w:rPr>
          <w:rFonts w:cs="Arial"/>
          <w:w w:val="95"/>
          <w:sz w:val="20"/>
          <w:szCs w:val="20"/>
        </w:rPr>
        <w:t>…</w:t>
      </w:r>
      <w:r w:rsidRPr="002B1610">
        <w:rPr>
          <w:rFonts w:cs="Arial"/>
          <w:w w:val="95"/>
          <w:sz w:val="20"/>
          <w:szCs w:val="20"/>
        </w:rPr>
        <w:sym w:font="Symbol" w:char="F05D"/>
      </w:r>
      <w:r w:rsidRPr="002B1610">
        <w:rPr>
          <w:rFonts w:cs="Arial"/>
          <w:w w:val="95"/>
          <w:sz w:val="20"/>
          <w:szCs w:val="20"/>
        </w:rPr>
        <w:t>”; estos ca</w:t>
      </w:r>
      <w:r>
        <w:rPr>
          <w:rFonts w:cs="Arial"/>
          <w:w w:val="95"/>
          <w:sz w:val="20"/>
          <w:szCs w:val="20"/>
        </w:rPr>
        <w:t xml:space="preserve">lificativos </w:t>
      </w:r>
      <w:r w:rsidRPr="002B1610">
        <w:rPr>
          <w:rFonts w:cs="Arial"/>
          <w:w w:val="95"/>
          <w:sz w:val="20"/>
          <w:szCs w:val="20"/>
        </w:rPr>
        <w:t xml:space="preserve">“aumentaron el profundo sufrimiento que ya experimentaban los familiares de María Isabel”. </w:t>
      </w:r>
    </w:p>
    <w:p w:rsidR="00DF15C3" w:rsidRPr="002B1610" w:rsidRDefault="00DF15C3" w:rsidP="003F26FD">
      <w:pPr>
        <w:pStyle w:val="Prrafodelista"/>
        <w:spacing w:after="0" w:line="216" w:lineRule="auto"/>
        <w:ind w:right="-174"/>
        <w:jc w:val="both"/>
        <w:rPr>
          <w:rFonts w:ascii="Verdana" w:hAnsi="Verdana" w:cs="Arial"/>
          <w:b/>
          <w:w w:val="95"/>
          <w:sz w:val="20"/>
          <w:szCs w:val="20"/>
          <w:lang w:val="es-CR"/>
        </w:rPr>
      </w:pPr>
    </w:p>
    <w:p w:rsidR="00DF15C3" w:rsidRPr="002B1610" w:rsidRDefault="00DF15C3" w:rsidP="003F26FD">
      <w:pPr>
        <w:pStyle w:val="Default"/>
        <w:numPr>
          <w:ilvl w:val="0"/>
          <w:numId w:val="17"/>
        </w:numPr>
        <w:spacing w:line="216" w:lineRule="auto"/>
        <w:ind w:left="-142" w:right="-174" w:firstLine="0"/>
        <w:jc w:val="both"/>
        <w:rPr>
          <w:w w:val="95"/>
          <w:sz w:val="20"/>
          <w:szCs w:val="20"/>
        </w:rPr>
      </w:pPr>
      <w:r w:rsidRPr="002B1610">
        <w:rPr>
          <w:rFonts w:cs="Arial"/>
          <w:b/>
          <w:w w:val="95"/>
          <w:sz w:val="20"/>
          <w:szCs w:val="20"/>
        </w:rPr>
        <w:t xml:space="preserve"> </w:t>
      </w:r>
      <w:r w:rsidRPr="002B1610">
        <w:rPr>
          <w:rFonts w:cs="Arial"/>
          <w:w w:val="95"/>
          <w:sz w:val="20"/>
          <w:szCs w:val="20"/>
        </w:rPr>
        <w:t>Además, argument</w:t>
      </w:r>
      <w:r>
        <w:rPr>
          <w:rFonts w:cs="Arial"/>
          <w:w w:val="95"/>
          <w:sz w:val="20"/>
          <w:szCs w:val="20"/>
        </w:rPr>
        <w:t>ó</w:t>
      </w:r>
      <w:r w:rsidRPr="002B1610">
        <w:rPr>
          <w:rFonts w:cs="Arial"/>
          <w:w w:val="95"/>
          <w:sz w:val="20"/>
          <w:szCs w:val="20"/>
        </w:rPr>
        <w:t xml:space="preserve"> que “</w:t>
      </w:r>
      <w:r w:rsidRPr="002B1610">
        <w:rPr>
          <w:w w:val="95"/>
          <w:sz w:val="20"/>
          <w:szCs w:val="20"/>
        </w:rPr>
        <w:sym w:font="Symbol" w:char="F05B"/>
      </w:r>
      <w:r w:rsidRPr="002B1610">
        <w:rPr>
          <w:rFonts w:cs="Arial"/>
          <w:w w:val="95"/>
          <w:sz w:val="20"/>
          <w:szCs w:val="20"/>
        </w:rPr>
        <w:t>l</w:t>
      </w:r>
      <w:r w:rsidRPr="002B1610">
        <w:rPr>
          <w:w w:val="95"/>
          <w:sz w:val="20"/>
          <w:szCs w:val="20"/>
        </w:rPr>
        <w:sym w:font="Symbol" w:char="F05D"/>
      </w:r>
      <w:r w:rsidRPr="002B1610">
        <w:rPr>
          <w:rFonts w:cs="Arial"/>
          <w:w w:val="95"/>
          <w:sz w:val="20"/>
          <w:szCs w:val="20"/>
        </w:rPr>
        <w:t>a señora Rosa Elvira en su empeño por obtener justicia para su hija, se ha visto expuesta a múltiples amenazas y hostigamientos que han sido motivo de angustia y dolor, no solo para ella, sino para los hermanos y abuelos de María Isabel, frente a la posibilidad de que esta pueda ver afectada su integridad personal o incluso su vida</w:t>
      </w:r>
      <w:r>
        <w:rPr>
          <w:rFonts w:cs="Arial"/>
          <w:w w:val="95"/>
          <w:sz w:val="20"/>
          <w:szCs w:val="20"/>
        </w:rPr>
        <w:t xml:space="preserve"> </w:t>
      </w:r>
      <w:r w:rsidRPr="002B1610">
        <w:rPr>
          <w:rFonts w:cs="Arial"/>
          <w:w w:val="95"/>
          <w:sz w:val="20"/>
          <w:szCs w:val="20"/>
        </w:rPr>
        <w:sym w:font="Symbol" w:char="F05B"/>
      </w:r>
      <w:r w:rsidRPr="002B1610">
        <w:rPr>
          <w:rFonts w:cs="Arial"/>
          <w:w w:val="95"/>
          <w:sz w:val="20"/>
          <w:szCs w:val="20"/>
        </w:rPr>
        <w:t>…</w:t>
      </w:r>
      <w:r w:rsidRPr="002B1610">
        <w:rPr>
          <w:rFonts w:cs="Arial"/>
          <w:w w:val="95"/>
          <w:sz w:val="20"/>
          <w:szCs w:val="20"/>
        </w:rPr>
        <w:sym w:font="Symbol" w:char="F05D"/>
      </w:r>
      <w:r w:rsidRPr="002B1610">
        <w:rPr>
          <w:rFonts w:cs="Arial"/>
          <w:w w:val="95"/>
          <w:sz w:val="20"/>
          <w:szCs w:val="20"/>
        </w:rPr>
        <w:t>”. Finalmente, las representantes mencionaron que “</w:t>
      </w:r>
      <w:r w:rsidRPr="002B1610">
        <w:rPr>
          <w:w w:val="95"/>
          <w:sz w:val="20"/>
          <w:szCs w:val="20"/>
        </w:rPr>
        <w:sym w:font="Symbol" w:char="F05B"/>
      </w:r>
      <w:r w:rsidRPr="002B1610">
        <w:rPr>
          <w:rFonts w:cs="Arial"/>
          <w:w w:val="95"/>
          <w:sz w:val="20"/>
          <w:szCs w:val="20"/>
        </w:rPr>
        <w:t>l</w:t>
      </w:r>
      <w:r w:rsidRPr="002B1610">
        <w:rPr>
          <w:w w:val="95"/>
          <w:sz w:val="20"/>
          <w:szCs w:val="20"/>
        </w:rPr>
        <w:sym w:font="Symbol" w:char="F05D"/>
      </w:r>
      <w:r w:rsidRPr="002B1610">
        <w:rPr>
          <w:rFonts w:cs="Arial"/>
          <w:w w:val="95"/>
          <w:sz w:val="20"/>
          <w:szCs w:val="20"/>
        </w:rPr>
        <w:t>os hechos del presente caso, no dejan duda de los sufrimientos que experimentó la niña María Isabel</w:t>
      </w:r>
      <w:r w:rsidR="00BD3EAF">
        <w:rPr>
          <w:rFonts w:cs="Arial"/>
          <w:w w:val="95"/>
          <w:sz w:val="20"/>
          <w:szCs w:val="20"/>
        </w:rPr>
        <w:t xml:space="preserve">. </w:t>
      </w:r>
      <w:r>
        <w:rPr>
          <w:rFonts w:cs="Arial"/>
          <w:w w:val="95"/>
          <w:sz w:val="20"/>
          <w:szCs w:val="20"/>
        </w:rPr>
        <w:t>E</w:t>
      </w:r>
      <w:r w:rsidRPr="002B1610">
        <w:rPr>
          <w:rFonts w:cs="Arial"/>
          <w:w w:val="95"/>
          <w:sz w:val="20"/>
          <w:szCs w:val="20"/>
        </w:rPr>
        <w:t xml:space="preserve">stos hechos también afectaron profundamente a su madre, hermanos, abuela y abuelo, quienes además de vivir la angustia de su desaparición y el sufrimiento por la pérdida de un ser querido, tuvieron que afrontar el descredito y los ataques a la memoria de </w:t>
      </w:r>
      <w:r w:rsidR="005A3D77">
        <w:rPr>
          <w:rFonts w:cs="Arial"/>
          <w:w w:val="95"/>
          <w:sz w:val="20"/>
          <w:szCs w:val="20"/>
        </w:rPr>
        <w:t>María Isabel</w:t>
      </w:r>
      <w:r w:rsidRPr="002B1610">
        <w:rPr>
          <w:rFonts w:cs="Arial"/>
          <w:w w:val="95"/>
          <w:sz w:val="20"/>
          <w:szCs w:val="20"/>
        </w:rPr>
        <w:t xml:space="preserve">”. </w:t>
      </w:r>
    </w:p>
    <w:p w:rsidR="00DF15C3" w:rsidRPr="002B1610" w:rsidRDefault="00DF15C3" w:rsidP="003F26FD">
      <w:pPr>
        <w:pStyle w:val="Prrafodelista"/>
        <w:spacing w:after="0" w:line="216" w:lineRule="auto"/>
        <w:ind w:right="-174"/>
        <w:jc w:val="both"/>
        <w:rPr>
          <w:rFonts w:ascii="Verdana" w:hAnsi="Verdana"/>
          <w:w w:val="95"/>
          <w:sz w:val="20"/>
          <w:szCs w:val="20"/>
        </w:rPr>
      </w:pPr>
    </w:p>
    <w:p w:rsidR="00DF15C3" w:rsidRPr="002B1610" w:rsidRDefault="00DF15C3" w:rsidP="003F26FD">
      <w:pPr>
        <w:pStyle w:val="Default"/>
        <w:numPr>
          <w:ilvl w:val="0"/>
          <w:numId w:val="17"/>
        </w:numPr>
        <w:spacing w:line="216" w:lineRule="auto"/>
        <w:ind w:left="-142" w:right="-174" w:firstLine="0"/>
        <w:jc w:val="both"/>
        <w:rPr>
          <w:w w:val="95"/>
          <w:sz w:val="20"/>
          <w:szCs w:val="20"/>
        </w:rPr>
      </w:pPr>
      <w:r w:rsidRPr="002B1610">
        <w:rPr>
          <w:w w:val="95"/>
          <w:sz w:val="20"/>
          <w:szCs w:val="20"/>
        </w:rPr>
        <w:t xml:space="preserve">El </w:t>
      </w:r>
      <w:r w:rsidRPr="002B1610">
        <w:rPr>
          <w:b/>
          <w:i/>
          <w:w w:val="95"/>
          <w:sz w:val="20"/>
          <w:szCs w:val="20"/>
        </w:rPr>
        <w:t>Estado</w:t>
      </w:r>
      <w:r w:rsidRPr="002B1610">
        <w:rPr>
          <w:w w:val="95"/>
          <w:sz w:val="20"/>
          <w:szCs w:val="20"/>
        </w:rPr>
        <w:t xml:space="preserve"> argumentó que “está probado con el contenido de los expedientes de investigación, que no trasgredió los derechos de la víctima ni de su madre” y manifestó que “lamenta y se solidariza con [los familiares de María Isabel] por el sufrimiento que les ha podido producir su trágico fallecimiento, sin embargo el sufrimiento producido por los hechos es una consecuencia de su acaecimiento y no es causado por el Estado”. Agregó que “dentro de las instituciones públicas respectivas el Estado cuenta con atención psicológica que los peticionarios podrían haber utilizado de considerar necesario algún tratamiento para resguardar su integridad psíquica y oral; sin embargo no consta que en algún momento hayan requerido dicho apoyo”.</w:t>
      </w:r>
    </w:p>
    <w:p w:rsidR="00DF15C3" w:rsidRPr="002B1610" w:rsidRDefault="00DF15C3" w:rsidP="003F26FD">
      <w:pPr>
        <w:pStyle w:val="Prrafodelista"/>
        <w:spacing w:after="0" w:line="216" w:lineRule="auto"/>
        <w:ind w:right="-174"/>
        <w:jc w:val="both"/>
        <w:rPr>
          <w:rFonts w:ascii="Verdana" w:hAnsi="Verdana"/>
          <w:w w:val="95"/>
          <w:sz w:val="20"/>
          <w:szCs w:val="20"/>
        </w:rPr>
      </w:pPr>
    </w:p>
    <w:p w:rsidR="00DF15C3" w:rsidRPr="002B1610" w:rsidRDefault="00DF15C3" w:rsidP="003F26FD">
      <w:pPr>
        <w:pStyle w:val="Default"/>
        <w:numPr>
          <w:ilvl w:val="0"/>
          <w:numId w:val="17"/>
        </w:numPr>
        <w:spacing w:line="216" w:lineRule="auto"/>
        <w:ind w:left="-142" w:right="-174" w:firstLine="0"/>
        <w:jc w:val="both"/>
        <w:rPr>
          <w:w w:val="95"/>
          <w:sz w:val="20"/>
          <w:szCs w:val="20"/>
        </w:rPr>
      </w:pPr>
      <w:r w:rsidRPr="002B1610">
        <w:rPr>
          <w:w w:val="95"/>
          <w:sz w:val="20"/>
          <w:szCs w:val="20"/>
        </w:rPr>
        <w:t>En relación al trato que habrían recibido María Isabel y su madre a lo largo del proceso de investigación, el Estado argumentó que “los funcionarios del Estado en ninguna forma han tratado a Rosa Elvira Franco Sandoval sin humanidad y respeto”. Durante la audiencia pública ante la Corte, el Estado manifestó que “no se encuentran elementos que demuestren actos de desprecio público, persecución o discriminación en agravio de [los] familiares [de María Isabel]”.</w:t>
      </w:r>
    </w:p>
    <w:p w:rsidR="00DF15C3" w:rsidRPr="002B1610" w:rsidRDefault="00DF15C3" w:rsidP="003F26FD">
      <w:pPr>
        <w:pStyle w:val="Prrafodelista"/>
        <w:spacing w:after="0" w:line="216" w:lineRule="auto"/>
        <w:ind w:right="-174"/>
        <w:jc w:val="both"/>
        <w:rPr>
          <w:rFonts w:ascii="Verdana" w:hAnsi="Verdana"/>
          <w:w w:val="95"/>
          <w:sz w:val="20"/>
          <w:szCs w:val="20"/>
        </w:rPr>
      </w:pPr>
    </w:p>
    <w:p w:rsidR="00DF15C3" w:rsidRPr="002B1610" w:rsidRDefault="00DF15C3" w:rsidP="003F26FD">
      <w:pPr>
        <w:pStyle w:val="Default"/>
        <w:numPr>
          <w:ilvl w:val="0"/>
          <w:numId w:val="17"/>
        </w:numPr>
        <w:spacing w:line="216" w:lineRule="auto"/>
        <w:ind w:left="-142" w:right="-174" w:firstLine="0"/>
        <w:jc w:val="both"/>
        <w:rPr>
          <w:w w:val="95"/>
          <w:sz w:val="20"/>
          <w:szCs w:val="20"/>
        </w:rPr>
      </w:pPr>
      <w:r w:rsidRPr="002B1610">
        <w:rPr>
          <w:w w:val="95"/>
          <w:sz w:val="20"/>
          <w:szCs w:val="20"/>
        </w:rPr>
        <w:t>Finalmente, en lo que respecta a las amenazas y hostigamientos a los familiares de María Isabel, el Estado manifestó que “ha obedecido [a] la orden de proteger extraordinariamente la vida e integridad de los familiares de [María Isabel] mediante la provisión de medidas cautelares [de la Comisión Interamericana]”.</w:t>
      </w:r>
    </w:p>
    <w:p w:rsidR="00DF15C3" w:rsidRPr="002B1610" w:rsidRDefault="00DF15C3" w:rsidP="003F26FD">
      <w:pPr>
        <w:spacing w:after="0" w:line="216" w:lineRule="auto"/>
        <w:ind w:right="-174"/>
        <w:jc w:val="both"/>
        <w:rPr>
          <w:rFonts w:ascii="Verdana" w:hAnsi="Verdana"/>
          <w:b/>
          <w:w w:val="95"/>
          <w:sz w:val="20"/>
          <w:szCs w:val="20"/>
        </w:rPr>
      </w:pPr>
    </w:p>
    <w:p w:rsidR="00DF15C3" w:rsidRPr="002B1610" w:rsidRDefault="00DF15C3" w:rsidP="003F26FD">
      <w:pPr>
        <w:pStyle w:val="Prrafodelista"/>
        <w:numPr>
          <w:ilvl w:val="0"/>
          <w:numId w:val="14"/>
        </w:numPr>
        <w:spacing w:after="0" w:line="216" w:lineRule="auto"/>
        <w:ind w:left="284" w:right="-174" w:hanging="11"/>
        <w:jc w:val="both"/>
        <w:outlineLvl w:val="1"/>
        <w:rPr>
          <w:rFonts w:ascii="Verdana" w:hAnsi="Verdana"/>
          <w:b/>
          <w:w w:val="95"/>
          <w:sz w:val="20"/>
          <w:szCs w:val="20"/>
        </w:rPr>
      </w:pPr>
      <w:bookmarkStart w:id="107" w:name="_Toc394313688"/>
      <w:r w:rsidRPr="002B1610">
        <w:rPr>
          <w:rFonts w:ascii="Verdana" w:hAnsi="Verdana"/>
          <w:b/>
          <w:w w:val="95"/>
          <w:sz w:val="20"/>
          <w:szCs w:val="20"/>
        </w:rPr>
        <w:t>Consideraciones de la Corte</w:t>
      </w:r>
      <w:bookmarkEnd w:id="107"/>
    </w:p>
    <w:p w:rsidR="00DF15C3" w:rsidRPr="002B1610" w:rsidRDefault="00DF15C3" w:rsidP="003F26FD">
      <w:pPr>
        <w:pStyle w:val="Prrafodelista"/>
        <w:spacing w:after="0" w:line="216" w:lineRule="auto"/>
        <w:ind w:left="-142" w:right="-174"/>
        <w:jc w:val="both"/>
        <w:rPr>
          <w:rFonts w:ascii="Verdana" w:hAnsi="Verdana"/>
          <w:w w:val="95"/>
          <w:sz w:val="20"/>
          <w:szCs w:val="20"/>
        </w:rPr>
      </w:pPr>
    </w:p>
    <w:p w:rsidR="00DF15C3" w:rsidRPr="002B1610" w:rsidRDefault="00DF15C3" w:rsidP="003F26FD">
      <w:pPr>
        <w:pStyle w:val="Prrafodelista"/>
        <w:numPr>
          <w:ilvl w:val="0"/>
          <w:numId w:val="17"/>
        </w:numPr>
        <w:spacing w:after="0" w:line="216" w:lineRule="auto"/>
        <w:ind w:left="-142" w:right="-174" w:firstLine="0"/>
        <w:jc w:val="both"/>
        <w:rPr>
          <w:rFonts w:ascii="Verdana" w:hAnsi="Verdana"/>
          <w:w w:val="95"/>
          <w:sz w:val="20"/>
          <w:szCs w:val="20"/>
        </w:rPr>
      </w:pPr>
      <w:r w:rsidRPr="002B1610">
        <w:rPr>
          <w:rFonts w:ascii="Verdana" w:hAnsi="Verdana"/>
          <w:w w:val="95"/>
          <w:sz w:val="20"/>
        </w:rPr>
        <w:t>La Corte ha considerado en numerosos casos que los familiares de las víctimas de violaciones de los derechos humanos pueden ser, a su vez, víctimas</w:t>
      </w:r>
      <w:r w:rsidRPr="002B1610">
        <w:rPr>
          <w:rStyle w:val="Refdenotaalpie"/>
          <w:rFonts w:ascii="Verdana" w:hAnsi="Verdana"/>
          <w:w w:val="95"/>
          <w:sz w:val="20"/>
        </w:rPr>
        <w:footnoteReference w:id="334"/>
      </w:r>
      <w:r w:rsidRPr="002B1610">
        <w:rPr>
          <w:rFonts w:ascii="Verdana" w:hAnsi="Verdana"/>
          <w:w w:val="95"/>
          <w:sz w:val="20"/>
        </w:rPr>
        <w:t xml:space="preserve">. En este punto, la Corte ha entendido violado el derecho a la integridad psíquica y moral de algunos familiares de las víctimas con motivo del sufrimiento adicional que estos han padecido como producto de las circunstancias particulares de las violaciones perpetradas contra sus seres </w:t>
      </w:r>
      <w:r w:rsidRPr="002B1610">
        <w:rPr>
          <w:rFonts w:ascii="Verdana" w:hAnsi="Verdana"/>
          <w:w w:val="95"/>
          <w:sz w:val="20"/>
          <w:szCs w:val="20"/>
        </w:rPr>
        <w:t>queridos y a causa de las posteriores actuaciones u omisiones de las autoridades estatales frente a los hechos</w:t>
      </w:r>
      <w:r w:rsidRPr="002B1610">
        <w:rPr>
          <w:rStyle w:val="Refdenotaalpie"/>
          <w:rFonts w:ascii="Verdana" w:hAnsi="Verdana"/>
          <w:w w:val="95"/>
          <w:sz w:val="20"/>
        </w:rPr>
        <w:footnoteReference w:id="335"/>
      </w:r>
      <w:r w:rsidRPr="002B1610">
        <w:rPr>
          <w:rFonts w:ascii="Verdana" w:hAnsi="Verdana"/>
          <w:w w:val="95"/>
          <w:sz w:val="20"/>
          <w:szCs w:val="20"/>
        </w:rPr>
        <w:t>.</w:t>
      </w:r>
    </w:p>
    <w:p w:rsidR="00DF15C3" w:rsidRPr="002B1610" w:rsidRDefault="00DF15C3" w:rsidP="003F26FD">
      <w:pPr>
        <w:pStyle w:val="Prrafodelista"/>
        <w:spacing w:after="0" w:line="216" w:lineRule="auto"/>
        <w:ind w:left="-142" w:right="-174"/>
        <w:jc w:val="both"/>
        <w:rPr>
          <w:rFonts w:ascii="Verdana" w:hAnsi="Verdana"/>
          <w:w w:val="95"/>
          <w:sz w:val="20"/>
          <w:szCs w:val="20"/>
        </w:rPr>
      </w:pPr>
    </w:p>
    <w:p w:rsidR="00DF15C3" w:rsidRPr="002B1610" w:rsidRDefault="00DF15C3" w:rsidP="003F26FD">
      <w:pPr>
        <w:pStyle w:val="Prrafodelista"/>
        <w:numPr>
          <w:ilvl w:val="0"/>
          <w:numId w:val="17"/>
        </w:numPr>
        <w:spacing w:after="0" w:line="216" w:lineRule="auto"/>
        <w:ind w:left="-142" w:right="-174" w:firstLine="0"/>
        <w:jc w:val="both"/>
        <w:rPr>
          <w:rFonts w:ascii="Verdana" w:hAnsi="Verdana"/>
          <w:w w:val="95"/>
          <w:sz w:val="20"/>
          <w:szCs w:val="20"/>
        </w:rPr>
      </w:pPr>
      <w:r w:rsidRPr="002B1610">
        <w:rPr>
          <w:rFonts w:ascii="Verdana" w:hAnsi="Verdana"/>
          <w:w w:val="95"/>
          <w:sz w:val="20"/>
          <w:szCs w:val="20"/>
          <w:lang w:val="es-CR"/>
        </w:rPr>
        <w:t xml:space="preserve">En el caso </w:t>
      </w:r>
      <w:r w:rsidRPr="002B1610">
        <w:rPr>
          <w:rFonts w:ascii="Verdana" w:hAnsi="Verdana"/>
          <w:i/>
          <w:w w:val="95"/>
          <w:sz w:val="20"/>
          <w:szCs w:val="20"/>
          <w:lang w:val="es-CR"/>
        </w:rPr>
        <w:t>sub</w:t>
      </w:r>
      <w:r>
        <w:rPr>
          <w:rFonts w:ascii="Verdana" w:hAnsi="Verdana"/>
          <w:i/>
          <w:w w:val="95"/>
          <w:sz w:val="20"/>
          <w:szCs w:val="20"/>
          <w:lang w:val="es-CR"/>
        </w:rPr>
        <w:t xml:space="preserve"> </w:t>
      </w:r>
      <w:r w:rsidRPr="002B1610">
        <w:rPr>
          <w:rFonts w:ascii="Verdana" w:hAnsi="Verdana"/>
          <w:i/>
          <w:w w:val="95"/>
          <w:sz w:val="20"/>
          <w:szCs w:val="20"/>
          <w:lang w:val="es-CR"/>
        </w:rPr>
        <w:t>judice</w:t>
      </w:r>
      <w:r w:rsidRPr="002B1610">
        <w:rPr>
          <w:rFonts w:ascii="Verdana" w:hAnsi="Verdana"/>
          <w:w w:val="95"/>
          <w:sz w:val="20"/>
          <w:szCs w:val="20"/>
          <w:lang w:val="es-CR"/>
        </w:rPr>
        <w:t xml:space="preserve"> la Corte considera oportuno señalar que estableció la responsabilidad internacional del Estado por la falta de prevención en relación con la privación de la vida e integridad personal, así como por la falta a la protección y garantías judiciales, en relación con la falta de debida diligencia en las investigaciones efectuadas. En particular, se demostró que el Estado tuvo conocimiento del riesgo de la niña a partir de la denuncia y no adoptó las diligencias para prevenirlo y evitar su concreción</w:t>
      </w:r>
      <w:r>
        <w:rPr>
          <w:rFonts w:ascii="Verdana" w:hAnsi="Verdana"/>
          <w:w w:val="95"/>
          <w:sz w:val="20"/>
          <w:szCs w:val="20"/>
          <w:lang w:val="es-CR"/>
        </w:rPr>
        <w:t>,</w:t>
      </w:r>
      <w:r w:rsidRPr="002B1610">
        <w:rPr>
          <w:rFonts w:ascii="Verdana" w:hAnsi="Verdana"/>
          <w:w w:val="95"/>
          <w:sz w:val="20"/>
          <w:szCs w:val="20"/>
          <w:lang w:val="es-CR"/>
        </w:rPr>
        <w:t xml:space="preserve"> y las autoridades estatales no realizaron acciones diligentes en forma oportuna para investigar dentro de un plazo razonable el homicidio de María Isabel Veliz Franco. Dado </w:t>
      </w:r>
      <w:r w:rsidRPr="002B1610">
        <w:rPr>
          <w:rFonts w:ascii="Verdana" w:hAnsi="Verdana"/>
          <w:w w:val="95"/>
          <w:sz w:val="20"/>
          <w:szCs w:val="20"/>
        </w:rPr>
        <w:t>lo anterior, la Corte analizará los argumentos respecto a las afectaciones a la integridad personal de los familiares de María Isabel que hayan sido ocasionadas por la falta de diligencia en la prevención del hecho y las investigaciones y su trámite sesgado, así como por las amenazas y actos de hostigamientos recibidos.</w:t>
      </w:r>
    </w:p>
    <w:p w:rsidR="00DF15C3" w:rsidRPr="002B1610" w:rsidRDefault="00DF15C3" w:rsidP="003F26FD">
      <w:pPr>
        <w:pStyle w:val="Prrafodelista"/>
        <w:spacing w:after="0" w:line="216" w:lineRule="auto"/>
        <w:ind w:right="-174"/>
        <w:rPr>
          <w:rFonts w:ascii="Verdana" w:hAnsi="Verdana" w:cs="Arial"/>
          <w:w w:val="95"/>
          <w:sz w:val="20"/>
          <w:szCs w:val="20"/>
        </w:rPr>
      </w:pPr>
    </w:p>
    <w:p w:rsidR="00DF15C3" w:rsidRPr="002B1610" w:rsidRDefault="00DF15C3" w:rsidP="003F26FD">
      <w:pPr>
        <w:pStyle w:val="Prrafodelista"/>
        <w:numPr>
          <w:ilvl w:val="0"/>
          <w:numId w:val="17"/>
        </w:numPr>
        <w:spacing w:after="0" w:line="216" w:lineRule="auto"/>
        <w:ind w:left="-142" w:right="-174" w:firstLine="0"/>
        <w:jc w:val="both"/>
        <w:rPr>
          <w:rFonts w:ascii="Verdana" w:hAnsi="Verdana"/>
          <w:w w:val="95"/>
          <w:sz w:val="20"/>
          <w:szCs w:val="20"/>
        </w:rPr>
      </w:pPr>
      <w:r w:rsidRPr="002B1610">
        <w:rPr>
          <w:rFonts w:ascii="Verdana" w:hAnsi="Verdana" w:cs="Arial"/>
          <w:w w:val="95"/>
          <w:sz w:val="20"/>
          <w:szCs w:val="20"/>
        </w:rPr>
        <w:t xml:space="preserve">En la declaración </w:t>
      </w:r>
      <w:r w:rsidRPr="002B1610">
        <w:rPr>
          <w:rFonts w:ascii="Verdana" w:hAnsi="Verdana" w:cs="Arial"/>
          <w:w w:val="95"/>
          <w:sz w:val="20"/>
          <w:szCs w:val="20"/>
          <w:lang w:val="es-CR"/>
        </w:rPr>
        <w:t>rendida por la señora Rosa Elvira Franco Sandoval en la audiencia pública ante este Tribunal, manifestó que:</w:t>
      </w:r>
    </w:p>
    <w:p w:rsidR="00DF15C3" w:rsidRPr="002B1610" w:rsidRDefault="00DF15C3" w:rsidP="003F26FD">
      <w:pPr>
        <w:pStyle w:val="Prrafodelista"/>
        <w:spacing w:after="0" w:line="216" w:lineRule="auto"/>
        <w:ind w:right="-174"/>
        <w:rPr>
          <w:rFonts w:ascii="Verdana" w:hAnsi="Verdana" w:cs="Arial"/>
          <w:w w:val="95"/>
          <w:sz w:val="20"/>
          <w:szCs w:val="20"/>
          <w:lang w:val="es-CR"/>
        </w:rPr>
      </w:pPr>
    </w:p>
    <w:p w:rsidR="00DF15C3" w:rsidRPr="002B1610" w:rsidRDefault="00DF15C3" w:rsidP="003F26FD">
      <w:pPr>
        <w:pStyle w:val="Prrafodelista"/>
        <w:autoSpaceDE w:val="0"/>
        <w:autoSpaceDN w:val="0"/>
        <w:adjustRightInd w:val="0"/>
        <w:spacing w:after="0" w:line="216" w:lineRule="auto"/>
        <w:ind w:left="360" w:right="-174"/>
        <w:jc w:val="both"/>
        <w:rPr>
          <w:rFonts w:ascii="Verdana" w:hAnsi="Verdana" w:cs="Arial"/>
          <w:w w:val="95"/>
          <w:sz w:val="20"/>
          <w:szCs w:val="20"/>
          <w:lang w:val="es-CR"/>
        </w:rPr>
      </w:pPr>
      <w:r w:rsidRPr="002B1610">
        <w:rPr>
          <w:rFonts w:ascii="Verdana" w:hAnsi="Verdana" w:cs="Arial"/>
          <w:w w:val="95"/>
          <w:sz w:val="16"/>
          <w:szCs w:val="16"/>
          <w:lang w:val="es-CR"/>
        </w:rPr>
        <w:t>[c]onocí la maldad de las personas que trabajan en el sistema de justicia, de injusticia de Guatemala […] me trataban mal a mí, trataban mal a mi hija […] han sido muchos ataques, una persecución contra mi persona desde un principio, contra mis dos hijos […] he sufrido demasiado […] a un principio ya no quería vivir, y si no fuera porque tengo dos hijos no me interesa vivir […] yo estoy enferma por esto, porque no hay justicia en Guatemala.</w:t>
      </w:r>
    </w:p>
    <w:p w:rsidR="00DF15C3" w:rsidRPr="002B1610" w:rsidRDefault="00DF15C3" w:rsidP="003F26FD">
      <w:pPr>
        <w:pStyle w:val="Prrafodelista"/>
        <w:spacing w:after="0" w:line="216" w:lineRule="auto"/>
        <w:ind w:right="-174"/>
        <w:rPr>
          <w:rFonts w:ascii="Verdana" w:hAnsi="Verdana" w:cs="Arial"/>
          <w:w w:val="95"/>
          <w:sz w:val="20"/>
          <w:szCs w:val="20"/>
          <w:lang w:val="es-CR"/>
        </w:rPr>
      </w:pPr>
    </w:p>
    <w:p w:rsidR="00DF15C3" w:rsidRPr="002B1610" w:rsidRDefault="00DF15C3" w:rsidP="003F26FD">
      <w:pPr>
        <w:pStyle w:val="Prrafodelista"/>
        <w:numPr>
          <w:ilvl w:val="0"/>
          <w:numId w:val="17"/>
        </w:numPr>
        <w:spacing w:after="0" w:line="216" w:lineRule="auto"/>
        <w:ind w:left="-142" w:right="-174" w:firstLine="0"/>
        <w:jc w:val="both"/>
        <w:rPr>
          <w:rFonts w:ascii="Verdana" w:hAnsi="Verdana"/>
          <w:w w:val="95"/>
          <w:sz w:val="20"/>
          <w:szCs w:val="20"/>
        </w:rPr>
      </w:pPr>
      <w:r w:rsidRPr="002B1610">
        <w:rPr>
          <w:rFonts w:ascii="Verdana" w:hAnsi="Verdana" w:cs="Arial"/>
          <w:w w:val="95"/>
          <w:sz w:val="20"/>
          <w:szCs w:val="20"/>
          <w:lang w:val="es-CR"/>
        </w:rPr>
        <w:t xml:space="preserve">Asimismo, en la declaración rendida mediante </w:t>
      </w:r>
      <w:r w:rsidRPr="006B24E8">
        <w:rPr>
          <w:rFonts w:ascii="Verdana" w:hAnsi="Verdana" w:cs="Arial"/>
          <w:w w:val="95"/>
          <w:sz w:val="20"/>
          <w:szCs w:val="20"/>
          <w:lang w:val="es-CR"/>
        </w:rPr>
        <w:t>affidávit</w:t>
      </w:r>
      <w:r w:rsidRPr="002B1610">
        <w:rPr>
          <w:rFonts w:ascii="Verdana" w:hAnsi="Verdana" w:cs="Arial"/>
          <w:i/>
          <w:w w:val="95"/>
          <w:sz w:val="20"/>
          <w:szCs w:val="20"/>
          <w:lang w:val="es-CR"/>
        </w:rPr>
        <w:t xml:space="preserve"> </w:t>
      </w:r>
      <w:r w:rsidRPr="002B1610">
        <w:rPr>
          <w:rFonts w:ascii="Verdana" w:hAnsi="Verdana" w:cs="Arial"/>
          <w:w w:val="95"/>
          <w:sz w:val="20"/>
          <w:szCs w:val="20"/>
          <w:lang w:val="es-CR"/>
        </w:rPr>
        <w:t>por el señor Leonel</w:t>
      </w:r>
      <w:r w:rsidRPr="002B1610">
        <w:rPr>
          <w:rFonts w:ascii="Verdana" w:hAnsi="Verdana" w:cs="Arial"/>
          <w:w w:val="95"/>
          <w:sz w:val="20"/>
          <w:szCs w:val="20"/>
        </w:rPr>
        <w:t xml:space="preserve"> Enrique Veliz Franco, expresó que: </w:t>
      </w:r>
    </w:p>
    <w:p w:rsidR="00DF15C3" w:rsidRPr="002B1610" w:rsidRDefault="00DF15C3" w:rsidP="003F26FD">
      <w:pPr>
        <w:pStyle w:val="Prrafodelista"/>
        <w:spacing w:after="0" w:line="216" w:lineRule="auto"/>
        <w:ind w:left="-142" w:right="-174"/>
        <w:jc w:val="both"/>
        <w:rPr>
          <w:rFonts w:ascii="Verdana" w:hAnsi="Verdana" w:cs="Arial"/>
          <w:w w:val="95"/>
          <w:sz w:val="20"/>
          <w:szCs w:val="20"/>
        </w:rPr>
      </w:pPr>
    </w:p>
    <w:p w:rsidR="00DF15C3" w:rsidRPr="002B1610" w:rsidRDefault="00DF15C3" w:rsidP="003F26FD">
      <w:pPr>
        <w:pStyle w:val="Prrafodelista"/>
        <w:autoSpaceDE w:val="0"/>
        <w:autoSpaceDN w:val="0"/>
        <w:adjustRightInd w:val="0"/>
        <w:spacing w:after="0" w:line="216" w:lineRule="auto"/>
        <w:ind w:left="360" w:right="-174"/>
        <w:jc w:val="both"/>
        <w:rPr>
          <w:rFonts w:ascii="Verdana" w:hAnsi="Verdana" w:cs="Arial"/>
          <w:w w:val="95"/>
          <w:sz w:val="16"/>
          <w:szCs w:val="18"/>
        </w:rPr>
      </w:pPr>
      <w:r w:rsidRPr="002B1610">
        <w:rPr>
          <w:rFonts w:ascii="Verdana" w:hAnsi="Verdana" w:cs="Arial"/>
          <w:w w:val="95"/>
          <w:sz w:val="16"/>
          <w:szCs w:val="16"/>
        </w:rPr>
        <w:t>[l]a lucha de mi mamá al principio nos causó malestar […] por lo peligroso de eso […] Hubo problemas familiares porque le decían [a mi mamá] que se alejará de esto […] Desde [el homicidio</w:t>
      </w:r>
      <w:r>
        <w:rPr>
          <w:rFonts w:ascii="Verdana" w:hAnsi="Verdana" w:cs="Arial"/>
          <w:w w:val="95"/>
          <w:sz w:val="16"/>
          <w:szCs w:val="16"/>
        </w:rPr>
        <w:t xml:space="preserve"> de María Isabel] mi vida cambió para siempre, me afectó</w:t>
      </w:r>
      <w:r w:rsidRPr="002B1610">
        <w:rPr>
          <w:rFonts w:ascii="Verdana" w:hAnsi="Verdana" w:cs="Arial"/>
          <w:w w:val="95"/>
          <w:sz w:val="16"/>
          <w:szCs w:val="16"/>
        </w:rPr>
        <w:t xml:space="preserve">, emocional, psicológic[a] y económicamente. Hasta hoy en día el hecho de que la muerte de [su] </w:t>
      </w:r>
      <w:r>
        <w:rPr>
          <w:rFonts w:ascii="Verdana" w:hAnsi="Verdana" w:cs="Arial"/>
          <w:w w:val="95"/>
          <w:sz w:val="16"/>
          <w:szCs w:val="16"/>
        </w:rPr>
        <w:t>hermana no se haya esclarecido [l]</w:t>
      </w:r>
      <w:r w:rsidRPr="002B1610">
        <w:rPr>
          <w:rFonts w:ascii="Verdana" w:hAnsi="Verdana" w:cs="Arial"/>
          <w:w w:val="95"/>
          <w:sz w:val="16"/>
          <w:szCs w:val="16"/>
        </w:rPr>
        <w:t>e genera impotencia y frustración al no encontrar justicia. Mis nervios no son estables, desde ese día me tiemblan las manos, las piernas y el ojo, yo no soy el mismo, mi temperamento cambió, […] me considero violento […] regularmente [tengo problemas para respirar] y tengo problemas de salud. Mi mamá es la farmacia andante, eso me ha afectado a mí, lleva medicamentos para todo, porque está mal. [La búsqueda de justicia] nos afectó en la economía familiar porque mi mamá dejó de hacer cosas</w:t>
      </w:r>
      <w:r w:rsidRPr="002B1610">
        <w:rPr>
          <w:rStyle w:val="Refdenotaalpie"/>
          <w:rFonts w:ascii="Verdana" w:hAnsi="Verdana" w:cs="Arial"/>
          <w:w w:val="95"/>
          <w:sz w:val="16"/>
          <w:szCs w:val="16"/>
        </w:rPr>
        <w:footnoteReference w:id="336"/>
      </w:r>
      <w:r w:rsidRPr="002B1610">
        <w:rPr>
          <w:rFonts w:ascii="Verdana" w:hAnsi="Verdana" w:cs="Arial"/>
          <w:w w:val="95"/>
          <w:sz w:val="16"/>
          <w:szCs w:val="16"/>
        </w:rPr>
        <w:t>.</w:t>
      </w:r>
    </w:p>
    <w:p w:rsidR="00DF15C3" w:rsidRPr="002B1610" w:rsidRDefault="00DF15C3" w:rsidP="003F26FD">
      <w:pPr>
        <w:pStyle w:val="Prrafodelista"/>
        <w:spacing w:after="0" w:line="216" w:lineRule="auto"/>
        <w:ind w:left="-142" w:right="-174"/>
        <w:jc w:val="both"/>
        <w:rPr>
          <w:rFonts w:ascii="Verdana" w:hAnsi="Verdana"/>
          <w:w w:val="95"/>
          <w:sz w:val="20"/>
          <w:szCs w:val="20"/>
        </w:rPr>
      </w:pPr>
    </w:p>
    <w:p w:rsidR="00DF15C3" w:rsidRPr="002B1610" w:rsidRDefault="00DF15C3" w:rsidP="003F26FD">
      <w:pPr>
        <w:pStyle w:val="Prrafodelista"/>
        <w:numPr>
          <w:ilvl w:val="0"/>
          <w:numId w:val="17"/>
        </w:numPr>
        <w:spacing w:after="0" w:line="216" w:lineRule="auto"/>
        <w:ind w:left="-142" w:right="-174" w:firstLine="0"/>
        <w:jc w:val="both"/>
        <w:rPr>
          <w:rFonts w:ascii="Verdana" w:hAnsi="Verdana"/>
          <w:w w:val="95"/>
          <w:sz w:val="20"/>
          <w:szCs w:val="20"/>
        </w:rPr>
      </w:pPr>
      <w:r w:rsidRPr="002B1610">
        <w:rPr>
          <w:rFonts w:ascii="Verdana" w:hAnsi="Verdana" w:cs="Arial"/>
          <w:w w:val="95"/>
          <w:sz w:val="20"/>
          <w:szCs w:val="18"/>
        </w:rPr>
        <w:t xml:space="preserve">Por otra parte, el señor José Roberto Franco en su declaración mediante </w:t>
      </w:r>
      <w:r w:rsidRPr="006B24E8">
        <w:rPr>
          <w:rFonts w:ascii="Verdana" w:hAnsi="Verdana" w:cs="Arial"/>
          <w:w w:val="95"/>
          <w:sz w:val="20"/>
          <w:szCs w:val="18"/>
        </w:rPr>
        <w:t xml:space="preserve">affidávit </w:t>
      </w:r>
      <w:r w:rsidRPr="002B1610">
        <w:rPr>
          <w:rFonts w:ascii="Verdana" w:hAnsi="Verdana" w:cs="Arial"/>
          <w:w w:val="95"/>
          <w:sz w:val="20"/>
          <w:szCs w:val="18"/>
        </w:rPr>
        <w:t xml:space="preserve">manifestó siguiente: </w:t>
      </w:r>
    </w:p>
    <w:p w:rsidR="00DF15C3" w:rsidRPr="002B1610" w:rsidRDefault="00DF15C3" w:rsidP="003F26FD">
      <w:pPr>
        <w:pStyle w:val="Prrafodelista"/>
        <w:spacing w:after="0" w:line="216" w:lineRule="auto"/>
        <w:ind w:left="-142" w:right="-174"/>
        <w:jc w:val="both"/>
        <w:rPr>
          <w:rFonts w:ascii="Verdana" w:hAnsi="Verdana" w:cs="Arial"/>
          <w:w w:val="95"/>
          <w:sz w:val="20"/>
          <w:szCs w:val="18"/>
        </w:rPr>
      </w:pPr>
    </w:p>
    <w:p w:rsidR="00DF15C3" w:rsidRPr="002B1610" w:rsidRDefault="00DF15C3" w:rsidP="003F26FD">
      <w:pPr>
        <w:autoSpaceDE w:val="0"/>
        <w:autoSpaceDN w:val="0"/>
        <w:adjustRightInd w:val="0"/>
        <w:spacing w:after="0" w:line="216" w:lineRule="auto"/>
        <w:ind w:left="450" w:right="-174"/>
        <w:jc w:val="both"/>
        <w:rPr>
          <w:rFonts w:ascii="Verdana" w:hAnsi="Verdana" w:cs="Arial"/>
          <w:w w:val="95"/>
          <w:sz w:val="16"/>
          <w:szCs w:val="16"/>
        </w:rPr>
      </w:pPr>
      <w:r w:rsidRPr="002B1610">
        <w:rPr>
          <w:rFonts w:ascii="Verdana" w:hAnsi="Verdana" w:cs="Arial"/>
          <w:w w:val="95"/>
          <w:sz w:val="16"/>
          <w:szCs w:val="16"/>
        </w:rPr>
        <w:t>[y]o recuerdo que tenía mucho temor porque me hiciera daño cualquier persona […] Me afectó mucho porque tengo miedo que les hagan algo a las personas que más quiero […] en mi mamá [hay afectaciones como] mucha depresión llevándola incluso a querer quitarse la vida, […] Dios la salvó de eso [y] también [de] tantas enfermedades […] me he sentido intimidado que alguien nos quiera hacer algo por lo que mi mamá ha buscado esclarecer la muerte de mi hermana</w:t>
      </w:r>
      <w:r w:rsidRPr="003622B1">
        <w:rPr>
          <w:rStyle w:val="Refdenotaalpie"/>
          <w:rFonts w:ascii="Verdana" w:hAnsi="Verdana" w:cs="Arial"/>
          <w:w w:val="95"/>
          <w:sz w:val="16"/>
          <w:szCs w:val="16"/>
        </w:rPr>
        <w:footnoteReference w:id="337"/>
      </w:r>
      <w:r w:rsidRPr="002B1610">
        <w:rPr>
          <w:rFonts w:ascii="Verdana" w:hAnsi="Verdana" w:cs="Arial"/>
          <w:w w:val="95"/>
          <w:sz w:val="16"/>
          <w:szCs w:val="16"/>
        </w:rPr>
        <w:t>.</w:t>
      </w:r>
    </w:p>
    <w:p w:rsidR="00DF15C3" w:rsidRDefault="00DF15C3" w:rsidP="003F26FD">
      <w:pPr>
        <w:pStyle w:val="Prrafodelista"/>
        <w:spacing w:after="0" w:line="216" w:lineRule="auto"/>
        <w:ind w:left="-142" w:right="-174"/>
        <w:jc w:val="both"/>
        <w:rPr>
          <w:rFonts w:ascii="Verdana" w:hAnsi="Verdana"/>
          <w:w w:val="95"/>
          <w:sz w:val="20"/>
          <w:szCs w:val="20"/>
        </w:rPr>
      </w:pPr>
    </w:p>
    <w:p w:rsidR="002E29FD" w:rsidRPr="002B1610" w:rsidRDefault="002E29FD" w:rsidP="003F26FD">
      <w:pPr>
        <w:pStyle w:val="Prrafodelista"/>
        <w:spacing w:after="0" w:line="216" w:lineRule="auto"/>
        <w:ind w:left="-142" w:right="-174"/>
        <w:jc w:val="both"/>
        <w:rPr>
          <w:rFonts w:ascii="Verdana" w:hAnsi="Verdana"/>
          <w:w w:val="95"/>
          <w:sz w:val="20"/>
          <w:szCs w:val="20"/>
        </w:rPr>
      </w:pPr>
    </w:p>
    <w:p w:rsidR="00DF15C3" w:rsidRPr="002B1610" w:rsidRDefault="00DF15C3" w:rsidP="003F26FD">
      <w:pPr>
        <w:pStyle w:val="Prrafodelista"/>
        <w:numPr>
          <w:ilvl w:val="0"/>
          <w:numId w:val="17"/>
        </w:numPr>
        <w:spacing w:after="0" w:line="216" w:lineRule="auto"/>
        <w:ind w:left="-142" w:right="-174" w:firstLine="0"/>
        <w:jc w:val="both"/>
        <w:rPr>
          <w:rFonts w:ascii="Verdana" w:hAnsi="Verdana"/>
          <w:w w:val="95"/>
          <w:sz w:val="20"/>
          <w:szCs w:val="20"/>
        </w:rPr>
      </w:pPr>
      <w:r w:rsidRPr="002B1610">
        <w:rPr>
          <w:rFonts w:ascii="Verdana" w:hAnsi="Verdana"/>
          <w:w w:val="95"/>
          <w:sz w:val="20"/>
          <w:szCs w:val="20"/>
        </w:rPr>
        <w:t>Además, en su peritaje Rodolfo Kepfer Rodríguez analizó las afectaciones sufridas por Rosa Elvira Franco Sandoval,</w:t>
      </w:r>
      <w:r w:rsidRPr="002B1610">
        <w:rPr>
          <w:rFonts w:ascii="Verdana" w:hAnsi="Verdana" w:cs="Arial"/>
          <w:w w:val="95"/>
          <w:sz w:val="20"/>
          <w:szCs w:val="20"/>
        </w:rPr>
        <w:t xml:space="preserve"> Leonel Enrique Veliz Franco y</w:t>
      </w:r>
      <w:r w:rsidRPr="002B1610">
        <w:rPr>
          <w:rFonts w:ascii="Verdana" w:hAnsi="Verdana"/>
          <w:w w:val="95"/>
          <w:sz w:val="20"/>
          <w:szCs w:val="20"/>
        </w:rPr>
        <w:t xml:space="preserve"> </w:t>
      </w:r>
      <w:r w:rsidRPr="002B1610">
        <w:rPr>
          <w:rFonts w:ascii="Verdana" w:hAnsi="Verdana" w:cs="Arial"/>
          <w:w w:val="95"/>
          <w:sz w:val="20"/>
          <w:szCs w:val="18"/>
        </w:rPr>
        <w:t xml:space="preserve">José Roberto Franco, respecto de lo cual expresó que:  </w:t>
      </w:r>
    </w:p>
    <w:p w:rsidR="00DF15C3" w:rsidRDefault="00DF15C3" w:rsidP="003F26FD">
      <w:pPr>
        <w:pStyle w:val="Prrafodelista"/>
        <w:spacing w:after="0" w:line="216" w:lineRule="auto"/>
        <w:ind w:left="-142" w:right="-174"/>
        <w:jc w:val="both"/>
        <w:rPr>
          <w:rFonts w:ascii="Verdana" w:hAnsi="Verdana" w:cs="Arial"/>
          <w:w w:val="95"/>
          <w:sz w:val="20"/>
          <w:szCs w:val="18"/>
        </w:rPr>
      </w:pPr>
    </w:p>
    <w:p w:rsidR="002E29FD" w:rsidRPr="002B1610" w:rsidRDefault="002E29FD" w:rsidP="003F26FD">
      <w:pPr>
        <w:pStyle w:val="Prrafodelista"/>
        <w:spacing w:after="0" w:line="216" w:lineRule="auto"/>
        <w:ind w:left="-142" w:right="-174"/>
        <w:jc w:val="both"/>
        <w:rPr>
          <w:rFonts w:ascii="Verdana" w:hAnsi="Verdana" w:cs="Arial"/>
          <w:w w:val="95"/>
          <w:sz w:val="20"/>
          <w:szCs w:val="18"/>
        </w:rPr>
      </w:pPr>
    </w:p>
    <w:p w:rsidR="00DF15C3" w:rsidRPr="002B1610" w:rsidRDefault="00C4690D" w:rsidP="003F26FD">
      <w:pPr>
        <w:autoSpaceDE w:val="0"/>
        <w:autoSpaceDN w:val="0"/>
        <w:adjustRightInd w:val="0"/>
        <w:spacing w:after="0" w:line="216" w:lineRule="auto"/>
        <w:ind w:left="450" w:right="-174"/>
        <w:jc w:val="both"/>
        <w:rPr>
          <w:rFonts w:ascii="Verdana" w:hAnsi="Verdana"/>
          <w:w w:val="95"/>
          <w:sz w:val="16"/>
          <w:szCs w:val="16"/>
        </w:rPr>
      </w:pPr>
      <w:r>
        <w:rPr>
          <w:rFonts w:ascii="Verdana" w:hAnsi="Verdana"/>
          <w:w w:val="95"/>
          <w:sz w:val="16"/>
          <w:szCs w:val="16"/>
        </w:rPr>
        <w:t xml:space="preserve">[l]a vida de la señora […] </w:t>
      </w:r>
      <w:r w:rsidR="00DF15C3" w:rsidRPr="002B1610">
        <w:rPr>
          <w:rFonts w:ascii="Verdana" w:hAnsi="Verdana"/>
          <w:w w:val="95"/>
          <w:sz w:val="16"/>
          <w:szCs w:val="16"/>
        </w:rPr>
        <w:t xml:space="preserve">Franco </w:t>
      </w:r>
      <w:r>
        <w:rPr>
          <w:rFonts w:ascii="Verdana" w:hAnsi="Verdana"/>
          <w:w w:val="95"/>
          <w:sz w:val="16"/>
          <w:szCs w:val="16"/>
        </w:rPr>
        <w:t xml:space="preserve">[Sandoval] </w:t>
      </w:r>
      <w:r w:rsidR="00DF15C3" w:rsidRPr="002B1610">
        <w:rPr>
          <w:rFonts w:ascii="Verdana" w:hAnsi="Verdana"/>
          <w:w w:val="95"/>
          <w:sz w:val="16"/>
          <w:szCs w:val="16"/>
        </w:rPr>
        <w:t xml:space="preserve">se [vio] </w:t>
      </w:r>
      <w:r w:rsidR="00DF15C3" w:rsidRPr="002B1610">
        <w:rPr>
          <w:rFonts w:ascii="Verdana" w:hAnsi="Verdana" w:cs="Arial"/>
          <w:w w:val="95"/>
          <w:sz w:val="16"/>
          <w:szCs w:val="16"/>
        </w:rPr>
        <w:t>sometida al desaliento e indignación debido a la desatención que ponen a su necesidad de</w:t>
      </w:r>
      <w:r w:rsidR="00DF15C3" w:rsidRPr="002B1610">
        <w:rPr>
          <w:rFonts w:ascii="Verdana" w:hAnsi="Verdana"/>
          <w:w w:val="95"/>
          <w:sz w:val="16"/>
          <w:szCs w:val="16"/>
        </w:rPr>
        <w:t xml:space="preserve"> obtención de justicia […] </w:t>
      </w:r>
      <w:r w:rsidR="00DF15C3" w:rsidRPr="002B1610">
        <w:rPr>
          <w:rFonts w:ascii="Verdana" w:eastAsia="HiddenHorzOCR" w:hAnsi="Verdana"/>
          <w:w w:val="95"/>
          <w:sz w:val="16"/>
          <w:szCs w:val="16"/>
        </w:rPr>
        <w:t>La ligereza, neg</w:t>
      </w:r>
      <w:r w:rsidR="00DF15C3" w:rsidRPr="002B1610">
        <w:rPr>
          <w:rFonts w:ascii="Verdana" w:eastAsia="HiddenHorzOCR" w:hAnsi="Verdana" w:cs="Arial"/>
          <w:w w:val="95"/>
          <w:sz w:val="16"/>
          <w:szCs w:val="16"/>
        </w:rPr>
        <w:t>ligencia y pasividad que exhiben la</w:t>
      </w:r>
      <w:r w:rsidR="00DF15C3" w:rsidRPr="002B1610">
        <w:rPr>
          <w:rFonts w:ascii="Verdana" w:eastAsia="HiddenHorzOCR" w:hAnsi="Verdana"/>
          <w:w w:val="95"/>
          <w:sz w:val="16"/>
          <w:szCs w:val="16"/>
        </w:rPr>
        <w:t>s</w:t>
      </w:r>
      <w:r w:rsidR="00DF15C3" w:rsidRPr="002B1610">
        <w:rPr>
          <w:rFonts w:ascii="Verdana" w:eastAsia="HiddenHorzOCR" w:hAnsi="Verdana" w:cs="Arial"/>
          <w:w w:val="95"/>
          <w:sz w:val="16"/>
          <w:szCs w:val="16"/>
        </w:rPr>
        <w:t xml:space="preserve"> autoridades del Estado ante la actitud persistente, con</w:t>
      </w:r>
      <w:r w:rsidR="00DF15C3" w:rsidRPr="002B1610">
        <w:rPr>
          <w:rFonts w:ascii="Verdana" w:eastAsia="HiddenHorzOCR" w:hAnsi="Verdana"/>
          <w:w w:val="95"/>
          <w:sz w:val="16"/>
          <w:szCs w:val="16"/>
        </w:rPr>
        <w:t xml:space="preserve">sistente </w:t>
      </w:r>
      <w:r w:rsidR="00DF15C3" w:rsidRPr="002B1610">
        <w:rPr>
          <w:rFonts w:ascii="Verdana" w:eastAsia="HiddenHorzOCR" w:hAnsi="Verdana" w:cs="Arial"/>
          <w:w w:val="95"/>
          <w:sz w:val="16"/>
          <w:szCs w:val="16"/>
        </w:rPr>
        <w:t xml:space="preserve">y </w:t>
      </w:r>
      <w:r w:rsidR="00DF15C3" w:rsidRPr="002B1610">
        <w:rPr>
          <w:rFonts w:ascii="Verdana" w:eastAsia="HiddenHorzOCR" w:hAnsi="Verdana"/>
          <w:w w:val="95"/>
          <w:sz w:val="16"/>
          <w:szCs w:val="16"/>
        </w:rPr>
        <w:t xml:space="preserve">decidida que exhibe la [señora Franco] en busca de la aplicación de justicia son cruciales en el desarrollo de actitudes </w:t>
      </w:r>
      <w:r w:rsidR="00DF15C3" w:rsidRPr="002B1610">
        <w:rPr>
          <w:rFonts w:ascii="Verdana" w:eastAsia="HiddenHorzOCR" w:hAnsi="Verdana" w:cs="Arial"/>
          <w:w w:val="95"/>
          <w:sz w:val="16"/>
          <w:szCs w:val="16"/>
        </w:rPr>
        <w:t xml:space="preserve">y </w:t>
      </w:r>
      <w:r w:rsidR="00DF15C3" w:rsidRPr="002B1610">
        <w:rPr>
          <w:rFonts w:ascii="Verdana" w:eastAsia="HiddenHorzOCR" w:hAnsi="Verdana"/>
          <w:w w:val="95"/>
          <w:sz w:val="16"/>
          <w:szCs w:val="16"/>
        </w:rPr>
        <w:t>sentimientos que a lo largo del tiempo van a afectar en forma adversa el curso de la salud de la señora Franco. […]</w:t>
      </w:r>
      <w:r w:rsidR="00DF15C3">
        <w:rPr>
          <w:rFonts w:ascii="Verdana" w:eastAsia="HiddenHorzOCR" w:hAnsi="Verdana"/>
          <w:w w:val="95"/>
          <w:sz w:val="16"/>
          <w:szCs w:val="16"/>
        </w:rPr>
        <w:t xml:space="preserve"> </w:t>
      </w:r>
      <w:r w:rsidR="00DF15C3" w:rsidRPr="002B1610">
        <w:rPr>
          <w:rFonts w:ascii="Verdana" w:hAnsi="Verdana" w:cs="Arial"/>
          <w:w w:val="95"/>
          <w:sz w:val="16"/>
          <w:szCs w:val="16"/>
        </w:rPr>
        <w:t xml:space="preserve">Los efectos específicos en la señora Franco y sus hijos Leonel y José Roberto se han venido desenvolviendo a lo largo de los años: los dos primeros años perturban especialmente al hijo menor, ya que modifican todo el esquema de vida de un niño de once años, causándole retrasos escolares, timidez, y un perlado de más o menos un año de inhibición social. A la par, el hermano mayor Leonel, se ve forzado a </w:t>
      </w:r>
      <w:r w:rsidR="00DF15C3" w:rsidRPr="002B1610">
        <w:rPr>
          <w:rFonts w:ascii="Verdana" w:hAnsi="Verdana"/>
          <w:w w:val="95"/>
          <w:sz w:val="16"/>
          <w:szCs w:val="16"/>
        </w:rPr>
        <w:t>desarrollar habilidades confrontativas, con las que enfrenta las demandas de su vida de</w:t>
      </w:r>
      <w:r w:rsidR="00DF15C3" w:rsidRPr="002B1610">
        <w:rPr>
          <w:rFonts w:ascii="Verdana" w:hAnsi="Verdana" w:cs="Arial"/>
          <w:w w:val="95"/>
          <w:sz w:val="16"/>
          <w:szCs w:val="16"/>
        </w:rPr>
        <w:t xml:space="preserve"> </w:t>
      </w:r>
      <w:r w:rsidR="00DF15C3" w:rsidRPr="002B1610">
        <w:rPr>
          <w:rFonts w:ascii="Verdana" w:hAnsi="Verdana"/>
          <w:w w:val="95"/>
          <w:sz w:val="16"/>
          <w:szCs w:val="16"/>
        </w:rPr>
        <w:t>adolescente, creándose así un carácter enérgico y tajante, el cual fortalece con la participación</w:t>
      </w:r>
      <w:r w:rsidR="00DF15C3" w:rsidRPr="002B1610">
        <w:rPr>
          <w:rFonts w:ascii="Verdana" w:hAnsi="Verdana" w:cs="Arial"/>
          <w:w w:val="95"/>
          <w:sz w:val="16"/>
          <w:szCs w:val="16"/>
        </w:rPr>
        <w:t xml:space="preserve"> </w:t>
      </w:r>
      <w:r w:rsidR="00DF15C3" w:rsidRPr="002B1610">
        <w:rPr>
          <w:rFonts w:ascii="Verdana" w:hAnsi="Verdana"/>
          <w:w w:val="95"/>
          <w:sz w:val="16"/>
          <w:szCs w:val="16"/>
        </w:rPr>
        <w:t>religiosa</w:t>
      </w:r>
      <w:r w:rsidR="00DF15C3" w:rsidRPr="009F1CA9">
        <w:rPr>
          <w:rStyle w:val="Refdenotaalpie"/>
          <w:rFonts w:ascii="Verdana" w:hAnsi="Verdana"/>
          <w:w w:val="95"/>
          <w:sz w:val="16"/>
          <w:szCs w:val="16"/>
        </w:rPr>
        <w:footnoteReference w:id="338"/>
      </w:r>
      <w:r w:rsidR="00DF15C3" w:rsidRPr="009F1CA9">
        <w:rPr>
          <w:rFonts w:ascii="Verdana" w:hAnsi="Verdana"/>
          <w:w w:val="95"/>
          <w:sz w:val="16"/>
          <w:szCs w:val="16"/>
        </w:rPr>
        <w:t>.</w:t>
      </w:r>
    </w:p>
    <w:p w:rsidR="00DF15C3" w:rsidRDefault="00DF15C3" w:rsidP="003F26FD">
      <w:pPr>
        <w:tabs>
          <w:tab w:val="left" w:pos="8789"/>
        </w:tabs>
        <w:autoSpaceDE w:val="0"/>
        <w:autoSpaceDN w:val="0"/>
        <w:adjustRightInd w:val="0"/>
        <w:spacing w:after="0" w:line="216" w:lineRule="auto"/>
        <w:ind w:right="-174"/>
        <w:jc w:val="both"/>
        <w:rPr>
          <w:rFonts w:ascii="Verdana" w:hAnsi="Verdana"/>
          <w:w w:val="95"/>
          <w:sz w:val="16"/>
          <w:szCs w:val="16"/>
        </w:rPr>
      </w:pPr>
    </w:p>
    <w:p w:rsidR="002E29FD" w:rsidRPr="002B1610" w:rsidRDefault="002E29FD" w:rsidP="003F26FD">
      <w:pPr>
        <w:tabs>
          <w:tab w:val="left" w:pos="8789"/>
        </w:tabs>
        <w:autoSpaceDE w:val="0"/>
        <w:autoSpaceDN w:val="0"/>
        <w:adjustRightInd w:val="0"/>
        <w:spacing w:after="0" w:line="216" w:lineRule="auto"/>
        <w:ind w:right="-174"/>
        <w:jc w:val="both"/>
        <w:rPr>
          <w:rFonts w:ascii="Verdana" w:hAnsi="Verdana"/>
          <w:w w:val="95"/>
          <w:sz w:val="16"/>
          <w:szCs w:val="16"/>
        </w:rPr>
      </w:pPr>
    </w:p>
    <w:p w:rsidR="00DF15C3" w:rsidRPr="00001AFC" w:rsidRDefault="00DF15C3" w:rsidP="003F26FD">
      <w:pPr>
        <w:pStyle w:val="Prrafodelista"/>
        <w:numPr>
          <w:ilvl w:val="0"/>
          <w:numId w:val="17"/>
        </w:numPr>
        <w:spacing w:after="0" w:line="216" w:lineRule="auto"/>
        <w:ind w:left="-142" w:right="-174" w:firstLine="0"/>
        <w:jc w:val="both"/>
        <w:rPr>
          <w:rFonts w:ascii="Verdana" w:hAnsi="Verdana"/>
          <w:b/>
          <w:w w:val="95"/>
          <w:sz w:val="20"/>
          <w:szCs w:val="20"/>
        </w:rPr>
      </w:pPr>
      <w:r w:rsidRPr="002B1610">
        <w:rPr>
          <w:rFonts w:ascii="Verdana" w:hAnsi="Verdana"/>
          <w:w w:val="95"/>
          <w:sz w:val="20"/>
          <w:szCs w:val="20"/>
          <w:lang w:val="es-CR"/>
        </w:rPr>
        <w:t xml:space="preserve">En consideración de las declaraciones anteriores y el peritaje rendido, y atendiendo los hechos del caso, la Corte considera que la falta de prevención en el caso, así como la falta de una actuación diligente de las autoridades </w:t>
      </w:r>
      <w:r w:rsidRPr="002857CA">
        <w:rPr>
          <w:rFonts w:ascii="Verdana" w:hAnsi="Verdana"/>
          <w:w w:val="95"/>
          <w:sz w:val="20"/>
          <w:szCs w:val="20"/>
          <w:lang w:val="es-CR"/>
        </w:rPr>
        <w:t>estatales en la investigación del homicidio de María Isabel y la impunidad en que permanece</w:t>
      </w:r>
      <w:r w:rsidR="00F364D2" w:rsidRPr="002857CA">
        <w:rPr>
          <w:rFonts w:ascii="Verdana" w:hAnsi="Verdana"/>
          <w:w w:val="95"/>
          <w:sz w:val="20"/>
          <w:szCs w:val="20"/>
          <w:lang w:val="es-CR"/>
        </w:rPr>
        <w:t>n los hechos y</w:t>
      </w:r>
      <w:r w:rsidRPr="002857CA">
        <w:rPr>
          <w:rFonts w:ascii="Verdana" w:hAnsi="Verdana"/>
          <w:w w:val="95"/>
          <w:sz w:val="20"/>
          <w:szCs w:val="20"/>
          <w:lang w:val="es-CR"/>
        </w:rPr>
        <w:t xml:space="preserve"> la</w:t>
      </w:r>
      <w:r w:rsidRPr="002B1610">
        <w:rPr>
          <w:rFonts w:ascii="Verdana" w:hAnsi="Verdana"/>
          <w:w w:val="95"/>
          <w:sz w:val="20"/>
          <w:szCs w:val="20"/>
          <w:lang w:val="es-CR"/>
        </w:rPr>
        <w:t xml:space="preserve"> investigación</w:t>
      </w:r>
      <w:r w:rsidR="00F364D2">
        <w:rPr>
          <w:rFonts w:ascii="Verdana" w:hAnsi="Verdana"/>
          <w:w w:val="95"/>
          <w:sz w:val="20"/>
          <w:szCs w:val="20"/>
          <w:lang w:val="es-CR"/>
        </w:rPr>
        <w:t>,</w:t>
      </w:r>
      <w:r w:rsidRPr="002B1610">
        <w:rPr>
          <w:rFonts w:ascii="Verdana" w:hAnsi="Verdana"/>
          <w:w w:val="95"/>
          <w:sz w:val="20"/>
          <w:szCs w:val="20"/>
          <w:lang w:val="es-CR"/>
        </w:rPr>
        <w:t xml:space="preserve"> generó un sufrimiento a la señora Rosa Elvira Franco Sandoval. </w:t>
      </w:r>
      <w:r w:rsidRPr="00D97216">
        <w:rPr>
          <w:rFonts w:ascii="Verdana" w:hAnsi="Verdana"/>
          <w:w w:val="95"/>
          <w:sz w:val="20"/>
          <w:szCs w:val="20"/>
          <w:lang w:val="es-CR"/>
        </w:rPr>
        <w:t>Además está</w:t>
      </w:r>
      <w:r w:rsidRPr="003622B1">
        <w:rPr>
          <w:rFonts w:ascii="Verdana" w:hAnsi="Verdana"/>
          <w:w w:val="95"/>
          <w:sz w:val="20"/>
          <w:szCs w:val="20"/>
          <w:lang w:val="es-CR"/>
        </w:rPr>
        <w:t xml:space="preserve"> demostrado que</w:t>
      </w:r>
      <w:r w:rsidRPr="003622B1">
        <w:rPr>
          <w:rFonts w:ascii="Verdana" w:hAnsi="Verdana"/>
          <w:w w:val="95"/>
          <w:sz w:val="20"/>
          <w:szCs w:val="20"/>
        </w:rPr>
        <w:t xml:space="preserve"> durante la investigación la señora Franco Sandoval fue objeto de tratos despectivos e irrespetuosos por parte de agentes estatales, referidos a ella y respecto a su hija María Isabel, por lo que produjo a la señora Franco</w:t>
      </w:r>
      <w:r w:rsidR="00CE21F9">
        <w:rPr>
          <w:rFonts w:ascii="Verdana" w:hAnsi="Verdana"/>
          <w:w w:val="95"/>
          <w:sz w:val="20"/>
          <w:szCs w:val="20"/>
        </w:rPr>
        <w:t xml:space="preserve"> </w:t>
      </w:r>
      <w:r w:rsidRPr="003622B1">
        <w:rPr>
          <w:rFonts w:ascii="Verdana" w:hAnsi="Verdana"/>
          <w:w w:val="95"/>
          <w:sz w:val="20"/>
          <w:szCs w:val="20"/>
        </w:rPr>
        <w:t>una afectación adicional a su integridad personal.</w:t>
      </w:r>
    </w:p>
    <w:p w:rsidR="00DF15C3" w:rsidRDefault="00DF15C3" w:rsidP="003F26FD">
      <w:pPr>
        <w:pStyle w:val="Prrafodelista"/>
        <w:spacing w:after="0" w:line="216" w:lineRule="auto"/>
        <w:ind w:left="-142" w:right="-174"/>
        <w:jc w:val="both"/>
        <w:rPr>
          <w:rFonts w:ascii="Verdana" w:hAnsi="Verdana"/>
          <w:w w:val="95"/>
          <w:sz w:val="20"/>
          <w:szCs w:val="20"/>
        </w:rPr>
      </w:pPr>
    </w:p>
    <w:p w:rsidR="002E29FD" w:rsidRPr="002B1610" w:rsidRDefault="002E29FD" w:rsidP="003F26FD">
      <w:pPr>
        <w:pStyle w:val="Prrafodelista"/>
        <w:spacing w:after="0" w:line="216" w:lineRule="auto"/>
        <w:ind w:left="-142" w:right="-174"/>
        <w:jc w:val="both"/>
        <w:rPr>
          <w:rFonts w:ascii="Verdana" w:hAnsi="Verdana"/>
          <w:w w:val="95"/>
          <w:sz w:val="20"/>
          <w:szCs w:val="20"/>
        </w:rPr>
      </w:pPr>
    </w:p>
    <w:p w:rsidR="00DF15C3" w:rsidRPr="002B1610" w:rsidRDefault="00DF15C3" w:rsidP="003F26FD">
      <w:pPr>
        <w:pStyle w:val="Prrafodelista"/>
        <w:numPr>
          <w:ilvl w:val="0"/>
          <w:numId w:val="17"/>
        </w:numPr>
        <w:spacing w:after="0" w:line="216" w:lineRule="auto"/>
        <w:ind w:left="-142" w:right="-174" w:firstLine="0"/>
        <w:jc w:val="both"/>
        <w:rPr>
          <w:rFonts w:ascii="Verdana" w:hAnsi="Verdana"/>
          <w:w w:val="95"/>
          <w:sz w:val="20"/>
          <w:szCs w:val="20"/>
        </w:rPr>
      </w:pPr>
      <w:r w:rsidRPr="002B1610">
        <w:rPr>
          <w:rFonts w:ascii="Verdana" w:hAnsi="Verdana"/>
          <w:w w:val="95"/>
          <w:sz w:val="20"/>
          <w:szCs w:val="20"/>
          <w:lang w:val="es-CR"/>
        </w:rPr>
        <w:t xml:space="preserve">En lo que se refiere a </w:t>
      </w:r>
      <w:r w:rsidRPr="002B1610">
        <w:rPr>
          <w:rFonts w:ascii="Verdana" w:hAnsi="Verdana"/>
          <w:w w:val="95"/>
          <w:sz w:val="20"/>
          <w:szCs w:val="20"/>
        </w:rPr>
        <w:t>Leonel Enrique Veliz Franco, José Roberto Franco, Cruz Elvira Sandoval Polanco de Franco y Roberto Franco Pérez</w:t>
      </w:r>
      <w:r w:rsidRPr="002B1610">
        <w:rPr>
          <w:rFonts w:ascii="Verdana" w:hAnsi="Verdana"/>
          <w:w w:val="95"/>
          <w:sz w:val="20"/>
          <w:szCs w:val="20"/>
          <w:lang w:val="es-CR"/>
        </w:rPr>
        <w:t>, la Corte no encuentra elementos suficientes para demostrar una afectación a su integridad personal</w:t>
      </w:r>
      <w:r w:rsidRPr="002B1610">
        <w:rPr>
          <w:rFonts w:ascii="Verdana" w:hAnsi="Verdana"/>
          <w:w w:val="95"/>
          <w:sz w:val="20"/>
          <w:szCs w:val="20"/>
        </w:rPr>
        <w:t xml:space="preserve"> derivada </w:t>
      </w:r>
      <w:r w:rsidRPr="002B1610">
        <w:rPr>
          <w:rFonts w:ascii="Verdana" w:hAnsi="Verdana"/>
          <w:w w:val="95"/>
          <w:sz w:val="20"/>
          <w:szCs w:val="20"/>
          <w:lang w:val="es-CR"/>
        </w:rPr>
        <w:t>del incumplimiento del deber de prevención,</w:t>
      </w:r>
      <w:r w:rsidRPr="002B1610">
        <w:rPr>
          <w:rFonts w:ascii="Verdana" w:hAnsi="Verdana"/>
          <w:w w:val="95"/>
          <w:sz w:val="20"/>
          <w:szCs w:val="20"/>
        </w:rPr>
        <w:t xml:space="preserve"> </w:t>
      </w:r>
      <w:r w:rsidRPr="002B1610">
        <w:rPr>
          <w:rFonts w:ascii="Verdana" w:hAnsi="Verdana"/>
          <w:w w:val="95"/>
          <w:sz w:val="20"/>
          <w:szCs w:val="20"/>
          <w:lang w:val="es-CR"/>
        </w:rPr>
        <w:t>de la falta de la debida diligencia y demora en las investigaciones que actualmente cursan en la jurisdicción interna.</w:t>
      </w:r>
    </w:p>
    <w:p w:rsidR="00DF15C3" w:rsidRDefault="00DF15C3" w:rsidP="003F26FD">
      <w:pPr>
        <w:pStyle w:val="Prrafodelista"/>
        <w:spacing w:after="0" w:line="216" w:lineRule="auto"/>
        <w:ind w:right="-174"/>
        <w:rPr>
          <w:rFonts w:ascii="Verdana" w:hAnsi="Verdana"/>
          <w:w w:val="95"/>
          <w:sz w:val="20"/>
          <w:szCs w:val="20"/>
          <w:lang w:val="es-CR"/>
        </w:rPr>
      </w:pPr>
    </w:p>
    <w:p w:rsidR="002E29FD" w:rsidRPr="002B1610" w:rsidRDefault="002E29FD" w:rsidP="003F26FD">
      <w:pPr>
        <w:pStyle w:val="Prrafodelista"/>
        <w:spacing w:after="0" w:line="216" w:lineRule="auto"/>
        <w:ind w:right="-174"/>
        <w:rPr>
          <w:rFonts w:ascii="Verdana" w:hAnsi="Verdana"/>
          <w:w w:val="95"/>
          <w:sz w:val="20"/>
          <w:szCs w:val="20"/>
          <w:lang w:val="es-CR"/>
        </w:rPr>
      </w:pPr>
    </w:p>
    <w:p w:rsidR="00DF15C3" w:rsidRPr="002B1610" w:rsidRDefault="00DF15C3" w:rsidP="003F26FD">
      <w:pPr>
        <w:pStyle w:val="Prrafodelista"/>
        <w:numPr>
          <w:ilvl w:val="0"/>
          <w:numId w:val="17"/>
        </w:numPr>
        <w:spacing w:after="0" w:line="216" w:lineRule="auto"/>
        <w:ind w:left="-142" w:right="-174" w:firstLine="0"/>
        <w:jc w:val="both"/>
        <w:rPr>
          <w:rFonts w:ascii="Verdana" w:hAnsi="Verdana"/>
          <w:w w:val="95"/>
          <w:sz w:val="20"/>
          <w:szCs w:val="20"/>
        </w:rPr>
      </w:pPr>
      <w:r w:rsidRPr="002B1610">
        <w:rPr>
          <w:rFonts w:ascii="Verdana" w:hAnsi="Verdana"/>
          <w:w w:val="95"/>
          <w:sz w:val="20"/>
          <w:szCs w:val="20"/>
          <w:lang w:val="es-CR"/>
        </w:rPr>
        <w:t xml:space="preserve">En </w:t>
      </w:r>
      <w:r w:rsidRPr="002B1610">
        <w:rPr>
          <w:rFonts w:ascii="Verdana" w:hAnsi="Verdana"/>
          <w:w w:val="95"/>
          <w:sz w:val="20"/>
          <w:szCs w:val="20"/>
        </w:rPr>
        <w:t>cuanto a la alegación de que el Estado es responsable de la violación del artículo 5 de la Convención por las amenazas y hostigamientos de que han sido objeto Rosa Elvira Franco Sandoval, Leonel Enrique Veliz Franco y José Roberto Franco, luego de la muerte de su hija y hermana (</w:t>
      </w:r>
      <w:r w:rsidRPr="002B1610">
        <w:rPr>
          <w:rFonts w:ascii="Verdana" w:hAnsi="Verdana"/>
          <w:i/>
          <w:w w:val="95"/>
          <w:sz w:val="20"/>
          <w:szCs w:val="20"/>
        </w:rPr>
        <w:t>supra</w:t>
      </w:r>
      <w:r w:rsidRPr="002B1610">
        <w:rPr>
          <w:rFonts w:ascii="Verdana" w:hAnsi="Verdana"/>
          <w:w w:val="95"/>
          <w:sz w:val="20"/>
          <w:szCs w:val="20"/>
        </w:rPr>
        <w:t xml:space="preserve"> párr.</w:t>
      </w:r>
      <w:r w:rsidR="00230951">
        <w:rPr>
          <w:rFonts w:ascii="Verdana" w:hAnsi="Verdana"/>
          <w:w w:val="95"/>
          <w:sz w:val="20"/>
          <w:szCs w:val="20"/>
        </w:rPr>
        <w:t xml:space="preserve"> 26</w:t>
      </w:r>
      <w:r w:rsidRPr="002B1610">
        <w:rPr>
          <w:rFonts w:ascii="Verdana" w:hAnsi="Verdana"/>
          <w:w w:val="95"/>
          <w:sz w:val="20"/>
          <w:szCs w:val="20"/>
        </w:rPr>
        <w:t>), la Corte no se referirá a ello ya que como lo señaló (</w:t>
      </w:r>
      <w:r w:rsidRPr="002B1610">
        <w:rPr>
          <w:rFonts w:ascii="Verdana" w:hAnsi="Verdana"/>
          <w:i/>
          <w:w w:val="95"/>
          <w:sz w:val="20"/>
          <w:szCs w:val="20"/>
        </w:rPr>
        <w:t xml:space="preserve">supra </w:t>
      </w:r>
      <w:r w:rsidRPr="002B1610">
        <w:rPr>
          <w:rFonts w:ascii="Verdana" w:hAnsi="Verdana"/>
          <w:w w:val="95"/>
          <w:sz w:val="20"/>
          <w:szCs w:val="20"/>
        </w:rPr>
        <w:t xml:space="preserve">párr. </w:t>
      </w:r>
      <w:r w:rsidR="001B57D6">
        <w:rPr>
          <w:rFonts w:ascii="Verdana" w:hAnsi="Verdana"/>
          <w:w w:val="95"/>
          <w:sz w:val="20"/>
          <w:szCs w:val="20"/>
        </w:rPr>
        <w:t>27</w:t>
      </w:r>
      <w:r w:rsidRPr="002B1610">
        <w:rPr>
          <w:rFonts w:ascii="Verdana" w:hAnsi="Verdana"/>
          <w:w w:val="95"/>
          <w:sz w:val="20"/>
          <w:szCs w:val="20"/>
        </w:rPr>
        <w:t>)</w:t>
      </w:r>
      <w:r w:rsidRPr="002B1610">
        <w:rPr>
          <w:rFonts w:ascii="Verdana" w:hAnsi="Verdana" w:cs="Verdana"/>
          <w:w w:val="95"/>
          <w:sz w:val="20"/>
          <w:szCs w:val="20"/>
          <w:lang w:val="es-CR"/>
        </w:rPr>
        <w:t xml:space="preserve"> dichos hechos se encuentran fuera del marco fáctico del Informe de Fondo del presente caso.</w:t>
      </w:r>
    </w:p>
    <w:p w:rsidR="00DF15C3" w:rsidRDefault="00DF15C3" w:rsidP="003F26FD">
      <w:pPr>
        <w:spacing w:after="0" w:line="216" w:lineRule="auto"/>
        <w:ind w:right="-174"/>
        <w:jc w:val="both"/>
        <w:rPr>
          <w:rFonts w:ascii="Verdana" w:hAnsi="Verdana"/>
          <w:w w:val="95"/>
          <w:sz w:val="20"/>
          <w:szCs w:val="20"/>
        </w:rPr>
      </w:pPr>
    </w:p>
    <w:p w:rsidR="002E29FD" w:rsidRPr="002B1610" w:rsidRDefault="002E29FD" w:rsidP="003F26FD">
      <w:pPr>
        <w:spacing w:after="0" w:line="216" w:lineRule="auto"/>
        <w:ind w:right="-174"/>
        <w:jc w:val="both"/>
        <w:rPr>
          <w:rFonts w:ascii="Verdana" w:hAnsi="Verdana"/>
          <w:w w:val="95"/>
          <w:sz w:val="20"/>
          <w:szCs w:val="20"/>
        </w:rPr>
      </w:pPr>
    </w:p>
    <w:p w:rsidR="00DF15C3" w:rsidRPr="002B1610" w:rsidRDefault="00DF15C3" w:rsidP="003F26FD">
      <w:pPr>
        <w:pStyle w:val="Prrafodelista"/>
        <w:numPr>
          <w:ilvl w:val="0"/>
          <w:numId w:val="17"/>
        </w:numPr>
        <w:spacing w:after="0" w:line="216" w:lineRule="auto"/>
        <w:ind w:left="-142" w:right="-174" w:firstLine="0"/>
        <w:jc w:val="both"/>
        <w:rPr>
          <w:rFonts w:ascii="Verdana" w:hAnsi="Verdana" w:cs="Verdana"/>
          <w:b/>
          <w:w w:val="95"/>
          <w:sz w:val="20"/>
          <w:szCs w:val="20"/>
          <w:lang w:val="es-CR" w:eastAsia="es-ES"/>
        </w:rPr>
      </w:pPr>
      <w:r w:rsidRPr="002B1610">
        <w:rPr>
          <w:rFonts w:ascii="Verdana" w:hAnsi="Verdana"/>
          <w:w w:val="95"/>
          <w:sz w:val="20"/>
          <w:szCs w:val="20"/>
          <w:lang w:val="es-CR"/>
        </w:rPr>
        <w:t xml:space="preserve">Consecuentemente, la Corte considera que el Estado </w:t>
      </w:r>
      <w:r w:rsidRPr="002B1610">
        <w:rPr>
          <w:rFonts w:ascii="Verdana" w:hAnsi="Verdana"/>
          <w:w w:val="95"/>
          <w:sz w:val="20"/>
          <w:szCs w:val="20"/>
        </w:rPr>
        <w:t xml:space="preserve">es responsable de la violación del derecho a la integridad personal, consagrado en el artículo 5.1 de la Convención Americana, en relación con el artículo 1.1 de la misma, en perjuicio de </w:t>
      </w:r>
      <w:r w:rsidRPr="002B1610">
        <w:rPr>
          <w:rFonts w:ascii="Verdana" w:hAnsi="Verdana"/>
          <w:w w:val="95"/>
          <w:sz w:val="20"/>
          <w:szCs w:val="20"/>
          <w:lang w:val="es-CR"/>
        </w:rPr>
        <w:t>Rosa Elvira Franco Sandoval.</w:t>
      </w:r>
    </w:p>
    <w:p w:rsidR="00DF15C3" w:rsidRDefault="00DF15C3" w:rsidP="003F26FD">
      <w:pPr>
        <w:pStyle w:val="Ttulo1"/>
        <w:spacing w:before="0" w:after="0" w:line="216" w:lineRule="auto"/>
        <w:ind w:right="-174"/>
        <w:rPr>
          <w:w w:val="95"/>
          <w:szCs w:val="20"/>
        </w:rPr>
      </w:pPr>
      <w:bookmarkStart w:id="108" w:name="_Toc384720317"/>
    </w:p>
    <w:p w:rsidR="00BA1E79" w:rsidRDefault="00BA1E79" w:rsidP="00BA1E79">
      <w:pPr>
        <w:rPr>
          <w:lang w:val="es-ES_tradnl"/>
        </w:rPr>
      </w:pPr>
    </w:p>
    <w:p w:rsidR="00BA1E79" w:rsidRPr="00BA1E79" w:rsidRDefault="00BA1E79" w:rsidP="00BA1E79">
      <w:pPr>
        <w:rPr>
          <w:lang w:val="es-ES_tradnl"/>
        </w:rPr>
      </w:pPr>
    </w:p>
    <w:p w:rsidR="00DF15C3" w:rsidRPr="002B1610" w:rsidRDefault="00DF15C3" w:rsidP="003F26FD">
      <w:pPr>
        <w:pStyle w:val="Ttulo1"/>
        <w:spacing w:before="0" w:after="0" w:line="216" w:lineRule="auto"/>
        <w:ind w:right="-174"/>
        <w:rPr>
          <w:w w:val="95"/>
          <w:szCs w:val="20"/>
        </w:rPr>
      </w:pPr>
      <w:bookmarkStart w:id="109" w:name="_Toc394313689"/>
      <w:r w:rsidRPr="002B1610">
        <w:rPr>
          <w:w w:val="95"/>
          <w:szCs w:val="20"/>
        </w:rPr>
        <w:t>X</w:t>
      </w:r>
      <w:r>
        <w:rPr>
          <w:w w:val="95"/>
          <w:szCs w:val="20"/>
        </w:rPr>
        <w:t>I</w:t>
      </w:r>
      <w:bookmarkEnd w:id="108"/>
      <w:bookmarkEnd w:id="109"/>
    </w:p>
    <w:p w:rsidR="00DF15C3" w:rsidRPr="002B1610" w:rsidRDefault="00DF15C3" w:rsidP="003F26FD">
      <w:pPr>
        <w:pStyle w:val="Ttulo1"/>
        <w:spacing w:before="0" w:after="0" w:line="216" w:lineRule="auto"/>
        <w:ind w:right="-174"/>
        <w:rPr>
          <w:w w:val="95"/>
          <w:szCs w:val="20"/>
        </w:rPr>
      </w:pPr>
      <w:bookmarkStart w:id="110" w:name="_Toc360033811"/>
      <w:bookmarkStart w:id="111" w:name="_Toc360200635"/>
      <w:bookmarkStart w:id="112" w:name="_Toc360452397"/>
      <w:bookmarkStart w:id="113" w:name="_Toc361079005"/>
      <w:bookmarkStart w:id="114" w:name="_Toc368391371"/>
      <w:bookmarkStart w:id="115" w:name="_Toc368399860"/>
      <w:bookmarkStart w:id="116" w:name="_Toc369869458"/>
      <w:bookmarkStart w:id="117" w:name="_Toc394313690"/>
      <w:r w:rsidRPr="002B1610">
        <w:rPr>
          <w:w w:val="95"/>
          <w:szCs w:val="20"/>
        </w:rPr>
        <w:t>REPARACIONES</w:t>
      </w:r>
      <w:bookmarkEnd w:id="110"/>
      <w:bookmarkEnd w:id="111"/>
      <w:bookmarkEnd w:id="112"/>
      <w:bookmarkEnd w:id="113"/>
      <w:bookmarkEnd w:id="114"/>
      <w:bookmarkEnd w:id="115"/>
      <w:bookmarkEnd w:id="116"/>
      <w:bookmarkEnd w:id="117"/>
    </w:p>
    <w:p w:rsidR="00DF15C3" w:rsidRPr="00F17D88" w:rsidRDefault="00DF15C3" w:rsidP="00F17D88">
      <w:pPr>
        <w:jc w:val="center"/>
        <w:rPr>
          <w:b/>
          <w:w w:val="95"/>
          <w:szCs w:val="20"/>
        </w:rPr>
      </w:pPr>
      <w:bookmarkStart w:id="118" w:name="_Toc360033812"/>
      <w:bookmarkStart w:id="119" w:name="_Toc360200636"/>
      <w:bookmarkStart w:id="120" w:name="_Toc360540709"/>
      <w:bookmarkStart w:id="121" w:name="_Toc368391372"/>
      <w:bookmarkStart w:id="122" w:name="_Toc369869459"/>
      <w:r w:rsidRPr="00F17D88">
        <w:rPr>
          <w:b/>
          <w:w w:val="95"/>
          <w:szCs w:val="20"/>
        </w:rPr>
        <w:t>(Aplicación del artículo 63.1 de la Convención Americana)</w:t>
      </w:r>
      <w:bookmarkEnd w:id="118"/>
      <w:bookmarkEnd w:id="119"/>
      <w:bookmarkEnd w:id="120"/>
      <w:bookmarkEnd w:id="121"/>
      <w:bookmarkEnd w:id="122"/>
    </w:p>
    <w:p w:rsidR="00DF15C3" w:rsidRPr="002B1610" w:rsidRDefault="00DF15C3" w:rsidP="003F26FD">
      <w:pPr>
        <w:spacing w:after="0" w:line="216" w:lineRule="auto"/>
        <w:ind w:left="142" w:right="-174" w:hanging="426"/>
        <w:jc w:val="both"/>
        <w:rPr>
          <w:rFonts w:ascii="Verdana" w:hAnsi="Verdana"/>
          <w:w w:val="95"/>
          <w:sz w:val="20"/>
          <w:szCs w:val="20"/>
          <w:lang w:val="es-CR"/>
        </w:rPr>
      </w:pPr>
    </w:p>
    <w:p w:rsidR="00DF15C3" w:rsidRPr="002B1610" w:rsidRDefault="00DF15C3" w:rsidP="003F26FD">
      <w:pPr>
        <w:pStyle w:val="Prrafodelista"/>
        <w:numPr>
          <w:ilvl w:val="0"/>
          <w:numId w:val="17"/>
        </w:numPr>
        <w:spacing w:after="0" w:line="216" w:lineRule="auto"/>
        <w:ind w:left="-142" w:right="-174" w:hanging="11"/>
        <w:contextualSpacing w:val="0"/>
        <w:jc w:val="both"/>
        <w:rPr>
          <w:rFonts w:ascii="Verdana" w:hAnsi="Verdana"/>
          <w:w w:val="95"/>
          <w:sz w:val="20"/>
          <w:szCs w:val="20"/>
          <w:lang w:val="es-CR"/>
        </w:rPr>
      </w:pPr>
      <w:r w:rsidRPr="002B1610">
        <w:rPr>
          <w:rFonts w:ascii="Verdana" w:hAnsi="Verdana"/>
          <w:w w:val="95"/>
          <w:sz w:val="20"/>
          <w:szCs w:val="20"/>
          <w:lang w:val="es-CR"/>
        </w:rPr>
        <w:t>Sobre la base de lo dispuesto en el artículo 63.1 de la Convención Americana</w:t>
      </w:r>
      <w:r w:rsidR="0064289A">
        <w:rPr>
          <w:rStyle w:val="Refdenotaalpie"/>
          <w:rFonts w:ascii="Verdana" w:hAnsi="Verdana"/>
          <w:w w:val="95"/>
          <w:sz w:val="20"/>
          <w:szCs w:val="20"/>
          <w:lang w:val="es-CR"/>
        </w:rPr>
        <w:footnoteReference w:id="339"/>
      </w:r>
      <w:r w:rsidRPr="002B1610">
        <w:rPr>
          <w:rFonts w:ascii="Verdana" w:hAnsi="Verdana"/>
          <w:w w:val="95"/>
          <w:sz w:val="20"/>
          <w:szCs w:val="20"/>
          <w:lang w:val="es-CR"/>
        </w:rPr>
        <w:t>, la Corte ha dicho que toda violación de una obligación internacional que haya producido daño comporta el deber de repararlo adecuadamente y que esa disposición recoge una norma consuetudinaria que constituye uno de los principios fundamentales del Derecho Internacional contemporáneo sobre responsabilidad de un Estado</w:t>
      </w:r>
      <w:r w:rsidRPr="002B1610">
        <w:rPr>
          <w:rFonts w:ascii="Verdana" w:hAnsi="Verdana"/>
          <w:w w:val="95"/>
          <w:sz w:val="20"/>
          <w:szCs w:val="20"/>
          <w:vertAlign w:val="superscript"/>
        </w:rPr>
        <w:footnoteReference w:id="340"/>
      </w:r>
      <w:r w:rsidRPr="002B1610">
        <w:rPr>
          <w:rFonts w:ascii="Verdana" w:hAnsi="Verdana"/>
          <w:w w:val="95"/>
          <w:sz w:val="20"/>
          <w:szCs w:val="20"/>
          <w:lang w:val="es-CR"/>
        </w:rPr>
        <w:t>. En el presente caso la Corte ha considerado la necesidad de otorgar diversas medidas de reparación, a fin de garantizar el derecho conculcado y resarcir los daños de manera íntegra.</w:t>
      </w:r>
    </w:p>
    <w:p w:rsidR="00DF15C3" w:rsidRPr="002B1610" w:rsidRDefault="00DF15C3" w:rsidP="003F26FD">
      <w:pPr>
        <w:pStyle w:val="Prrafodelista"/>
        <w:spacing w:after="0" w:line="216" w:lineRule="auto"/>
        <w:ind w:left="-142" w:right="-174"/>
        <w:contextualSpacing w:val="0"/>
        <w:jc w:val="both"/>
        <w:rPr>
          <w:rFonts w:ascii="Verdana" w:hAnsi="Verdana"/>
          <w:i/>
          <w:w w:val="95"/>
          <w:sz w:val="20"/>
          <w:szCs w:val="20"/>
          <w:lang w:val="es-CR"/>
        </w:rPr>
      </w:pPr>
    </w:p>
    <w:p w:rsidR="00DF15C3" w:rsidRPr="002B1610" w:rsidRDefault="00DF15C3" w:rsidP="003F26FD">
      <w:pPr>
        <w:pStyle w:val="Prrafodelista"/>
        <w:numPr>
          <w:ilvl w:val="0"/>
          <w:numId w:val="17"/>
        </w:numPr>
        <w:spacing w:after="0" w:line="216" w:lineRule="auto"/>
        <w:ind w:left="-142" w:right="-174" w:hanging="11"/>
        <w:contextualSpacing w:val="0"/>
        <w:jc w:val="both"/>
        <w:rPr>
          <w:rFonts w:ascii="Verdana" w:hAnsi="Verdana"/>
          <w:w w:val="95"/>
          <w:sz w:val="20"/>
          <w:szCs w:val="20"/>
          <w:lang w:val="es-CR"/>
        </w:rPr>
      </w:pPr>
      <w:r w:rsidRPr="002B1610">
        <w:rPr>
          <w:rFonts w:ascii="Verdana" w:hAnsi="Verdana"/>
          <w:w w:val="95"/>
          <w:sz w:val="20"/>
          <w:szCs w:val="20"/>
          <w:lang w:val="es-CR"/>
        </w:rPr>
        <w:t>Debe señalarse que este Tribunal ha establecido que las reparaciones deben tener un nexo causal con los hechos del caso, las violaciones declaradas, los daños acreditados, así como las medidas solicitadas para reparar los daños respectivos. Por lo tanto, la Corte deberá observar dicha concurrencia para pronunciarse debidamente y conforme a derecho</w:t>
      </w:r>
      <w:r w:rsidRPr="002B1610">
        <w:rPr>
          <w:rFonts w:ascii="Verdana" w:hAnsi="Verdana"/>
          <w:w w:val="95"/>
          <w:sz w:val="20"/>
          <w:szCs w:val="20"/>
          <w:vertAlign w:val="superscript"/>
        </w:rPr>
        <w:footnoteReference w:id="341"/>
      </w:r>
      <w:r w:rsidRPr="002B1610">
        <w:rPr>
          <w:rFonts w:ascii="Verdana" w:hAnsi="Verdana"/>
          <w:w w:val="95"/>
          <w:sz w:val="20"/>
          <w:szCs w:val="20"/>
          <w:lang w:val="es-CR"/>
        </w:rPr>
        <w:t xml:space="preserve">. </w:t>
      </w:r>
    </w:p>
    <w:p w:rsidR="00DF15C3" w:rsidRPr="002B1610" w:rsidRDefault="00DF15C3" w:rsidP="003F26FD">
      <w:pPr>
        <w:pStyle w:val="Prrafodelista"/>
        <w:spacing w:after="0" w:line="216" w:lineRule="auto"/>
        <w:ind w:right="-174"/>
        <w:rPr>
          <w:rFonts w:ascii="Verdana" w:hAnsi="Verdana"/>
          <w:w w:val="95"/>
          <w:sz w:val="20"/>
          <w:szCs w:val="20"/>
          <w:lang w:val="es-CR"/>
        </w:rPr>
      </w:pPr>
    </w:p>
    <w:p w:rsidR="00DF15C3" w:rsidRPr="002B1610" w:rsidRDefault="00DF15C3" w:rsidP="003F26FD">
      <w:pPr>
        <w:pStyle w:val="Prrafodelista"/>
        <w:numPr>
          <w:ilvl w:val="0"/>
          <w:numId w:val="17"/>
        </w:numPr>
        <w:spacing w:after="0" w:line="216" w:lineRule="auto"/>
        <w:ind w:left="-142" w:right="-174" w:hanging="11"/>
        <w:contextualSpacing w:val="0"/>
        <w:jc w:val="both"/>
        <w:rPr>
          <w:rFonts w:ascii="Verdana" w:hAnsi="Verdana"/>
          <w:w w:val="95"/>
          <w:sz w:val="20"/>
          <w:szCs w:val="20"/>
          <w:lang w:val="es-CR"/>
        </w:rPr>
      </w:pPr>
      <w:r w:rsidRPr="002B1610">
        <w:rPr>
          <w:rFonts w:ascii="Verdana" w:hAnsi="Verdana"/>
          <w:w w:val="95"/>
          <w:sz w:val="20"/>
          <w:szCs w:val="20"/>
          <w:lang w:val="es-CR"/>
        </w:rPr>
        <w:t xml:space="preserve">De acuerdo con las consideraciones expuestas sobre el fondo y las violaciones a la Convención Americana declaradas en los Capítulos </w:t>
      </w:r>
      <w:r w:rsidRPr="00D97216">
        <w:rPr>
          <w:rFonts w:ascii="Verdana" w:hAnsi="Verdana"/>
          <w:w w:val="95"/>
          <w:sz w:val="20"/>
          <w:szCs w:val="20"/>
          <w:lang w:val="es-CR"/>
        </w:rPr>
        <w:t>VIII, IX y X, el</w:t>
      </w:r>
      <w:r w:rsidRPr="002B1610">
        <w:rPr>
          <w:rFonts w:ascii="Verdana" w:hAnsi="Verdana"/>
          <w:w w:val="95"/>
          <w:sz w:val="20"/>
          <w:szCs w:val="20"/>
          <w:lang w:val="es-CR"/>
        </w:rPr>
        <w:t xml:space="preserve"> Tribunal procederá a analizar las pretensiones presentadas por la Comisión y la representante, así como los argumentos del Estado, a la luz de los criterios fijados en su jurisprudencia en relación con la naturaleza y alcance de la obligación de reparar, con el objeto de disponer las medidas dirigidas a reparar los daños ocasionados a las víctimas</w:t>
      </w:r>
      <w:r w:rsidRPr="002B1610">
        <w:rPr>
          <w:rFonts w:ascii="Verdana" w:hAnsi="Verdana"/>
          <w:w w:val="95"/>
          <w:sz w:val="20"/>
          <w:szCs w:val="20"/>
          <w:vertAlign w:val="superscript"/>
        </w:rPr>
        <w:footnoteReference w:id="342"/>
      </w:r>
      <w:r w:rsidRPr="002B1610">
        <w:rPr>
          <w:rFonts w:ascii="Verdana" w:hAnsi="Verdana"/>
          <w:w w:val="95"/>
          <w:sz w:val="20"/>
          <w:szCs w:val="20"/>
          <w:lang w:val="es-CR"/>
        </w:rPr>
        <w:t xml:space="preserve">. </w:t>
      </w:r>
    </w:p>
    <w:p w:rsidR="00DF15C3" w:rsidRPr="002B1610" w:rsidRDefault="00DF15C3" w:rsidP="003F26FD">
      <w:pPr>
        <w:pStyle w:val="Prrafodelista"/>
        <w:spacing w:after="0" w:line="216" w:lineRule="auto"/>
        <w:ind w:right="-174"/>
        <w:rPr>
          <w:rFonts w:ascii="Verdana" w:hAnsi="Verdana"/>
          <w:w w:val="95"/>
          <w:sz w:val="20"/>
          <w:szCs w:val="20"/>
          <w:lang w:val="es-CR"/>
        </w:rPr>
      </w:pPr>
    </w:p>
    <w:p w:rsidR="00DF15C3" w:rsidRPr="002B1610" w:rsidRDefault="00DF15C3" w:rsidP="003F26FD">
      <w:pPr>
        <w:pStyle w:val="Ttulo2"/>
        <w:keepLines w:val="0"/>
        <w:numPr>
          <w:ilvl w:val="0"/>
          <w:numId w:val="10"/>
        </w:numPr>
        <w:spacing w:before="0" w:line="216" w:lineRule="auto"/>
        <w:ind w:left="284" w:right="-174" w:firstLine="0"/>
        <w:jc w:val="both"/>
        <w:rPr>
          <w:rFonts w:ascii="Verdana" w:hAnsi="Verdana"/>
          <w:color w:val="auto"/>
          <w:w w:val="95"/>
          <w:sz w:val="20"/>
          <w:szCs w:val="20"/>
        </w:rPr>
      </w:pPr>
      <w:bookmarkStart w:id="123" w:name="_Toc360033813"/>
      <w:bookmarkStart w:id="124" w:name="_Toc369869460"/>
      <w:bookmarkStart w:id="125" w:name="_Toc394313691"/>
      <w:r w:rsidRPr="002B1610">
        <w:rPr>
          <w:rFonts w:ascii="Verdana" w:hAnsi="Verdana"/>
          <w:color w:val="auto"/>
          <w:w w:val="95"/>
          <w:sz w:val="20"/>
          <w:szCs w:val="20"/>
        </w:rPr>
        <w:t>Parte Lesionada</w:t>
      </w:r>
      <w:bookmarkEnd w:id="123"/>
      <w:bookmarkEnd w:id="124"/>
      <w:bookmarkEnd w:id="125"/>
    </w:p>
    <w:p w:rsidR="00DF15C3" w:rsidRPr="002B1610" w:rsidRDefault="00DF15C3" w:rsidP="003F26FD">
      <w:pPr>
        <w:pStyle w:val="Prrafodelista"/>
        <w:spacing w:after="0" w:line="216" w:lineRule="auto"/>
        <w:ind w:right="-174"/>
        <w:rPr>
          <w:rFonts w:ascii="Verdana" w:hAnsi="Verdana"/>
          <w:w w:val="95"/>
          <w:sz w:val="20"/>
          <w:szCs w:val="20"/>
          <w:lang w:val="es-CR"/>
        </w:rPr>
      </w:pPr>
    </w:p>
    <w:p w:rsidR="00DF15C3" w:rsidRPr="002B1610" w:rsidRDefault="00DF15C3" w:rsidP="003F26FD">
      <w:pPr>
        <w:pStyle w:val="Prrafodelista"/>
        <w:numPr>
          <w:ilvl w:val="0"/>
          <w:numId w:val="17"/>
        </w:numPr>
        <w:spacing w:after="0" w:line="216" w:lineRule="auto"/>
        <w:ind w:left="-142" w:right="-174" w:hanging="11"/>
        <w:contextualSpacing w:val="0"/>
        <w:jc w:val="both"/>
        <w:rPr>
          <w:rFonts w:ascii="Verdana" w:hAnsi="Verdana"/>
          <w:w w:val="95"/>
          <w:sz w:val="20"/>
          <w:szCs w:val="20"/>
          <w:lang w:val="es-CR"/>
        </w:rPr>
      </w:pPr>
      <w:r w:rsidRPr="002B1610">
        <w:rPr>
          <w:rFonts w:ascii="Verdana" w:hAnsi="Verdana"/>
          <w:w w:val="95"/>
          <w:sz w:val="20"/>
          <w:szCs w:val="20"/>
          <w:lang w:val="es-CR"/>
        </w:rPr>
        <w:t>El Tribunal reitera que se considera parte lesionada, en los términos del artículo 63.1 de la Convención, a quien ha sido declarado víctima de la violación de algún derecho reconocido en la misma. Por lo tanto, esta Corte considera como “parte lesionada” a María Isabel V</w:t>
      </w:r>
      <w:r>
        <w:rPr>
          <w:rFonts w:ascii="Verdana" w:hAnsi="Verdana"/>
          <w:w w:val="95"/>
          <w:sz w:val="20"/>
          <w:szCs w:val="20"/>
          <w:lang w:val="es-CR"/>
        </w:rPr>
        <w:t>e</w:t>
      </w:r>
      <w:r w:rsidRPr="002B1610">
        <w:rPr>
          <w:rFonts w:ascii="Verdana" w:hAnsi="Verdana"/>
          <w:w w:val="95"/>
          <w:sz w:val="20"/>
          <w:szCs w:val="20"/>
          <w:lang w:val="es-CR"/>
        </w:rPr>
        <w:t>liz Franco, Rosa Elvira Franco Sandoval, Leonel Enrique V</w:t>
      </w:r>
      <w:r>
        <w:rPr>
          <w:rFonts w:ascii="Verdana" w:hAnsi="Verdana"/>
          <w:w w:val="95"/>
          <w:sz w:val="20"/>
          <w:szCs w:val="20"/>
          <w:lang w:val="es-CR"/>
        </w:rPr>
        <w:t>e</w:t>
      </w:r>
      <w:r w:rsidRPr="002B1610">
        <w:rPr>
          <w:rFonts w:ascii="Verdana" w:hAnsi="Verdana"/>
          <w:w w:val="95"/>
          <w:sz w:val="20"/>
          <w:szCs w:val="20"/>
          <w:lang w:val="es-CR"/>
        </w:rPr>
        <w:t>liz Franco</w:t>
      </w:r>
      <w:r>
        <w:rPr>
          <w:rFonts w:ascii="Verdana" w:hAnsi="Verdana"/>
          <w:w w:val="95"/>
          <w:sz w:val="20"/>
          <w:szCs w:val="20"/>
          <w:lang w:val="es-CR"/>
        </w:rPr>
        <w:t>,</w:t>
      </w:r>
      <w:r w:rsidRPr="002B1610">
        <w:rPr>
          <w:rFonts w:ascii="Verdana" w:hAnsi="Verdana"/>
          <w:w w:val="95"/>
          <w:sz w:val="20"/>
          <w:szCs w:val="20"/>
          <w:lang w:val="es-CR"/>
        </w:rPr>
        <w:t xml:space="preserve"> José Roberto Franco</w:t>
      </w:r>
      <w:r w:rsidRPr="00D97216">
        <w:rPr>
          <w:rFonts w:ascii="Verdana" w:hAnsi="Verdana"/>
          <w:w w:val="95"/>
          <w:sz w:val="20"/>
          <w:szCs w:val="20"/>
          <w:lang w:val="es-CR"/>
        </w:rPr>
        <w:t>, Cruz Elvira Sandoval Polanco y Roberto Franco Pérez,</w:t>
      </w:r>
      <w:r w:rsidRPr="002B1610">
        <w:rPr>
          <w:rFonts w:ascii="Verdana" w:hAnsi="Verdana"/>
          <w:w w:val="95"/>
          <w:sz w:val="20"/>
          <w:szCs w:val="20"/>
          <w:lang w:val="es-CR"/>
        </w:rPr>
        <w:t xml:space="preserve"> quienes en su carácter de víctima</w:t>
      </w:r>
      <w:r>
        <w:rPr>
          <w:rFonts w:ascii="Verdana" w:hAnsi="Verdana"/>
          <w:w w:val="95"/>
          <w:sz w:val="20"/>
          <w:szCs w:val="20"/>
          <w:lang w:val="es-CR"/>
        </w:rPr>
        <w:t>s</w:t>
      </w:r>
      <w:r w:rsidRPr="002B1610">
        <w:rPr>
          <w:rFonts w:ascii="Verdana" w:hAnsi="Verdana"/>
          <w:w w:val="95"/>
          <w:sz w:val="20"/>
          <w:szCs w:val="20"/>
          <w:lang w:val="es-CR"/>
        </w:rPr>
        <w:t xml:space="preserve"> de las violaciones declaradas</w:t>
      </w:r>
      <w:r w:rsidR="00DD75F5" w:rsidRPr="002857CA">
        <w:rPr>
          <w:rFonts w:ascii="Verdana" w:hAnsi="Verdana"/>
          <w:w w:val="95"/>
          <w:sz w:val="20"/>
          <w:szCs w:val="20"/>
          <w:lang w:val="es-CR"/>
        </w:rPr>
        <w:t>, según sea el caso,</w:t>
      </w:r>
      <w:r w:rsidRPr="002B1610">
        <w:rPr>
          <w:rFonts w:ascii="Verdana" w:hAnsi="Verdana"/>
          <w:w w:val="95"/>
          <w:sz w:val="20"/>
          <w:szCs w:val="20"/>
          <w:lang w:val="es-CR"/>
        </w:rPr>
        <w:t xml:space="preserve"> en los Capítulos </w:t>
      </w:r>
      <w:r w:rsidRPr="00D97216">
        <w:rPr>
          <w:rFonts w:ascii="Verdana" w:hAnsi="Verdana"/>
          <w:w w:val="95"/>
          <w:sz w:val="20"/>
          <w:szCs w:val="20"/>
          <w:lang w:val="es-CR"/>
        </w:rPr>
        <w:t>VIII, IX y X</w:t>
      </w:r>
      <w:r w:rsidRPr="002B1610">
        <w:rPr>
          <w:rFonts w:ascii="Verdana" w:hAnsi="Verdana"/>
          <w:w w:val="95"/>
          <w:sz w:val="20"/>
          <w:szCs w:val="20"/>
          <w:lang w:val="es-CR"/>
        </w:rPr>
        <w:t xml:space="preserve"> serán considerados beneficiarios de las reparaciones que ordene el Tribunal. </w:t>
      </w:r>
    </w:p>
    <w:p w:rsidR="00DF15C3" w:rsidRPr="002B1610" w:rsidRDefault="00DF15C3" w:rsidP="003F26FD">
      <w:pPr>
        <w:spacing w:after="0" w:line="216" w:lineRule="auto"/>
        <w:ind w:right="-174"/>
        <w:jc w:val="both"/>
        <w:rPr>
          <w:rFonts w:ascii="Verdana" w:hAnsi="Verdana"/>
          <w:w w:val="95"/>
          <w:sz w:val="20"/>
          <w:szCs w:val="20"/>
          <w:lang w:val="es-CR"/>
        </w:rPr>
      </w:pPr>
    </w:p>
    <w:p w:rsidR="00DF15C3" w:rsidRPr="002B1610" w:rsidRDefault="00DF15C3" w:rsidP="003F26FD">
      <w:pPr>
        <w:pStyle w:val="Ttulo2"/>
        <w:keepLines w:val="0"/>
        <w:spacing w:before="0" w:line="216" w:lineRule="auto"/>
        <w:ind w:left="284" w:right="-174"/>
        <w:jc w:val="both"/>
        <w:rPr>
          <w:rFonts w:ascii="Verdana" w:hAnsi="Verdana"/>
          <w:color w:val="auto"/>
          <w:w w:val="95"/>
          <w:sz w:val="20"/>
          <w:szCs w:val="20"/>
          <w:lang w:val="es-CR"/>
        </w:rPr>
      </w:pPr>
      <w:bookmarkStart w:id="126" w:name="_Toc394313692"/>
      <w:r w:rsidRPr="002B1610">
        <w:rPr>
          <w:rFonts w:ascii="Verdana" w:hAnsi="Verdana"/>
          <w:color w:val="auto"/>
          <w:w w:val="95"/>
          <w:sz w:val="20"/>
          <w:szCs w:val="20"/>
          <w:lang w:val="es-CR"/>
        </w:rPr>
        <w:t>B. Obligación de investigar los hechos e identificar y, en su caso, sancionar a los responsables</w:t>
      </w:r>
      <w:bookmarkEnd w:id="126"/>
    </w:p>
    <w:p w:rsidR="00DF15C3" w:rsidRPr="002B1610" w:rsidRDefault="00DF15C3" w:rsidP="003F26FD">
      <w:pPr>
        <w:spacing w:after="0" w:line="216" w:lineRule="auto"/>
        <w:ind w:right="-174" w:firstLine="708"/>
        <w:rPr>
          <w:rFonts w:ascii="Verdana" w:hAnsi="Verdana"/>
          <w:b/>
          <w:i/>
          <w:w w:val="95"/>
          <w:sz w:val="20"/>
          <w:szCs w:val="20"/>
          <w:lang w:val="es-CR"/>
        </w:rPr>
      </w:pPr>
    </w:p>
    <w:p w:rsidR="00DF15C3" w:rsidRPr="002B1610" w:rsidRDefault="00DF15C3" w:rsidP="003F26FD">
      <w:pPr>
        <w:pStyle w:val="Ttulo3"/>
        <w:spacing w:before="0" w:line="216" w:lineRule="auto"/>
        <w:ind w:left="567" w:right="-174"/>
        <w:rPr>
          <w:rFonts w:ascii="Verdana" w:hAnsi="Verdana"/>
          <w:i/>
          <w:color w:val="auto"/>
          <w:w w:val="95"/>
          <w:sz w:val="20"/>
          <w:lang w:val="es-CR"/>
        </w:rPr>
      </w:pPr>
      <w:bookmarkStart w:id="127" w:name="_Toc394313693"/>
      <w:r w:rsidRPr="002B1610">
        <w:rPr>
          <w:rFonts w:ascii="Verdana" w:hAnsi="Verdana"/>
          <w:i/>
          <w:color w:val="auto"/>
          <w:w w:val="95"/>
          <w:sz w:val="20"/>
          <w:lang w:val="es-CR"/>
        </w:rPr>
        <w:t xml:space="preserve">B.1) Argumentos de la Comisión y de las </w:t>
      </w:r>
      <w:r>
        <w:rPr>
          <w:rFonts w:ascii="Verdana" w:hAnsi="Verdana"/>
          <w:i/>
          <w:color w:val="auto"/>
          <w:w w:val="95"/>
          <w:sz w:val="20"/>
          <w:lang w:val="es-CR"/>
        </w:rPr>
        <w:t>p</w:t>
      </w:r>
      <w:r w:rsidRPr="002B1610">
        <w:rPr>
          <w:rFonts w:ascii="Verdana" w:hAnsi="Verdana"/>
          <w:i/>
          <w:color w:val="auto"/>
          <w:w w:val="95"/>
          <w:sz w:val="20"/>
          <w:lang w:val="es-CR"/>
        </w:rPr>
        <w:t>artes</w:t>
      </w:r>
      <w:bookmarkEnd w:id="127"/>
    </w:p>
    <w:p w:rsidR="00DF15C3" w:rsidRPr="002B1610" w:rsidRDefault="00DF15C3" w:rsidP="003F26FD">
      <w:pPr>
        <w:pStyle w:val="Prrafodelista"/>
        <w:spacing w:after="0" w:line="216" w:lineRule="auto"/>
        <w:ind w:left="-142" w:right="-174"/>
        <w:contextualSpacing w:val="0"/>
        <w:jc w:val="both"/>
        <w:rPr>
          <w:rFonts w:ascii="Verdana" w:hAnsi="Verdana"/>
          <w:w w:val="95"/>
          <w:sz w:val="20"/>
          <w:szCs w:val="20"/>
          <w:lang w:val="es-CR"/>
        </w:rPr>
      </w:pPr>
    </w:p>
    <w:p w:rsidR="00DF15C3" w:rsidRPr="002B1610" w:rsidRDefault="00DF15C3" w:rsidP="003F26FD">
      <w:pPr>
        <w:pStyle w:val="Prrafodelista"/>
        <w:numPr>
          <w:ilvl w:val="0"/>
          <w:numId w:val="17"/>
        </w:numPr>
        <w:spacing w:after="0" w:line="216" w:lineRule="auto"/>
        <w:ind w:left="-142" w:right="-174" w:hanging="11"/>
        <w:contextualSpacing w:val="0"/>
        <w:jc w:val="both"/>
        <w:rPr>
          <w:rFonts w:ascii="Verdana" w:hAnsi="Verdana"/>
          <w:w w:val="95"/>
          <w:sz w:val="20"/>
          <w:szCs w:val="20"/>
          <w:lang w:val="es-CR"/>
        </w:rPr>
      </w:pPr>
      <w:r w:rsidRPr="002B1610">
        <w:rPr>
          <w:rFonts w:ascii="Verdana" w:hAnsi="Verdana"/>
          <w:w w:val="95"/>
          <w:sz w:val="20"/>
          <w:szCs w:val="20"/>
          <w:lang w:val="es-CR"/>
        </w:rPr>
        <w:t xml:space="preserve">La </w:t>
      </w:r>
      <w:r w:rsidRPr="002B1610">
        <w:rPr>
          <w:rFonts w:ascii="Verdana" w:hAnsi="Verdana"/>
          <w:b/>
          <w:i/>
          <w:w w:val="95"/>
          <w:sz w:val="20"/>
          <w:szCs w:val="20"/>
          <w:lang w:val="es-CR"/>
        </w:rPr>
        <w:t>Comisión Interamericana</w:t>
      </w:r>
      <w:r w:rsidRPr="002B1610">
        <w:rPr>
          <w:rFonts w:ascii="Verdana" w:hAnsi="Verdana"/>
          <w:w w:val="95"/>
          <w:sz w:val="20"/>
          <w:szCs w:val="20"/>
          <w:lang w:val="es-CR"/>
        </w:rPr>
        <w:t xml:space="preserve"> solicitó que se ordene al Estado “</w:t>
      </w:r>
      <w:r>
        <w:rPr>
          <w:rFonts w:ascii="Verdana" w:hAnsi="Verdana"/>
          <w:w w:val="95"/>
          <w:sz w:val="20"/>
          <w:szCs w:val="20"/>
          <w:lang w:val="es-CR"/>
        </w:rPr>
        <w:t>[</w:t>
      </w:r>
      <w:r w:rsidRPr="002B1610">
        <w:rPr>
          <w:rFonts w:ascii="Verdana" w:hAnsi="Verdana"/>
          <w:w w:val="95"/>
          <w:sz w:val="20"/>
          <w:szCs w:val="20"/>
          <w:lang w:val="es-CR"/>
        </w:rPr>
        <w:t>c</w:t>
      </w:r>
      <w:r>
        <w:rPr>
          <w:rFonts w:ascii="Verdana" w:hAnsi="Verdana"/>
          <w:w w:val="95"/>
          <w:sz w:val="20"/>
          <w:szCs w:val="20"/>
          <w:lang w:val="es-CR"/>
        </w:rPr>
        <w:t>]</w:t>
      </w:r>
      <w:r w:rsidRPr="002B1610">
        <w:rPr>
          <w:rFonts w:ascii="Verdana" w:hAnsi="Verdana"/>
          <w:w w:val="95"/>
          <w:sz w:val="20"/>
          <w:szCs w:val="20"/>
          <w:lang w:val="es-CR"/>
        </w:rPr>
        <w:t>ompletar la investigación de manera oportuna, inmediata, seria e imparcial con el objeto de esclarecer el asesinato de María Isabel V</w:t>
      </w:r>
      <w:r>
        <w:rPr>
          <w:rFonts w:ascii="Verdana" w:hAnsi="Verdana"/>
          <w:w w:val="95"/>
          <w:sz w:val="20"/>
          <w:szCs w:val="20"/>
          <w:lang w:val="es-CR"/>
        </w:rPr>
        <w:t>[e]</w:t>
      </w:r>
      <w:r w:rsidRPr="002B1610">
        <w:rPr>
          <w:rFonts w:ascii="Verdana" w:hAnsi="Verdana"/>
          <w:w w:val="95"/>
          <w:sz w:val="20"/>
          <w:szCs w:val="20"/>
          <w:lang w:val="es-CR"/>
        </w:rPr>
        <w:t>liz Franco e identificar, juzgar y, en su caso, sancionar a los responsables”.</w:t>
      </w:r>
    </w:p>
    <w:p w:rsidR="00DF15C3" w:rsidRPr="002B1610" w:rsidRDefault="00DF15C3" w:rsidP="003F26FD">
      <w:pPr>
        <w:pStyle w:val="Prrafodelista"/>
        <w:spacing w:after="0" w:line="216" w:lineRule="auto"/>
        <w:ind w:left="-142" w:right="-174" w:hanging="11"/>
        <w:contextualSpacing w:val="0"/>
        <w:jc w:val="both"/>
        <w:rPr>
          <w:rFonts w:ascii="Verdana" w:hAnsi="Verdana"/>
          <w:w w:val="95"/>
          <w:sz w:val="20"/>
          <w:szCs w:val="20"/>
          <w:lang w:val="es-CR"/>
        </w:rPr>
      </w:pPr>
    </w:p>
    <w:p w:rsidR="00DF15C3" w:rsidRPr="002B1610" w:rsidRDefault="00DF15C3" w:rsidP="003F26FD">
      <w:pPr>
        <w:pStyle w:val="Prrafodelista"/>
        <w:numPr>
          <w:ilvl w:val="0"/>
          <w:numId w:val="17"/>
        </w:numPr>
        <w:spacing w:after="0" w:line="216" w:lineRule="auto"/>
        <w:ind w:left="-142" w:right="-174" w:hanging="11"/>
        <w:contextualSpacing w:val="0"/>
        <w:jc w:val="both"/>
        <w:rPr>
          <w:rFonts w:ascii="Verdana" w:hAnsi="Verdana"/>
          <w:w w:val="95"/>
          <w:sz w:val="20"/>
          <w:szCs w:val="20"/>
          <w:lang w:val="es-CR"/>
        </w:rPr>
      </w:pPr>
      <w:r w:rsidRPr="002B1610">
        <w:rPr>
          <w:rFonts w:ascii="Verdana" w:hAnsi="Verdana"/>
          <w:w w:val="95"/>
          <w:sz w:val="20"/>
          <w:szCs w:val="20"/>
          <w:lang w:val="es-CR"/>
        </w:rPr>
        <w:t xml:space="preserve">Por su parte, la </w:t>
      </w:r>
      <w:r w:rsidRPr="002B1610">
        <w:rPr>
          <w:rFonts w:ascii="Verdana" w:hAnsi="Verdana"/>
          <w:b/>
          <w:i/>
          <w:w w:val="95"/>
          <w:sz w:val="20"/>
          <w:szCs w:val="20"/>
          <w:lang w:val="es-CR"/>
        </w:rPr>
        <w:t>representante</w:t>
      </w:r>
      <w:r w:rsidRPr="002B1610">
        <w:rPr>
          <w:rFonts w:ascii="Verdana" w:hAnsi="Verdana"/>
          <w:w w:val="95"/>
          <w:sz w:val="20"/>
          <w:szCs w:val="20"/>
          <w:lang w:val="es-CR"/>
        </w:rPr>
        <w:t xml:space="preserve"> al igual que la Comisión solicit</w:t>
      </w:r>
      <w:r>
        <w:rPr>
          <w:rFonts w:ascii="Verdana" w:hAnsi="Verdana"/>
          <w:w w:val="95"/>
          <w:sz w:val="20"/>
          <w:szCs w:val="20"/>
          <w:lang w:val="es-CR"/>
        </w:rPr>
        <w:t>ó</w:t>
      </w:r>
      <w:r w:rsidRPr="002B1610">
        <w:rPr>
          <w:rFonts w:ascii="Verdana" w:hAnsi="Verdana"/>
          <w:w w:val="95"/>
          <w:sz w:val="20"/>
          <w:szCs w:val="20"/>
          <w:lang w:val="es-CR"/>
        </w:rPr>
        <w:t xml:space="preserve"> que se ordene al Estado la investigación de los hechos ocurridos en contra de la niña María Isabel V</w:t>
      </w:r>
      <w:r>
        <w:rPr>
          <w:rFonts w:ascii="Verdana" w:hAnsi="Verdana"/>
          <w:w w:val="95"/>
          <w:sz w:val="20"/>
          <w:szCs w:val="20"/>
          <w:lang w:val="es-CR"/>
        </w:rPr>
        <w:t>e</w:t>
      </w:r>
      <w:r w:rsidRPr="002B1610">
        <w:rPr>
          <w:rFonts w:ascii="Verdana" w:hAnsi="Verdana"/>
          <w:w w:val="95"/>
          <w:sz w:val="20"/>
          <w:szCs w:val="20"/>
          <w:lang w:val="es-CR"/>
        </w:rPr>
        <w:t xml:space="preserve">liz Franco. Para ello, indicaron que </w:t>
      </w:r>
      <w:r>
        <w:rPr>
          <w:rFonts w:ascii="Verdana" w:hAnsi="Verdana"/>
          <w:w w:val="95"/>
          <w:sz w:val="20"/>
          <w:szCs w:val="20"/>
          <w:lang w:val="es-CR"/>
        </w:rPr>
        <w:t>“</w:t>
      </w:r>
      <w:r w:rsidRPr="002B1610">
        <w:rPr>
          <w:rFonts w:ascii="Verdana" w:hAnsi="Verdana"/>
          <w:w w:val="95"/>
          <w:sz w:val="20"/>
          <w:szCs w:val="20"/>
          <w:lang w:val="es-CR"/>
        </w:rPr>
        <w:t>el Estado debe</w:t>
      </w:r>
      <w:r>
        <w:rPr>
          <w:rFonts w:ascii="Verdana" w:hAnsi="Verdana"/>
          <w:w w:val="95"/>
          <w:sz w:val="20"/>
          <w:szCs w:val="20"/>
          <w:lang w:val="es-CR"/>
        </w:rPr>
        <w:t xml:space="preserve"> </w:t>
      </w:r>
      <w:r w:rsidRPr="002B1610">
        <w:rPr>
          <w:rFonts w:ascii="Verdana" w:hAnsi="Verdana"/>
          <w:w w:val="95"/>
          <w:sz w:val="20"/>
          <w:szCs w:val="20"/>
          <w:lang w:val="es-CR"/>
        </w:rPr>
        <w:t xml:space="preserve">remover todos los obstáculos </w:t>
      </w:r>
      <w:r w:rsidRPr="002B1610">
        <w:rPr>
          <w:rFonts w:ascii="Verdana" w:hAnsi="Verdana"/>
          <w:i/>
          <w:w w:val="95"/>
          <w:sz w:val="20"/>
          <w:szCs w:val="20"/>
          <w:lang w:val="es-CR"/>
        </w:rPr>
        <w:t>de jure</w:t>
      </w:r>
      <w:r w:rsidRPr="002B1610">
        <w:rPr>
          <w:rFonts w:ascii="Verdana" w:hAnsi="Verdana"/>
          <w:w w:val="95"/>
          <w:sz w:val="20"/>
          <w:szCs w:val="20"/>
          <w:lang w:val="es-CR"/>
        </w:rPr>
        <w:t xml:space="preserve"> o </w:t>
      </w:r>
      <w:r w:rsidRPr="002B1610">
        <w:rPr>
          <w:rFonts w:ascii="Verdana" w:hAnsi="Verdana"/>
          <w:i/>
          <w:w w:val="95"/>
          <w:sz w:val="20"/>
          <w:szCs w:val="20"/>
          <w:lang w:val="es-CR"/>
        </w:rPr>
        <w:t>de facto</w:t>
      </w:r>
      <w:r w:rsidRPr="002B1610">
        <w:rPr>
          <w:rFonts w:ascii="Verdana" w:hAnsi="Verdana"/>
          <w:w w:val="95"/>
          <w:sz w:val="20"/>
          <w:szCs w:val="20"/>
          <w:lang w:val="es-CR"/>
        </w:rPr>
        <w:t xml:space="preserve"> que le impidan la debida investigación de los hechos y el desarrollo del proceso judicial”, así como que la investigación debe de incluir “una perspectiva de género y de derechos humanos de las mujeres”, por lo que se deben </w:t>
      </w:r>
      <w:r>
        <w:rPr>
          <w:rFonts w:ascii="Verdana" w:hAnsi="Verdana"/>
          <w:w w:val="95"/>
          <w:sz w:val="20"/>
          <w:szCs w:val="20"/>
          <w:lang w:val="es-CR"/>
        </w:rPr>
        <w:t>“</w:t>
      </w:r>
      <w:r w:rsidRPr="002B1610">
        <w:rPr>
          <w:rFonts w:ascii="Verdana" w:hAnsi="Verdana"/>
          <w:w w:val="95"/>
          <w:sz w:val="20"/>
          <w:szCs w:val="20"/>
          <w:lang w:val="es-CR"/>
        </w:rPr>
        <w:t>estable</w:t>
      </w:r>
      <w:r>
        <w:rPr>
          <w:rFonts w:ascii="Verdana" w:hAnsi="Verdana"/>
          <w:w w:val="95"/>
          <w:sz w:val="20"/>
          <w:szCs w:val="20"/>
          <w:lang w:val="es-CR"/>
        </w:rPr>
        <w:t>[</w:t>
      </w:r>
      <w:r w:rsidRPr="002B1610">
        <w:rPr>
          <w:rFonts w:ascii="Verdana" w:hAnsi="Verdana"/>
          <w:w w:val="95"/>
          <w:sz w:val="20"/>
          <w:szCs w:val="20"/>
          <w:lang w:val="es-CR"/>
        </w:rPr>
        <w:t>cer</w:t>
      </w:r>
      <w:r>
        <w:rPr>
          <w:rFonts w:ascii="Verdana" w:hAnsi="Verdana"/>
          <w:w w:val="95"/>
          <w:sz w:val="20"/>
          <w:szCs w:val="20"/>
          <w:lang w:val="es-CR"/>
        </w:rPr>
        <w:t>]</w:t>
      </w:r>
      <w:r w:rsidRPr="002B1610">
        <w:rPr>
          <w:rFonts w:ascii="Verdana" w:hAnsi="Verdana"/>
          <w:w w:val="95"/>
          <w:sz w:val="20"/>
          <w:szCs w:val="20"/>
          <w:lang w:val="es-CR"/>
        </w:rPr>
        <w:t xml:space="preserve"> líneas de investigación específicas respecto de los actos de violencia cometidos en contra de la víctima”</w:t>
      </w:r>
      <w:r>
        <w:rPr>
          <w:rFonts w:ascii="Verdana" w:hAnsi="Verdana"/>
          <w:w w:val="95"/>
          <w:sz w:val="20"/>
          <w:szCs w:val="20"/>
          <w:lang w:val="es-CR"/>
        </w:rPr>
        <w:t>.</w:t>
      </w:r>
      <w:r w:rsidRPr="002B1610">
        <w:rPr>
          <w:rFonts w:ascii="Verdana" w:hAnsi="Verdana"/>
          <w:w w:val="95"/>
          <w:sz w:val="20"/>
          <w:szCs w:val="20"/>
          <w:lang w:val="es-CR"/>
        </w:rPr>
        <w:t xml:space="preserve"> Por último, solicitaron que “</w:t>
      </w:r>
      <w:r>
        <w:rPr>
          <w:rFonts w:ascii="Verdana" w:hAnsi="Verdana"/>
          <w:w w:val="95"/>
          <w:sz w:val="20"/>
          <w:szCs w:val="20"/>
          <w:lang w:val="es-CR"/>
        </w:rPr>
        <w:t>[</w:t>
      </w:r>
      <w:r w:rsidRPr="002B1610">
        <w:rPr>
          <w:rFonts w:ascii="Verdana" w:hAnsi="Verdana"/>
          <w:w w:val="95"/>
          <w:sz w:val="20"/>
          <w:szCs w:val="20"/>
          <w:lang w:val="es-CR"/>
        </w:rPr>
        <w:t>l</w:t>
      </w:r>
      <w:r>
        <w:rPr>
          <w:rFonts w:ascii="Verdana" w:hAnsi="Verdana"/>
          <w:w w:val="95"/>
          <w:sz w:val="20"/>
          <w:szCs w:val="20"/>
          <w:lang w:val="es-CR"/>
        </w:rPr>
        <w:t>]</w:t>
      </w:r>
      <w:r w:rsidRPr="002B1610">
        <w:rPr>
          <w:rFonts w:ascii="Verdana" w:hAnsi="Verdana"/>
          <w:w w:val="95"/>
          <w:sz w:val="20"/>
          <w:szCs w:val="20"/>
          <w:lang w:val="es-CR"/>
        </w:rPr>
        <w:t>os resultados de las investigaciones deb</w:t>
      </w:r>
      <w:r>
        <w:rPr>
          <w:rFonts w:ascii="Verdana" w:hAnsi="Verdana"/>
          <w:w w:val="95"/>
          <w:sz w:val="20"/>
          <w:szCs w:val="20"/>
          <w:lang w:val="es-CR"/>
        </w:rPr>
        <w:t>[an]</w:t>
      </w:r>
      <w:r w:rsidRPr="002B1610">
        <w:rPr>
          <w:rFonts w:ascii="Verdana" w:hAnsi="Verdana"/>
          <w:w w:val="95"/>
          <w:sz w:val="20"/>
          <w:szCs w:val="20"/>
          <w:lang w:val="es-CR"/>
        </w:rPr>
        <w:t xml:space="preserve"> ser divulgados pública y ampliamente</w:t>
      </w:r>
      <w:r>
        <w:rPr>
          <w:rFonts w:ascii="Verdana" w:hAnsi="Verdana"/>
          <w:w w:val="95"/>
          <w:sz w:val="20"/>
          <w:szCs w:val="20"/>
          <w:lang w:val="es-CR"/>
        </w:rPr>
        <w:t>,</w:t>
      </w:r>
      <w:r w:rsidRPr="002B1610">
        <w:rPr>
          <w:rFonts w:ascii="Verdana" w:hAnsi="Verdana"/>
          <w:w w:val="95"/>
          <w:sz w:val="20"/>
          <w:szCs w:val="20"/>
          <w:lang w:val="es-CR"/>
        </w:rPr>
        <w:t xml:space="preserve"> para que la sociedad guatemalteca los conozca”.</w:t>
      </w:r>
    </w:p>
    <w:p w:rsidR="00DF15C3" w:rsidRPr="002B1610" w:rsidRDefault="00DF15C3" w:rsidP="003F26FD">
      <w:pPr>
        <w:pStyle w:val="Prrafodelista"/>
        <w:spacing w:after="0" w:line="216" w:lineRule="auto"/>
        <w:ind w:left="-142" w:right="-174" w:hanging="11"/>
        <w:rPr>
          <w:rFonts w:ascii="Verdana" w:hAnsi="Verdana"/>
          <w:w w:val="95"/>
          <w:sz w:val="20"/>
          <w:szCs w:val="20"/>
          <w:lang w:val="es-CR"/>
        </w:rPr>
      </w:pPr>
    </w:p>
    <w:p w:rsidR="00DF15C3" w:rsidRDefault="00DF15C3" w:rsidP="003F26FD">
      <w:pPr>
        <w:pStyle w:val="Prrafodelista"/>
        <w:numPr>
          <w:ilvl w:val="0"/>
          <w:numId w:val="17"/>
        </w:numPr>
        <w:spacing w:after="0" w:line="216" w:lineRule="auto"/>
        <w:ind w:left="-142" w:right="-174" w:hanging="11"/>
        <w:contextualSpacing w:val="0"/>
        <w:jc w:val="both"/>
        <w:rPr>
          <w:rFonts w:ascii="Verdana" w:hAnsi="Verdana"/>
          <w:w w:val="95"/>
          <w:sz w:val="20"/>
          <w:szCs w:val="20"/>
          <w:lang w:val="es-CR"/>
        </w:rPr>
      </w:pPr>
      <w:r w:rsidRPr="002B1610">
        <w:rPr>
          <w:rFonts w:ascii="Verdana" w:hAnsi="Verdana"/>
          <w:w w:val="95"/>
          <w:sz w:val="20"/>
          <w:szCs w:val="20"/>
          <w:lang w:val="es-CR"/>
        </w:rPr>
        <w:t xml:space="preserve">El </w:t>
      </w:r>
      <w:r w:rsidRPr="002B1610">
        <w:rPr>
          <w:rFonts w:ascii="Verdana" w:hAnsi="Verdana"/>
          <w:b/>
          <w:i/>
          <w:w w:val="95"/>
          <w:sz w:val="20"/>
          <w:szCs w:val="20"/>
          <w:lang w:val="es-CR"/>
        </w:rPr>
        <w:t>Estado</w:t>
      </w:r>
      <w:r w:rsidRPr="002B1610">
        <w:rPr>
          <w:rFonts w:ascii="Verdana" w:hAnsi="Verdana"/>
          <w:i/>
          <w:w w:val="95"/>
          <w:sz w:val="20"/>
          <w:szCs w:val="20"/>
          <w:lang w:val="es-CR"/>
        </w:rPr>
        <w:t xml:space="preserve"> </w:t>
      </w:r>
      <w:r>
        <w:rPr>
          <w:rFonts w:ascii="Verdana" w:hAnsi="Verdana"/>
          <w:w w:val="95"/>
          <w:sz w:val="20"/>
          <w:szCs w:val="20"/>
          <w:lang w:val="es-CR"/>
        </w:rPr>
        <w:t>“</w:t>
      </w:r>
      <w:r w:rsidRPr="002B1610">
        <w:rPr>
          <w:rFonts w:ascii="Verdana" w:hAnsi="Verdana"/>
          <w:w w:val="95"/>
          <w:sz w:val="20"/>
          <w:szCs w:val="20"/>
          <w:lang w:val="es-CR"/>
        </w:rPr>
        <w:t>reiter</w:t>
      </w:r>
      <w:r>
        <w:rPr>
          <w:rFonts w:ascii="Verdana" w:hAnsi="Verdana"/>
          <w:w w:val="95"/>
          <w:sz w:val="20"/>
          <w:szCs w:val="20"/>
          <w:lang w:val="es-CR"/>
        </w:rPr>
        <w:t>[</w:t>
      </w:r>
      <w:r w:rsidRPr="002B1610">
        <w:rPr>
          <w:rFonts w:ascii="Verdana" w:hAnsi="Verdana"/>
          <w:w w:val="95"/>
          <w:sz w:val="20"/>
          <w:szCs w:val="20"/>
          <w:lang w:val="es-CR"/>
        </w:rPr>
        <w:t>ó</w:t>
      </w:r>
      <w:r>
        <w:rPr>
          <w:rFonts w:ascii="Verdana" w:hAnsi="Verdana"/>
          <w:w w:val="95"/>
          <w:sz w:val="20"/>
          <w:szCs w:val="20"/>
          <w:lang w:val="es-CR"/>
        </w:rPr>
        <w:t>]</w:t>
      </w:r>
      <w:r w:rsidRPr="002B1610">
        <w:rPr>
          <w:rFonts w:ascii="Verdana" w:hAnsi="Verdana"/>
          <w:w w:val="95"/>
          <w:sz w:val="20"/>
          <w:szCs w:val="20"/>
          <w:lang w:val="es-CR"/>
        </w:rPr>
        <w:t xml:space="preserve"> que se ha llevado a cabo una exhaustiva investigación para esclarecer el asesinato de María Isabel, y que lastimosamente no se ha podido obtener como resultado la individualización del o los presuntos responsables”. No obstante, </w:t>
      </w:r>
      <w:r>
        <w:rPr>
          <w:rFonts w:ascii="Verdana" w:hAnsi="Verdana"/>
          <w:w w:val="95"/>
          <w:sz w:val="20"/>
          <w:szCs w:val="20"/>
          <w:lang w:val="es-CR"/>
        </w:rPr>
        <w:t>“expres[ó]</w:t>
      </w:r>
      <w:r w:rsidRPr="002B1610">
        <w:rPr>
          <w:rFonts w:ascii="Verdana" w:hAnsi="Verdana"/>
          <w:w w:val="95"/>
          <w:sz w:val="20"/>
          <w:szCs w:val="20"/>
          <w:lang w:val="es-CR"/>
        </w:rPr>
        <w:t xml:space="preserve"> que </w:t>
      </w:r>
    </w:p>
    <w:p w:rsidR="00DF15C3" w:rsidRPr="00AE63FC" w:rsidRDefault="00DF15C3" w:rsidP="003F26FD">
      <w:pPr>
        <w:pStyle w:val="Prrafodelista"/>
        <w:ind w:right="-174"/>
        <w:rPr>
          <w:rFonts w:ascii="Verdana" w:hAnsi="Verdana"/>
          <w:w w:val="95"/>
          <w:sz w:val="20"/>
          <w:szCs w:val="20"/>
          <w:lang w:val="es-CR"/>
        </w:rPr>
      </w:pPr>
    </w:p>
    <w:p w:rsidR="00DF15C3" w:rsidRDefault="00DF15C3" w:rsidP="003F26FD">
      <w:pPr>
        <w:pStyle w:val="Prrafodelista"/>
        <w:spacing w:line="216" w:lineRule="auto"/>
        <w:ind w:left="284" w:right="-174"/>
        <w:jc w:val="both"/>
        <w:rPr>
          <w:rFonts w:ascii="Verdana" w:hAnsi="Verdana"/>
          <w:w w:val="95"/>
          <w:sz w:val="16"/>
          <w:szCs w:val="16"/>
          <w:lang w:val="es-CR"/>
        </w:rPr>
      </w:pPr>
      <w:r w:rsidRPr="00AE63FC">
        <w:rPr>
          <w:rFonts w:ascii="Verdana" w:hAnsi="Verdana"/>
          <w:w w:val="95"/>
          <w:sz w:val="16"/>
          <w:szCs w:val="16"/>
          <w:lang w:val="es-CR"/>
        </w:rPr>
        <w:t>mantendrá abierta la investigación, mientras considere que es legalmente posible obtener algún resultado positivo, y que de suceder lo anterior, efectivamente procesará y sancionará a los responsables, si y solo si, se logra establecer la participación de alguno de los sospechosos en la trágica muerte de la menor.</w:t>
      </w:r>
    </w:p>
    <w:p w:rsidR="00DF15C3" w:rsidRPr="002B1610" w:rsidRDefault="00DF15C3" w:rsidP="003F26FD">
      <w:pPr>
        <w:spacing w:after="0" w:line="216" w:lineRule="auto"/>
        <w:ind w:right="-174"/>
        <w:rPr>
          <w:rFonts w:ascii="Verdana" w:hAnsi="Verdana"/>
          <w:b/>
          <w:i/>
          <w:w w:val="95"/>
          <w:sz w:val="20"/>
          <w:szCs w:val="20"/>
          <w:lang w:val="es-CR"/>
        </w:rPr>
      </w:pPr>
    </w:p>
    <w:p w:rsidR="00DF15C3" w:rsidRPr="002B1610" w:rsidRDefault="00DF15C3" w:rsidP="003F26FD">
      <w:pPr>
        <w:pStyle w:val="Ttulo3"/>
        <w:spacing w:before="0" w:line="216" w:lineRule="auto"/>
        <w:ind w:left="567" w:right="-174"/>
        <w:jc w:val="both"/>
        <w:rPr>
          <w:rFonts w:ascii="Verdana" w:hAnsi="Verdana"/>
          <w:i/>
          <w:color w:val="auto"/>
          <w:w w:val="95"/>
          <w:sz w:val="20"/>
          <w:lang w:val="es-CR"/>
        </w:rPr>
      </w:pPr>
      <w:bookmarkStart w:id="128" w:name="_Toc394313694"/>
      <w:r w:rsidRPr="002B1610">
        <w:rPr>
          <w:rFonts w:ascii="Verdana" w:hAnsi="Verdana"/>
          <w:i/>
          <w:color w:val="auto"/>
          <w:w w:val="95"/>
          <w:sz w:val="20"/>
          <w:lang w:val="es-CR"/>
        </w:rPr>
        <w:t>B.2) Consideraciones de la Corte</w:t>
      </w:r>
      <w:bookmarkEnd w:id="128"/>
    </w:p>
    <w:p w:rsidR="00DF15C3" w:rsidRPr="002B1610" w:rsidRDefault="00DF15C3" w:rsidP="003F26FD">
      <w:pPr>
        <w:pStyle w:val="Prrafodelista"/>
        <w:spacing w:after="0" w:line="216" w:lineRule="auto"/>
        <w:ind w:right="-174"/>
        <w:rPr>
          <w:rFonts w:ascii="Verdana" w:hAnsi="Verdana"/>
          <w:w w:val="95"/>
          <w:sz w:val="20"/>
          <w:szCs w:val="20"/>
          <w:lang w:val="es-CR"/>
        </w:rPr>
      </w:pPr>
    </w:p>
    <w:p w:rsidR="00DF15C3" w:rsidRPr="002B1610" w:rsidRDefault="00DF15C3" w:rsidP="003F26FD">
      <w:pPr>
        <w:pStyle w:val="Prrafodelista"/>
        <w:numPr>
          <w:ilvl w:val="0"/>
          <w:numId w:val="17"/>
        </w:numPr>
        <w:spacing w:after="0" w:line="216" w:lineRule="auto"/>
        <w:ind w:left="-142" w:right="-174" w:hanging="11"/>
        <w:contextualSpacing w:val="0"/>
        <w:jc w:val="both"/>
        <w:rPr>
          <w:rFonts w:ascii="Verdana" w:hAnsi="Verdana"/>
          <w:w w:val="95"/>
          <w:sz w:val="20"/>
          <w:szCs w:val="20"/>
          <w:lang w:val="es-CR"/>
        </w:rPr>
      </w:pPr>
      <w:r w:rsidRPr="002B1610">
        <w:rPr>
          <w:rFonts w:ascii="Verdana" w:hAnsi="Verdana"/>
          <w:w w:val="95"/>
          <w:sz w:val="20"/>
          <w:szCs w:val="20"/>
          <w:lang w:val="es-CR"/>
        </w:rPr>
        <w:t>La Corte considera que el Estado está obligado a combatir la impunidad por todos los medios disponibles, ya que ésta propicia la repetición crónica de las violaciones de derechos humanos</w:t>
      </w:r>
      <w:r w:rsidRPr="002B1610">
        <w:rPr>
          <w:rFonts w:ascii="Verdana" w:hAnsi="Verdana"/>
          <w:w w:val="95"/>
          <w:vertAlign w:val="superscript"/>
          <w:lang w:val="es-CR"/>
        </w:rPr>
        <w:footnoteReference w:id="343"/>
      </w:r>
      <w:r w:rsidRPr="002B1610">
        <w:rPr>
          <w:rFonts w:ascii="Verdana" w:hAnsi="Verdana"/>
          <w:w w:val="95"/>
          <w:sz w:val="20"/>
          <w:szCs w:val="20"/>
          <w:vertAlign w:val="subscript"/>
          <w:lang w:val="es-CR"/>
        </w:rPr>
        <w:t>.</w:t>
      </w:r>
      <w:r w:rsidRPr="002B1610">
        <w:rPr>
          <w:rFonts w:ascii="Verdana" w:hAnsi="Verdana"/>
          <w:w w:val="95"/>
          <w:sz w:val="20"/>
          <w:szCs w:val="20"/>
          <w:lang w:val="es-CR"/>
        </w:rPr>
        <w:t xml:space="preserve"> La ausencia de una investigación completa y efectiva sobre los hechos constituye una fuente de sufrimiento y angustia adicional para las víctimas, quienes tienen el derecho a conocer la verdad de lo </w:t>
      </w:r>
      <w:r w:rsidRPr="00A16F44">
        <w:rPr>
          <w:rFonts w:ascii="Verdana" w:hAnsi="Verdana"/>
          <w:w w:val="95"/>
          <w:sz w:val="20"/>
          <w:szCs w:val="20"/>
          <w:lang w:val="es-CR"/>
        </w:rPr>
        <w:t>ocurrido</w:t>
      </w:r>
      <w:r w:rsidRPr="00AA5F26">
        <w:rPr>
          <w:rFonts w:ascii="Verdana" w:hAnsi="Verdana"/>
          <w:w w:val="95"/>
          <w:sz w:val="20"/>
          <w:szCs w:val="20"/>
          <w:vertAlign w:val="superscript"/>
          <w:lang w:val="es-CR"/>
        </w:rPr>
        <w:footnoteReference w:id="344"/>
      </w:r>
      <w:r w:rsidRPr="00A16F44">
        <w:rPr>
          <w:rFonts w:ascii="Verdana" w:hAnsi="Verdana"/>
          <w:w w:val="95"/>
          <w:sz w:val="20"/>
          <w:szCs w:val="20"/>
          <w:lang w:val="es-CR"/>
        </w:rPr>
        <w:t>.</w:t>
      </w:r>
      <w:r w:rsidRPr="002B1610">
        <w:rPr>
          <w:rFonts w:ascii="Verdana" w:hAnsi="Verdana"/>
          <w:w w:val="95"/>
          <w:sz w:val="20"/>
          <w:szCs w:val="20"/>
          <w:lang w:val="es-CR"/>
        </w:rPr>
        <w:t xml:space="preserve"> </w:t>
      </w:r>
    </w:p>
    <w:p w:rsidR="00DF15C3" w:rsidRPr="002B1610" w:rsidRDefault="00DF15C3" w:rsidP="003F26FD">
      <w:pPr>
        <w:pStyle w:val="Prrafodelista"/>
        <w:tabs>
          <w:tab w:val="left" w:pos="7947"/>
        </w:tabs>
        <w:spacing w:after="0" w:line="216" w:lineRule="auto"/>
        <w:ind w:left="-142" w:right="-174" w:hanging="11"/>
        <w:contextualSpacing w:val="0"/>
        <w:jc w:val="both"/>
        <w:rPr>
          <w:rFonts w:ascii="Verdana" w:hAnsi="Verdana"/>
          <w:w w:val="95"/>
          <w:sz w:val="20"/>
          <w:szCs w:val="20"/>
          <w:lang w:val="es-CR"/>
        </w:rPr>
      </w:pPr>
      <w:r w:rsidRPr="002B1610">
        <w:rPr>
          <w:rFonts w:ascii="Verdana" w:hAnsi="Verdana"/>
          <w:w w:val="95"/>
          <w:sz w:val="20"/>
          <w:szCs w:val="20"/>
          <w:lang w:val="es-CR"/>
        </w:rPr>
        <w:tab/>
      </w:r>
      <w:r w:rsidRPr="002B1610">
        <w:rPr>
          <w:rFonts w:ascii="Verdana" w:hAnsi="Verdana"/>
          <w:w w:val="95"/>
          <w:sz w:val="20"/>
          <w:szCs w:val="20"/>
          <w:lang w:val="es-CR"/>
        </w:rPr>
        <w:tab/>
      </w:r>
    </w:p>
    <w:p w:rsidR="00DF15C3" w:rsidRPr="00B557EF" w:rsidRDefault="00DF15C3" w:rsidP="003F26FD">
      <w:pPr>
        <w:pStyle w:val="Prrafodelista"/>
        <w:numPr>
          <w:ilvl w:val="0"/>
          <w:numId w:val="17"/>
        </w:numPr>
        <w:spacing w:after="0" w:line="216" w:lineRule="auto"/>
        <w:ind w:left="-142" w:right="-174" w:hanging="11"/>
        <w:contextualSpacing w:val="0"/>
        <w:jc w:val="both"/>
        <w:rPr>
          <w:rFonts w:ascii="Verdana" w:hAnsi="Verdana"/>
          <w:w w:val="95"/>
          <w:sz w:val="20"/>
          <w:szCs w:val="20"/>
          <w:lang w:val="es-CR"/>
        </w:rPr>
      </w:pPr>
      <w:r w:rsidRPr="00410F9B">
        <w:rPr>
          <w:rFonts w:ascii="Verdana" w:hAnsi="Verdana"/>
          <w:w w:val="95"/>
          <w:sz w:val="20"/>
          <w:szCs w:val="20"/>
          <w:lang w:val="es-CR"/>
        </w:rPr>
        <w:t xml:space="preserve">Por ello, la Corte dispone que el Estado debe conducir eficazmente la investigación y, en su caso, abrir el proceso penal correspondiente y, de ser pertinente, otros que correspondieren, para identificar, procesar y, en su caso, sancionar a los responsables de los vejámenes y privación de la vida de la niña María Isabel Veliz Franco, conforme a los lineamientos de esta Sentencia, a fin de evitar la repetición de hechos iguales o análogos a los del presente caso. Dicha investigación deberá incluir una perspectiva de género, emprender líneas de investigación específicas respecto a violencia sexual, y posibilitar a los familiares de la víctima </w:t>
      </w:r>
      <w:r w:rsidRPr="002857CA">
        <w:rPr>
          <w:rFonts w:ascii="Verdana" w:hAnsi="Verdana"/>
          <w:w w:val="95"/>
          <w:sz w:val="20"/>
          <w:szCs w:val="20"/>
          <w:lang w:val="es-CR"/>
        </w:rPr>
        <w:t>información sobre</w:t>
      </w:r>
      <w:r w:rsidRPr="00410F9B">
        <w:rPr>
          <w:rFonts w:ascii="Verdana" w:hAnsi="Verdana"/>
          <w:w w:val="95"/>
          <w:sz w:val="20"/>
          <w:szCs w:val="20"/>
          <w:lang w:val="es-CR"/>
        </w:rPr>
        <w:t xml:space="preserve"> los avances en la investigación, de conformidad con la legislación interna, y en su caso, la participación adecuada en el proceso penal. Asimismo, la investigación debe realizarse por funcionarios capacitados en casos similares y en atención a víctimas de discriminación y violencia por razón de género. Por último, deberá asegurarse que las personas encargadas de la investigación y del proceso penal, así como, de ser el caso, otras personas involucradas, como testigos, peritos, o familiares de la víctima, cuenten con las debidas garantías de seguridad.</w:t>
      </w:r>
    </w:p>
    <w:p w:rsidR="00DF15C3" w:rsidRDefault="00DF15C3" w:rsidP="003F26FD">
      <w:pPr>
        <w:spacing w:after="0" w:line="216" w:lineRule="auto"/>
        <w:ind w:right="-174"/>
        <w:rPr>
          <w:rFonts w:ascii="Verdana" w:hAnsi="Verdana"/>
          <w:w w:val="95"/>
          <w:sz w:val="20"/>
          <w:szCs w:val="20"/>
          <w:lang w:val="es-CR"/>
        </w:rPr>
      </w:pPr>
    </w:p>
    <w:p w:rsidR="00DF15C3" w:rsidRPr="002B1610" w:rsidRDefault="00DF15C3" w:rsidP="003F26FD">
      <w:pPr>
        <w:pStyle w:val="Prrafodelista"/>
        <w:spacing w:after="0" w:line="216" w:lineRule="auto"/>
        <w:ind w:left="284" w:right="-174"/>
        <w:contextualSpacing w:val="0"/>
        <w:jc w:val="both"/>
        <w:outlineLvl w:val="1"/>
        <w:rPr>
          <w:rFonts w:ascii="Verdana" w:hAnsi="Verdana"/>
          <w:b/>
          <w:w w:val="95"/>
          <w:sz w:val="20"/>
          <w:szCs w:val="20"/>
          <w:lang w:val="es-EC"/>
        </w:rPr>
      </w:pPr>
      <w:bookmarkStart w:id="129" w:name="_Toc394313695"/>
      <w:r>
        <w:rPr>
          <w:rFonts w:ascii="Verdana" w:hAnsi="Verdana"/>
          <w:b/>
          <w:w w:val="95"/>
          <w:sz w:val="20"/>
          <w:szCs w:val="20"/>
          <w:lang w:val="es-EC"/>
        </w:rPr>
        <w:t xml:space="preserve">C. </w:t>
      </w:r>
      <w:r w:rsidRPr="002B1610">
        <w:rPr>
          <w:rFonts w:ascii="Verdana" w:hAnsi="Verdana"/>
          <w:b/>
          <w:w w:val="95"/>
          <w:sz w:val="20"/>
          <w:szCs w:val="20"/>
          <w:lang w:val="es-EC"/>
        </w:rPr>
        <w:t>Medidas de satisfacción</w:t>
      </w:r>
      <w:bookmarkEnd w:id="129"/>
      <w:r w:rsidRPr="002B1610">
        <w:rPr>
          <w:rFonts w:ascii="Verdana" w:hAnsi="Verdana"/>
          <w:b/>
          <w:w w:val="95"/>
          <w:sz w:val="20"/>
          <w:szCs w:val="20"/>
          <w:lang w:val="es-EC"/>
        </w:rPr>
        <w:t xml:space="preserve"> </w:t>
      </w:r>
    </w:p>
    <w:p w:rsidR="00DF15C3" w:rsidRPr="002B1610" w:rsidRDefault="00DF15C3" w:rsidP="003F26FD">
      <w:pPr>
        <w:pStyle w:val="Prrafodelista"/>
        <w:spacing w:after="0" w:line="216" w:lineRule="auto"/>
        <w:ind w:right="-174"/>
        <w:rPr>
          <w:rFonts w:ascii="Verdana" w:hAnsi="Verdana"/>
          <w:w w:val="95"/>
          <w:sz w:val="20"/>
          <w:szCs w:val="20"/>
          <w:lang w:val="es-CR"/>
        </w:rPr>
      </w:pPr>
    </w:p>
    <w:p w:rsidR="00DF15C3" w:rsidRPr="002B1610" w:rsidRDefault="00DF15C3" w:rsidP="003F26FD">
      <w:pPr>
        <w:pStyle w:val="Prrafodelista"/>
        <w:numPr>
          <w:ilvl w:val="0"/>
          <w:numId w:val="17"/>
        </w:numPr>
        <w:spacing w:after="0" w:line="216" w:lineRule="auto"/>
        <w:ind w:left="-142" w:right="-174" w:hanging="11"/>
        <w:contextualSpacing w:val="0"/>
        <w:jc w:val="both"/>
        <w:rPr>
          <w:rFonts w:ascii="Verdana" w:hAnsi="Verdana"/>
          <w:w w:val="95"/>
          <w:sz w:val="20"/>
          <w:szCs w:val="20"/>
          <w:lang w:val="es-CR"/>
        </w:rPr>
      </w:pPr>
      <w:r w:rsidRPr="002B1610">
        <w:rPr>
          <w:rFonts w:ascii="Verdana" w:hAnsi="Verdana"/>
          <w:w w:val="95"/>
          <w:sz w:val="20"/>
          <w:szCs w:val="20"/>
          <w:lang w:val="es-CR"/>
        </w:rPr>
        <w:t xml:space="preserve">La jurisprudencia internacional, y en particular de la Corte, ha establecido reiteradamente que la sentencia constituye </w:t>
      </w:r>
      <w:r w:rsidRPr="002B1610">
        <w:rPr>
          <w:rFonts w:ascii="Verdana" w:hAnsi="Verdana"/>
          <w:i/>
          <w:w w:val="95"/>
          <w:sz w:val="20"/>
          <w:szCs w:val="20"/>
          <w:lang w:val="es-CR"/>
        </w:rPr>
        <w:t>per se</w:t>
      </w:r>
      <w:r w:rsidRPr="002B1610">
        <w:rPr>
          <w:rFonts w:ascii="Verdana" w:hAnsi="Verdana"/>
          <w:w w:val="95"/>
          <w:sz w:val="20"/>
          <w:szCs w:val="20"/>
          <w:lang w:val="es-CR"/>
        </w:rPr>
        <w:t xml:space="preserve"> una forma de reparación</w:t>
      </w:r>
      <w:r w:rsidRPr="002B1610">
        <w:rPr>
          <w:rFonts w:ascii="Verdana" w:hAnsi="Verdana"/>
          <w:w w:val="95"/>
          <w:sz w:val="20"/>
          <w:szCs w:val="20"/>
          <w:vertAlign w:val="superscript"/>
          <w:lang w:val="es-CR"/>
        </w:rPr>
        <w:footnoteReference w:id="345"/>
      </w:r>
      <w:r w:rsidRPr="002B1610">
        <w:rPr>
          <w:rFonts w:ascii="Verdana" w:hAnsi="Verdana"/>
          <w:w w:val="95"/>
          <w:sz w:val="20"/>
          <w:szCs w:val="20"/>
          <w:lang w:val="es-CR"/>
        </w:rPr>
        <w:t>. No obstante, considerando las circunstancias del caso y las afectaciones a la</w:t>
      </w:r>
      <w:r>
        <w:rPr>
          <w:rFonts w:ascii="Verdana" w:hAnsi="Verdana"/>
          <w:w w:val="95"/>
          <w:sz w:val="20"/>
          <w:szCs w:val="20"/>
          <w:lang w:val="es-CR"/>
        </w:rPr>
        <w:t>s</w:t>
      </w:r>
      <w:r w:rsidRPr="002B1610">
        <w:rPr>
          <w:rFonts w:ascii="Verdana" w:hAnsi="Verdana"/>
          <w:w w:val="95"/>
          <w:sz w:val="20"/>
          <w:szCs w:val="20"/>
          <w:lang w:val="es-CR"/>
        </w:rPr>
        <w:t xml:space="preserve"> víctima</w:t>
      </w:r>
      <w:r>
        <w:rPr>
          <w:rFonts w:ascii="Verdana" w:hAnsi="Verdana"/>
          <w:w w:val="95"/>
          <w:sz w:val="20"/>
          <w:szCs w:val="20"/>
          <w:lang w:val="es-CR"/>
        </w:rPr>
        <w:t>s</w:t>
      </w:r>
      <w:r w:rsidRPr="002B1610">
        <w:rPr>
          <w:rFonts w:ascii="Verdana" w:hAnsi="Verdana"/>
          <w:w w:val="95"/>
          <w:sz w:val="20"/>
          <w:szCs w:val="20"/>
          <w:lang w:val="es-CR"/>
        </w:rPr>
        <w:t xml:space="preserve"> derivadas de las violaciones de la Convención Americana</w:t>
      </w:r>
      <w:r w:rsidR="006B24E8">
        <w:rPr>
          <w:rFonts w:ascii="Verdana" w:hAnsi="Verdana"/>
          <w:w w:val="95"/>
          <w:sz w:val="20"/>
          <w:szCs w:val="20"/>
          <w:lang w:val="es-CR"/>
        </w:rPr>
        <w:t xml:space="preserve"> </w:t>
      </w:r>
      <w:r w:rsidRPr="002B1610">
        <w:rPr>
          <w:rFonts w:ascii="Verdana" w:hAnsi="Verdana"/>
          <w:w w:val="95"/>
          <w:sz w:val="20"/>
          <w:szCs w:val="20"/>
          <w:lang w:val="es-CR"/>
        </w:rPr>
        <w:t xml:space="preserve">declaradas en su perjuicio, la Corte estima pertinente analizar los argumentos de la Comisión y de las partes respecto a la determinación de medidas de satisfacción. </w:t>
      </w:r>
    </w:p>
    <w:p w:rsidR="00DF15C3" w:rsidRPr="002B1610" w:rsidRDefault="00DF15C3" w:rsidP="003F26FD">
      <w:pPr>
        <w:pStyle w:val="Ttulo3"/>
        <w:spacing w:before="0" w:line="216" w:lineRule="auto"/>
        <w:ind w:left="567" w:right="-174"/>
        <w:jc w:val="both"/>
        <w:rPr>
          <w:rFonts w:ascii="Verdana" w:hAnsi="Verdana"/>
          <w:i/>
          <w:color w:val="auto"/>
          <w:w w:val="95"/>
          <w:sz w:val="20"/>
          <w:lang w:val="es-EC"/>
        </w:rPr>
      </w:pPr>
      <w:r w:rsidRPr="002B1610">
        <w:rPr>
          <w:rFonts w:ascii="Verdana" w:hAnsi="Verdana"/>
          <w:b w:val="0"/>
          <w:i/>
          <w:w w:val="95"/>
          <w:sz w:val="20"/>
          <w:lang w:val="es-EC"/>
        </w:rPr>
        <w:br/>
      </w:r>
      <w:bookmarkStart w:id="130" w:name="_Toc394313696"/>
      <w:r w:rsidRPr="002B1610">
        <w:rPr>
          <w:rFonts w:ascii="Verdana" w:hAnsi="Verdana"/>
          <w:i/>
          <w:color w:val="auto"/>
          <w:w w:val="95"/>
          <w:sz w:val="20"/>
          <w:lang w:val="es-EC"/>
        </w:rPr>
        <w:t>C.1) Argumentos de la Comisión y de las partes</w:t>
      </w:r>
      <w:bookmarkEnd w:id="130"/>
    </w:p>
    <w:p w:rsidR="00DF15C3" w:rsidRPr="002B1610" w:rsidRDefault="00DF15C3" w:rsidP="003F26FD">
      <w:pPr>
        <w:spacing w:after="0" w:line="216" w:lineRule="auto"/>
        <w:ind w:right="-174" w:firstLine="708"/>
        <w:jc w:val="both"/>
        <w:rPr>
          <w:rFonts w:ascii="Verdana" w:hAnsi="Verdana"/>
          <w:b/>
          <w:i/>
          <w:w w:val="95"/>
          <w:sz w:val="20"/>
          <w:szCs w:val="20"/>
          <w:lang w:val="es-EC"/>
        </w:rPr>
      </w:pPr>
    </w:p>
    <w:p w:rsidR="00DF15C3" w:rsidRPr="002B1610" w:rsidRDefault="00DF15C3" w:rsidP="003F26FD">
      <w:pPr>
        <w:pStyle w:val="Prrafodelista"/>
        <w:numPr>
          <w:ilvl w:val="0"/>
          <w:numId w:val="17"/>
        </w:numPr>
        <w:spacing w:after="0" w:line="216" w:lineRule="auto"/>
        <w:ind w:left="-142" w:right="-174" w:hanging="11"/>
        <w:contextualSpacing w:val="0"/>
        <w:jc w:val="both"/>
        <w:rPr>
          <w:rFonts w:ascii="Verdana" w:hAnsi="Verdana"/>
          <w:w w:val="95"/>
          <w:sz w:val="20"/>
          <w:szCs w:val="20"/>
          <w:lang w:val="es-CR"/>
        </w:rPr>
      </w:pPr>
      <w:r w:rsidRPr="002B1610">
        <w:rPr>
          <w:rFonts w:ascii="Verdana" w:hAnsi="Verdana"/>
          <w:w w:val="95"/>
          <w:sz w:val="20"/>
          <w:szCs w:val="20"/>
          <w:lang w:val="es-CR"/>
        </w:rPr>
        <w:t xml:space="preserve">La </w:t>
      </w:r>
      <w:r w:rsidRPr="002B1610">
        <w:rPr>
          <w:rFonts w:ascii="Verdana" w:hAnsi="Verdana"/>
          <w:b/>
          <w:i/>
          <w:w w:val="95"/>
          <w:sz w:val="20"/>
          <w:szCs w:val="20"/>
          <w:lang w:val="es-CR"/>
        </w:rPr>
        <w:t>Comisión Interamericana</w:t>
      </w:r>
      <w:r w:rsidRPr="002B1610">
        <w:rPr>
          <w:rFonts w:ascii="Verdana" w:hAnsi="Verdana"/>
          <w:w w:val="95"/>
          <w:sz w:val="20"/>
          <w:szCs w:val="20"/>
          <w:lang w:val="es-CR"/>
        </w:rPr>
        <w:t xml:space="preserve"> solicitó de manera general que se </w:t>
      </w:r>
      <w:r>
        <w:rPr>
          <w:rFonts w:ascii="Verdana" w:hAnsi="Verdana"/>
          <w:w w:val="95"/>
          <w:sz w:val="20"/>
          <w:szCs w:val="20"/>
          <w:lang w:val="es-CR"/>
        </w:rPr>
        <w:t>“</w:t>
      </w:r>
      <w:r w:rsidRPr="002B1610">
        <w:rPr>
          <w:rFonts w:ascii="Verdana" w:hAnsi="Verdana"/>
          <w:w w:val="95"/>
          <w:sz w:val="20"/>
          <w:szCs w:val="20"/>
          <w:lang w:val="es-CR"/>
        </w:rPr>
        <w:t>repar</w:t>
      </w:r>
      <w:r>
        <w:rPr>
          <w:rFonts w:ascii="Verdana" w:hAnsi="Verdana"/>
          <w:w w:val="95"/>
          <w:sz w:val="20"/>
          <w:szCs w:val="20"/>
          <w:lang w:val="es-CR"/>
        </w:rPr>
        <w:t>[</w:t>
      </w:r>
      <w:r w:rsidRPr="002B1610">
        <w:rPr>
          <w:rFonts w:ascii="Verdana" w:hAnsi="Verdana"/>
          <w:w w:val="95"/>
          <w:sz w:val="20"/>
          <w:szCs w:val="20"/>
          <w:lang w:val="es-CR"/>
        </w:rPr>
        <w:t>e</w:t>
      </w:r>
      <w:r>
        <w:rPr>
          <w:rFonts w:ascii="Verdana" w:hAnsi="Verdana"/>
          <w:w w:val="95"/>
          <w:sz w:val="20"/>
          <w:szCs w:val="20"/>
          <w:lang w:val="es-CR"/>
        </w:rPr>
        <w:t>]</w:t>
      </w:r>
      <w:r w:rsidRPr="002B1610">
        <w:rPr>
          <w:rFonts w:ascii="Verdana" w:hAnsi="Verdana"/>
          <w:w w:val="95"/>
          <w:sz w:val="20"/>
          <w:szCs w:val="20"/>
          <w:lang w:val="es-CR"/>
        </w:rPr>
        <w:t xml:space="preserve"> plenamente a los familiares de María Isabel V</w:t>
      </w:r>
      <w:r>
        <w:rPr>
          <w:rFonts w:ascii="Verdana" w:hAnsi="Verdana"/>
          <w:w w:val="95"/>
          <w:sz w:val="20"/>
          <w:szCs w:val="20"/>
          <w:lang w:val="es-CR"/>
        </w:rPr>
        <w:t>[e]</w:t>
      </w:r>
      <w:r w:rsidRPr="002B1610">
        <w:rPr>
          <w:rFonts w:ascii="Verdana" w:hAnsi="Verdana"/>
          <w:w w:val="95"/>
          <w:sz w:val="20"/>
          <w:szCs w:val="20"/>
          <w:lang w:val="es-CR"/>
        </w:rPr>
        <w:t>liz Franco por las violaciones de los derechos humanos”</w:t>
      </w:r>
      <w:r>
        <w:rPr>
          <w:rFonts w:ascii="Verdana" w:hAnsi="Verdana"/>
          <w:w w:val="95"/>
          <w:sz w:val="20"/>
          <w:szCs w:val="20"/>
          <w:lang w:val="es-CR"/>
        </w:rPr>
        <w:t>.</w:t>
      </w:r>
      <w:r w:rsidRPr="002B1610">
        <w:rPr>
          <w:rFonts w:ascii="Verdana" w:hAnsi="Verdana"/>
          <w:w w:val="95"/>
          <w:sz w:val="20"/>
          <w:szCs w:val="20"/>
          <w:lang w:val="es-CR"/>
        </w:rPr>
        <w:t xml:space="preserve"> </w:t>
      </w:r>
      <w:r>
        <w:rPr>
          <w:rFonts w:ascii="Verdana" w:hAnsi="Verdana"/>
          <w:w w:val="95"/>
          <w:sz w:val="20"/>
          <w:szCs w:val="20"/>
          <w:lang w:val="es-CR"/>
        </w:rPr>
        <w:t>N</w:t>
      </w:r>
      <w:r w:rsidRPr="002B1610">
        <w:rPr>
          <w:rFonts w:ascii="Verdana" w:hAnsi="Verdana"/>
          <w:w w:val="95"/>
          <w:sz w:val="20"/>
          <w:szCs w:val="20"/>
          <w:lang w:val="es-CR"/>
        </w:rPr>
        <w:t>o obstante</w:t>
      </w:r>
      <w:r>
        <w:rPr>
          <w:rFonts w:ascii="Verdana" w:hAnsi="Verdana"/>
          <w:w w:val="95"/>
          <w:sz w:val="20"/>
          <w:szCs w:val="20"/>
          <w:lang w:val="es-CR"/>
        </w:rPr>
        <w:t>,</w:t>
      </w:r>
      <w:r w:rsidRPr="002B1610">
        <w:rPr>
          <w:rFonts w:ascii="Verdana" w:hAnsi="Verdana"/>
          <w:w w:val="95"/>
          <w:sz w:val="20"/>
          <w:szCs w:val="20"/>
          <w:lang w:val="es-CR"/>
        </w:rPr>
        <w:t xml:space="preserve"> no realizó ninguna solicitud expresa en cuanto a las medidas de satisfacción.</w:t>
      </w:r>
    </w:p>
    <w:p w:rsidR="00DF15C3" w:rsidRPr="002B1610" w:rsidRDefault="00DF15C3" w:rsidP="003F26FD">
      <w:pPr>
        <w:pStyle w:val="Prrafodelista"/>
        <w:spacing w:after="0" w:line="216" w:lineRule="auto"/>
        <w:ind w:left="-142" w:right="-174" w:hanging="11"/>
        <w:contextualSpacing w:val="0"/>
        <w:jc w:val="both"/>
        <w:rPr>
          <w:rFonts w:ascii="Verdana" w:hAnsi="Verdana"/>
          <w:w w:val="95"/>
          <w:sz w:val="20"/>
          <w:szCs w:val="20"/>
          <w:lang w:val="es-CR"/>
        </w:rPr>
      </w:pPr>
    </w:p>
    <w:p w:rsidR="00DF15C3" w:rsidRPr="002B1610" w:rsidRDefault="00DF15C3" w:rsidP="003F26FD">
      <w:pPr>
        <w:pStyle w:val="Prrafodelista"/>
        <w:numPr>
          <w:ilvl w:val="0"/>
          <w:numId w:val="17"/>
        </w:numPr>
        <w:spacing w:after="0" w:line="216" w:lineRule="auto"/>
        <w:ind w:left="-142" w:right="-174" w:hanging="11"/>
        <w:contextualSpacing w:val="0"/>
        <w:jc w:val="both"/>
        <w:rPr>
          <w:rFonts w:ascii="Verdana" w:hAnsi="Verdana"/>
          <w:w w:val="95"/>
          <w:sz w:val="20"/>
          <w:szCs w:val="20"/>
          <w:lang w:val="es-CR"/>
        </w:rPr>
      </w:pPr>
      <w:r w:rsidRPr="002B1610">
        <w:rPr>
          <w:rFonts w:ascii="Verdana" w:hAnsi="Verdana"/>
          <w:w w:val="95"/>
          <w:sz w:val="20"/>
          <w:szCs w:val="20"/>
          <w:lang w:val="es-CR"/>
        </w:rPr>
        <w:t xml:space="preserve">La </w:t>
      </w:r>
      <w:r w:rsidRPr="002B1610">
        <w:rPr>
          <w:rFonts w:ascii="Verdana" w:hAnsi="Verdana"/>
          <w:b/>
          <w:i/>
          <w:w w:val="95"/>
          <w:sz w:val="20"/>
          <w:szCs w:val="20"/>
          <w:lang w:val="es-CR"/>
        </w:rPr>
        <w:t>representante</w:t>
      </w:r>
      <w:r w:rsidRPr="002B1610">
        <w:rPr>
          <w:rFonts w:ascii="Verdana" w:hAnsi="Verdana"/>
          <w:w w:val="95"/>
          <w:sz w:val="20"/>
          <w:szCs w:val="20"/>
          <w:lang w:val="es-CR"/>
        </w:rPr>
        <w:t xml:space="preserve"> solicit</w:t>
      </w:r>
      <w:r>
        <w:rPr>
          <w:rFonts w:ascii="Verdana" w:hAnsi="Verdana"/>
          <w:w w:val="95"/>
          <w:sz w:val="20"/>
          <w:szCs w:val="20"/>
          <w:lang w:val="es-CR"/>
        </w:rPr>
        <w:t>ó</w:t>
      </w:r>
      <w:r w:rsidRPr="002B1610">
        <w:rPr>
          <w:rFonts w:ascii="Verdana" w:hAnsi="Verdana"/>
          <w:w w:val="95"/>
          <w:sz w:val="20"/>
          <w:szCs w:val="20"/>
          <w:lang w:val="es-CR"/>
        </w:rPr>
        <w:t xml:space="preserve"> a la Corte que ordene las siguientes medidas de satisfacción: a) publicar los capítulos de </w:t>
      </w:r>
      <w:r>
        <w:rPr>
          <w:rFonts w:ascii="Verdana" w:hAnsi="Verdana"/>
          <w:w w:val="95"/>
          <w:sz w:val="20"/>
          <w:szCs w:val="20"/>
          <w:lang w:val="es-CR"/>
        </w:rPr>
        <w:t>“</w:t>
      </w:r>
      <w:r w:rsidRPr="002B1610">
        <w:rPr>
          <w:rFonts w:ascii="Verdana" w:hAnsi="Verdana"/>
          <w:w w:val="95"/>
          <w:sz w:val="20"/>
          <w:szCs w:val="20"/>
          <w:lang w:val="es-CR"/>
        </w:rPr>
        <w:t>contexto</w:t>
      </w:r>
      <w:r>
        <w:rPr>
          <w:rFonts w:ascii="Verdana" w:hAnsi="Verdana"/>
          <w:w w:val="95"/>
          <w:sz w:val="20"/>
          <w:szCs w:val="20"/>
          <w:lang w:val="es-CR"/>
        </w:rPr>
        <w:t xml:space="preserve"> y</w:t>
      </w:r>
      <w:r w:rsidRPr="002B1610">
        <w:rPr>
          <w:rFonts w:ascii="Verdana" w:hAnsi="Verdana"/>
          <w:w w:val="95"/>
          <w:sz w:val="20"/>
          <w:szCs w:val="20"/>
          <w:lang w:val="es-CR"/>
        </w:rPr>
        <w:t xml:space="preserve"> hechos probados</w:t>
      </w:r>
      <w:r>
        <w:rPr>
          <w:rFonts w:ascii="Verdana" w:hAnsi="Verdana"/>
          <w:w w:val="95"/>
          <w:sz w:val="20"/>
          <w:szCs w:val="20"/>
          <w:lang w:val="es-CR"/>
        </w:rPr>
        <w:t>,</w:t>
      </w:r>
      <w:r w:rsidRPr="002B1610">
        <w:rPr>
          <w:rFonts w:ascii="Verdana" w:hAnsi="Verdana"/>
          <w:w w:val="95"/>
          <w:sz w:val="20"/>
          <w:szCs w:val="20"/>
          <w:lang w:val="es-CR"/>
        </w:rPr>
        <w:t xml:space="preserve"> así como la parte resolutiva de la Sentencia</w:t>
      </w:r>
      <w:r>
        <w:rPr>
          <w:rFonts w:ascii="Verdana" w:hAnsi="Verdana"/>
          <w:w w:val="95"/>
          <w:sz w:val="20"/>
          <w:szCs w:val="20"/>
          <w:lang w:val="es-CR"/>
        </w:rPr>
        <w:t>”</w:t>
      </w:r>
      <w:r w:rsidRPr="002B1610">
        <w:rPr>
          <w:rFonts w:ascii="Verdana" w:hAnsi="Verdana"/>
          <w:w w:val="95"/>
          <w:sz w:val="20"/>
          <w:szCs w:val="20"/>
          <w:lang w:val="es-CR"/>
        </w:rPr>
        <w:t xml:space="preserve"> que dicte la Corte en </w:t>
      </w:r>
      <w:r>
        <w:rPr>
          <w:rFonts w:ascii="Verdana" w:hAnsi="Verdana"/>
          <w:w w:val="95"/>
          <w:sz w:val="20"/>
          <w:szCs w:val="20"/>
          <w:lang w:val="es-CR"/>
        </w:rPr>
        <w:t>“</w:t>
      </w:r>
      <w:r w:rsidRPr="002B1610">
        <w:rPr>
          <w:rFonts w:ascii="Verdana" w:hAnsi="Verdana"/>
          <w:w w:val="95"/>
          <w:sz w:val="20"/>
          <w:szCs w:val="20"/>
          <w:lang w:val="es-CR"/>
        </w:rPr>
        <w:t>el Diario Oficial y en un diario de amplia circulación nacional</w:t>
      </w:r>
      <w:r>
        <w:rPr>
          <w:rFonts w:ascii="Verdana" w:hAnsi="Verdana"/>
          <w:w w:val="95"/>
          <w:sz w:val="20"/>
          <w:szCs w:val="20"/>
          <w:lang w:val="es-CR"/>
        </w:rPr>
        <w:t>”</w:t>
      </w:r>
      <w:r w:rsidRPr="002B1610">
        <w:rPr>
          <w:rFonts w:ascii="Verdana" w:hAnsi="Verdana"/>
          <w:w w:val="95"/>
          <w:sz w:val="20"/>
          <w:szCs w:val="20"/>
          <w:lang w:val="es-CR"/>
        </w:rPr>
        <w:t>; b) realizar un acto público de reconocimiento de responsabilidad internacional y disculpas públicas a los miembros de la familia de María Isabel V</w:t>
      </w:r>
      <w:r>
        <w:rPr>
          <w:rFonts w:ascii="Verdana" w:hAnsi="Verdana"/>
          <w:w w:val="95"/>
          <w:sz w:val="20"/>
          <w:szCs w:val="20"/>
          <w:lang w:val="es-CR"/>
        </w:rPr>
        <w:t>e</w:t>
      </w:r>
      <w:r w:rsidRPr="002B1610">
        <w:rPr>
          <w:rFonts w:ascii="Verdana" w:hAnsi="Verdana"/>
          <w:w w:val="95"/>
          <w:sz w:val="20"/>
          <w:szCs w:val="20"/>
          <w:lang w:val="es-CR"/>
        </w:rPr>
        <w:t xml:space="preserve">liz Franco; c) </w:t>
      </w:r>
      <w:r>
        <w:rPr>
          <w:rFonts w:ascii="Verdana" w:hAnsi="Verdana"/>
          <w:w w:val="95"/>
          <w:sz w:val="20"/>
          <w:szCs w:val="20"/>
          <w:lang w:val="es-CR"/>
        </w:rPr>
        <w:t>“[</w:t>
      </w:r>
      <w:r w:rsidRPr="002B1610">
        <w:rPr>
          <w:rFonts w:ascii="Verdana" w:hAnsi="Verdana"/>
          <w:w w:val="95"/>
          <w:sz w:val="20"/>
          <w:szCs w:val="20"/>
          <w:lang w:val="es-CR"/>
        </w:rPr>
        <w:t>c</w:t>
      </w:r>
      <w:r>
        <w:rPr>
          <w:rFonts w:ascii="Verdana" w:hAnsi="Verdana"/>
          <w:w w:val="95"/>
          <w:sz w:val="20"/>
          <w:szCs w:val="20"/>
          <w:lang w:val="es-CR"/>
        </w:rPr>
        <w:t>]</w:t>
      </w:r>
      <w:r w:rsidRPr="002B1610">
        <w:rPr>
          <w:rFonts w:ascii="Verdana" w:hAnsi="Verdana"/>
          <w:w w:val="95"/>
          <w:sz w:val="20"/>
          <w:szCs w:val="20"/>
          <w:lang w:val="es-CR"/>
        </w:rPr>
        <w:t>onstruir un monumento en memoria de las mujeres víctimas de femicidio, entre ellas María Isabel V</w:t>
      </w:r>
      <w:r>
        <w:rPr>
          <w:rFonts w:ascii="Verdana" w:hAnsi="Verdana"/>
          <w:w w:val="95"/>
          <w:sz w:val="20"/>
          <w:szCs w:val="20"/>
          <w:lang w:val="es-CR"/>
        </w:rPr>
        <w:t>[</w:t>
      </w:r>
      <w:r w:rsidR="00E43C97">
        <w:rPr>
          <w:rFonts w:ascii="Verdana" w:hAnsi="Verdana"/>
          <w:w w:val="95"/>
          <w:sz w:val="20"/>
          <w:szCs w:val="20"/>
          <w:lang w:val="es-CR"/>
        </w:rPr>
        <w:t>e</w:t>
      </w:r>
      <w:r>
        <w:rPr>
          <w:rFonts w:ascii="Verdana" w:hAnsi="Verdana"/>
          <w:w w:val="95"/>
          <w:sz w:val="20"/>
          <w:szCs w:val="20"/>
          <w:lang w:val="es-CR"/>
        </w:rPr>
        <w:t>]</w:t>
      </w:r>
      <w:r w:rsidRPr="002B1610">
        <w:rPr>
          <w:rFonts w:ascii="Verdana" w:hAnsi="Verdana"/>
          <w:w w:val="95"/>
          <w:sz w:val="20"/>
          <w:szCs w:val="20"/>
          <w:lang w:val="es-CR"/>
        </w:rPr>
        <w:t>liz Franco</w:t>
      </w:r>
      <w:r>
        <w:rPr>
          <w:rFonts w:ascii="Verdana" w:hAnsi="Verdana"/>
          <w:w w:val="95"/>
          <w:sz w:val="20"/>
          <w:szCs w:val="20"/>
          <w:lang w:val="es-CR"/>
        </w:rPr>
        <w:t>”</w:t>
      </w:r>
      <w:r w:rsidRPr="002B1610">
        <w:rPr>
          <w:rFonts w:ascii="Verdana" w:hAnsi="Verdana"/>
          <w:w w:val="95"/>
          <w:sz w:val="20"/>
          <w:szCs w:val="20"/>
          <w:lang w:val="es-CR"/>
        </w:rPr>
        <w:t>; d) crear un fondo de becas de estudios para jóvenes sobrevivientes de violencia en honor a María Isabel V</w:t>
      </w:r>
      <w:r>
        <w:rPr>
          <w:rFonts w:ascii="Verdana" w:hAnsi="Verdana"/>
          <w:w w:val="95"/>
          <w:sz w:val="20"/>
          <w:szCs w:val="20"/>
          <w:lang w:val="es-CR"/>
        </w:rPr>
        <w:t>[e]</w:t>
      </w:r>
      <w:r w:rsidRPr="002B1610">
        <w:rPr>
          <w:rFonts w:ascii="Verdana" w:hAnsi="Verdana"/>
          <w:w w:val="95"/>
          <w:sz w:val="20"/>
          <w:szCs w:val="20"/>
          <w:lang w:val="es-CR"/>
        </w:rPr>
        <w:t>liz Franco</w:t>
      </w:r>
      <w:r w:rsidRPr="002B1610">
        <w:rPr>
          <w:rStyle w:val="Refdenotaalpie"/>
          <w:rFonts w:ascii="Verdana" w:hAnsi="Verdana"/>
          <w:w w:val="95"/>
          <w:sz w:val="20"/>
          <w:szCs w:val="20"/>
          <w:lang w:val="es-CR"/>
        </w:rPr>
        <w:footnoteReference w:id="346"/>
      </w:r>
      <w:r>
        <w:rPr>
          <w:rFonts w:ascii="Verdana" w:hAnsi="Verdana"/>
          <w:w w:val="95"/>
          <w:sz w:val="20"/>
          <w:szCs w:val="20"/>
          <w:lang w:val="es-CR"/>
        </w:rPr>
        <w:t>,</w:t>
      </w:r>
      <w:r w:rsidRPr="002B1610">
        <w:rPr>
          <w:rFonts w:ascii="Verdana" w:hAnsi="Verdana"/>
          <w:w w:val="95"/>
          <w:sz w:val="20"/>
          <w:szCs w:val="20"/>
          <w:lang w:val="es-CR"/>
        </w:rPr>
        <w:t xml:space="preserve"> y e) otorgar una beca de estudios para Leonel Enrique V</w:t>
      </w:r>
      <w:r>
        <w:rPr>
          <w:rFonts w:ascii="Verdana" w:hAnsi="Verdana"/>
          <w:w w:val="95"/>
          <w:sz w:val="20"/>
          <w:szCs w:val="20"/>
          <w:lang w:val="es-CR"/>
        </w:rPr>
        <w:t>e</w:t>
      </w:r>
      <w:r w:rsidRPr="002B1610">
        <w:rPr>
          <w:rFonts w:ascii="Verdana" w:hAnsi="Verdana"/>
          <w:w w:val="95"/>
          <w:sz w:val="20"/>
          <w:szCs w:val="20"/>
          <w:lang w:val="es-CR"/>
        </w:rPr>
        <w:t>liz Franco y José Roberto Franco</w:t>
      </w:r>
      <w:r w:rsidRPr="002B1610">
        <w:rPr>
          <w:rStyle w:val="Refdenotaalpie"/>
          <w:rFonts w:ascii="Verdana" w:hAnsi="Verdana"/>
          <w:w w:val="95"/>
          <w:sz w:val="20"/>
          <w:szCs w:val="20"/>
          <w:lang w:val="es-CR"/>
        </w:rPr>
        <w:footnoteReference w:id="347"/>
      </w:r>
      <w:r w:rsidRPr="002B1610">
        <w:rPr>
          <w:rFonts w:ascii="Verdana" w:hAnsi="Verdana"/>
          <w:w w:val="95"/>
          <w:sz w:val="20"/>
          <w:szCs w:val="20"/>
          <w:lang w:val="es-CR"/>
        </w:rPr>
        <w:t>.</w:t>
      </w:r>
    </w:p>
    <w:p w:rsidR="00DF15C3" w:rsidRPr="002B1610" w:rsidRDefault="00DF15C3" w:rsidP="003F26FD">
      <w:pPr>
        <w:pStyle w:val="Prrafodelista"/>
        <w:spacing w:after="0" w:line="216" w:lineRule="auto"/>
        <w:ind w:left="-142" w:right="-174" w:hanging="11"/>
        <w:rPr>
          <w:rFonts w:ascii="Verdana" w:hAnsi="Verdana"/>
          <w:w w:val="95"/>
          <w:sz w:val="20"/>
          <w:szCs w:val="20"/>
          <w:lang w:val="es-CR"/>
        </w:rPr>
      </w:pPr>
    </w:p>
    <w:p w:rsidR="00DF15C3" w:rsidRDefault="00DF15C3" w:rsidP="003F26FD">
      <w:pPr>
        <w:pStyle w:val="Prrafodelista"/>
        <w:numPr>
          <w:ilvl w:val="0"/>
          <w:numId w:val="17"/>
        </w:numPr>
        <w:spacing w:after="0" w:line="216" w:lineRule="auto"/>
        <w:ind w:left="-142" w:right="-174" w:hanging="11"/>
        <w:contextualSpacing w:val="0"/>
        <w:jc w:val="both"/>
        <w:rPr>
          <w:rFonts w:ascii="Verdana" w:hAnsi="Verdana"/>
          <w:w w:val="95"/>
          <w:sz w:val="20"/>
          <w:szCs w:val="20"/>
          <w:lang w:val="es-CR"/>
        </w:rPr>
      </w:pPr>
      <w:r w:rsidRPr="002B1610">
        <w:rPr>
          <w:rFonts w:ascii="Verdana" w:hAnsi="Verdana"/>
          <w:w w:val="95"/>
          <w:sz w:val="20"/>
          <w:szCs w:val="20"/>
          <w:lang w:val="es-CR"/>
        </w:rPr>
        <w:t xml:space="preserve">Por su parte, en cuanto a las medidas de satisfacción solicitadas por la representante, el </w:t>
      </w:r>
      <w:r w:rsidRPr="002B1610">
        <w:rPr>
          <w:rFonts w:ascii="Verdana" w:hAnsi="Verdana"/>
          <w:b/>
          <w:i/>
          <w:w w:val="95"/>
          <w:sz w:val="20"/>
          <w:szCs w:val="20"/>
          <w:lang w:val="es-CR"/>
        </w:rPr>
        <w:t>Estado</w:t>
      </w:r>
      <w:r w:rsidRPr="002B1610">
        <w:rPr>
          <w:rFonts w:ascii="Verdana" w:hAnsi="Verdana"/>
          <w:w w:val="95"/>
          <w:sz w:val="20"/>
          <w:szCs w:val="20"/>
          <w:lang w:val="es-CR"/>
        </w:rPr>
        <w:t xml:space="preserve"> se opuso a las siguientes: a) realizar un acto público de reconocimiento de responsabilidad internacional y pedido de perdón; b) construir un monumento en memoria de las mujeres víctimas de femicidio entre ellas, María Isabel; c) creación de un fondo de becas de estudios para jóvenes sobrevivientes de violencia en honor a María Isabel V</w:t>
      </w:r>
      <w:r>
        <w:rPr>
          <w:rFonts w:ascii="Verdana" w:hAnsi="Verdana"/>
          <w:w w:val="95"/>
          <w:sz w:val="20"/>
          <w:szCs w:val="20"/>
          <w:lang w:val="es-CR"/>
        </w:rPr>
        <w:t>e</w:t>
      </w:r>
      <w:r w:rsidRPr="002B1610">
        <w:rPr>
          <w:rFonts w:ascii="Verdana" w:hAnsi="Verdana"/>
          <w:w w:val="95"/>
          <w:sz w:val="20"/>
          <w:szCs w:val="20"/>
          <w:lang w:val="es-CR"/>
        </w:rPr>
        <w:t>liz Franco</w:t>
      </w:r>
      <w:r w:rsidRPr="002B1610">
        <w:rPr>
          <w:rStyle w:val="Refdenotaalpie"/>
          <w:rFonts w:ascii="Verdana" w:hAnsi="Verdana"/>
          <w:w w:val="95"/>
          <w:sz w:val="20"/>
          <w:szCs w:val="20"/>
          <w:lang w:val="es-CR"/>
        </w:rPr>
        <w:footnoteReference w:id="348"/>
      </w:r>
      <w:r w:rsidRPr="002B1610">
        <w:rPr>
          <w:rFonts w:ascii="Verdana" w:hAnsi="Verdana"/>
          <w:w w:val="95"/>
          <w:sz w:val="20"/>
          <w:szCs w:val="20"/>
          <w:lang w:val="es-CR"/>
        </w:rPr>
        <w:t>, y d) otorgar una beca de estudios para los hermanos de María Isabel</w:t>
      </w:r>
      <w:r w:rsidRPr="002B1610">
        <w:rPr>
          <w:rStyle w:val="Refdenotaalpie"/>
          <w:rFonts w:ascii="Verdana" w:hAnsi="Verdana"/>
          <w:w w:val="95"/>
          <w:sz w:val="20"/>
          <w:szCs w:val="20"/>
          <w:lang w:val="es-CR"/>
        </w:rPr>
        <w:footnoteReference w:id="349"/>
      </w:r>
      <w:r w:rsidRPr="002B1610">
        <w:rPr>
          <w:rFonts w:ascii="Verdana" w:hAnsi="Verdana"/>
          <w:w w:val="95"/>
          <w:sz w:val="20"/>
          <w:szCs w:val="20"/>
          <w:lang w:val="es-CR"/>
        </w:rPr>
        <w:t xml:space="preserve">.  </w:t>
      </w:r>
      <w:bookmarkStart w:id="131" w:name="_Ref369185472"/>
    </w:p>
    <w:p w:rsidR="00DF15C3" w:rsidRDefault="00DF15C3" w:rsidP="003F26FD">
      <w:pPr>
        <w:spacing w:after="0" w:line="216" w:lineRule="auto"/>
        <w:ind w:right="-174"/>
        <w:rPr>
          <w:rFonts w:ascii="Verdana" w:hAnsi="Verdana"/>
          <w:w w:val="95"/>
          <w:sz w:val="20"/>
          <w:szCs w:val="20"/>
          <w:lang w:val="es-CR"/>
        </w:rPr>
      </w:pPr>
    </w:p>
    <w:p w:rsidR="002E29FD" w:rsidRPr="002B1610" w:rsidRDefault="002E29FD" w:rsidP="003F26FD">
      <w:pPr>
        <w:spacing w:after="0" w:line="216" w:lineRule="auto"/>
        <w:ind w:right="-174"/>
        <w:rPr>
          <w:rFonts w:ascii="Verdana" w:hAnsi="Verdana"/>
          <w:w w:val="95"/>
          <w:sz w:val="20"/>
          <w:szCs w:val="20"/>
          <w:lang w:val="es-CR"/>
        </w:rPr>
      </w:pPr>
    </w:p>
    <w:p w:rsidR="00DF15C3" w:rsidRPr="002B1610" w:rsidRDefault="00DF15C3" w:rsidP="003F26FD">
      <w:pPr>
        <w:pStyle w:val="Prrafodelista"/>
        <w:spacing w:after="0" w:line="216" w:lineRule="auto"/>
        <w:ind w:left="567" w:right="-174"/>
        <w:contextualSpacing w:val="0"/>
        <w:jc w:val="both"/>
        <w:outlineLvl w:val="2"/>
        <w:rPr>
          <w:rFonts w:ascii="Verdana" w:hAnsi="Verdana"/>
          <w:b/>
          <w:i/>
          <w:w w:val="95"/>
          <w:sz w:val="20"/>
          <w:szCs w:val="20"/>
          <w:lang w:val="es-CR"/>
        </w:rPr>
      </w:pPr>
      <w:bookmarkStart w:id="132" w:name="_Toc394313697"/>
      <w:r w:rsidRPr="002B1610">
        <w:rPr>
          <w:rFonts w:ascii="Verdana" w:hAnsi="Verdana"/>
          <w:b/>
          <w:i/>
          <w:w w:val="95"/>
          <w:sz w:val="20"/>
          <w:szCs w:val="20"/>
          <w:lang w:val="es-CR"/>
        </w:rPr>
        <w:t>C.2) Consideraciones de la Corte</w:t>
      </w:r>
      <w:bookmarkEnd w:id="132"/>
    </w:p>
    <w:p w:rsidR="00DF15C3" w:rsidRDefault="00DF15C3" w:rsidP="003F26FD">
      <w:pPr>
        <w:pStyle w:val="Prrafodelista"/>
        <w:spacing w:after="0" w:line="216" w:lineRule="auto"/>
        <w:ind w:right="-174"/>
        <w:rPr>
          <w:rFonts w:ascii="Verdana" w:hAnsi="Verdana"/>
          <w:w w:val="95"/>
          <w:sz w:val="20"/>
          <w:szCs w:val="20"/>
          <w:lang w:val="es-CR"/>
        </w:rPr>
      </w:pPr>
    </w:p>
    <w:p w:rsidR="002E29FD" w:rsidRPr="002B1610" w:rsidRDefault="002E29FD" w:rsidP="003F26FD">
      <w:pPr>
        <w:pStyle w:val="Prrafodelista"/>
        <w:spacing w:after="0" w:line="216" w:lineRule="auto"/>
        <w:ind w:right="-174"/>
        <w:rPr>
          <w:rFonts w:ascii="Verdana" w:hAnsi="Verdana"/>
          <w:w w:val="95"/>
          <w:sz w:val="20"/>
          <w:szCs w:val="20"/>
          <w:lang w:val="es-CR"/>
        </w:rPr>
      </w:pPr>
    </w:p>
    <w:p w:rsidR="00DF15C3" w:rsidRPr="00B457A2" w:rsidRDefault="00DF15C3" w:rsidP="003F26FD">
      <w:pPr>
        <w:pStyle w:val="Ttulo4"/>
        <w:spacing w:before="0"/>
        <w:ind w:left="851" w:right="-174"/>
        <w:rPr>
          <w:rFonts w:ascii="Verdana" w:hAnsi="Verdana"/>
          <w:b w:val="0"/>
          <w:color w:val="auto"/>
          <w:w w:val="95"/>
          <w:sz w:val="20"/>
          <w:u w:val="single"/>
        </w:rPr>
      </w:pPr>
      <w:bookmarkStart w:id="133" w:name="_Toc394313698"/>
      <w:r w:rsidRPr="00B457A2">
        <w:rPr>
          <w:rFonts w:ascii="Verdana" w:hAnsi="Verdana"/>
          <w:b w:val="0"/>
          <w:color w:val="auto"/>
          <w:w w:val="95"/>
          <w:sz w:val="20"/>
          <w:u w:val="single"/>
        </w:rPr>
        <w:t>C.2.1. Publicación de la Sentencia</w:t>
      </w:r>
      <w:bookmarkEnd w:id="133"/>
      <w:r w:rsidRPr="00B457A2">
        <w:rPr>
          <w:rFonts w:ascii="Verdana" w:hAnsi="Verdana"/>
          <w:b w:val="0"/>
          <w:color w:val="auto"/>
          <w:w w:val="95"/>
          <w:sz w:val="20"/>
          <w:u w:val="single"/>
        </w:rPr>
        <w:t xml:space="preserve"> </w:t>
      </w:r>
    </w:p>
    <w:p w:rsidR="00DF15C3" w:rsidRPr="00927483" w:rsidRDefault="00DF15C3" w:rsidP="003F26FD">
      <w:pPr>
        <w:pStyle w:val="Prrafodelista"/>
        <w:spacing w:after="0"/>
        <w:ind w:right="-174"/>
        <w:rPr>
          <w:rFonts w:ascii="Verdana" w:hAnsi="Verdana"/>
          <w:w w:val="95"/>
          <w:sz w:val="20"/>
          <w:szCs w:val="20"/>
          <w:lang w:val="es-CR"/>
        </w:rPr>
      </w:pPr>
    </w:p>
    <w:p w:rsidR="00DF15C3" w:rsidRPr="00927483" w:rsidRDefault="00DF15C3" w:rsidP="003F26FD">
      <w:pPr>
        <w:pStyle w:val="Prrafodelista"/>
        <w:numPr>
          <w:ilvl w:val="0"/>
          <w:numId w:val="17"/>
        </w:numPr>
        <w:spacing w:after="0" w:line="216" w:lineRule="auto"/>
        <w:ind w:left="-142" w:right="-174" w:hanging="11"/>
        <w:contextualSpacing w:val="0"/>
        <w:jc w:val="both"/>
        <w:rPr>
          <w:rFonts w:ascii="Verdana" w:hAnsi="Verdana"/>
          <w:w w:val="95"/>
          <w:sz w:val="20"/>
          <w:szCs w:val="20"/>
          <w:lang w:val="es-CR"/>
        </w:rPr>
      </w:pPr>
      <w:r w:rsidRPr="00927483">
        <w:rPr>
          <w:rFonts w:ascii="Verdana" w:hAnsi="Verdana"/>
          <w:w w:val="95"/>
          <w:sz w:val="20"/>
          <w:szCs w:val="20"/>
          <w:lang w:val="es-CR"/>
        </w:rPr>
        <w:t xml:space="preserve">La Corte ordena que el Estado publique, en el plazo de seis meses, contado a partir de la notificación de la presente Sentencia: a) el resumen oficial de la presente Sentencia elaborado por la Corte, por una sola vez en el Diario Oficial de Guatemala; b) el resumen oficial de la presente Sentencia elaborado por la Corte, por una sola vez, en un diario de amplia circulación nacional, y c) la presente Sentencia en su integridad, disponible por un período de un año, en un sitio </w:t>
      </w:r>
      <w:r w:rsidRPr="00927483">
        <w:rPr>
          <w:rFonts w:ascii="Verdana" w:hAnsi="Verdana"/>
          <w:i/>
          <w:w w:val="95"/>
          <w:sz w:val="20"/>
          <w:szCs w:val="20"/>
          <w:lang w:val="es-CR"/>
        </w:rPr>
        <w:t>web</w:t>
      </w:r>
      <w:r w:rsidRPr="00927483">
        <w:rPr>
          <w:rFonts w:ascii="Verdana" w:hAnsi="Verdana"/>
          <w:w w:val="95"/>
          <w:sz w:val="20"/>
          <w:szCs w:val="20"/>
          <w:lang w:val="es-CR"/>
        </w:rPr>
        <w:t xml:space="preserve"> oficial del Poder Judicial</w:t>
      </w:r>
      <w:bookmarkEnd w:id="131"/>
      <w:r w:rsidRPr="00927483">
        <w:rPr>
          <w:rFonts w:ascii="Verdana" w:hAnsi="Verdana"/>
          <w:w w:val="95"/>
          <w:sz w:val="20"/>
          <w:szCs w:val="20"/>
          <w:lang w:val="es-CR"/>
        </w:rPr>
        <w:t xml:space="preserve">, </w:t>
      </w:r>
      <w:r w:rsidRPr="00410F9B">
        <w:rPr>
          <w:rFonts w:ascii="Verdana" w:hAnsi="Verdana"/>
          <w:w w:val="95"/>
          <w:sz w:val="20"/>
          <w:szCs w:val="20"/>
          <w:lang w:val="es-CR"/>
        </w:rPr>
        <w:t xml:space="preserve">así como en sitios </w:t>
      </w:r>
      <w:r w:rsidRPr="00410F9B">
        <w:rPr>
          <w:rFonts w:ascii="Verdana" w:hAnsi="Verdana"/>
          <w:i/>
          <w:w w:val="95"/>
          <w:sz w:val="20"/>
          <w:szCs w:val="20"/>
          <w:lang w:val="es-CR"/>
        </w:rPr>
        <w:t>web</w:t>
      </w:r>
      <w:r w:rsidRPr="00410F9B">
        <w:rPr>
          <w:rFonts w:ascii="Verdana" w:hAnsi="Verdana"/>
          <w:w w:val="95"/>
          <w:sz w:val="20"/>
          <w:szCs w:val="20"/>
          <w:lang w:val="es-CR"/>
        </w:rPr>
        <w:t xml:space="preserve"> oficiales del Ministerio Público y de la Policía Nacional Civil</w:t>
      </w:r>
      <w:r w:rsidRPr="00927483">
        <w:rPr>
          <w:rFonts w:ascii="Verdana" w:hAnsi="Verdana"/>
          <w:w w:val="95"/>
          <w:sz w:val="20"/>
          <w:szCs w:val="20"/>
          <w:lang w:val="es-CR"/>
        </w:rPr>
        <w:t>.</w:t>
      </w:r>
    </w:p>
    <w:p w:rsidR="00DF15C3" w:rsidRPr="002B1610" w:rsidRDefault="00DF15C3" w:rsidP="003F26FD">
      <w:pPr>
        <w:pStyle w:val="Prrafodelista"/>
        <w:spacing w:after="0" w:line="216" w:lineRule="auto"/>
        <w:ind w:left="-142" w:right="-174"/>
        <w:contextualSpacing w:val="0"/>
        <w:jc w:val="both"/>
        <w:rPr>
          <w:rFonts w:ascii="Verdana" w:hAnsi="Verdana"/>
          <w:w w:val="95"/>
          <w:sz w:val="20"/>
          <w:szCs w:val="20"/>
          <w:lang w:val="es-CR"/>
        </w:rPr>
      </w:pPr>
    </w:p>
    <w:p w:rsidR="00DF15C3" w:rsidRPr="008A13E3" w:rsidRDefault="00DF15C3" w:rsidP="003F26FD">
      <w:pPr>
        <w:pStyle w:val="Ttulo4"/>
        <w:spacing w:before="0"/>
        <w:ind w:left="851" w:right="-174"/>
        <w:rPr>
          <w:rFonts w:ascii="Verdana" w:hAnsi="Verdana"/>
          <w:b w:val="0"/>
          <w:color w:val="auto"/>
          <w:w w:val="95"/>
          <w:sz w:val="20"/>
          <w:u w:val="single"/>
        </w:rPr>
      </w:pPr>
      <w:bookmarkStart w:id="134" w:name="_Toc394313699"/>
      <w:r w:rsidRPr="008A13E3">
        <w:rPr>
          <w:rFonts w:ascii="Verdana" w:hAnsi="Verdana"/>
          <w:b w:val="0"/>
          <w:color w:val="auto"/>
          <w:w w:val="95"/>
          <w:sz w:val="20"/>
          <w:u w:val="single"/>
        </w:rPr>
        <w:t>C.2.2. Acto de disculpas públicas</w:t>
      </w:r>
      <w:bookmarkEnd w:id="134"/>
    </w:p>
    <w:p w:rsidR="00DF15C3" w:rsidRPr="00B457A2" w:rsidRDefault="00DF15C3" w:rsidP="003F26FD">
      <w:pPr>
        <w:pStyle w:val="Ttulo4"/>
        <w:spacing w:before="0"/>
        <w:ind w:left="851" w:right="-174"/>
        <w:rPr>
          <w:rFonts w:ascii="Verdana" w:hAnsi="Verdana"/>
          <w:b w:val="0"/>
          <w:color w:val="auto"/>
          <w:w w:val="95"/>
          <w:sz w:val="20"/>
          <w:u w:val="single"/>
        </w:rPr>
      </w:pPr>
    </w:p>
    <w:p w:rsidR="00DF15C3" w:rsidRPr="00E97AC9" w:rsidRDefault="00DF15C3" w:rsidP="003F26FD">
      <w:pPr>
        <w:numPr>
          <w:ilvl w:val="0"/>
          <w:numId w:val="17"/>
        </w:numPr>
        <w:spacing w:after="0" w:line="216" w:lineRule="auto"/>
        <w:ind w:left="-142" w:right="-174" w:hanging="11"/>
        <w:jc w:val="both"/>
        <w:rPr>
          <w:rFonts w:ascii="Verdana" w:hAnsi="Verdana"/>
          <w:w w:val="95"/>
          <w:sz w:val="20"/>
          <w:szCs w:val="20"/>
          <w:lang w:val="es-EC"/>
        </w:rPr>
      </w:pPr>
      <w:bookmarkStart w:id="135" w:name="_Ref248121295"/>
      <w:r w:rsidRPr="00E97AC9">
        <w:rPr>
          <w:rFonts w:ascii="Verdana" w:hAnsi="Verdana" w:cs="Verdana"/>
          <w:w w:val="95"/>
          <w:sz w:val="20"/>
          <w:szCs w:val="20"/>
          <w:lang w:val="es-EC"/>
        </w:rPr>
        <w:t xml:space="preserve">El Tribunal estima que el Estado debe realizar un acto de </w:t>
      </w:r>
      <w:r w:rsidRPr="00410F9B">
        <w:rPr>
          <w:rFonts w:ascii="Verdana" w:hAnsi="Verdana" w:cs="Verdana"/>
          <w:w w:val="95"/>
          <w:sz w:val="20"/>
          <w:szCs w:val="20"/>
          <w:lang w:val="es-EC"/>
        </w:rPr>
        <w:t>disculpas públicas,</w:t>
      </w:r>
      <w:r w:rsidRPr="00E97AC9">
        <w:rPr>
          <w:rFonts w:ascii="Verdana" w:hAnsi="Verdana" w:cs="Verdana"/>
          <w:w w:val="95"/>
          <w:sz w:val="20"/>
          <w:szCs w:val="20"/>
          <w:lang w:val="es-EC"/>
        </w:rPr>
        <w:t xml:space="preserve"> en relación con los hechos del presente caso </w:t>
      </w:r>
      <w:r w:rsidRPr="00410F9B">
        <w:rPr>
          <w:rFonts w:ascii="Verdana" w:hAnsi="Verdana" w:cs="Verdana"/>
          <w:w w:val="95"/>
          <w:sz w:val="20"/>
          <w:szCs w:val="20"/>
          <w:lang w:val="es-EC"/>
        </w:rPr>
        <w:t>ocurridos a</w:t>
      </w:r>
      <w:r w:rsidRPr="00E97AC9">
        <w:rPr>
          <w:rFonts w:ascii="Verdana" w:hAnsi="Verdana" w:cs="Verdana"/>
          <w:w w:val="95"/>
          <w:sz w:val="20"/>
          <w:szCs w:val="20"/>
          <w:lang w:val="es-EC"/>
        </w:rPr>
        <w:t xml:space="preserve"> María Isabel Veliz Franco </w:t>
      </w:r>
      <w:r w:rsidRPr="00410F9B">
        <w:rPr>
          <w:rFonts w:ascii="Verdana" w:hAnsi="Verdana" w:cs="Verdana"/>
          <w:w w:val="95"/>
          <w:sz w:val="20"/>
          <w:szCs w:val="20"/>
          <w:lang w:val="es-EC"/>
        </w:rPr>
        <w:t>y su posterior investigación</w:t>
      </w:r>
      <w:r w:rsidRPr="00E97AC9">
        <w:rPr>
          <w:rFonts w:ascii="Verdana" w:hAnsi="Verdana" w:cs="Verdana"/>
          <w:w w:val="95"/>
          <w:sz w:val="20"/>
          <w:szCs w:val="20"/>
          <w:lang w:val="es-EC"/>
        </w:rPr>
        <w:t>. En dicho acto el Estado deberá hacer referencia a las violaciones de derechos humanos declaradas en la presente Sentencia</w:t>
      </w:r>
      <w:r>
        <w:rPr>
          <w:rFonts w:ascii="Verdana" w:hAnsi="Verdana" w:cs="Verdana"/>
          <w:w w:val="95"/>
          <w:sz w:val="20"/>
          <w:szCs w:val="20"/>
          <w:lang w:val="es-EC"/>
        </w:rPr>
        <w:t>. El acto deberá llevarse a cabo mediante una ceremonia pública</w:t>
      </w:r>
      <w:r>
        <w:rPr>
          <w:rFonts w:ascii="Verdana" w:hAnsi="Verdana"/>
          <w:w w:val="95"/>
          <w:sz w:val="20"/>
          <w:szCs w:val="20"/>
          <w:lang w:val="es-EC"/>
        </w:rPr>
        <w:t xml:space="preserve"> y ser divulgado ampliamente</w:t>
      </w:r>
      <w:r w:rsidRPr="00E97AC9">
        <w:rPr>
          <w:rFonts w:ascii="Verdana" w:hAnsi="Verdana"/>
          <w:w w:val="95"/>
          <w:sz w:val="20"/>
          <w:szCs w:val="20"/>
          <w:lang w:val="es-EC"/>
        </w:rPr>
        <w:t>.</w:t>
      </w:r>
      <w:r w:rsidRPr="00E97AC9">
        <w:rPr>
          <w:rFonts w:ascii="Verdana" w:hAnsi="Verdana" w:cs="Verdana"/>
          <w:w w:val="95"/>
          <w:sz w:val="20"/>
          <w:szCs w:val="20"/>
          <w:lang w:val="es-EC"/>
        </w:rPr>
        <w:t xml:space="preserve"> El Estado deberá as</w:t>
      </w:r>
      <w:r w:rsidRPr="002857CA">
        <w:rPr>
          <w:rFonts w:ascii="Verdana" w:hAnsi="Verdana" w:cs="Verdana"/>
          <w:w w:val="95"/>
          <w:sz w:val="20"/>
          <w:szCs w:val="20"/>
          <w:lang w:val="es-EC"/>
        </w:rPr>
        <w:t xml:space="preserve">egurar la participación de </w:t>
      </w:r>
      <w:r w:rsidRPr="002857CA">
        <w:rPr>
          <w:rFonts w:ascii="Verdana" w:hAnsi="Verdana"/>
          <w:w w:val="95"/>
          <w:sz w:val="20"/>
          <w:szCs w:val="20"/>
          <w:lang w:val="es-CR"/>
        </w:rPr>
        <w:t>Rosa Elvira Franco Sandov</w:t>
      </w:r>
      <w:r w:rsidR="00DD75F5" w:rsidRPr="002857CA">
        <w:rPr>
          <w:rFonts w:ascii="Verdana" w:hAnsi="Verdana"/>
          <w:w w:val="95"/>
          <w:sz w:val="20"/>
          <w:szCs w:val="20"/>
          <w:lang w:val="es-CR"/>
        </w:rPr>
        <w:t>al, Leonel Enrique Veliz Franco y</w:t>
      </w:r>
      <w:r w:rsidRPr="002857CA">
        <w:rPr>
          <w:rFonts w:ascii="Verdana" w:hAnsi="Verdana"/>
          <w:w w:val="95"/>
          <w:sz w:val="20"/>
          <w:szCs w:val="20"/>
          <w:lang w:val="es-CR"/>
        </w:rPr>
        <w:t xml:space="preserve"> José Roberto Franco,</w:t>
      </w:r>
      <w:r w:rsidRPr="002857CA">
        <w:rPr>
          <w:rFonts w:ascii="Verdana" w:hAnsi="Verdana" w:cs="Verdana"/>
          <w:w w:val="95"/>
          <w:sz w:val="20"/>
          <w:szCs w:val="20"/>
          <w:lang w:val="es-EC"/>
        </w:rPr>
        <w:t xml:space="preserve"> si dichas personas así lo desean, e invitar al evento a las organizaciones que representaron a los familiares de María Isabel</w:t>
      </w:r>
      <w:r>
        <w:rPr>
          <w:rFonts w:ascii="Verdana" w:hAnsi="Verdana" w:cs="Verdana"/>
          <w:w w:val="95"/>
          <w:sz w:val="20"/>
          <w:szCs w:val="20"/>
          <w:lang w:val="es-EC"/>
        </w:rPr>
        <w:t xml:space="preserve"> en las instancias nacionales e internacionales. La realización y demás particularidades de dicha ceremonia pública deben consultarse previa y debidamente con Rosa Elvira Franco</w:t>
      </w:r>
      <w:r w:rsidRPr="00E97AC9">
        <w:rPr>
          <w:rFonts w:ascii="Verdana" w:hAnsi="Verdana" w:cs="Verdana"/>
          <w:w w:val="95"/>
          <w:sz w:val="20"/>
          <w:szCs w:val="20"/>
          <w:lang w:val="es-EC"/>
        </w:rPr>
        <w:t xml:space="preserve">. En caso de disenso entre </w:t>
      </w:r>
      <w:r w:rsidRPr="00410F9B">
        <w:rPr>
          <w:rFonts w:ascii="Verdana" w:hAnsi="Verdana" w:cs="Verdana"/>
          <w:w w:val="95"/>
          <w:sz w:val="20"/>
          <w:szCs w:val="20"/>
          <w:lang w:val="es-EC"/>
        </w:rPr>
        <w:t>ella</w:t>
      </w:r>
      <w:r w:rsidRPr="00E97AC9">
        <w:rPr>
          <w:rFonts w:ascii="Verdana" w:hAnsi="Verdana" w:cs="Verdana"/>
          <w:w w:val="95"/>
          <w:sz w:val="20"/>
          <w:szCs w:val="20"/>
          <w:lang w:val="es-EC"/>
        </w:rPr>
        <w:t xml:space="preserve"> y el Estado, la Corte resolverá. Para cumplir con esta obligación el Estado cuenta con </w:t>
      </w:r>
      <w:r>
        <w:rPr>
          <w:rFonts w:ascii="Verdana" w:hAnsi="Verdana" w:cs="Verdana"/>
          <w:w w:val="95"/>
          <w:sz w:val="20"/>
          <w:szCs w:val="20"/>
          <w:lang w:val="es-EC"/>
        </w:rPr>
        <w:t>un plazo de un año a partir de la notificación de la presente Sentencia.</w:t>
      </w:r>
      <w:bookmarkEnd w:id="135"/>
    </w:p>
    <w:p w:rsidR="00DF15C3" w:rsidRPr="002B1610" w:rsidRDefault="00DF15C3" w:rsidP="003F26FD">
      <w:pPr>
        <w:spacing w:after="0" w:line="216" w:lineRule="auto"/>
        <w:ind w:left="-142" w:right="-174" w:hanging="11"/>
        <w:jc w:val="both"/>
        <w:rPr>
          <w:rFonts w:ascii="Verdana" w:hAnsi="Verdana"/>
          <w:w w:val="95"/>
          <w:sz w:val="20"/>
          <w:szCs w:val="20"/>
          <w:lang w:val="es-EC"/>
        </w:rPr>
      </w:pPr>
    </w:p>
    <w:p w:rsidR="00DF15C3" w:rsidRPr="002B1610" w:rsidRDefault="00DF15C3" w:rsidP="003F26FD">
      <w:pPr>
        <w:numPr>
          <w:ilvl w:val="0"/>
          <w:numId w:val="17"/>
        </w:numPr>
        <w:spacing w:after="0" w:line="216" w:lineRule="auto"/>
        <w:ind w:left="-142" w:right="-174" w:hanging="11"/>
        <w:jc w:val="both"/>
        <w:rPr>
          <w:rFonts w:ascii="Verdana" w:hAnsi="Verdana"/>
          <w:w w:val="95"/>
          <w:sz w:val="20"/>
          <w:szCs w:val="20"/>
          <w:lang w:val="es-EC"/>
        </w:rPr>
      </w:pPr>
      <w:r w:rsidRPr="002B1610">
        <w:rPr>
          <w:rFonts w:ascii="Verdana" w:hAnsi="Verdana" w:cs="Verdana"/>
          <w:w w:val="95"/>
          <w:sz w:val="20"/>
          <w:szCs w:val="20"/>
          <w:lang w:val="es-EC"/>
        </w:rPr>
        <w:t xml:space="preserve">En cuanto a las autoridades estatales que deberán estar presentes o participar en dicho acto, el Tribunal, como lo ha hecho en otros casos, señala que deberán ser altos funcionarios estatales. Corresponderá al Estado definir a quienes se encomienda tal tarea. </w:t>
      </w:r>
    </w:p>
    <w:p w:rsidR="00DF15C3" w:rsidRPr="002B1610" w:rsidRDefault="00DF15C3" w:rsidP="003F26FD">
      <w:pPr>
        <w:pStyle w:val="Prrafodelista"/>
        <w:spacing w:after="0" w:line="216" w:lineRule="auto"/>
        <w:ind w:right="-174"/>
        <w:rPr>
          <w:rFonts w:ascii="Verdana" w:hAnsi="Verdana"/>
          <w:w w:val="95"/>
          <w:sz w:val="20"/>
          <w:szCs w:val="20"/>
          <w:lang w:val="es-CR"/>
        </w:rPr>
      </w:pPr>
    </w:p>
    <w:p w:rsidR="00DF15C3" w:rsidRPr="00B457A2" w:rsidRDefault="00DF15C3" w:rsidP="003F26FD">
      <w:pPr>
        <w:pStyle w:val="Ttulo4"/>
        <w:ind w:left="851" w:right="-174"/>
        <w:rPr>
          <w:rFonts w:ascii="Verdana" w:hAnsi="Verdana"/>
          <w:b w:val="0"/>
          <w:color w:val="auto"/>
          <w:w w:val="95"/>
          <w:sz w:val="20"/>
          <w:u w:val="single"/>
        </w:rPr>
      </w:pPr>
      <w:bookmarkStart w:id="136" w:name="_Toc394313700"/>
      <w:r w:rsidRPr="00B457A2">
        <w:rPr>
          <w:rFonts w:ascii="Verdana" w:hAnsi="Verdana"/>
          <w:b w:val="0"/>
          <w:color w:val="auto"/>
          <w:w w:val="95"/>
          <w:sz w:val="20"/>
          <w:u w:val="single"/>
        </w:rPr>
        <w:t>C.2.3. Otras medidas solicitadas</w:t>
      </w:r>
      <w:bookmarkEnd w:id="136"/>
      <w:r w:rsidRPr="00B457A2">
        <w:rPr>
          <w:rFonts w:ascii="Verdana" w:hAnsi="Verdana"/>
          <w:b w:val="0"/>
          <w:color w:val="auto"/>
          <w:w w:val="95"/>
          <w:sz w:val="20"/>
          <w:u w:val="single"/>
        </w:rPr>
        <w:t xml:space="preserve"> </w:t>
      </w:r>
    </w:p>
    <w:p w:rsidR="00DF15C3" w:rsidRPr="002B1610" w:rsidRDefault="00DF15C3" w:rsidP="003F26FD">
      <w:pPr>
        <w:spacing w:after="0" w:line="216" w:lineRule="auto"/>
        <w:ind w:right="-174"/>
        <w:jc w:val="both"/>
        <w:rPr>
          <w:rFonts w:ascii="Verdana" w:hAnsi="Verdana" w:cs="Verdana"/>
          <w:b/>
          <w:strike/>
          <w:w w:val="95"/>
          <w:sz w:val="20"/>
          <w:szCs w:val="20"/>
          <w:u w:val="single"/>
          <w:lang w:val="es-EC"/>
        </w:rPr>
      </w:pPr>
    </w:p>
    <w:p w:rsidR="00DF15C3" w:rsidRPr="002B1610" w:rsidRDefault="00DF15C3" w:rsidP="003F26FD">
      <w:pPr>
        <w:numPr>
          <w:ilvl w:val="0"/>
          <w:numId w:val="17"/>
        </w:numPr>
        <w:spacing w:after="0" w:line="216" w:lineRule="auto"/>
        <w:ind w:left="-142" w:right="-174" w:hanging="11"/>
        <w:jc w:val="both"/>
        <w:rPr>
          <w:rFonts w:ascii="Verdana" w:hAnsi="Verdana"/>
          <w:w w:val="95"/>
          <w:sz w:val="20"/>
          <w:szCs w:val="20"/>
          <w:lang w:val="es-EC"/>
        </w:rPr>
      </w:pPr>
      <w:r w:rsidRPr="002B1610">
        <w:rPr>
          <w:rFonts w:ascii="Verdana" w:hAnsi="Verdana"/>
          <w:w w:val="95"/>
          <w:sz w:val="20"/>
          <w:szCs w:val="20"/>
          <w:lang w:val="es-EC"/>
        </w:rPr>
        <w:t xml:space="preserve">La Corte considera suficientes las medidas de satisfacción otorgadas y, por lo tanto, no estima procedentes las demás solicitudes de la representante. En cuanto a la </w:t>
      </w:r>
      <w:r w:rsidRPr="002B1610">
        <w:rPr>
          <w:rFonts w:ascii="Verdana" w:hAnsi="Verdana" w:cs="Verdana"/>
          <w:w w:val="95"/>
          <w:sz w:val="20"/>
          <w:szCs w:val="20"/>
          <w:lang w:val="es-EC"/>
        </w:rPr>
        <w:t xml:space="preserve">solicitud de que se otorgue una beca a los hermanos de María Isabel </w:t>
      </w:r>
      <w:r w:rsidR="00A355F6" w:rsidRPr="002B1610">
        <w:rPr>
          <w:rFonts w:ascii="Verdana" w:hAnsi="Verdana" w:cs="Verdana"/>
          <w:w w:val="95"/>
          <w:sz w:val="20"/>
          <w:szCs w:val="20"/>
          <w:lang w:val="es-EC"/>
        </w:rPr>
        <w:t>V</w:t>
      </w:r>
      <w:r w:rsidR="00A355F6">
        <w:rPr>
          <w:rFonts w:ascii="Verdana" w:hAnsi="Verdana" w:cs="Verdana"/>
          <w:w w:val="95"/>
          <w:sz w:val="20"/>
          <w:szCs w:val="20"/>
          <w:lang w:val="es-EC"/>
        </w:rPr>
        <w:t>e</w:t>
      </w:r>
      <w:r w:rsidR="00A355F6" w:rsidRPr="002B1610">
        <w:rPr>
          <w:rFonts w:ascii="Verdana" w:hAnsi="Verdana" w:cs="Verdana"/>
          <w:w w:val="95"/>
          <w:sz w:val="20"/>
          <w:szCs w:val="20"/>
          <w:lang w:val="es-EC"/>
        </w:rPr>
        <w:t xml:space="preserve">liz </w:t>
      </w:r>
      <w:r w:rsidRPr="002B1610">
        <w:rPr>
          <w:rFonts w:ascii="Verdana" w:hAnsi="Verdana" w:cs="Verdana"/>
          <w:w w:val="95"/>
          <w:sz w:val="20"/>
          <w:szCs w:val="20"/>
          <w:lang w:val="es-EC"/>
        </w:rPr>
        <w:t>Franco, la Corte considera que las</w:t>
      </w:r>
      <w:r w:rsidRPr="002B1610">
        <w:rPr>
          <w:rFonts w:ascii="Verdana" w:hAnsi="Verdana"/>
          <w:w w:val="95"/>
          <w:lang w:val="es-CR"/>
        </w:rPr>
        <w:t xml:space="preserve"> </w:t>
      </w:r>
      <w:r w:rsidRPr="002B1610">
        <w:rPr>
          <w:rFonts w:ascii="Verdana" w:hAnsi="Verdana" w:cs="Verdana"/>
          <w:w w:val="95"/>
          <w:sz w:val="20"/>
          <w:szCs w:val="20"/>
          <w:lang w:val="es-EC"/>
        </w:rPr>
        <w:t xml:space="preserve">indemnizaciones </w:t>
      </w:r>
      <w:r w:rsidRPr="002857CA">
        <w:rPr>
          <w:rFonts w:ascii="Verdana" w:hAnsi="Verdana" w:cs="Verdana"/>
          <w:w w:val="95"/>
          <w:sz w:val="20"/>
          <w:szCs w:val="20"/>
          <w:lang w:val="es-EC"/>
        </w:rPr>
        <w:t xml:space="preserve">dispuestas </w:t>
      </w:r>
      <w:r w:rsidRPr="002B1610">
        <w:rPr>
          <w:rFonts w:ascii="Verdana" w:hAnsi="Verdana" w:cs="Verdana"/>
          <w:w w:val="95"/>
          <w:sz w:val="20"/>
          <w:szCs w:val="20"/>
          <w:lang w:val="es-EC"/>
        </w:rPr>
        <w:t>resultan suficientes y adecuadas para remediar las violaciones sufridas por las víctimas y no estima necesario ordenar dicha medida</w:t>
      </w:r>
      <w:r w:rsidRPr="00525912">
        <w:rPr>
          <w:rFonts w:ascii="Verdana" w:hAnsi="Verdana" w:cs="Verdana"/>
          <w:w w:val="95"/>
          <w:sz w:val="20"/>
          <w:szCs w:val="20"/>
          <w:lang w:val="es-EC"/>
        </w:rPr>
        <w:t>.</w:t>
      </w:r>
      <w:r w:rsidRPr="002B1610">
        <w:rPr>
          <w:rFonts w:ascii="Verdana" w:hAnsi="Verdana" w:cs="Verdana"/>
          <w:w w:val="95"/>
          <w:sz w:val="20"/>
          <w:szCs w:val="20"/>
          <w:lang w:val="es-EC"/>
        </w:rPr>
        <w:t xml:space="preserve"> Además, el Tribunal toma nota de lo dicho por el Estado sobre programas de becas disponibles. </w:t>
      </w:r>
    </w:p>
    <w:p w:rsidR="00DF15C3" w:rsidRPr="00817297" w:rsidRDefault="00DF15C3" w:rsidP="003F26FD">
      <w:pPr>
        <w:pStyle w:val="Prrafodelista"/>
        <w:spacing w:after="0" w:line="216" w:lineRule="auto"/>
        <w:ind w:right="-174"/>
        <w:rPr>
          <w:rFonts w:ascii="Verdana" w:hAnsi="Verdana"/>
          <w:w w:val="95"/>
          <w:sz w:val="20"/>
          <w:szCs w:val="20"/>
          <w:lang w:val="es-EC"/>
        </w:rPr>
      </w:pPr>
    </w:p>
    <w:p w:rsidR="00DF15C3" w:rsidRPr="00817297" w:rsidRDefault="00DF15C3" w:rsidP="003F26FD">
      <w:pPr>
        <w:pStyle w:val="Ttulo2"/>
        <w:spacing w:before="0" w:line="216" w:lineRule="auto"/>
        <w:ind w:left="284" w:right="-174"/>
        <w:jc w:val="both"/>
        <w:rPr>
          <w:rFonts w:ascii="Verdana" w:hAnsi="Verdana"/>
          <w:color w:val="auto"/>
          <w:w w:val="95"/>
          <w:sz w:val="20"/>
          <w:szCs w:val="20"/>
          <w:lang w:val="es-CR"/>
        </w:rPr>
      </w:pPr>
      <w:bookmarkStart w:id="137" w:name="_Toc394313701"/>
      <w:r w:rsidRPr="00817297">
        <w:rPr>
          <w:rFonts w:ascii="Verdana" w:hAnsi="Verdana"/>
          <w:color w:val="auto"/>
          <w:w w:val="95"/>
          <w:sz w:val="20"/>
          <w:szCs w:val="20"/>
          <w:lang w:val="es-CR"/>
        </w:rPr>
        <w:t>D. Garantías de no repetición</w:t>
      </w:r>
      <w:bookmarkEnd w:id="137"/>
    </w:p>
    <w:p w:rsidR="00DF15C3" w:rsidRPr="002B1610" w:rsidRDefault="00DF15C3" w:rsidP="003F26FD">
      <w:pPr>
        <w:pStyle w:val="Prrafodelista"/>
        <w:spacing w:after="0" w:line="216" w:lineRule="auto"/>
        <w:ind w:right="-174"/>
        <w:rPr>
          <w:rFonts w:ascii="Verdana" w:hAnsi="Verdana"/>
          <w:w w:val="95"/>
          <w:sz w:val="20"/>
          <w:szCs w:val="20"/>
          <w:lang w:val="es-EC"/>
        </w:rPr>
      </w:pPr>
    </w:p>
    <w:p w:rsidR="00DF15C3" w:rsidRPr="002857CA" w:rsidRDefault="00DF15C3" w:rsidP="003F26FD">
      <w:pPr>
        <w:numPr>
          <w:ilvl w:val="0"/>
          <w:numId w:val="17"/>
        </w:numPr>
        <w:spacing w:after="0" w:line="216" w:lineRule="auto"/>
        <w:ind w:left="-142" w:right="-174" w:hanging="11"/>
        <w:jc w:val="both"/>
        <w:rPr>
          <w:rFonts w:ascii="Verdana" w:hAnsi="Verdana"/>
          <w:w w:val="95"/>
          <w:sz w:val="20"/>
          <w:szCs w:val="20"/>
          <w:lang w:val="es-EC"/>
        </w:rPr>
      </w:pPr>
      <w:r w:rsidRPr="002B1610">
        <w:rPr>
          <w:rFonts w:ascii="Verdana" w:hAnsi="Verdana"/>
          <w:w w:val="95"/>
          <w:sz w:val="20"/>
          <w:szCs w:val="20"/>
          <w:lang w:val="es-EC"/>
        </w:rPr>
        <w:t>En casos como el presente, las garantías de no repetición adquieren una mayor relevancia como medida de reparación, a fin de que hechos similares no se vuelvan a repetir y contribuyan a la prevención</w:t>
      </w:r>
      <w:r w:rsidRPr="002B1610">
        <w:rPr>
          <w:rFonts w:ascii="Verdana" w:hAnsi="Verdana"/>
          <w:w w:val="95"/>
          <w:sz w:val="20"/>
          <w:szCs w:val="20"/>
          <w:vertAlign w:val="superscript"/>
          <w:lang w:val="es-EC"/>
        </w:rPr>
        <w:footnoteReference w:id="350"/>
      </w:r>
      <w:r w:rsidRPr="002B1610">
        <w:rPr>
          <w:rFonts w:ascii="Verdana" w:hAnsi="Verdana"/>
          <w:w w:val="95"/>
          <w:sz w:val="20"/>
          <w:szCs w:val="20"/>
          <w:lang w:val="es-EC"/>
        </w:rPr>
        <w:t>. En este sentido, la Corte recuerda que el Estado debe prevenir la recurrencia de violaciones a los derechos humanos como las descritas en este caso y, por ello, adoptar todas las medidas legales, administrativas y de otra índole que sean</w:t>
      </w:r>
      <w:r w:rsidR="00F7281C">
        <w:rPr>
          <w:rFonts w:ascii="Verdana" w:hAnsi="Verdana"/>
          <w:w w:val="95"/>
          <w:sz w:val="20"/>
          <w:szCs w:val="20"/>
          <w:lang w:val="es-EC"/>
        </w:rPr>
        <w:t xml:space="preserve"> pertinentes para tal efecto</w:t>
      </w:r>
      <w:r w:rsidR="00300107" w:rsidRPr="002857CA">
        <w:rPr>
          <w:rFonts w:ascii="Verdana" w:hAnsi="Verdana"/>
          <w:w w:val="95"/>
          <w:sz w:val="20"/>
          <w:szCs w:val="20"/>
          <w:vertAlign w:val="superscript"/>
          <w:lang w:val="es-EC"/>
        </w:rPr>
        <w:footnoteReference w:id="351"/>
      </w:r>
      <w:r w:rsidR="00300107" w:rsidRPr="002857CA">
        <w:rPr>
          <w:rFonts w:ascii="Verdana" w:hAnsi="Verdana"/>
          <w:w w:val="95"/>
          <w:sz w:val="20"/>
          <w:szCs w:val="20"/>
          <w:lang w:val="es-ES"/>
        </w:rPr>
        <w:t>.</w:t>
      </w:r>
      <w:r w:rsidRPr="002857CA">
        <w:rPr>
          <w:rFonts w:ascii="Verdana" w:hAnsi="Verdana"/>
          <w:w w:val="95"/>
          <w:sz w:val="20"/>
          <w:szCs w:val="20"/>
          <w:lang w:val="es-ES"/>
        </w:rPr>
        <w:t xml:space="preserve"> </w:t>
      </w:r>
    </w:p>
    <w:p w:rsidR="00DF15C3" w:rsidRPr="002B1610" w:rsidRDefault="00DF15C3" w:rsidP="003F26FD">
      <w:pPr>
        <w:spacing w:after="0" w:line="216" w:lineRule="auto"/>
        <w:ind w:left="-142" w:right="-174" w:hanging="11"/>
        <w:jc w:val="both"/>
        <w:rPr>
          <w:rFonts w:ascii="Verdana" w:hAnsi="Verdana"/>
          <w:w w:val="95"/>
          <w:sz w:val="20"/>
          <w:szCs w:val="20"/>
          <w:lang w:val="es-EC"/>
        </w:rPr>
      </w:pPr>
    </w:p>
    <w:p w:rsidR="00DF15C3" w:rsidRPr="002B1610" w:rsidRDefault="00DF15C3" w:rsidP="003F26FD">
      <w:pPr>
        <w:numPr>
          <w:ilvl w:val="0"/>
          <w:numId w:val="17"/>
        </w:numPr>
        <w:spacing w:after="0" w:line="216" w:lineRule="auto"/>
        <w:ind w:left="-142" w:right="-174" w:hanging="11"/>
        <w:jc w:val="both"/>
        <w:rPr>
          <w:rFonts w:ascii="Verdana" w:hAnsi="Verdana"/>
          <w:w w:val="95"/>
          <w:sz w:val="20"/>
          <w:szCs w:val="20"/>
          <w:lang w:val="es-EC"/>
        </w:rPr>
      </w:pPr>
      <w:r w:rsidRPr="002B1610">
        <w:rPr>
          <w:rFonts w:ascii="Verdana" w:hAnsi="Verdana"/>
          <w:w w:val="95"/>
          <w:sz w:val="20"/>
          <w:szCs w:val="20"/>
          <w:lang w:val="es-EC"/>
        </w:rPr>
        <w:t xml:space="preserve">Tanto la Comisión Interamericana como la representante solicitaron a la Corte que ordenará al Estado diversas garantías de no repetición. Sin embargo, la representante no </w:t>
      </w:r>
      <w:r w:rsidR="00EE003C" w:rsidRPr="002857CA">
        <w:rPr>
          <w:rFonts w:ascii="Verdana" w:hAnsi="Verdana"/>
          <w:w w:val="95"/>
          <w:sz w:val="20"/>
          <w:szCs w:val="20"/>
          <w:lang w:val="es-EC"/>
        </w:rPr>
        <w:t xml:space="preserve">requirió </w:t>
      </w:r>
      <w:r w:rsidRPr="002857CA">
        <w:rPr>
          <w:rFonts w:ascii="Verdana" w:hAnsi="Verdana"/>
          <w:w w:val="95"/>
          <w:sz w:val="20"/>
          <w:szCs w:val="20"/>
          <w:lang w:val="es-EC"/>
        </w:rPr>
        <w:t xml:space="preserve">ciertas medidas reclamadas por la Comisión, pero pidió otras que no fueron pretendidas por </w:t>
      </w:r>
      <w:r w:rsidR="00EE003C" w:rsidRPr="002857CA">
        <w:rPr>
          <w:rFonts w:ascii="Verdana" w:hAnsi="Verdana"/>
          <w:w w:val="95"/>
          <w:sz w:val="20"/>
          <w:szCs w:val="20"/>
          <w:lang w:val="es-EC"/>
        </w:rPr>
        <w:t>aquella</w:t>
      </w:r>
      <w:r w:rsidRPr="002857CA">
        <w:rPr>
          <w:rFonts w:ascii="Verdana" w:hAnsi="Verdana"/>
          <w:w w:val="95"/>
          <w:sz w:val="20"/>
          <w:szCs w:val="20"/>
          <w:lang w:val="es-EC"/>
        </w:rPr>
        <w:t>. En virtud de lo anterior, la Corte procederá a analizar primeramente las medidas solicitadas por la Comisión Interamericana, luego aquellas medidas similares cuya procedencia fue aducida por la representante y la Comisión, y por último, las que hayan sido instadas únicamente por</w:t>
      </w:r>
      <w:r w:rsidRPr="002B1610">
        <w:rPr>
          <w:rFonts w:ascii="Verdana" w:hAnsi="Verdana"/>
          <w:w w:val="95"/>
          <w:sz w:val="20"/>
          <w:szCs w:val="20"/>
          <w:lang w:val="es-EC"/>
        </w:rPr>
        <w:t xml:space="preserve"> la representante. </w:t>
      </w:r>
    </w:p>
    <w:p w:rsidR="00DF15C3" w:rsidRPr="002B1610" w:rsidRDefault="00DF15C3" w:rsidP="003F26FD">
      <w:pPr>
        <w:pStyle w:val="Prrafodelista"/>
        <w:spacing w:after="0" w:line="216" w:lineRule="auto"/>
        <w:ind w:right="-174"/>
        <w:rPr>
          <w:rFonts w:ascii="Verdana" w:hAnsi="Verdana"/>
          <w:w w:val="95"/>
          <w:sz w:val="20"/>
          <w:szCs w:val="20"/>
          <w:lang w:val="es-EC"/>
        </w:rPr>
      </w:pPr>
    </w:p>
    <w:p w:rsidR="00DF15C3" w:rsidRPr="002B1610" w:rsidRDefault="00DF15C3" w:rsidP="003F26FD">
      <w:pPr>
        <w:pStyle w:val="Ttulo3"/>
        <w:spacing w:before="0" w:line="216" w:lineRule="auto"/>
        <w:ind w:left="567" w:right="-174"/>
        <w:jc w:val="both"/>
        <w:rPr>
          <w:rFonts w:ascii="Verdana" w:hAnsi="Verdana"/>
          <w:i/>
          <w:color w:val="auto"/>
          <w:w w:val="95"/>
          <w:sz w:val="20"/>
          <w:lang w:val="es-CR"/>
        </w:rPr>
      </w:pPr>
      <w:bookmarkStart w:id="138" w:name="_Toc394313702"/>
      <w:r w:rsidRPr="002B1610">
        <w:rPr>
          <w:rFonts w:ascii="Verdana" w:hAnsi="Verdana"/>
          <w:i/>
          <w:color w:val="auto"/>
          <w:w w:val="95"/>
          <w:sz w:val="20"/>
          <w:lang w:val="es-EC"/>
        </w:rPr>
        <w:t>D.</w:t>
      </w:r>
      <w:r w:rsidRPr="002B1610">
        <w:rPr>
          <w:rFonts w:ascii="Verdana" w:hAnsi="Verdana"/>
          <w:i/>
          <w:color w:val="auto"/>
          <w:w w:val="95"/>
          <w:sz w:val="20"/>
          <w:lang w:val="es-CR"/>
        </w:rPr>
        <w:t xml:space="preserve">1) Solicitud </w:t>
      </w:r>
      <w:r w:rsidRPr="002B1610">
        <w:rPr>
          <w:rFonts w:ascii="Verdana" w:hAnsi="Verdana"/>
          <w:i/>
          <w:color w:val="auto"/>
          <w:w w:val="95"/>
          <w:sz w:val="20"/>
          <w:lang w:val="es-EC"/>
        </w:rPr>
        <w:t>de fortalecer la capacidad institucional para combatir la impunidad frente a casos de violencia contra las mujeres</w:t>
      </w:r>
      <w:r w:rsidRPr="002B1610">
        <w:rPr>
          <w:rFonts w:ascii="Verdana" w:hAnsi="Verdana"/>
          <w:i/>
          <w:color w:val="auto"/>
          <w:w w:val="95"/>
          <w:sz w:val="20"/>
          <w:lang w:val="es-CR"/>
        </w:rPr>
        <w:t xml:space="preserve"> y  garantizar que los dichos casos sean adecuadamente prevenidos, investigados, sancionados y reparados</w:t>
      </w:r>
      <w:bookmarkEnd w:id="138"/>
      <w:r w:rsidRPr="002B1610">
        <w:rPr>
          <w:rFonts w:ascii="Verdana" w:hAnsi="Verdana"/>
          <w:i/>
          <w:color w:val="auto"/>
          <w:w w:val="95"/>
          <w:sz w:val="20"/>
          <w:lang w:val="es-CR"/>
        </w:rPr>
        <w:t xml:space="preserve"> </w:t>
      </w:r>
    </w:p>
    <w:p w:rsidR="00DF15C3" w:rsidRPr="00B457A2" w:rsidRDefault="00DF15C3" w:rsidP="003F26FD">
      <w:pPr>
        <w:pStyle w:val="Ttulo4"/>
        <w:ind w:left="851" w:right="-174"/>
        <w:rPr>
          <w:rFonts w:ascii="Verdana" w:hAnsi="Verdana"/>
          <w:b w:val="0"/>
          <w:color w:val="auto"/>
          <w:w w:val="95"/>
          <w:sz w:val="20"/>
          <w:u w:val="single"/>
        </w:rPr>
      </w:pPr>
      <w:bookmarkStart w:id="139" w:name="_Toc394313703"/>
      <w:r w:rsidRPr="00B457A2">
        <w:rPr>
          <w:rFonts w:ascii="Verdana" w:hAnsi="Verdana"/>
          <w:b w:val="0"/>
          <w:color w:val="auto"/>
          <w:w w:val="95"/>
          <w:sz w:val="20"/>
          <w:u w:val="single"/>
        </w:rPr>
        <w:t>D.1.1. Argumentos de la Comisión y el Estado</w:t>
      </w:r>
      <w:bookmarkEnd w:id="139"/>
    </w:p>
    <w:p w:rsidR="00DF15C3" w:rsidRPr="002B1610" w:rsidRDefault="00DF15C3" w:rsidP="003F26FD">
      <w:pPr>
        <w:pStyle w:val="Prrafodelista"/>
        <w:spacing w:after="0" w:line="216" w:lineRule="auto"/>
        <w:ind w:left="851" w:right="-174" w:firstLine="11"/>
        <w:outlineLvl w:val="3"/>
        <w:rPr>
          <w:rFonts w:ascii="Verdana" w:hAnsi="Verdana"/>
          <w:i/>
          <w:w w:val="95"/>
          <w:sz w:val="20"/>
          <w:szCs w:val="20"/>
          <w:u w:val="single"/>
          <w:lang w:val="es-CR"/>
        </w:rPr>
      </w:pPr>
    </w:p>
    <w:p w:rsidR="00DF15C3" w:rsidRPr="002B1610" w:rsidRDefault="00DF15C3" w:rsidP="003F26FD">
      <w:pPr>
        <w:numPr>
          <w:ilvl w:val="0"/>
          <w:numId w:val="17"/>
        </w:numPr>
        <w:spacing w:after="0" w:line="216" w:lineRule="auto"/>
        <w:ind w:left="-142" w:right="-174" w:hanging="11"/>
        <w:jc w:val="both"/>
        <w:rPr>
          <w:rFonts w:ascii="Verdana" w:hAnsi="Verdana"/>
          <w:w w:val="95"/>
          <w:sz w:val="20"/>
          <w:szCs w:val="20"/>
          <w:lang w:val="es-EC"/>
        </w:rPr>
      </w:pPr>
      <w:r w:rsidRPr="002B1610">
        <w:rPr>
          <w:rFonts w:ascii="Verdana" w:hAnsi="Verdana"/>
          <w:w w:val="95"/>
          <w:sz w:val="20"/>
          <w:szCs w:val="20"/>
          <w:lang w:val="es-EC"/>
        </w:rPr>
        <w:t xml:space="preserve">La </w:t>
      </w:r>
      <w:r w:rsidRPr="002B1610">
        <w:rPr>
          <w:rFonts w:ascii="Verdana" w:hAnsi="Verdana"/>
          <w:b/>
          <w:i/>
          <w:w w:val="95"/>
          <w:sz w:val="20"/>
          <w:szCs w:val="20"/>
          <w:lang w:val="es-EC"/>
        </w:rPr>
        <w:t>Comisión</w:t>
      </w:r>
      <w:r w:rsidRPr="002B1610">
        <w:rPr>
          <w:rFonts w:ascii="Verdana" w:hAnsi="Verdana"/>
          <w:w w:val="95"/>
          <w:sz w:val="20"/>
          <w:szCs w:val="20"/>
          <w:lang w:val="es-EC"/>
        </w:rPr>
        <w:t xml:space="preserve"> consideró que la Corte ordene al Estado adoptar una “política</w:t>
      </w:r>
      <w:r>
        <w:rPr>
          <w:rFonts w:ascii="Verdana" w:hAnsi="Verdana"/>
          <w:w w:val="95"/>
          <w:sz w:val="20"/>
          <w:szCs w:val="20"/>
          <w:lang w:val="es-EC"/>
        </w:rPr>
        <w:t xml:space="preserve"> […]</w:t>
      </w:r>
      <w:r w:rsidRPr="002B1610">
        <w:rPr>
          <w:rFonts w:ascii="Verdana" w:hAnsi="Verdana"/>
          <w:w w:val="95"/>
          <w:sz w:val="20"/>
          <w:szCs w:val="20"/>
          <w:lang w:val="es-EC"/>
        </w:rPr>
        <w:t xml:space="preserve"> integral y coordinada, respaldada con recursos públicos adecuados, para garantizar que los casos específicos de violencia contra las mujeres sean adecuadamente prevenidos, investigados, sancionados y reparados”. Además, solicitó que se fortalezca “la capacidad institucional para combatir la impunidad frente a casos de violencia contra las mujeres a través de investigaciones criminales efectivas con perspectiva de género, que tengan seguimiento judicial consistente, garantizado así una adecuada sanción y reparación”.</w:t>
      </w:r>
    </w:p>
    <w:p w:rsidR="00DF15C3" w:rsidRPr="002B1610" w:rsidRDefault="00DF15C3" w:rsidP="003F26FD">
      <w:pPr>
        <w:spacing w:after="0" w:line="216" w:lineRule="auto"/>
        <w:ind w:left="-142" w:right="-174" w:hanging="11"/>
        <w:jc w:val="both"/>
        <w:rPr>
          <w:rFonts w:ascii="Verdana" w:hAnsi="Verdana"/>
          <w:w w:val="95"/>
          <w:sz w:val="20"/>
          <w:szCs w:val="20"/>
          <w:lang w:val="es-EC"/>
        </w:rPr>
      </w:pPr>
    </w:p>
    <w:p w:rsidR="00DF15C3" w:rsidRPr="002857CA" w:rsidRDefault="00DF15C3" w:rsidP="003F26FD">
      <w:pPr>
        <w:numPr>
          <w:ilvl w:val="0"/>
          <w:numId w:val="17"/>
        </w:numPr>
        <w:spacing w:after="0" w:line="216" w:lineRule="auto"/>
        <w:ind w:left="-142" w:right="-174" w:hanging="11"/>
        <w:jc w:val="both"/>
        <w:rPr>
          <w:rFonts w:ascii="Verdana" w:hAnsi="Verdana"/>
          <w:w w:val="95"/>
          <w:sz w:val="20"/>
          <w:szCs w:val="20"/>
          <w:lang w:val="es-EC"/>
        </w:rPr>
      </w:pPr>
      <w:r w:rsidRPr="002B1610">
        <w:rPr>
          <w:rFonts w:ascii="Verdana" w:hAnsi="Verdana"/>
          <w:w w:val="95"/>
          <w:sz w:val="20"/>
          <w:szCs w:val="20"/>
          <w:lang w:val="es-EC"/>
        </w:rPr>
        <w:t xml:space="preserve">El </w:t>
      </w:r>
      <w:r w:rsidRPr="002B1610">
        <w:rPr>
          <w:rFonts w:ascii="Verdana" w:hAnsi="Verdana"/>
          <w:b/>
          <w:i/>
          <w:w w:val="95"/>
          <w:sz w:val="20"/>
          <w:szCs w:val="20"/>
          <w:lang w:val="es-EC"/>
        </w:rPr>
        <w:t>Estado</w:t>
      </w:r>
      <w:r w:rsidRPr="002B1610">
        <w:rPr>
          <w:rFonts w:ascii="Verdana" w:hAnsi="Verdana"/>
          <w:w w:val="95"/>
          <w:sz w:val="20"/>
          <w:szCs w:val="20"/>
          <w:lang w:val="es-EC"/>
        </w:rPr>
        <w:t xml:space="preserve"> manifestó que “ya cuenta con programas cuyo objeto es fortalecer la capacidad institucional para combatir la impunidad en casos de violencia contra mujeres, </w:t>
      </w:r>
      <w:r>
        <w:rPr>
          <w:rFonts w:ascii="Verdana" w:hAnsi="Verdana"/>
          <w:w w:val="95"/>
          <w:sz w:val="20"/>
          <w:szCs w:val="20"/>
          <w:lang w:val="es-EC"/>
        </w:rPr>
        <w:t>[cuyo]</w:t>
      </w:r>
      <w:r w:rsidRPr="002B1610">
        <w:rPr>
          <w:rFonts w:ascii="Verdana" w:hAnsi="Verdana"/>
          <w:w w:val="95"/>
          <w:sz w:val="20"/>
          <w:szCs w:val="20"/>
          <w:lang w:val="es-EC"/>
        </w:rPr>
        <w:t xml:space="preserve"> enfoque es prevenirla, sancionarla y lograr erradicarla”.</w:t>
      </w:r>
      <w:r>
        <w:rPr>
          <w:rFonts w:ascii="Verdana" w:hAnsi="Verdana"/>
          <w:w w:val="95"/>
          <w:sz w:val="20"/>
          <w:szCs w:val="20"/>
          <w:lang w:val="es-EC"/>
        </w:rPr>
        <w:t xml:space="preserve"> </w:t>
      </w:r>
      <w:r w:rsidRPr="002B1610">
        <w:rPr>
          <w:rFonts w:ascii="Verdana" w:hAnsi="Verdana"/>
          <w:w w:val="95"/>
          <w:sz w:val="20"/>
          <w:szCs w:val="20"/>
          <w:lang w:val="es-EC"/>
        </w:rPr>
        <w:t xml:space="preserve">Igualmente, indicó que </w:t>
      </w:r>
      <w:r>
        <w:rPr>
          <w:rFonts w:ascii="Verdana" w:hAnsi="Verdana"/>
          <w:w w:val="95"/>
          <w:sz w:val="20"/>
          <w:szCs w:val="20"/>
          <w:lang w:val="es-EC"/>
        </w:rPr>
        <w:t>“</w:t>
      </w:r>
      <w:r w:rsidRPr="002B1610">
        <w:rPr>
          <w:rFonts w:ascii="Verdana" w:hAnsi="Verdana"/>
          <w:w w:val="95"/>
          <w:sz w:val="20"/>
          <w:szCs w:val="20"/>
          <w:lang w:val="es-EC"/>
        </w:rPr>
        <w:t>en cumplimiento de la garantía y respeto de los derechos humanos […] ha adoptado las [siguientes] medidas</w:t>
      </w:r>
      <w:r>
        <w:rPr>
          <w:rFonts w:ascii="Verdana" w:hAnsi="Verdana"/>
          <w:w w:val="95"/>
          <w:sz w:val="20"/>
          <w:szCs w:val="20"/>
          <w:lang w:val="es-EC"/>
        </w:rPr>
        <w:t>”</w:t>
      </w:r>
      <w:r w:rsidRPr="002B1610">
        <w:rPr>
          <w:rFonts w:ascii="Verdana" w:hAnsi="Verdana"/>
          <w:w w:val="95"/>
          <w:sz w:val="20"/>
          <w:szCs w:val="20"/>
          <w:lang w:val="es-EC"/>
        </w:rPr>
        <w:t>: a) aproba</w:t>
      </w:r>
      <w:r>
        <w:rPr>
          <w:rFonts w:ascii="Verdana" w:hAnsi="Verdana"/>
          <w:w w:val="95"/>
          <w:sz w:val="20"/>
          <w:szCs w:val="20"/>
          <w:lang w:val="es-EC"/>
        </w:rPr>
        <w:t>ción de</w:t>
      </w:r>
      <w:r w:rsidRPr="002B1610">
        <w:rPr>
          <w:rFonts w:ascii="Verdana" w:hAnsi="Verdana"/>
          <w:w w:val="95"/>
          <w:sz w:val="20"/>
          <w:szCs w:val="20"/>
          <w:lang w:val="es-EC"/>
        </w:rPr>
        <w:t xml:space="preserve"> </w:t>
      </w:r>
      <w:r>
        <w:rPr>
          <w:rFonts w:ascii="Verdana" w:hAnsi="Verdana"/>
          <w:w w:val="95"/>
          <w:sz w:val="20"/>
          <w:szCs w:val="20"/>
          <w:lang w:val="es-EC"/>
        </w:rPr>
        <w:t>“[</w:t>
      </w:r>
      <w:r w:rsidRPr="002B1610">
        <w:rPr>
          <w:rFonts w:ascii="Verdana" w:hAnsi="Verdana"/>
          <w:w w:val="95"/>
          <w:sz w:val="20"/>
          <w:szCs w:val="20"/>
          <w:lang w:val="es-EC"/>
        </w:rPr>
        <w:t>d</w:t>
      </w:r>
      <w:r>
        <w:rPr>
          <w:rFonts w:ascii="Verdana" w:hAnsi="Verdana"/>
          <w:w w:val="95"/>
          <w:sz w:val="20"/>
          <w:szCs w:val="20"/>
          <w:lang w:val="es-EC"/>
        </w:rPr>
        <w:t>]</w:t>
      </w:r>
      <w:r w:rsidRPr="002B1610">
        <w:rPr>
          <w:rFonts w:ascii="Verdana" w:hAnsi="Verdana"/>
          <w:w w:val="95"/>
          <w:sz w:val="20"/>
          <w:szCs w:val="20"/>
          <w:lang w:val="es-EC"/>
        </w:rPr>
        <w:t xml:space="preserve">ecretos como la Ley contra el Femicidio </w:t>
      </w:r>
      <w:r>
        <w:rPr>
          <w:rFonts w:ascii="Verdana" w:hAnsi="Verdana"/>
          <w:w w:val="95"/>
          <w:sz w:val="20"/>
          <w:szCs w:val="20"/>
          <w:lang w:val="es-EC"/>
        </w:rPr>
        <w:t xml:space="preserve">[…] </w:t>
      </w:r>
      <w:r w:rsidRPr="002B1610">
        <w:rPr>
          <w:rFonts w:ascii="Verdana" w:hAnsi="Verdana"/>
          <w:w w:val="95"/>
          <w:sz w:val="20"/>
          <w:szCs w:val="20"/>
          <w:lang w:val="es-EC"/>
        </w:rPr>
        <w:t>y la Ley Contra la Violencia Sexual, Explotación y trata de Personas</w:t>
      </w:r>
      <w:r>
        <w:rPr>
          <w:rFonts w:ascii="Verdana" w:hAnsi="Verdana"/>
          <w:w w:val="95"/>
          <w:sz w:val="20"/>
          <w:szCs w:val="20"/>
          <w:lang w:val="es-EC"/>
        </w:rPr>
        <w:t>”</w:t>
      </w:r>
      <w:r w:rsidRPr="002B1610">
        <w:rPr>
          <w:rFonts w:ascii="Verdana" w:hAnsi="Verdana"/>
          <w:w w:val="95"/>
          <w:sz w:val="20"/>
          <w:szCs w:val="20"/>
          <w:lang w:val="es-EC"/>
        </w:rPr>
        <w:t xml:space="preserve">; b) </w:t>
      </w:r>
      <w:r w:rsidRPr="00F449B2">
        <w:rPr>
          <w:rFonts w:ascii="Verdana" w:hAnsi="Verdana"/>
          <w:w w:val="95"/>
          <w:sz w:val="20"/>
          <w:szCs w:val="20"/>
          <w:lang w:val="es-EC"/>
        </w:rPr>
        <w:t>creación de</w:t>
      </w:r>
      <w:r w:rsidR="006B24E8">
        <w:rPr>
          <w:rFonts w:ascii="Verdana" w:hAnsi="Verdana"/>
          <w:w w:val="95"/>
          <w:sz w:val="20"/>
          <w:szCs w:val="20"/>
          <w:lang w:val="es-EC"/>
        </w:rPr>
        <w:t xml:space="preserve"> la Coordinadora Nacional p</w:t>
      </w:r>
      <w:r w:rsidRPr="002B1610">
        <w:rPr>
          <w:rFonts w:ascii="Verdana" w:hAnsi="Verdana"/>
          <w:w w:val="95"/>
          <w:sz w:val="20"/>
          <w:szCs w:val="20"/>
          <w:lang w:val="es-EC"/>
        </w:rPr>
        <w:t>ara la Prevención de la Violencia Intrafamiliar y contra la Mujer</w:t>
      </w:r>
      <w:r>
        <w:rPr>
          <w:rFonts w:ascii="Verdana" w:hAnsi="Verdana"/>
          <w:w w:val="95"/>
          <w:sz w:val="20"/>
          <w:szCs w:val="20"/>
          <w:lang w:val="es-EC"/>
        </w:rPr>
        <w:t xml:space="preserve"> (CONAPREVI)</w:t>
      </w:r>
      <w:r w:rsidRPr="002B1610">
        <w:rPr>
          <w:rFonts w:ascii="Verdana" w:hAnsi="Verdana"/>
          <w:w w:val="95"/>
          <w:sz w:val="20"/>
          <w:szCs w:val="20"/>
          <w:lang w:val="es-EC"/>
        </w:rPr>
        <w:t xml:space="preserve">, </w:t>
      </w:r>
      <w:r>
        <w:rPr>
          <w:rFonts w:ascii="Verdana" w:hAnsi="Verdana"/>
          <w:w w:val="95"/>
          <w:sz w:val="20"/>
          <w:szCs w:val="20"/>
          <w:lang w:val="es-EC"/>
        </w:rPr>
        <w:t xml:space="preserve">de la </w:t>
      </w:r>
      <w:r w:rsidRPr="002B1610">
        <w:rPr>
          <w:rFonts w:ascii="Verdana" w:hAnsi="Verdana"/>
          <w:w w:val="95"/>
          <w:sz w:val="20"/>
          <w:szCs w:val="20"/>
          <w:lang w:val="es-EC"/>
        </w:rPr>
        <w:t>S</w:t>
      </w:r>
      <w:r>
        <w:rPr>
          <w:rFonts w:ascii="Verdana" w:hAnsi="Verdana"/>
          <w:w w:val="95"/>
          <w:sz w:val="20"/>
          <w:szCs w:val="20"/>
          <w:lang w:val="es-EC"/>
        </w:rPr>
        <w:t>e</w:t>
      </w:r>
      <w:r w:rsidRPr="002B1610">
        <w:rPr>
          <w:rFonts w:ascii="Verdana" w:hAnsi="Verdana"/>
          <w:w w:val="95"/>
          <w:sz w:val="20"/>
          <w:szCs w:val="20"/>
          <w:lang w:val="es-EC"/>
        </w:rPr>
        <w:t>cretaría Presidencial de la Mujer</w:t>
      </w:r>
      <w:r>
        <w:rPr>
          <w:rFonts w:ascii="Verdana" w:hAnsi="Verdana"/>
          <w:w w:val="95"/>
          <w:sz w:val="20"/>
          <w:szCs w:val="20"/>
          <w:lang w:val="es-EC"/>
        </w:rPr>
        <w:t xml:space="preserve"> (SEPREM)</w:t>
      </w:r>
      <w:r w:rsidRPr="002B1610">
        <w:rPr>
          <w:rFonts w:ascii="Verdana" w:hAnsi="Verdana"/>
          <w:w w:val="95"/>
          <w:sz w:val="20"/>
          <w:szCs w:val="20"/>
          <w:lang w:val="es-EC"/>
        </w:rPr>
        <w:t xml:space="preserve">, </w:t>
      </w:r>
      <w:r w:rsidRPr="00D97216">
        <w:rPr>
          <w:rFonts w:ascii="Verdana" w:hAnsi="Verdana"/>
          <w:w w:val="95"/>
          <w:sz w:val="20"/>
          <w:szCs w:val="20"/>
          <w:lang w:val="es-EC"/>
        </w:rPr>
        <w:t>de la</w:t>
      </w:r>
      <w:r>
        <w:rPr>
          <w:rFonts w:ascii="Verdana" w:hAnsi="Verdana"/>
          <w:w w:val="95"/>
          <w:sz w:val="20"/>
          <w:szCs w:val="20"/>
          <w:lang w:val="es-EC"/>
        </w:rPr>
        <w:t xml:space="preserve"> </w:t>
      </w:r>
      <w:r w:rsidRPr="002B1610">
        <w:rPr>
          <w:rFonts w:ascii="Verdana" w:hAnsi="Verdana"/>
          <w:w w:val="95"/>
          <w:sz w:val="20"/>
          <w:szCs w:val="20"/>
          <w:lang w:val="es-EC"/>
        </w:rPr>
        <w:t xml:space="preserve">Secretaría contra la Violencia Sexual, Explotación y </w:t>
      </w:r>
      <w:r>
        <w:rPr>
          <w:rFonts w:ascii="Verdana" w:hAnsi="Verdana"/>
          <w:w w:val="95"/>
          <w:sz w:val="20"/>
          <w:szCs w:val="20"/>
          <w:lang w:val="es-EC"/>
        </w:rPr>
        <w:t>T</w:t>
      </w:r>
      <w:r w:rsidRPr="002B1610">
        <w:rPr>
          <w:rFonts w:ascii="Verdana" w:hAnsi="Verdana"/>
          <w:w w:val="95"/>
          <w:sz w:val="20"/>
          <w:szCs w:val="20"/>
          <w:lang w:val="es-EC"/>
        </w:rPr>
        <w:t xml:space="preserve">rata de </w:t>
      </w:r>
      <w:r>
        <w:rPr>
          <w:rFonts w:ascii="Verdana" w:hAnsi="Verdana"/>
          <w:w w:val="95"/>
          <w:sz w:val="20"/>
          <w:szCs w:val="20"/>
          <w:lang w:val="es-EC"/>
        </w:rPr>
        <w:t>P</w:t>
      </w:r>
      <w:r w:rsidRPr="002B1610">
        <w:rPr>
          <w:rFonts w:ascii="Verdana" w:hAnsi="Verdana"/>
          <w:w w:val="95"/>
          <w:sz w:val="20"/>
          <w:szCs w:val="20"/>
          <w:lang w:val="es-EC"/>
        </w:rPr>
        <w:t>ersonas</w:t>
      </w:r>
      <w:r>
        <w:rPr>
          <w:rFonts w:ascii="Verdana" w:hAnsi="Verdana"/>
          <w:w w:val="95"/>
          <w:sz w:val="20"/>
          <w:szCs w:val="20"/>
          <w:lang w:val="es-EC"/>
        </w:rPr>
        <w:t xml:space="preserve"> (</w:t>
      </w:r>
      <w:r w:rsidRPr="00D97216">
        <w:rPr>
          <w:rFonts w:ascii="Verdana" w:hAnsi="Verdana"/>
          <w:w w:val="95"/>
          <w:sz w:val="20"/>
          <w:szCs w:val="20"/>
          <w:lang w:val="es-EC"/>
        </w:rPr>
        <w:t>SVET), de la Comisión Presidencial para el Abordaje del Femicidio en Guatemala (COPAF), de la</w:t>
      </w:r>
      <w:r>
        <w:rPr>
          <w:rFonts w:ascii="Verdana" w:hAnsi="Verdana"/>
          <w:w w:val="95"/>
          <w:sz w:val="20"/>
          <w:szCs w:val="20"/>
          <w:lang w:val="es-EC"/>
        </w:rPr>
        <w:t xml:space="preserve"> </w:t>
      </w:r>
      <w:r w:rsidRPr="002B1610">
        <w:rPr>
          <w:rFonts w:ascii="Verdana" w:hAnsi="Verdana"/>
          <w:w w:val="95"/>
          <w:sz w:val="20"/>
          <w:szCs w:val="20"/>
          <w:lang w:val="es-EC"/>
        </w:rPr>
        <w:t xml:space="preserve">Defensoría de la Mujer Indígena de la Presidencia de la República, </w:t>
      </w:r>
      <w:r>
        <w:rPr>
          <w:rFonts w:ascii="Verdana" w:hAnsi="Verdana"/>
          <w:w w:val="95"/>
          <w:sz w:val="20"/>
          <w:szCs w:val="20"/>
          <w:lang w:val="es-EC"/>
        </w:rPr>
        <w:t xml:space="preserve">de la Fuerza de Tarea contra el Femicidio en el ámbito del </w:t>
      </w:r>
      <w:r w:rsidRPr="002B1610">
        <w:rPr>
          <w:rFonts w:ascii="Verdana" w:hAnsi="Verdana"/>
          <w:w w:val="95"/>
          <w:sz w:val="20"/>
          <w:szCs w:val="20"/>
          <w:lang w:val="es-EC"/>
        </w:rPr>
        <w:t>Ministerio de Gobernación,</w:t>
      </w:r>
      <w:r>
        <w:rPr>
          <w:rFonts w:ascii="Verdana" w:hAnsi="Verdana"/>
          <w:w w:val="95"/>
          <w:sz w:val="20"/>
          <w:szCs w:val="20"/>
          <w:lang w:val="es-EC"/>
        </w:rPr>
        <w:t xml:space="preserve"> del Gabinete Específico de la Mujer (GEM), del</w:t>
      </w:r>
      <w:r w:rsidRPr="002B1610">
        <w:rPr>
          <w:rFonts w:ascii="Verdana" w:hAnsi="Verdana"/>
          <w:w w:val="95"/>
          <w:sz w:val="20"/>
          <w:szCs w:val="20"/>
          <w:lang w:val="es-EC"/>
        </w:rPr>
        <w:t xml:space="preserve"> Programa de Prevención y Erradicación de la Violencia Intrafamiliar</w:t>
      </w:r>
      <w:r>
        <w:rPr>
          <w:rFonts w:ascii="Verdana" w:hAnsi="Verdana"/>
          <w:w w:val="95"/>
          <w:sz w:val="20"/>
          <w:szCs w:val="20"/>
          <w:lang w:val="es-EC"/>
        </w:rPr>
        <w:t xml:space="preserve"> (PROPEVI)</w:t>
      </w:r>
      <w:r w:rsidRPr="002B1610">
        <w:rPr>
          <w:rFonts w:ascii="Verdana" w:hAnsi="Verdana"/>
          <w:w w:val="95"/>
          <w:sz w:val="20"/>
          <w:szCs w:val="20"/>
          <w:lang w:val="es-EC"/>
        </w:rPr>
        <w:t xml:space="preserve">, </w:t>
      </w:r>
      <w:r>
        <w:rPr>
          <w:rFonts w:ascii="Verdana" w:hAnsi="Verdana"/>
          <w:w w:val="95"/>
          <w:sz w:val="20"/>
          <w:szCs w:val="20"/>
          <w:lang w:val="es-EC"/>
        </w:rPr>
        <w:t xml:space="preserve">la </w:t>
      </w:r>
      <w:r w:rsidRPr="002B1610">
        <w:rPr>
          <w:rFonts w:ascii="Verdana" w:hAnsi="Verdana"/>
          <w:w w:val="95"/>
          <w:sz w:val="20"/>
          <w:szCs w:val="20"/>
          <w:lang w:val="es-EC"/>
        </w:rPr>
        <w:t>Unidad de la Mujer y Análisis de Género del Organismo Judicial</w:t>
      </w:r>
      <w:r w:rsidR="006F07AF">
        <w:rPr>
          <w:rFonts w:ascii="Verdana" w:hAnsi="Verdana"/>
          <w:w w:val="95"/>
          <w:sz w:val="20"/>
          <w:szCs w:val="20"/>
          <w:lang w:val="es-EC"/>
        </w:rPr>
        <w:t xml:space="preserve"> (</w:t>
      </w:r>
      <w:r w:rsidR="004A7C79">
        <w:rPr>
          <w:rFonts w:ascii="Verdana" w:hAnsi="Verdana"/>
          <w:w w:val="95"/>
          <w:sz w:val="20"/>
          <w:szCs w:val="20"/>
          <w:lang w:val="es-EC"/>
        </w:rPr>
        <w:t>a partir de Acuerdo 69/2012 de 30 de abril de 2012, por la Presidencia del Organismo Judicial y de la Corte Suprema de Justicia de la República de Guatemala, denominada Secretaría de la Mujer y Análisis de Género del Organismo Judicial)</w:t>
      </w:r>
      <w:r w:rsidRPr="002B1610">
        <w:rPr>
          <w:rFonts w:ascii="Verdana" w:hAnsi="Verdana"/>
          <w:w w:val="95"/>
          <w:sz w:val="20"/>
          <w:szCs w:val="20"/>
          <w:lang w:val="es-EC"/>
        </w:rPr>
        <w:t xml:space="preserve">, </w:t>
      </w:r>
      <w:r>
        <w:rPr>
          <w:rFonts w:ascii="Verdana" w:hAnsi="Verdana"/>
          <w:w w:val="95"/>
          <w:sz w:val="20"/>
          <w:szCs w:val="20"/>
          <w:lang w:val="es-EC"/>
        </w:rPr>
        <w:t>de “</w:t>
      </w:r>
      <w:r w:rsidRPr="002B1610">
        <w:rPr>
          <w:rFonts w:ascii="Verdana" w:hAnsi="Verdana"/>
          <w:w w:val="95"/>
          <w:sz w:val="20"/>
          <w:szCs w:val="20"/>
          <w:lang w:val="es-EC"/>
        </w:rPr>
        <w:t xml:space="preserve">Juzgados y Tribunales con competencia en Femicidio y otras </w:t>
      </w:r>
      <w:r>
        <w:rPr>
          <w:rFonts w:ascii="Verdana" w:hAnsi="Verdana"/>
          <w:w w:val="95"/>
          <w:sz w:val="20"/>
          <w:szCs w:val="20"/>
          <w:lang w:val="es-EC"/>
        </w:rPr>
        <w:t>F</w:t>
      </w:r>
      <w:r w:rsidRPr="002B1610">
        <w:rPr>
          <w:rFonts w:ascii="Verdana" w:hAnsi="Verdana"/>
          <w:w w:val="95"/>
          <w:sz w:val="20"/>
          <w:szCs w:val="20"/>
          <w:lang w:val="es-EC"/>
        </w:rPr>
        <w:t xml:space="preserve">ormas de </w:t>
      </w:r>
      <w:r>
        <w:rPr>
          <w:rFonts w:ascii="Verdana" w:hAnsi="Verdana"/>
          <w:w w:val="95"/>
          <w:sz w:val="20"/>
          <w:szCs w:val="20"/>
          <w:lang w:val="es-EC"/>
        </w:rPr>
        <w:t>V</w:t>
      </w:r>
      <w:r w:rsidRPr="002B1610">
        <w:rPr>
          <w:rFonts w:ascii="Verdana" w:hAnsi="Verdana"/>
          <w:w w:val="95"/>
          <w:sz w:val="20"/>
          <w:szCs w:val="20"/>
          <w:lang w:val="es-EC"/>
        </w:rPr>
        <w:t xml:space="preserve">iolencia contra la </w:t>
      </w:r>
      <w:r>
        <w:rPr>
          <w:rFonts w:ascii="Verdana" w:hAnsi="Verdana"/>
          <w:w w:val="95"/>
          <w:sz w:val="20"/>
          <w:szCs w:val="20"/>
          <w:lang w:val="es-EC"/>
        </w:rPr>
        <w:t>M</w:t>
      </w:r>
      <w:r w:rsidRPr="002B1610">
        <w:rPr>
          <w:rFonts w:ascii="Verdana" w:hAnsi="Verdana"/>
          <w:w w:val="95"/>
          <w:sz w:val="20"/>
          <w:szCs w:val="20"/>
          <w:lang w:val="es-EC"/>
        </w:rPr>
        <w:t>ujer</w:t>
      </w:r>
      <w:r>
        <w:rPr>
          <w:rFonts w:ascii="Verdana" w:hAnsi="Verdana"/>
          <w:w w:val="95"/>
          <w:sz w:val="20"/>
          <w:szCs w:val="20"/>
          <w:lang w:val="es-EC"/>
        </w:rPr>
        <w:t>”</w:t>
      </w:r>
      <w:r w:rsidRPr="002B1610">
        <w:rPr>
          <w:rFonts w:ascii="Verdana" w:hAnsi="Verdana"/>
          <w:w w:val="95"/>
          <w:sz w:val="20"/>
          <w:szCs w:val="20"/>
          <w:lang w:val="es-EC"/>
        </w:rPr>
        <w:t>,</w:t>
      </w:r>
      <w:r>
        <w:rPr>
          <w:rFonts w:ascii="Verdana" w:hAnsi="Verdana"/>
          <w:w w:val="95"/>
          <w:sz w:val="20"/>
          <w:szCs w:val="20"/>
          <w:lang w:val="es-EC"/>
        </w:rPr>
        <w:t xml:space="preserve"> de</w:t>
      </w:r>
      <w:r w:rsidRPr="002B1610">
        <w:rPr>
          <w:rFonts w:ascii="Verdana" w:hAnsi="Verdana"/>
          <w:w w:val="95"/>
          <w:sz w:val="20"/>
          <w:szCs w:val="20"/>
          <w:lang w:val="es-EC"/>
        </w:rPr>
        <w:t xml:space="preserve"> la Comisión de la Mujer en el </w:t>
      </w:r>
      <w:r>
        <w:rPr>
          <w:rFonts w:ascii="Verdana" w:hAnsi="Verdana"/>
          <w:w w:val="95"/>
          <w:sz w:val="20"/>
          <w:szCs w:val="20"/>
          <w:lang w:val="es-EC"/>
        </w:rPr>
        <w:t>O</w:t>
      </w:r>
      <w:r w:rsidRPr="002B1610">
        <w:rPr>
          <w:rFonts w:ascii="Verdana" w:hAnsi="Verdana"/>
          <w:w w:val="95"/>
          <w:sz w:val="20"/>
          <w:szCs w:val="20"/>
          <w:lang w:val="es-EC"/>
        </w:rPr>
        <w:t xml:space="preserve">rganismo </w:t>
      </w:r>
      <w:r>
        <w:rPr>
          <w:rFonts w:ascii="Verdana" w:hAnsi="Verdana"/>
          <w:w w:val="95"/>
          <w:sz w:val="20"/>
          <w:szCs w:val="20"/>
          <w:lang w:val="es-EC"/>
        </w:rPr>
        <w:t>L</w:t>
      </w:r>
      <w:r w:rsidRPr="002B1610">
        <w:rPr>
          <w:rFonts w:ascii="Verdana" w:hAnsi="Verdana"/>
          <w:w w:val="95"/>
          <w:sz w:val="20"/>
          <w:szCs w:val="20"/>
          <w:lang w:val="es-EC"/>
        </w:rPr>
        <w:t xml:space="preserve">egislativo, </w:t>
      </w:r>
      <w:r>
        <w:rPr>
          <w:rFonts w:ascii="Verdana" w:hAnsi="Verdana"/>
          <w:w w:val="95"/>
          <w:sz w:val="20"/>
          <w:szCs w:val="20"/>
          <w:lang w:val="es-EC"/>
        </w:rPr>
        <w:t xml:space="preserve">de </w:t>
      </w:r>
      <w:r w:rsidRPr="002B1610">
        <w:rPr>
          <w:rFonts w:ascii="Verdana" w:hAnsi="Verdana"/>
          <w:w w:val="95"/>
          <w:sz w:val="20"/>
          <w:szCs w:val="20"/>
          <w:lang w:val="es-EC"/>
        </w:rPr>
        <w:t>la Fiscalía de la Mujer,</w:t>
      </w:r>
      <w:r>
        <w:rPr>
          <w:rFonts w:ascii="Verdana" w:hAnsi="Verdana"/>
          <w:w w:val="95"/>
          <w:sz w:val="20"/>
          <w:szCs w:val="20"/>
          <w:lang w:val="es-EC"/>
        </w:rPr>
        <w:t xml:space="preserve"> de</w:t>
      </w:r>
      <w:r w:rsidRPr="002B1610">
        <w:rPr>
          <w:rFonts w:ascii="Verdana" w:hAnsi="Verdana"/>
          <w:w w:val="95"/>
          <w:sz w:val="20"/>
          <w:szCs w:val="20"/>
          <w:lang w:val="es-EC"/>
        </w:rPr>
        <w:t xml:space="preserve"> fiscalías especializadas en</w:t>
      </w:r>
      <w:r>
        <w:rPr>
          <w:rFonts w:ascii="Verdana" w:hAnsi="Verdana"/>
          <w:w w:val="95"/>
          <w:sz w:val="20"/>
          <w:szCs w:val="20"/>
          <w:lang w:val="es-EC"/>
        </w:rPr>
        <w:t xml:space="preserve"> “los delitos de</w:t>
      </w:r>
      <w:r w:rsidRPr="002B1610">
        <w:rPr>
          <w:rFonts w:ascii="Verdana" w:hAnsi="Verdana"/>
          <w:w w:val="95"/>
          <w:sz w:val="20"/>
          <w:szCs w:val="20"/>
          <w:lang w:val="es-EC"/>
        </w:rPr>
        <w:t xml:space="preserve"> femicidio</w:t>
      </w:r>
      <w:r>
        <w:rPr>
          <w:rFonts w:ascii="Verdana" w:hAnsi="Verdana"/>
          <w:w w:val="95"/>
          <w:sz w:val="20"/>
          <w:szCs w:val="20"/>
          <w:lang w:val="es-EC"/>
        </w:rPr>
        <w:t>”</w:t>
      </w:r>
      <w:r w:rsidRPr="002B1610">
        <w:rPr>
          <w:rFonts w:ascii="Verdana" w:hAnsi="Verdana"/>
          <w:w w:val="95"/>
          <w:sz w:val="20"/>
          <w:szCs w:val="20"/>
          <w:lang w:val="es-EC"/>
        </w:rPr>
        <w:t>,</w:t>
      </w:r>
      <w:r w:rsidRPr="0027279B">
        <w:rPr>
          <w:rFonts w:ascii="Verdana" w:hAnsi="Verdana"/>
          <w:w w:val="95"/>
          <w:sz w:val="20"/>
          <w:szCs w:val="20"/>
          <w:lang w:val="es-EC"/>
        </w:rPr>
        <w:t xml:space="preserve"> </w:t>
      </w:r>
      <w:r>
        <w:rPr>
          <w:rFonts w:ascii="Verdana" w:hAnsi="Verdana"/>
          <w:w w:val="95"/>
          <w:sz w:val="20"/>
          <w:szCs w:val="20"/>
          <w:lang w:val="es-EC"/>
        </w:rPr>
        <w:t>y d</w:t>
      </w:r>
      <w:r w:rsidRPr="002B1610">
        <w:rPr>
          <w:rFonts w:ascii="Verdana" w:hAnsi="Verdana"/>
          <w:w w:val="95"/>
          <w:sz w:val="20"/>
          <w:szCs w:val="20"/>
          <w:lang w:val="es-EC"/>
        </w:rPr>
        <w:t>el Departamento de Delitos Sexuales, Trata de Personas, Menores, Niñez, Adolescencia y personas desaparecidas</w:t>
      </w:r>
      <w:r>
        <w:rPr>
          <w:rFonts w:ascii="Verdana" w:hAnsi="Verdana"/>
          <w:w w:val="95"/>
          <w:sz w:val="20"/>
          <w:szCs w:val="20"/>
          <w:lang w:val="es-EC"/>
        </w:rPr>
        <w:t xml:space="preserve"> (DESEXTRANA)</w:t>
      </w:r>
      <w:r w:rsidRPr="002B1610">
        <w:rPr>
          <w:rFonts w:ascii="Verdana" w:hAnsi="Verdana"/>
          <w:w w:val="95"/>
          <w:sz w:val="20"/>
          <w:szCs w:val="20"/>
          <w:lang w:val="es-EC"/>
        </w:rPr>
        <w:t xml:space="preserve">; c) </w:t>
      </w:r>
      <w:r w:rsidRPr="002857CA">
        <w:rPr>
          <w:rFonts w:ascii="Verdana" w:hAnsi="Verdana"/>
          <w:w w:val="95"/>
          <w:sz w:val="20"/>
          <w:szCs w:val="20"/>
          <w:lang w:val="es-EC"/>
        </w:rPr>
        <w:t xml:space="preserve">formulación </w:t>
      </w:r>
      <w:r w:rsidRPr="002B1610">
        <w:rPr>
          <w:rFonts w:ascii="Verdana" w:hAnsi="Verdana"/>
          <w:w w:val="95"/>
          <w:sz w:val="20"/>
          <w:szCs w:val="20"/>
          <w:lang w:val="es-EC"/>
        </w:rPr>
        <w:t>de las siguientes políticas públicas: Política Nacional de Promoción y Desarrollo Integral de las Mujeres</w:t>
      </w:r>
      <w:r>
        <w:rPr>
          <w:rFonts w:ascii="Verdana" w:hAnsi="Verdana"/>
          <w:w w:val="95"/>
          <w:sz w:val="20"/>
          <w:szCs w:val="20"/>
          <w:lang w:val="es-EC"/>
        </w:rPr>
        <w:t xml:space="preserve"> (PNPDIM)</w:t>
      </w:r>
      <w:r w:rsidRPr="002B1610">
        <w:rPr>
          <w:rFonts w:ascii="Verdana" w:hAnsi="Verdana"/>
          <w:w w:val="95"/>
          <w:sz w:val="20"/>
          <w:szCs w:val="20"/>
          <w:lang w:val="es-EC"/>
        </w:rPr>
        <w:t>, Plan de Equidad y Oportunidades</w:t>
      </w:r>
      <w:r>
        <w:rPr>
          <w:rFonts w:ascii="Verdana" w:hAnsi="Verdana"/>
          <w:w w:val="95"/>
          <w:sz w:val="20"/>
          <w:szCs w:val="20"/>
          <w:lang w:val="es-EC"/>
        </w:rPr>
        <w:t xml:space="preserve"> (PEO)</w:t>
      </w:r>
      <w:r w:rsidRPr="002B1610">
        <w:rPr>
          <w:rFonts w:ascii="Verdana" w:hAnsi="Verdana"/>
          <w:w w:val="95"/>
          <w:sz w:val="20"/>
          <w:szCs w:val="20"/>
          <w:lang w:val="es-EC"/>
        </w:rPr>
        <w:t xml:space="preserve">, </w:t>
      </w:r>
      <w:r>
        <w:rPr>
          <w:rFonts w:ascii="Verdana" w:hAnsi="Verdana"/>
          <w:w w:val="95"/>
          <w:sz w:val="20"/>
          <w:szCs w:val="20"/>
          <w:lang w:val="es-EC"/>
        </w:rPr>
        <w:t xml:space="preserve">y </w:t>
      </w:r>
      <w:r w:rsidRPr="002B1610">
        <w:rPr>
          <w:rFonts w:ascii="Verdana" w:hAnsi="Verdana"/>
          <w:w w:val="95"/>
          <w:sz w:val="20"/>
          <w:szCs w:val="20"/>
          <w:lang w:val="es-EC"/>
        </w:rPr>
        <w:t>Plan Nacional de Prevención y Erradicación de la Violencia Intrafamiliar y contra las mujeres</w:t>
      </w:r>
      <w:r>
        <w:rPr>
          <w:rFonts w:ascii="Verdana" w:hAnsi="Verdana"/>
          <w:w w:val="95"/>
          <w:sz w:val="20"/>
          <w:szCs w:val="20"/>
          <w:lang w:val="es-EC"/>
        </w:rPr>
        <w:t xml:space="preserve"> (PLANOVI)</w:t>
      </w:r>
      <w:r w:rsidRPr="002B1610">
        <w:rPr>
          <w:rFonts w:ascii="Verdana" w:hAnsi="Verdana"/>
          <w:w w:val="95"/>
          <w:sz w:val="20"/>
          <w:szCs w:val="20"/>
          <w:lang w:val="es-EC"/>
        </w:rPr>
        <w:t xml:space="preserve">, y </w:t>
      </w:r>
      <w:r>
        <w:rPr>
          <w:rFonts w:ascii="Verdana" w:hAnsi="Verdana"/>
          <w:w w:val="95"/>
          <w:sz w:val="20"/>
          <w:szCs w:val="20"/>
          <w:lang w:val="es-EC"/>
        </w:rPr>
        <w:t xml:space="preserve"> </w:t>
      </w:r>
      <w:r w:rsidRPr="002857CA">
        <w:rPr>
          <w:rFonts w:ascii="Verdana" w:hAnsi="Verdana"/>
          <w:w w:val="95"/>
          <w:sz w:val="20"/>
          <w:szCs w:val="20"/>
          <w:lang w:val="es-EC"/>
        </w:rPr>
        <w:t>d) accionar de la Procuraduría General de la Nación en la “coordina[ción d]el sistema de alerta de la Ley Alba-Kenneth[, que] busca proteger de mejor manera a los niños, niñas y adolescentes contra el secuestro, el tráfico y la trata para cualquier fin o en cualquier forma”.</w:t>
      </w:r>
    </w:p>
    <w:p w:rsidR="00DF15C3" w:rsidRPr="00B457A2" w:rsidRDefault="00DF15C3" w:rsidP="003F26FD">
      <w:pPr>
        <w:pStyle w:val="Ttulo4"/>
        <w:ind w:left="851" w:right="-174"/>
        <w:rPr>
          <w:rFonts w:ascii="Verdana" w:hAnsi="Verdana"/>
          <w:b w:val="0"/>
          <w:color w:val="auto"/>
          <w:w w:val="95"/>
          <w:sz w:val="20"/>
          <w:u w:val="single"/>
        </w:rPr>
      </w:pPr>
      <w:bookmarkStart w:id="140" w:name="_Toc394313704"/>
      <w:r w:rsidRPr="00B457A2">
        <w:rPr>
          <w:rFonts w:ascii="Verdana" w:hAnsi="Verdana"/>
          <w:b w:val="0"/>
          <w:color w:val="auto"/>
          <w:w w:val="95"/>
          <w:sz w:val="20"/>
          <w:u w:val="single"/>
        </w:rPr>
        <w:t>D.1.2. Consideraciones de la Corte</w:t>
      </w:r>
      <w:bookmarkEnd w:id="140"/>
    </w:p>
    <w:p w:rsidR="00DF15C3" w:rsidRPr="002B1610" w:rsidRDefault="00DF15C3" w:rsidP="003F26FD">
      <w:pPr>
        <w:spacing w:after="0" w:line="216" w:lineRule="auto"/>
        <w:ind w:left="-142" w:right="-174"/>
        <w:jc w:val="both"/>
        <w:rPr>
          <w:rFonts w:ascii="Verdana" w:hAnsi="Verdana"/>
          <w:w w:val="95"/>
          <w:sz w:val="20"/>
          <w:szCs w:val="20"/>
          <w:lang w:val="es-EC"/>
        </w:rPr>
      </w:pPr>
    </w:p>
    <w:p w:rsidR="00DF15C3" w:rsidRPr="002B1610" w:rsidRDefault="00DF15C3" w:rsidP="003F26FD">
      <w:pPr>
        <w:numPr>
          <w:ilvl w:val="0"/>
          <w:numId w:val="17"/>
        </w:numPr>
        <w:spacing w:after="0" w:line="216" w:lineRule="auto"/>
        <w:ind w:left="-142" w:right="-174" w:hanging="11"/>
        <w:jc w:val="both"/>
        <w:rPr>
          <w:rFonts w:ascii="Verdana" w:hAnsi="Verdana"/>
          <w:w w:val="95"/>
          <w:sz w:val="20"/>
          <w:szCs w:val="20"/>
          <w:lang w:val="es-EC"/>
        </w:rPr>
      </w:pPr>
      <w:r w:rsidRPr="002B1610">
        <w:rPr>
          <w:rFonts w:ascii="Verdana" w:eastAsia="Calibri" w:hAnsi="Verdana"/>
          <w:w w:val="95"/>
          <w:sz w:val="20"/>
          <w:szCs w:val="20"/>
          <w:lang w:val="es-EC"/>
        </w:rPr>
        <w:t>El Tribunal valora los esfuerzos del Estado para adoptar legislación, otros actos jurídicos</w:t>
      </w:r>
      <w:r>
        <w:rPr>
          <w:rFonts w:ascii="Verdana" w:eastAsia="Calibri" w:hAnsi="Verdana"/>
          <w:w w:val="95"/>
          <w:sz w:val="20"/>
          <w:szCs w:val="20"/>
          <w:lang w:val="es-EC"/>
        </w:rPr>
        <w:t>,</w:t>
      </w:r>
      <w:r w:rsidRPr="002B1610">
        <w:rPr>
          <w:rFonts w:ascii="Verdana" w:eastAsia="Calibri" w:hAnsi="Verdana"/>
          <w:w w:val="95"/>
          <w:sz w:val="20"/>
          <w:szCs w:val="20"/>
          <w:lang w:val="es-EC"/>
        </w:rPr>
        <w:t xml:space="preserve"> instituciones</w:t>
      </w:r>
      <w:r>
        <w:rPr>
          <w:rFonts w:ascii="Verdana" w:eastAsia="Calibri" w:hAnsi="Verdana"/>
          <w:w w:val="95"/>
          <w:sz w:val="20"/>
          <w:szCs w:val="20"/>
          <w:lang w:val="es-EC"/>
        </w:rPr>
        <w:t xml:space="preserve"> </w:t>
      </w:r>
      <w:r w:rsidRPr="002857CA">
        <w:rPr>
          <w:rFonts w:ascii="Verdana" w:eastAsia="Calibri" w:hAnsi="Verdana"/>
          <w:w w:val="95"/>
          <w:sz w:val="20"/>
          <w:szCs w:val="20"/>
          <w:lang w:val="es-EC"/>
        </w:rPr>
        <w:t>y políticas públicas orientadas a combatir la violencia por razón de género, así como su esfuerzo por adecuar su sistema en materia de investigación penal</w:t>
      </w:r>
      <w:r w:rsidRPr="002857CA">
        <w:rPr>
          <w:rStyle w:val="Refdenotaalpie"/>
          <w:rFonts w:ascii="Verdana" w:eastAsia="Calibri" w:hAnsi="Verdana"/>
          <w:w w:val="95"/>
          <w:sz w:val="20"/>
          <w:szCs w:val="20"/>
          <w:lang w:val="es-EC"/>
        </w:rPr>
        <w:footnoteReference w:id="352"/>
      </w:r>
      <w:r w:rsidRPr="002857CA">
        <w:rPr>
          <w:rFonts w:ascii="Verdana" w:eastAsia="Calibri" w:hAnsi="Verdana"/>
          <w:w w:val="95"/>
          <w:sz w:val="20"/>
          <w:szCs w:val="20"/>
          <w:lang w:val="es-EC"/>
        </w:rPr>
        <w:t>. Estos avances constituyen indicadores estructurales relacionados con la adopción de medidas que, en principio, tienen como objetivo enfrentar la violencia y discriminación contra la mujer, o que su aplicación coadyuva a ello.</w:t>
      </w:r>
      <w:r w:rsidRPr="002B1610">
        <w:rPr>
          <w:rFonts w:ascii="Verdana" w:eastAsia="Calibri" w:hAnsi="Verdana"/>
          <w:w w:val="95"/>
          <w:sz w:val="20"/>
          <w:szCs w:val="20"/>
          <w:lang w:val="es-EC"/>
        </w:rPr>
        <w:t xml:space="preserve"> </w:t>
      </w:r>
    </w:p>
    <w:p w:rsidR="00DF15C3" w:rsidRPr="002B1610" w:rsidRDefault="00DF15C3" w:rsidP="003F26FD">
      <w:pPr>
        <w:spacing w:after="0" w:line="216" w:lineRule="auto"/>
        <w:ind w:left="-142" w:right="-174"/>
        <w:jc w:val="both"/>
        <w:rPr>
          <w:rFonts w:ascii="Verdana" w:hAnsi="Verdana"/>
          <w:w w:val="95"/>
          <w:sz w:val="20"/>
          <w:szCs w:val="20"/>
          <w:lang w:val="es-EC"/>
        </w:rPr>
      </w:pPr>
    </w:p>
    <w:p w:rsidR="00DF15C3" w:rsidRPr="002B1610" w:rsidRDefault="00DF15C3" w:rsidP="003F26FD">
      <w:pPr>
        <w:numPr>
          <w:ilvl w:val="0"/>
          <w:numId w:val="17"/>
        </w:numPr>
        <w:spacing w:after="0" w:line="216" w:lineRule="auto"/>
        <w:ind w:left="-142" w:right="-174" w:hanging="11"/>
        <w:jc w:val="both"/>
        <w:rPr>
          <w:rFonts w:ascii="Verdana" w:hAnsi="Verdana"/>
          <w:w w:val="95"/>
          <w:sz w:val="20"/>
          <w:szCs w:val="20"/>
          <w:lang w:val="es-EC"/>
        </w:rPr>
      </w:pPr>
      <w:r w:rsidRPr="002B1610">
        <w:rPr>
          <w:rFonts w:ascii="Verdana" w:eastAsia="Calibri" w:hAnsi="Verdana"/>
          <w:w w:val="95"/>
          <w:sz w:val="20"/>
          <w:szCs w:val="20"/>
          <w:lang w:val="es-EC"/>
        </w:rPr>
        <w:t>En este marco, frente al señalamiento de las diversas medidas adoptadas por el Estado, la Corte no cuenta, a excepción de lo que se señala más adelante (</w:t>
      </w:r>
      <w:r w:rsidRPr="002B1610">
        <w:rPr>
          <w:rFonts w:ascii="Verdana" w:eastAsia="Calibri" w:hAnsi="Verdana"/>
          <w:i/>
          <w:w w:val="95"/>
          <w:sz w:val="20"/>
          <w:szCs w:val="20"/>
          <w:lang w:val="es-EC"/>
        </w:rPr>
        <w:t>infra</w:t>
      </w:r>
      <w:r w:rsidRPr="002B1610">
        <w:rPr>
          <w:rFonts w:ascii="Verdana" w:eastAsia="Calibri" w:hAnsi="Verdana"/>
          <w:w w:val="95"/>
          <w:sz w:val="20"/>
          <w:szCs w:val="20"/>
          <w:lang w:val="es-EC"/>
        </w:rPr>
        <w:t xml:space="preserve"> párr</w:t>
      </w:r>
      <w:r w:rsidR="001B57D6">
        <w:rPr>
          <w:rFonts w:ascii="Verdana" w:eastAsia="Calibri" w:hAnsi="Verdana"/>
          <w:w w:val="95"/>
          <w:sz w:val="20"/>
          <w:szCs w:val="20"/>
          <w:lang w:val="es-EC"/>
        </w:rPr>
        <w:t>s</w:t>
      </w:r>
      <w:r w:rsidRPr="002B1610">
        <w:rPr>
          <w:rFonts w:ascii="Verdana" w:eastAsia="Calibri" w:hAnsi="Verdana"/>
          <w:w w:val="95"/>
          <w:sz w:val="20"/>
          <w:szCs w:val="20"/>
          <w:lang w:val="es-EC"/>
        </w:rPr>
        <w:t xml:space="preserve">. </w:t>
      </w:r>
      <w:r w:rsidR="00DD75F5">
        <w:rPr>
          <w:rFonts w:ascii="Verdana" w:eastAsia="Calibri" w:hAnsi="Verdana"/>
          <w:w w:val="95"/>
          <w:sz w:val="20"/>
          <w:szCs w:val="20"/>
          <w:lang w:val="es-EC"/>
        </w:rPr>
        <w:t>267</w:t>
      </w:r>
      <w:r>
        <w:rPr>
          <w:rFonts w:ascii="Verdana" w:eastAsia="Calibri" w:hAnsi="Verdana"/>
          <w:w w:val="95"/>
          <w:sz w:val="20"/>
          <w:szCs w:val="20"/>
          <w:lang w:val="es-EC"/>
        </w:rPr>
        <w:t xml:space="preserve"> a </w:t>
      </w:r>
      <w:r w:rsidR="00DD75F5">
        <w:rPr>
          <w:rFonts w:ascii="Verdana" w:eastAsia="Calibri" w:hAnsi="Verdana"/>
          <w:w w:val="95"/>
          <w:sz w:val="20"/>
          <w:szCs w:val="20"/>
          <w:lang w:val="es-EC"/>
        </w:rPr>
        <w:t>269</w:t>
      </w:r>
      <w:r w:rsidRPr="002B1610">
        <w:rPr>
          <w:rFonts w:ascii="Verdana" w:eastAsia="Calibri" w:hAnsi="Verdana"/>
          <w:w w:val="95"/>
          <w:sz w:val="20"/>
          <w:szCs w:val="20"/>
          <w:lang w:val="es-EC"/>
        </w:rPr>
        <w:t xml:space="preserve">), con información suficiente y actualizada para poder evaluar la eventual insuficiencia de dichos actos jurídicos, instituciones y </w:t>
      </w:r>
      <w:r w:rsidR="00423E4A">
        <w:rPr>
          <w:rFonts w:ascii="Verdana" w:eastAsia="Calibri" w:hAnsi="Verdana"/>
          <w:w w:val="95"/>
          <w:sz w:val="20"/>
          <w:szCs w:val="20"/>
          <w:lang w:val="es-EC"/>
        </w:rPr>
        <w:t xml:space="preserve">políticas. En particular, el </w:t>
      </w:r>
      <w:r w:rsidRPr="002857CA">
        <w:rPr>
          <w:rFonts w:ascii="Verdana" w:eastAsia="Calibri" w:hAnsi="Verdana"/>
          <w:w w:val="95"/>
          <w:sz w:val="20"/>
          <w:szCs w:val="20"/>
          <w:lang w:val="es-EC"/>
        </w:rPr>
        <w:t>Tribunal no puede pronunciarse sobre la existencia de una política integral para superar la situación de violencia contra la mujer, discriminación e impunidad, sin información sobre las fallas estructurales que atravesarían estas políticas, los eventuales</w:t>
      </w:r>
      <w:r>
        <w:rPr>
          <w:rFonts w:ascii="Verdana" w:eastAsia="Calibri" w:hAnsi="Verdana"/>
          <w:w w:val="95"/>
          <w:sz w:val="20"/>
          <w:szCs w:val="20"/>
          <w:lang w:val="es-EC"/>
        </w:rPr>
        <w:t xml:space="preserve"> </w:t>
      </w:r>
      <w:r w:rsidRPr="002B1610">
        <w:rPr>
          <w:rFonts w:ascii="Verdana" w:eastAsia="Calibri" w:hAnsi="Verdana"/>
          <w:w w:val="95"/>
          <w:sz w:val="20"/>
          <w:szCs w:val="20"/>
          <w:lang w:val="es-EC"/>
        </w:rPr>
        <w:t>problemas en sus procesos de implementación y</w:t>
      </w:r>
      <w:r>
        <w:rPr>
          <w:rFonts w:ascii="Verdana" w:eastAsia="Calibri" w:hAnsi="Verdana"/>
          <w:w w:val="95"/>
          <w:sz w:val="20"/>
          <w:szCs w:val="20"/>
          <w:lang w:val="es-EC"/>
        </w:rPr>
        <w:t>, en su caso,</w:t>
      </w:r>
      <w:r w:rsidRPr="002B1610">
        <w:rPr>
          <w:rFonts w:ascii="Verdana" w:eastAsia="Calibri" w:hAnsi="Verdana"/>
          <w:w w:val="95"/>
          <w:sz w:val="20"/>
          <w:szCs w:val="20"/>
          <w:lang w:val="es-EC"/>
        </w:rPr>
        <w:t xml:space="preserve"> sus resultados sobre el goce efectivo de derechos por parte de las víctimas de dicha violencia.</w:t>
      </w:r>
      <w:r w:rsidRPr="002B1610">
        <w:rPr>
          <w:rFonts w:ascii="Verdana" w:hAnsi="Verdana"/>
          <w:w w:val="95"/>
          <w:sz w:val="20"/>
          <w:szCs w:val="20"/>
          <w:lang w:val="es-EC"/>
        </w:rPr>
        <w:t xml:space="preserve"> </w:t>
      </w:r>
    </w:p>
    <w:p w:rsidR="00DF15C3" w:rsidRPr="002B1610" w:rsidRDefault="00DF15C3" w:rsidP="003F26FD">
      <w:pPr>
        <w:pStyle w:val="Prrafodelista"/>
        <w:spacing w:after="0" w:line="216" w:lineRule="auto"/>
        <w:ind w:right="-174"/>
        <w:rPr>
          <w:rFonts w:ascii="Verdana" w:hAnsi="Verdana"/>
          <w:w w:val="95"/>
          <w:sz w:val="20"/>
          <w:szCs w:val="20"/>
          <w:lang w:val="es-EC"/>
        </w:rPr>
      </w:pPr>
    </w:p>
    <w:p w:rsidR="00DF15C3" w:rsidRPr="002B1610" w:rsidRDefault="00DF15C3" w:rsidP="003F26FD">
      <w:pPr>
        <w:numPr>
          <w:ilvl w:val="0"/>
          <w:numId w:val="17"/>
        </w:numPr>
        <w:spacing w:after="0" w:line="216" w:lineRule="auto"/>
        <w:ind w:left="-142" w:right="-174" w:hanging="11"/>
        <w:jc w:val="both"/>
        <w:rPr>
          <w:rFonts w:ascii="Verdana" w:hAnsi="Verdana"/>
          <w:w w:val="95"/>
          <w:sz w:val="20"/>
          <w:szCs w:val="20"/>
          <w:lang w:val="es-EC"/>
        </w:rPr>
      </w:pPr>
      <w:r w:rsidRPr="002B1610">
        <w:rPr>
          <w:rFonts w:ascii="Verdana" w:eastAsia="Calibri" w:hAnsi="Verdana"/>
          <w:w w:val="95"/>
          <w:sz w:val="20"/>
          <w:szCs w:val="20"/>
          <w:lang w:val="es-EC"/>
        </w:rPr>
        <w:t>Esta insuficiencia de información, impide al Tribunal, considerando las diversas medidas adoptadas por el Estado, pronunciarse respecto a la necesidad, a efectos de la garantía de no repetición de lo ocurrido en este caso, de normas, acciones o políticas públicas distintas o complementarias. Ello, en términos generales y a excepción de lo que sigue.</w:t>
      </w:r>
    </w:p>
    <w:p w:rsidR="00DF15C3" w:rsidRPr="002B1610" w:rsidRDefault="00DF15C3" w:rsidP="003F26FD">
      <w:pPr>
        <w:pStyle w:val="Prrafodelista"/>
        <w:spacing w:after="0" w:line="216" w:lineRule="auto"/>
        <w:ind w:left="-142" w:right="-174" w:hanging="11"/>
        <w:rPr>
          <w:rFonts w:ascii="Verdana" w:hAnsi="Verdana"/>
          <w:w w:val="95"/>
          <w:sz w:val="20"/>
          <w:szCs w:val="20"/>
          <w:lang w:val="es-EC"/>
        </w:rPr>
      </w:pPr>
    </w:p>
    <w:p w:rsidR="00DF15C3" w:rsidRPr="002857CA" w:rsidRDefault="00DF15C3" w:rsidP="003F26FD">
      <w:pPr>
        <w:numPr>
          <w:ilvl w:val="0"/>
          <w:numId w:val="17"/>
        </w:numPr>
        <w:spacing w:after="0" w:line="216" w:lineRule="auto"/>
        <w:ind w:left="-142" w:right="-174" w:hanging="11"/>
        <w:jc w:val="both"/>
        <w:rPr>
          <w:rFonts w:ascii="Verdana" w:hAnsi="Verdana"/>
          <w:w w:val="95"/>
          <w:sz w:val="20"/>
          <w:szCs w:val="20"/>
          <w:lang w:val="es-EC"/>
        </w:rPr>
      </w:pPr>
      <w:r w:rsidRPr="00BB1C21">
        <w:rPr>
          <w:rFonts w:ascii="Verdana" w:hAnsi="Verdana"/>
          <w:w w:val="95"/>
          <w:sz w:val="20"/>
          <w:szCs w:val="20"/>
          <w:lang w:val="es-EC"/>
        </w:rPr>
        <w:t xml:space="preserve">La Corte observa que </w:t>
      </w:r>
      <w:r w:rsidRPr="00F449B2">
        <w:rPr>
          <w:rFonts w:ascii="Verdana" w:hAnsi="Verdana"/>
          <w:w w:val="95"/>
          <w:sz w:val="20"/>
          <w:szCs w:val="20"/>
          <w:lang w:val="es-EC"/>
        </w:rPr>
        <w:t>el Estado ha indicado</w:t>
      </w:r>
      <w:r w:rsidR="002857CA">
        <w:rPr>
          <w:rFonts w:ascii="Verdana" w:hAnsi="Verdana"/>
          <w:b/>
          <w:w w:val="95"/>
          <w:sz w:val="20"/>
          <w:szCs w:val="20"/>
          <w:lang w:val="es-EC"/>
        </w:rPr>
        <w:t xml:space="preserve"> </w:t>
      </w:r>
      <w:r w:rsidRPr="00BB1C21">
        <w:rPr>
          <w:rFonts w:ascii="Verdana" w:hAnsi="Verdana"/>
          <w:w w:val="95"/>
          <w:sz w:val="20"/>
          <w:szCs w:val="20"/>
          <w:lang w:val="es-EC"/>
        </w:rPr>
        <w:t xml:space="preserve">que </w:t>
      </w:r>
      <w:r w:rsidRPr="00BB1C21">
        <w:rPr>
          <w:rFonts w:ascii="Verdana" w:hAnsi="Verdana" w:cs="Calibri"/>
          <w:w w:val="95"/>
          <w:sz w:val="20"/>
          <w:szCs w:val="20"/>
          <w:lang w:val="es-CR"/>
        </w:rPr>
        <w:t>a fin</w:t>
      </w:r>
      <w:r w:rsidR="005F48F7">
        <w:rPr>
          <w:rFonts w:ascii="Verdana" w:hAnsi="Verdana" w:cs="Calibri"/>
          <w:w w:val="95"/>
          <w:sz w:val="20"/>
          <w:szCs w:val="20"/>
          <w:lang w:val="es-CR"/>
        </w:rPr>
        <w:t>al</w:t>
      </w:r>
      <w:r w:rsidRPr="00BB1C21">
        <w:rPr>
          <w:rFonts w:ascii="Verdana" w:hAnsi="Verdana" w:cs="Calibri"/>
          <w:w w:val="95"/>
          <w:sz w:val="20"/>
          <w:szCs w:val="20"/>
          <w:lang w:val="es-CR"/>
        </w:rPr>
        <w:t xml:space="preserve"> de 2007 inició sus labores el INACIF</w:t>
      </w:r>
      <w:r w:rsidRPr="002B1610">
        <w:rPr>
          <w:rFonts w:ascii="Verdana" w:hAnsi="Verdana" w:cs="Calibri"/>
          <w:w w:val="95"/>
          <w:sz w:val="20"/>
          <w:szCs w:val="20"/>
          <w:lang w:val="es-CR"/>
        </w:rPr>
        <w:t xml:space="preserve"> </w:t>
      </w:r>
      <w:r w:rsidRPr="001E0CE4">
        <w:rPr>
          <w:rFonts w:ascii="Verdana" w:hAnsi="Verdana" w:cs="Calibri"/>
          <w:w w:val="95"/>
          <w:sz w:val="20"/>
          <w:szCs w:val="20"/>
          <w:lang w:val="es-CR"/>
        </w:rPr>
        <w:t>(</w:t>
      </w:r>
      <w:r w:rsidRPr="001E0CE4">
        <w:rPr>
          <w:rFonts w:ascii="Verdana" w:hAnsi="Verdana" w:cs="Calibri"/>
          <w:i/>
          <w:w w:val="95"/>
          <w:sz w:val="20"/>
          <w:szCs w:val="20"/>
          <w:lang w:val="es-CR"/>
        </w:rPr>
        <w:t>supra</w:t>
      </w:r>
      <w:r w:rsidRPr="001E0CE4">
        <w:rPr>
          <w:rFonts w:ascii="Verdana" w:hAnsi="Verdana" w:cs="Calibri"/>
          <w:w w:val="95"/>
          <w:sz w:val="20"/>
          <w:szCs w:val="20"/>
          <w:lang w:val="es-CR"/>
        </w:rPr>
        <w:t xml:space="preserve"> párr. </w:t>
      </w:r>
      <w:r w:rsidR="00DD75F5" w:rsidRPr="001E0CE4">
        <w:rPr>
          <w:rFonts w:ascii="Verdana" w:hAnsi="Verdana" w:cs="Calibri"/>
          <w:w w:val="95"/>
          <w:sz w:val="20"/>
          <w:szCs w:val="20"/>
          <w:lang w:val="es-CR"/>
        </w:rPr>
        <w:t>171</w:t>
      </w:r>
      <w:r w:rsidRPr="001E0CE4">
        <w:rPr>
          <w:rFonts w:ascii="Verdana" w:hAnsi="Verdana" w:cs="Calibri"/>
          <w:w w:val="95"/>
          <w:sz w:val="20"/>
          <w:szCs w:val="20"/>
          <w:lang w:val="es-CR"/>
        </w:rPr>
        <w:t>). La labor de dicho órgano no abarca sólo casos relativos a violencia contra mujeres o niñas, pero incluye los mismos. En tal sentido, el Estado manifestó que pruebas que se omitieron en la investigación de los hechos del caso “</w:t>
      </w:r>
      <w:r w:rsidRPr="001E0CE4">
        <w:rPr>
          <w:rFonts w:ascii="Verdana" w:hAnsi="Verdana"/>
          <w:w w:val="95"/>
          <w:sz w:val="20"/>
          <w:szCs w:val="20"/>
          <w:lang w:val="es-CR"/>
        </w:rPr>
        <w:t>sólo se pueden realizar a partir de la creación del [INACIF]” (</w:t>
      </w:r>
      <w:r w:rsidRPr="001E0CE4">
        <w:rPr>
          <w:rFonts w:ascii="Verdana" w:hAnsi="Verdana"/>
          <w:i/>
          <w:w w:val="95"/>
          <w:sz w:val="20"/>
          <w:szCs w:val="20"/>
          <w:lang w:val="es-CR"/>
        </w:rPr>
        <w:t>supra</w:t>
      </w:r>
      <w:r w:rsidRPr="001E0CE4">
        <w:rPr>
          <w:rFonts w:ascii="Verdana" w:hAnsi="Verdana"/>
          <w:w w:val="95"/>
          <w:sz w:val="20"/>
          <w:szCs w:val="20"/>
          <w:lang w:val="es-CR"/>
        </w:rPr>
        <w:t xml:space="preserve"> párr. 1</w:t>
      </w:r>
      <w:r w:rsidR="00DD75F5" w:rsidRPr="001E0CE4">
        <w:rPr>
          <w:rFonts w:ascii="Verdana" w:hAnsi="Verdana"/>
          <w:w w:val="95"/>
          <w:sz w:val="20"/>
          <w:szCs w:val="20"/>
          <w:lang w:val="es-CR"/>
        </w:rPr>
        <w:t>71</w:t>
      </w:r>
      <w:r w:rsidRPr="001E0CE4">
        <w:rPr>
          <w:rFonts w:ascii="Verdana" w:hAnsi="Verdana"/>
          <w:w w:val="95"/>
          <w:sz w:val="20"/>
          <w:szCs w:val="20"/>
          <w:lang w:val="es-CR"/>
        </w:rPr>
        <w:t xml:space="preserve">). Asimismo, el artículo 21 de la Ley contra el Femicidio ordenó que “[e]l Ministerio de Finanzas Públicas […] asign[e] los recursos </w:t>
      </w:r>
      <w:r w:rsidRPr="002857CA">
        <w:rPr>
          <w:rFonts w:ascii="Verdana" w:hAnsi="Verdana"/>
          <w:w w:val="95"/>
          <w:sz w:val="20"/>
          <w:szCs w:val="20"/>
          <w:lang w:val="es-CR"/>
        </w:rPr>
        <w:t>dentro del Presupuesto de Ingresos y Egresos del Estado, para […]: [el f]</w:t>
      </w:r>
      <w:r w:rsidRPr="002857CA">
        <w:rPr>
          <w:rFonts w:ascii="Verdana" w:hAnsi="Verdana"/>
          <w:w w:val="95"/>
          <w:sz w:val="20"/>
          <w:szCs w:val="20"/>
          <w:lang w:val="es-ES"/>
        </w:rPr>
        <w:t>ortalecimiento del […] INACIF”.</w:t>
      </w:r>
      <w:r w:rsidRPr="002857CA">
        <w:rPr>
          <w:rFonts w:ascii="Verdana" w:hAnsi="Verdana"/>
          <w:w w:val="95"/>
          <w:sz w:val="20"/>
          <w:szCs w:val="20"/>
          <w:lang w:val="es-CR"/>
        </w:rPr>
        <w:t xml:space="preserve"> Puede colegirse entonces, a partir de lo aseverado por el Estado, y del texto de la norma citada, que el funcionamiento adecuado de esta entidad resulta relevante a fin de que los casos de atentados contra mujeres puedan ser debidamente investigados. Ahora bien, se encuentr</w:t>
      </w:r>
      <w:r w:rsidR="002857CA">
        <w:rPr>
          <w:rFonts w:ascii="Verdana" w:hAnsi="Verdana"/>
          <w:w w:val="95"/>
          <w:sz w:val="20"/>
          <w:szCs w:val="20"/>
          <w:lang w:val="es-CR"/>
        </w:rPr>
        <w:t xml:space="preserve">a </w:t>
      </w:r>
      <w:r w:rsidRPr="002857CA">
        <w:rPr>
          <w:rFonts w:ascii="Verdana" w:hAnsi="Verdana"/>
          <w:w w:val="95"/>
          <w:sz w:val="20"/>
          <w:szCs w:val="20"/>
          <w:lang w:val="es-CR"/>
        </w:rPr>
        <w:t>acreditado</w:t>
      </w:r>
      <w:r w:rsidR="00DD75F5" w:rsidRPr="002857CA">
        <w:rPr>
          <w:rFonts w:ascii="Verdana" w:hAnsi="Verdana"/>
          <w:w w:val="95"/>
          <w:sz w:val="20"/>
          <w:szCs w:val="20"/>
          <w:lang w:val="es-CR"/>
        </w:rPr>
        <w:t>s</w:t>
      </w:r>
      <w:r w:rsidRPr="002857CA">
        <w:rPr>
          <w:rFonts w:ascii="Verdana" w:hAnsi="Verdana"/>
          <w:w w:val="95"/>
          <w:sz w:val="20"/>
          <w:szCs w:val="20"/>
          <w:lang w:val="es-CR"/>
        </w:rPr>
        <w:t xml:space="preserve"> datos de 2012 </w:t>
      </w:r>
      <w:r w:rsidR="00DD75F5" w:rsidRPr="002857CA">
        <w:rPr>
          <w:rFonts w:ascii="Verdana" w:hAnsi="Verdana"/>
          <w:w w:val="95"/>
          <w:sz w:val="20"/>
          <w:szCs w:val="20"/>
          <w:lang w:val="es-CR"/>
        </w:rPr>
        <w:t xml:space="preserve">que </w:t>
      </w:r>
      <w:r w:rsidRPr="002857CA">
        <w:rPr>
          <w:rFonts w:ascii="Verdana" w:hAnsi="Verdana"/>
          <w:w w:val="95"/>
          <w:sz w:val="20"/>
          <w:szCs w:val="20"/>
          <w:lang w:val="es-CR"/>
        </w:rPr>
        <w:t>indican la necesidad de que el INACIF cuente con mayores recursos, y ello habría sido expresado también, en 2010, por autoridades</w:t>
      </w:r>
      <w:r w:rsidRPr="002857CA">
        <w:rPr>
          <w:rFonts w:ascii="Verdana" w:hAnsi="Verdana" w:cs="Calibri"/>
          <w:w w:val="95"/>
          <w:sz w:val="20"/>
          <w:szCs w:val="20"/>
          <w:lang w:val="es-CR"/>
        </w:rPr>
        <w:t xml:space="preserve"> de la entidad</w:t>
      </w:r>
      <w:r w:rsidR="005F48F7" w:rsidRPr="002857CA">
        <w:rPr>
          <w:rStyle w:val="Refdenotaalpie"/>
          <w:rFonts w:ascii="Verdana" w:hAnsi="Verdana" w:cs="Calibri"/>
          <w:w w:val="95"/>
          <w:sz w:val="20"/>
          <w:szCs w:val="20"/>
          <w:lang w:val="es-CR"/>
        </w:rPr>
        <w:footnoteReference w:id="353"/>
      </w:r>
      <w:r w:rsidRPr="002857CA">
        <w:rPr>
          <w:rFonts w:ascii="Verdana" w:hAnsi="Verdana" w:cs="Calibri"/>
          <w:w w:val="95"/>
          <w:sz w:val="20"/>
          <w:szCs w:val="20"/>
          <w:lang w:val="es-CR"/>
        </w:rPr>
        <w:t xml:space="preserve">. Tal información no ha sido controvertida y no se ha hecho llegar a la Corte información que demuestre que ha habido una alteración en la situación referida. Además, en el mismo sentido se expresó la perita </w:t>
      </w:r>
      <w:r w:rsidR="00DD75F5" w:rsidRPr="002857CA">
        <w:rPr>
          <w:rFonts w:ascii="Verdana" w:hAnsi="Verdana" w:cs="Calibri"/>
          <w:w w:val="95"/>
          <w:sz w:val="20"/>
          <w:szCs w:val="20"/>
          <w:lang w:val="es-CR"/>
        </w:rPr>
        <w:t xml:space="preserve">María Eugenia </w:t>
      </w:r>
      <w:r w:rsidRPr="002857CA">
        <w:rPr>
          <w:rFonts w:ascii="Verdana" w:hAnsi="Verdana" w:cs="Calibri"/>
          <w:w w:val="95"/>
          <w:sz w:val="20"/>
          <w:szCs w:val="20"/>
          <w:lang w:val="es-CR"/>
        </w:rPr>
        <w:t xml:space="preserve">Solís, señalando también que el INACIF  “tiene debilidad porque no tiene despliegue territorial”. </w:t>
      </w:r>
    </w:p>
    <w:p w:rsidR="00DF15C3" w:rsidRPr="00F43223" w:rsidRDefault="00DF15C3" w:rsidP="003F26FD">
      <w:pPr>
        <w:spacing w:after="0" w:line="216" w:lineRule="auto"/>
        <w:ind w:left="-142" w:right="-174"/>
        <w:jc w:val="both"/>
        <w:rPr>
          <w:rFonts w:ascii="Verdana" w:hAnsi="Verdana"/>
          <w:w w:val="95"/>
          <w:sz w:val="20"/>
          <w:szCs w:val="20"/>
          <w:lang w:val="es-EC"/>
        </w:rPr>
      </w:pPr>
    </w:p>
    <w:p w:rsidR="00DF15C3" w:rsidRPr="000875CA" w:rsidRDefault="00DF15C3" w:rsidP="003F26FD">
      <w:pPr>
        <w:numPr>
          <w:ilvl w:val="0"/>
          <w:numId w:val="17"/>
        </w:numPr>
        <w:spacing w:after="0" w:line="216" w:lineRule="auto"/>
        <w:ind w:left="-142" w:right="-174" w:hanging="11"/>
        <w:jc w:val="both"/>
        <w:rPr>
          <w:rFonts w:ascii="Verdana" w:hAnsi="Verdana"/>
          <w:w w:val="95"/>
          <w:sz w:val="20"/>
          <w:szCs w:val="20"/>
          <w:lang w:val="es-EC"/>
        </w:rPr>
      </w:pPr>
      <w:r w:rsidRPr="000875CA">
        <w:rPr>
          <w:rFonts w:ascii="Verdana" w:hAnsi="Verdana" w:cs="Calibri"/>
          <w:w w:val="95"/>
          <w:sz w:val="20"/>
          <w:szCs w:val="20"/>
          <w:lang w:val="es-CR"/>
        </w:rPr>
        <w:t>Por lo expuesto, la Corte considera pertinente ordenar al Estado que, en un plazo</w:t>
      </w:r>
      <w:r w:rsidR="00B42B4D">
        <w:rPr>
          <w:rFonts w:ascii="Verdana" w:hAnsi="Verdana" w:cs="Calibri"/>
          <w:w w:val="95"/>
          <w:sz w:val="20"/>
          <w:szCs w:val="20"/>
          <w:lang w:val="es-CR"/>
        </w:rPr>
        <w:t xml:space="preserve"> razonable, elabore un plan de </w:t>
      </w:r>
      <w:r w:rsidRPr="000875CA">
        <w:rPr>
          <w:rFonts w:ascii="Verdana" w:hAnsi="Verdana" w:cs="Calibri"/>
          <w:w w:val="95"/>
          <w:sz w:val="20"/>
          <w:szCs w:val="20"/>
          <w:lang w:val="es-CR"/>
        </w:rPr>
        <w:t>fortalecimiento calendarizado del INACIF, que incluya una asignación de adecuada recursos para ampliar sus actividade</w:t>
      </w:r>
      <w:r w:rsidR="00DD75F5">
        <w:rPr>
          <w:rFonts w:ascii="Verdana" w:hAnsi="Verdana" w:cs="Calibri"/>
          <w:w w:val="95"/>
          <w:sz w:val="20"/>
          <w:szCs w:val="20"/>
          <w:lang w:val="es-CR"/>
        </w:rPr>
        <w:t>s en el territorio nacional y el</w:t>
      </w:r>
      <w:r w:rsidRPr="000875CA">
        <w:rPr>
          <w:rFonts w:ascii="Verdana" w:hAnsi="Verdana" w:cs="Calibri"/>
          <w:w w:val="95"/>
          <w:sz w:val="20"/>
          <w:szCs w:val="20"/>
          <w:lang w:val="es-CR"/>
        </w:rPr>
        <w:t xml:space="preserve"> cumplimiento de sus funciones. </w:t>
      </w:r>
    </w:p>
    <w:p w:rsidR="00DF15C3" w:rsidRPr="00F43223" w:rsidRDefault="00DF15C3" w:rsidP="003F26FD">
      <w:pPr>
        <w:spacing w:after="0" w:line="216" w:lineRule="auto"/>
        <w:ind w:right="-174"/>
        <w:jc w:val="both"/>
        <w:rPr>
          <w:rFonts w:ascii="Verdana" w:hAnsi="Verdana"/>
          <w:w w:val="95"/>
          <w:sz w:val="20"/>
          <w:szCs w:val="20"/>
          <w:lang w:val="es-EC"/>
        </w:rPr>
      </w:pPr>
      <w:r w:rsidRPr="00F43223">
        <w:rPr>
          <w:rFonts w:ascii="Verdana" w:hAnsi="Verdana" w:cs="Calibri"/>
          <w:w w:val="95"/>
          <w:sz w:val="20"/>
          <w:szCs w:val="20"/>
          <w:lang w:val="es-CR"/>
        </w:rPr>
        <w:t xml:space="preserve"> </w:t>
      </w:r>
    </w:p>
    <w:p w:rsidR="00DF15C3" w:rsidRPr="002857CA" w:rsidRDefault="00DF15C3" w:rsidP="003F26FD">
      <w:pPr>
        <w:numPr>
          <w:ilvl w:val="0"/>
          <w:numId w:val="17"/>
        </w:numPr>
        <w:spacing w:after="0" w:line="216" w:lineRule="auto"/>
        <w:ind w:left="-142" w:right="-174" w:hanging="11"/>
        <w:jc w:val="both"/>
        <w:rPr>
          <w:rFonts w:ascii="Verdana" w:hAnsi="Verdana"/>
          <w:w w:val="95"/>
          <w:sz w:val="20"/>
          <w:szCs w:val="20"/>
          <w:lang w:val="es-EC"/>
        </w:rPr>
      </w:pPr>
      <w:r w:rsidRPr="00BA711F">
        <w:rPr>
          <w:rFonts w:ascii="Verdana" w:eastAsia="Calibri" w:hAnsi="Verdana" w:cs="Calibri"/>
          <w:w w:val="95"/>
          <w:sz w:val="20"/>
          <w:szCs w:val="20"/>
          <w:lang w:val="es-CR"/>
        </w:rPr>
        <w:t>Por otra parte, también surge de la prueba que la Ley contra el Femicidio, aprobada en 2008, previó, en su artículo 15, la “</w:t>
      </w:r>
      <w:r>
        <w:rPr>
          <w:rFonts w:ascii="Verdana" w:eastAsia="Calibri" w:hAnsi="Verdana" w:cs="Calibri"/>
          <w:w w:val="95"/>
          <w:sz w:val="20"/>
          <w:szCs w:val="20"/>
          <w:lang w:val="es-CR"/>
        </w:rPr>
        <w:t>[</w:t>
      </w:r>
      <w:r w:rsidRPr="00BA711F">
        <w:rPr>
          <w:rFonts w:ascii="Verdana" w:eastAsia="Calibri" w:hAnsi="Verdana" w:cs="Calibri"/>
          <w:w w:val="95"/>
          <w:sz w:val="20"/>
          <w:szCs w:val="20"/>
          <w:lang w:val="es-CR"/>
        </w:rPr>
        <w:t>c</w:t>
      </w:r>
      <w:r>
        <w:rPr>
          <w:rFonts w:ascii="Verdana" w:eastAsia="Calibri" w:hAnsi="Verdana" w:cs="Calibri"/>
          <w:w w:val="95"/>
          <w:sz w:val="20"/>
          <w:szCs w:val="20"/>
          <w:lang w:val="es-CR"/>
        </w:rPr>
        <w:t>]</w:t>
      </w:r>
      <w:r w:rsidRPr="00BA711F">
        <w:rPr>
          <w:rFonts w:ascii="Verdana" w:eastAsia="Calibri" w:hAnsi="Verdana" w:cs="Calibri"/>
          <w:w w:val="95"/>
          <w:sz w:val="20"/>
          <w:szCs w:val="20"/>
          <w:lang w:val="es-CR"/>
        </w:rPr>
        <w:t xml:space="preserve">reación de </w:t>
      </w:r>
      <w:r>
        <w:rPr>
          <w:rFonts w:ascii="Verdana" w:eastAsia="Calibri" w:hAnsi="Verdana" w:cs="Calibri"/>
          <w:w w:val="95"/>
          <w:sz w:val="20"/>
          <w:szCs w:val="20"/>
          <w:lang w:val="es-CR"/>
        </w:rPr>
        <w:t xml:space="preserve">los </w:t>
      </w:r>
      <w:r w:rsidRPr="00BA711F">
        <w:rPr>
          <w:rFonts w:ascii="Verdana" w:eastAsia="Calibri" w:hAnsi="Verdana" w:cs="Calibri"/>
          <w:w w:val="95"/>
          <w:sz w:val="20"/>
          <w:szCs w:val="20"/>
          <w:lang w:val="es-CR"/>
        </w:rPr>
        <w:t>órganos jurisdiccionales especializados”. Además, en su artículo 14 estableció que “</w:t>
      </w:r>
      <w:r w:rsidRPr="00FB47E5">
        <w:rPr>
          <w:rFonts w:ascii="Verdana" w:eastAsia="Calibri" w:hAnsi="Verdana" w:cs="Calibri"/>
          <w:bCs/>
          <w:w w:val="95"/>
          <w:sz w:val="20"/>
          <w:szCs w:val="20"/>
          <w:lang w:val="es-CR"/>
        </w:rPr>
        <w:t xml:space="preserve">el Ministerio Público deberá crear la Fiscalía de Delitos contra la </w:t>
      </w:r>
      <w:r w:rsidRPr="002857CA">
        <w:rPr>
          <w:rFonts w:ascii="Verdana" w:eastAsia="Calibri" w:hAnsi="Verdana" w:cs="Calibri"/>
          <w:bCs/>
          <w:w w:val="95"/>
          <w:sz w:val="20"/>
          <w:szCs w:val="20"/>
          <w:lang w:val="es-CR"/>
        </w:rPr>
        <w:t>Vida e Integridad Física de la Mujer,</w:t>
      </w:r>
      <w:r w:rsidRPr="002857CA">
        <w:rPr>
          <w:rFonts w:ascii="Verdana" w:eastAsia="Calibri" w:hAnsi="Verdana"/>
          <w:bCs/>
          <w:w w:val="95"/>
          <w:sz w:val="20"/>
          <w:szCs w:val="20"/>
          <w:lang w:val="es-EC"/>
        </w:rPr>
        <w:t xml:space="preserve"> </w:t>
      </w:r>
      <w:r w:rsidRPr="002857CA">
        <w:rPr>
          <w:rFonts w:ascii="Verdana" w:eastAsia="Calibri" w:hAnsi="Verdana"/>
          <w:bCs/>
          <w:w w:val="95"/>
          <w:sz w:val="20"/>
          <w:szCs w:val="20"/>
          <w:lang w:val="es-CR"/>
        </w:rPr>
        <w:t>especializada en la investigación de los delitos creados por [dicha] ley, con los recursos presupuestarios, físicos, materiales, científicos y humanos que le permitan el cumplimiento de los fines de la misma”. El Estado ha informado que</w:t>
      </w:r>
      <w:r w:rsidR="002857CA" w:rsidRPr="002857CA">
        <w:rPr>
          <w:rFonts w:ascii="Verdana" w:eastAsia="Calibri" w:hAnsi="Verdana"/>
          <w:bCs/>
          <w:w w:val="95"/>
          <w:sz w:val="20"/>
          <w:szCs w:val="20"/>
          <w:lang w:val="es-CR"/>
        </w:rPr>
        <w:t xml:space="preserve"> </w:t>
      </w:r>
      <w:r w:rsidRPr="002857CA">
        <w:rPr>
          <w:rFonts w:ascii="Verdana" w:eastAsia="Calibri" w:hAnsi="Verdana"/>
          <w:bCs/>
          <w:w w:val="95"/>
          <w:sz w:val="20"/>
          <w:szCs w:val="20"/>
          <w:lang w:val="es-CR"/>
        </w:rPr>
        <w:t>“la Corte Suprema de Justicia de</w:t>
      </w:r>
      <w:r w:rsidRPr="002B1610">
        <w:rPr>
          <w:rFonts w:ascii="Verdana" w:eastAsia="Calibri" w:hAnsi="Verdana"/>
          <w:bCs/>
          <w:w w:val="95"/>
          <w:sz w:val="20"/>
          <w:szCs w:val="20"/>
          <w:lang w:val="es-CR"/>
        </w:rPr>
        <w:t xml:space="preserve"> Guatemala </w:t>
      </w:r>
      <w:r>
        <w:rPr>
          <w:rFonts w:ascii="Verdana" w:eastAsia="Calibri" w:hAnsi="Verdana"/>
          <w:bCs/>
          <w:w w:val="95"/>
          <w:sz w:val="20"/>
          <w:szCs w:val="20"/>
          <w:lang w:val="es-CR"/>
        </w:rPr>
        <w:t xml:space="preserve">mediante el acuerdo 1-2010” </w:t>
      </w:r>
      <w:r w:rsidRPr="002B1610">
        <w:rPr>
          <w:rFonts w:ascii="Verdana" w:eastAsia="Calibri" w:hAnsi="Verdana"/>
          <w:bCs/>
          <w:w w:val="95"/>
          <w:sz w:val="20"/>
          <w:szCs w:val="20"/>
          <w:lang w:val="es-CR"/>
        </w:rPr>
        <w:t xml:space="preserve">aprobó la creación de </w:t>
      </w:r>
      <w:r>
        <w:rPr>
          <w:rFonts w:ascii="Verdana" w:eastAsia="Calibri" w:hAnsi="Verdana"/>
          <w:bCs/>
          <w:w w:val="95"/>
          <w:sz w:val="20"/>
          <w:szCs w:val="20"/>
          <w:lang w:val="es-CR"/>
        </w:rPr>
        <w:t xml:space="preserve">los </w:t>
      </w:r>
      <w:r w:rsidRPr="002B1610">
        <w:rPr>
          <w:rFonts w:ascii="Verdana" w:eastAsia="Calibri" w:hAnsi="Verdana"/>
          <w:bCs/>
          <w:w w:val="95"/>
          <w:sz w:val="20"/>
          <w:szCs w:val="20"/>
          <w:lang w:val="es-CR"/>
        </w:rPr>
        <w:t>órganos jurisdiccionales especializados en ciertos departamentos del país, pero no surge de la información allegada al Tribunal que ello se haya hecho respecto del resto de los departamentos</w:t>
      </w:r>
      <w:r w:rsidRPr="002B1610">
        <w:rPr>
          <w:rStyle w:val="Refdenotaalpie"/>
          <w:rFonts w:ascii="Verdana" w:eastAsia="Calibri" w:hAnsi="Verdana"/>
          <w:bCs/>
          <w:w w:val="95"/>
          <w:sz w:val="20"/>
          <w:szCs w:val="20"/>
          <w:lang w:val="es-CR"/>
        </w:rPr>
        <w:footnoteReference w:id="354"/>
      </w:r>
      <w:r w:rsidRPr="002B1610">
        <w:rPr>
          <w:rFonts w:ascii="Verdana" w:eastAsia="Calibri" w:hAnsi="Verdana"/>
          <w:bCs/>
          <w:w w:val="95"/>
          <w:sz w:val="20"/>
          <w:szCs w:val="20"/>
          <w:lang w:val="es-CR"/>
        </w:rPr>
        <w:t>. Asimismo, no ha sido cuestion</w:t>
      </w:r>
      <w:r w:rsidR="002857CA">
        <w:rPr>
          <w:rFonts w:ascii="Verdana" w:eastAsia="Calibri" w:hAnsi="Verdana"/>
          <w:bCs/>
          <w:w w:val="95"/>
          <w:sz w:val="20"/>
          <w:szCs w:val="20"/>
          <w:lang w:val="es-CR"/>
        </w:rPr>
        <w:t xml:space="preserve">ada información presentada a la </w:t>
      </w:r>
      <w:r w:rsidRPr="002B1610">
        <w:rPr>
          <w:rFonts w:ascii="Verdana" w:eastAsia="Calibri" w:hAnsi="Verdana"/>
          <w:bCs/>
          <w:w w:val="95"/>
          <w:sz w:val="20"/>
          <w:szCs w:val="20"/>
          <w:lang w:val="es-CR"/>
        </w:rPr>
        <w:t>Corte la existencia de una situación de insuficiencia presupuestaria relativa al establecimiento de la Fiscalía de Delitos contra la Vida e Integridad Física de la Mujer, que fue advertida por un Acuerdo de la Fiscalía General de 3 de julio de 2008</w:t>
      </w:r>
      <w:r w:rsidRPr="002B1610">
        <w:rPr>
          <w:rStyle w:val="Refdenotaalpie"/>
          <w:rFonts w:ascii="Verdana" w:eastAsia="Calibri" w:hAnsi="Verdana"/>
          <w:bCs/>
          <w:w w:val="95"/>
          <w:sz w:val="20"/>
          <w:szCs w:val="20"/>
          <w:lang w:val="es-CR"/>
        </w:rPr>
        <w:footnoteReference w:id="355"/>
      </w:r>
      <w:r w:rsidRPr="002B1610">
        <w:rPr>
          <w:rFonts w:ascii="Verdana" w:eastAsia="Calibri" w:hAnsi="Verdana"/>
          <w:bCs/>
          <w:w w:val="95"/>
          <w:sz w:val="20"/>
          <w:szCs w:val="20"/>
          <w:lang w:val="es-CR"/>
        </w:rPr>
        <w:t>. La Corte no ha sido informada de que tal situación haya sido modificada. Además, es pertinente señalar que la Ley contra el Femicidio, aprobada en el año 2008, estableció en su artículo 21 que “[e]l Ministerio de Finanzas Públicas deberá asignar los recursos dentro del Presupuesto de Ingresos y Egresos del Estado, para[</w:t>
      </w:r>
      <w:r>
        <w:rPr>
          <w:rFonts w:ascii="Verdana" w:eastAsia="Calibri" w:hAnsi="Verdana"/>
          <w:bCs/>
          <w:w w:val="95"/>
          <w:sz w:val="20"/>
          <w:szCs w:val="20"/>
          <w:lang w:val="es-CR"/>
        </w:rPr>
        <w:t>,</w:t>
      </w:r>
      <w:r w:rsidR="001F276B">
        <w:rPr>
          <w:rFonts w:ascii="Verdana" w:eastAsia="Calibri" w:hAnsi="Verdana"/>
          <w:bCs/>
          <w:w w:val="95"/>
          <w:sz w:val="20"/>
          <w:szCs w:val="20"/>
          <w:lang w:val="es-CR"/>
        </w:rPr>
        <w:t xml:space="preserve"> </w:t>
      </w:r>
      <w:r w:rsidRPr="002B1610">
        <w:rPr>
          <w:rFonts w:ascii="Verdana" w:eastAsia="Calibri" w:hAnsi="Verdana"/>
          <w:bCs/>
          <w:i/>
          <w:w w:val="95"/>
          <w:sz w:val="20"/>
          <w:szCs w:val="20"/>
          <w:lang w:val="es-CR"/>
        </w:rPr>
        <w:t>inter alia</w:t>
      </w:r>
      <w:r>
        <w:rPr>
          <w:rFonts w:ascii="Verdana" w:eastAsia="Calibri" w:hAnsi="Verdana"/>
          <w:bCs/>
          <w:i/>
          <w:w w:val="95"/>
          <w:sz w:val="20"/>
          <w:szCs w:val="20"/>
          <w:lang w:val="es-CR"/>
        </w:rPr>
        <w:t>,</w:t>
      </w:r>
      <w:r w:rsidRPr="002B1610">
        <w:rPr>
          <w:rFonts w:ascii="Verdana" w:eastAsia="Calibri" w:hAnsi="Verdana"/>
          <w:bCs/>
          <w:i/>
          <w:w w:val="95"/>
          <w:sz w:val="20"/>
          <w:szCs w:val="20"/>
          <w:lang w:val="es-CR"/>
        </w:rPr>
        <w:t xml:space="preserve"> </w:t>
      </w:r>
      <w:r w:rsidRPr="002B1610">
        <w:rPr>
          <w:rFonts w:ascii="Verdana" w:eastAsia="Calibri" w:hAnsi="Verdana"/>
          <w:bCs/>
          <w:w w:val="95"/>
          <w:sz w:val="20"/>
          <w:szCs w:val="20"/>
          <w:lang w:val="es-CR"/>
        </w:rPr>
        <w:t>la c]reación de la Fiscalía de Delitos contra la Vida e Integridad Física de la Mujer [y la c]reación de órganos jurisdiccionales especializados para el conocimiento de los delitos contra la vida e in</w:t>
      </w:r>
      <w:r>
        <w:rPr>
          <w:rFonts w:ascii="Verdana" w:eastAsia="Calibri" w:hAnsi="Verdana"/>
          <w:bCs/>
          <w:w w:val="95"/>
          <w:sz w:val="20"/>
          <w:szCs w:val="20"/>
          <w:lang w:val="es-CR"/>
        </w:rPr>
        <w:t>tegridad física de la mujer”. La</w:t>
      </w:r>
      <w:r w:rsidRPr="002B1610">
        <w:rPr>
          <w:rFonts w:ascii="Verdana" w:eastAsia="Calibri" w:hAnsi="Verdana"/>
          <w:bCs/>
          <w:w w:val="95"/>
          <w:sz w:val="20"/>
          <w:szCs w:val="20"/>
          <w:lang w:val="es-CR"/>
        </w:rPr>
        <w:t xml:space="preserve"> ley, además, fijó en sus artículos 22 y 23 el plazo de 12 meses para el “estableci[miento]” de “[l]</w:t>
      </w:r>
      <w:r w:rsidRPr="002B1610">
        <w:rPr>
          <w:rFonts w:ascii="Verdana" w:hAnsi="Verdana"/>
          <w:bCs/>
          <w:w w:val="95"/>
          <w:sz w:val="20"/>
          <w:szCs w:val="20"/>
          <w:lang w:val="es-CR"/>
        </w:rPr>
        <w:t>os órganos jurisdiccionales especializados a que se refiere el a</w:t>
      </w:r>
      <w:r w:rsidRPr="002857CA">
        <w:rPr>
          <w:rFonts w:ascii="Verdana" w:hAnsi="Verdana"/>
          <w:bCs/>
          <w:w w:val="95"/>
          <w:sz w:val="20"/>
          <w:szCs w:val="20"/>
          <w:lang w:val="es-CR"/>
        </w:rPr>
        <w:t>rtículo 15 […] en toda la República”,</w:t>
      </w:r>
      <w:r w:rsidR="00D97216" w:rsidRPr="002857CA">
        <w:rPr>
          <w:rFonts w:ascii="Verdana" w:hAnsi="Verdana"/>
          <w:bCs/>
          <w:w w:val="95"/>
          <w:sz w:val="20"/>
          <w:szCs w:val="20"/>
          <w:lang w:val="es-CR"/>
        </w:rPr>
        <w:t xml:space="preserve"> y</w:t>
      </w:r>
      <w:r w:rsidRPr="002857CA">
        <w:rPr>
          <w:rFonts w:ascii="Verdana" w:hAnsi="Verdana"/>
          <w:bCs/>
          <w:w w:val="95"/>
          <w:sz w:val="20"/>
          <w:szCs w:val="20"/>
          <w:lang w:val="es-CR"/>
        </w:rPr>
        <w:t xml:space="preserve"> “[l]a fiscalía a la que se refiere el artículo 14”. Por otra parte, el</w:t>
      </w:r>
      <w:r w:rsidRPr="002857CA">
        <w:rPr>
          <w:rFonts w:ascii="Verdana" w:hAnsi="Verdana" w:cs="Calibri"/>
          <w:w w:val="95"/>
          <w:sz w:val="20"/>
          <w:szCs w:val="20"/>
          <w:lang w:val="es-CR"/>
        </w:rPr>
        <w:t xml:space="preserve"> Organismo Judicial, en su “Primer Informe sobre Juzgados y Tribunales Penales de Delitos de Femicidio y otras Formas de Violencia contra la Mujer”, emitido en 2012, reconoció que </w:t>
      </w:r>
      <w:r w:rsidR="00D97216" w:rsidRPr="002857CA">
        <w:rPr>
          <w:rFonts w:ascii="Verdana" w:hAnsi="Verdana" w:cs="Calibri"/>
          <w:w w:val="95"/>
          <w:sz w:val="20"/>
          <w:szCs w:val="20"/>
          <w:lang w:val="es-CR"/>
        </w:rPr>
        <w:t>“[d]espué</w:t>
      </w:r>
      <w:r w:rsidRPr="002857CA">
        <w:rPr>
          <w:rFonts w:ascii="Verdana" w:hAnsi="Verdana" w:cs="Calibri"/>
          <w:w w:val="95"/>
          <w:sz w:val="20"/>
          <w:szCs w:val="20"/>
          <w:lang w:val="es-CR"/>
        </w:rPr>
        <w:t>s de entrada en vigencia la Ley contra el Femicidio […] la capacidad de respuesta estatal no ha sido proporcional en materia de investigación, sanción y reparación del daño”. En forma similar se ha expresado la CONAPREVI</w:t>
      </w:r>
      <w:r w:rsidRPr="002857CA">
        <w:rPr>
          <w:rStyle w:val="Refdenotaalpie"/>
          <w:rFonts w:ascii="Verdana" w:hAnsi="Verdana" w:cs="Calibri"/>
          <w:w w:val="95"/>
          <w:sz w:val="20"/>
        </w:rPr>
        <w:footnoteReference w:id="356"/>
      </w:r>
      <w:r w:rsidRPr="002857CA">
        <w:rPr>
          <w:rFonts w:ascii="Verdana" w:hAnsi="Verdana" w:cs="Calibri"/>
          <w:w w:val="95"/>
          <w:sz w:val="20"/>
          <w:szCs w:val="20"/>
          <w:lang w:val="es-CR"/>
        </w:rPr>
        <w:t xml:space="preserve">. </w:t>
      </w:r>
    </w:p>
    <w:p w:rsidR="00DF15C3" w:rsidRDefault="00DF15C3" w:rsidP="003F26FD">
      <w:pPr>
        <w:spacing w:after="0" w:line="216" w:lineRule="auto"/>
        <w:ind w:left="-142" w:right="-174"/>
        <w:jc w:val="both"/>
        <w:rPr>
          <w:rFonts w:ascii="Verdana" w:hAnsi="Verdana"/>
          <w:w w:val="95"/>
          <w:sz w:val="20"/>
          <w:szCs w:val="20"/>
          <w:lang w:val="es-EC"/>
        </w:rPr>
      </w:pPr>
    </w:p>
    <w:p w:rsidR="00DF15C3" w:rsidRPr="00F43223" w:rsidRDefault="00DF15C3" w:rsidP="003F26FD">
      <w:pPr>
        <w:numPr>
          <w:ilvl w:val="0"/>
          <w:numId w:val="17"/>
        </w:numPr>
        <w:spacing w:after="0" w:line="216" w:lineRule="auto"/>
        <w:ind w:left="-142" w:right="-174" w:hanging="11"/>
        <w:jc w:val="both"/>
        <w:rPr>
          <w:rFonts w:ascii="Verdana" w:hAnsi="Verdana"/>
          <w:bCs/>
          <w:w w:val="95"/>
          <w:sz w:val="20"/>
          <w:szCs w:val="20"/>
          <w:lang w:val="es-CR"/>
        </w:rPr>
      </w:pPr>
      <w:r w:rsidRPr="002B1610">
        <w:rPr>
          <w:rFonts w:ascii="Verdana" w:hAnsi="Verdana"/>
          <w:bCs/>
          <w:w w:val="95"/>
          <w:sz w:val="20"/>
          <w:szCs w:val="20"/>
          <w:lang w:val="es-CR"/>
        </w:rPr>
        <w:t xml:space="preserve">Por lo expuesto, teniendo en cuenta lo normado por la Ley contra el Femicidio, la Corte considera </w:t>
      </w:r>
      <w:r w:rsidRPr="002857CA">
        <w:rPr>
          <w:rFonts w:ascii="Verdana" w:hAnsi="Verdana"/>
          <w:bCs/>
          <w:w w:val="95"/>
          <w:sz w:val="20"/>
          <w:szCs w:val="20"/>
          <w:lang w:val="es-CR"/>
        </w:rPr>
        <w:t>pertinente ordenar al Est</w:t>
      </w:r>
      <w:r w:rsidR="005F48F7" w:rsidRPr="002857CA">
        <w:rPr>
          <w:rFonts w:ascii="Verdana" w:hAnsi="Verdana"/>
          <w:bCs/>
          <w:w w:val="95"/>
          <w:sz w:val="20"/>
          <w:szCs w:val="20"/>
          <w:lang w:val="es-CR"/>
        </w:rPr>
        <w:t xml:space="preserve">ado que, en un plazo razonable, </w:t>
      </w:r>
      <w:r w:rsidRPr="002857CA">
        <w:rPr>
          <w:rFonts w:ascii="Verdana" w:hAnsi="Verdana"/>
          <w:bCs/>
          <w:w w:val="95"/>
          <w:sz w:val="20"/>
          <w:szCs w:val="20"/>
          <w:lang w:val="es-CR"/>
        </w:rPr>
        <w:t>implemente el funcionamiento pleno de los “órganos jurisdiccionales especializados […] en toda la República”, así como de la fiscalía especializada indicada en dicha norma.</w:t>
      </w:r>
      <w:r w:rsidRPr="002B1610">
        <w:rPr>
          <w:rFonts w:ascii="Verdana" w:hAnsi="Verdana"/>
          <w:bCs/>
          <w:w w:val="95"/>
          <w:sz w:val="20"/>
          <w:szCs w:val="20"/>
          <w:lang w:val="es-CR"/>
        </w:rPr>
        <w:t xml:space="preserve"> </w:t>
      </w:r>
    </w:p>
    <w:p w:rsidR="00DF15C3" w:rsidRPr="00BA711F" w:rsidRDefault="00DF15C3" w:rsidP="003F26FD">
      <w:pPr>
        <w:spacing w:after="0" w:line="216" w:lineRule="auto"/>
        <w:ind w:right="-174"/>
        <w:jc w:val="both"/>
        <w:rPr>
          <w:rFonts w:ascii="Verdana" w:hAnsi="Verdana"/>
          <w:bCs/>
          <w:w w:val="95"/>
          <w:sz w:val="20"/>
          <w:szCs w:val="20"/>
          <w:lang w:val="es-CR"/>
        </w:rPr>
      </w:pPr>
    </w:p>
    <w:p w:rsidR="00DF15C3" w:rsidRPr="00FB47E5" w:rsidRDefault="00DF15C3" w:rsidP="003F26FD">
      <w:pPr>
        <w:pStyle w:val="Ttulo3"/>
        <w:spacing w:before="0" w:line="216" w:lineRule="auto"/>
        <w:ind w:left="567" w:right="-174"/>
        <w:jc w:val="both"/>
        <w:rPr>
          <w:rFonts w:ascii="Verdana" w:hAnsi="Verdana"/>
          <w:i/>
          <w:color w:val="auto"/>
          <w:w w:val="95"/>
          <w:sz w:val="20"/>
          <w:lang w:val="es-CR"/>
        </w:rPr>
      </w:pPr>
      <w:bookmarkStart w:id="141" w:name="_Toc394313705"/>
      <w:r w:rsidRPr="00BA711F">
        <w:rPr>
          <w:rFonts w:ascii="Verdana" w:hAnsi="Verdana"/>
          <w:i/>
          <w:color w:val="auto"/>
          <w:w w:val="95"/>
          <w:sz w:val="20"/>
          <w:lang w:val="es-CR"/>
        </w:rPr>
        <w:t>D.2) Adopción de políticas públicas y programas institucionales integrados destinados a eliminar los estereotipos discriminatorios sobre el rol de las mujeres y promover la erradicación de patrones socioculturales discriminatorios que impiden su acceso pleno a la justicia</w:t>
      </w:r>
      <w:bookmarkEnd w:id="141"/>
    </w:p>
    <w:p w:rsidR="00DF15C3" w:rsidRPr="00B457A2" w:rsidRDefault="00DF15C3" w:rsidP="003F26FD">
      <w:pPr>
        <w:pStyle w:val="Ttulo4"/>
        <w:ind w:left="851" w:right="-174"/>
        <w:rPr>
          <w:rFonts w:ascii="Verdana" w:hAnsi="Verdana"/>
          <w:b w:val="0"/>
          <w:color w:val="auto"/>
          <w:w w:val="95"/>
          <w:sz w:val="20"/>
          <w:u w:val="single"/>
        </w:rPr>
      </w:pPr>
      <w:bookmarkStart w:id="142" w:name="_Toc394313706"/>
      <w:r w:rsidRPr="00B457A2">
        <w:rPr>
          <w:rFonts w:ascii="Verdana" w:hAnsi="Verdana"/>
          <w:b w:val="0"/>
          <w:color w:val="auto"/>
          <w:w w:val="95"/>
          <w:sz w:val="20"/>
          <w:u w:val="single"/>
        </w:rPr>
        <w:t>D.2.1. Argume</w:t>
      </w:r>
      <w:r>
        <w:rPr>
          <w:rFonts w:ascii="Verdana" w:hAnsi="Verdana"/>
          <w:b w:val="0"/>
          <w:color w:val="auto"/>
          <w:w w:val="95"/>
          <w:sz w:val="20"/>
          <w:u w:val="single"/>
        </w:rPr>
        <w:t>n</w:t>
      </w:r>
      <w:r w:rsidRPr="00B457A2">
        <w:rPr>
          <w:rFonts w:ascii="Verdana" w:hAnsi="Verdana"/>
          <w:b w:val="0"/>
          <w:color w:val="auto"/>
          <w:w w:val="95"/>
          <w:sz w:val="20"/>
          <w:u w:val="single"/>
        </w:rPr>
        <w:t xml:space="preserve">tos de la Comisión y </w:t>
      </w:r>
      <w:r w:rsidRPr="00EF0A7B">
        <w:rPr>
          <w:rFonts w:ascii="Verdana" w:hAnsi="Verdana"/>
          <w:b w:val="0"/>
          <w:color w:val="auto"/>
          <w:w w:val="95"/>
          <w:sz w:val="20"/>
          <w:u w:val="single"/>
        </w:rPr>
        <w:t>las partes</w:t>
      </w:r>
      <w:bookmarkEnd w:id="142"/>
    </w:p>
    <w:p w:rsidR="00DF15C3" w:rsidRPr="00FB47E5" w:rsidRDefault="00DF15C3" w:rsidP="003F26FD">
      <w:pPr>
        <w:spacing w:after="0" w:line="216" w:lineRule="auto"/>
        <w:ind w:left="-142" w:right="-174"/>
        <w:jc w:val="both"/>
        <w:rPr>
          <w:rFonts w:ascii="Verdana" w:eastAsia="Calibri" w:hAnsi="Verdana"/>
          <w:b/>
          <w:bCs/>
          <w:w w:val="95"/>
          <w:sz w:val="20"/>
          <w:szCs w:val="20"/>
          <w:lang w:val="es-CR"/>
        </w:rPr>
      </w:pPr>
    </w:p>
    <w:p w:rsidR="00DF15C3" w:rsidRPr="002B1610" w:rsidRDefault="00DF15C3" w:rsidP="003F26FD">
      <w:pPr>
        <w:numPr>
          <w:ilvl w:val="0"/>
          <w:numId w:val="17"/>
        </w:numPr>
        <w:spacing w:after="0" w:line="216" w:lineRule="auto"/>
        <w:ind w:left="-142" w:right="-174" w:hanging="11"/>
        <w:jc w:val="both"/>
        <w:rPr>
          <w:rFonts w:ascii="Verdana" w:eastAsia="Calibri" w:hAnsi="Verdana"/>
          <w:w w:val="95"/>
          <w:sz w:val="20"/>
          <w:szCs w:val="20"/>
          <w:lang w:val="es-EC"/>
        </w:rPr>
      </w:pPr>
      <w:r w:rsidRPr="00BA711F">
        <w:rPr>
          <w:rFonts w:ascii="Verdana" w:hAnsi="Verdana"/>
          <w:b/>
          <w:bCs/>
          <w:w w:val="95"/>
          <w:sz w:val="20"/>
          <w:szCs w:val="20"/>
          <w:lang w:val="es-CR"/>
        </w:rPr>
        <w:t xml:space="preserve">La </w:t>
      </w:r>
      <w:r w:rsidRPr="00BA711F">
        <w:rPr>
          <w:rFonts w:ascii="Verdana" w:hAnsi="Verdana"/>
          <w:b/>
          <w:bCs/>
          <w:i/>
          <w:w w:val="95"/>
          <w:sz w:val="20"/>
          <w:szCs w:val="20"/>
          <w:lang w:val="es-CR"/>
        </w:rPr>
        <w:t>Comisión</w:t>
      </w:r>
      <w:r w:rsidRPr="00BA711F">
        <w:rPr>
          <w:rFonts w:ascii="Verdana" w:hAnsi="Verdana"/>
          <w:b/>
          <w:bCs/>
          <w:w w:val="95"/>
          <w:sz w:val="20"/>
          <w:szCs w:val="20"/>
          <w:lang w:val="es-CR"/>
        </w:rPr>
        <w:t xml:space="preserve"> </w:t>
      </w:r>
      <w:r w:rsidRPr="00EF0A7B">
        <w:rPr>
          <w:rFonts w:ascii="Verdana" w:hAnsi="Verdana"/>
          <w:bCs/>
          <w:w w:val="95"/>
          <w:sz w:val="20"/>
          <w:szCs w:val="20"/>
          <w:lang w:val="es-CR"/>
        </w:rPr>
        <w:t>indicó que dichas políticas públicas y programas institucionales deben</w:t>
      </w:r>
      <w:r w:rsidRPr="00EF0A7B">
        <w:rPr>
          <w:rFonts w:ascii="Verdana" w:hAnsi="Verdana"/>
          <w:w w:val="95"/>
          <w:sz w:val="20"/>
          <w:szCs w:val="20"/>
          <w:lang w:val="es-EC"/>
        </w:rPr>
        <w:t xml:space="preserve"> incluir “progr</w:t>
      </w:r>
      <w:r w:rsidRPr="002B1610">
        <w:rPr>
          <w:rFonts w:ascii="Verdana" w:hAnsi="Verdana"/>
          <w:w w:val="95"/>
          <w:sz w:val="20"/>
          <w:szCs w:val="20"/>
          <w:lang w:val="es-EC"/>
        </w:rPr>
        <w:t>amas de capacitación para funcionarios públicos en todos los sectores del Estado, incluyendo el sector educación, las ramas de la administración de la justicia y la policía, y políticas integrales de prevención”.</w:t>
      </w:r>
    </w:p>
    <w:p w:rsidR="00DF15C3" w:rsidRPr="002B1610" w:rsidRDefault="00DF15C3" w:rsidP="003F26FD">
      <w:pPr>
        <w:spacing w:after="0" w:line="216" w:lineRule="auto"/>
        <w:ind w:left="-142" w:right="-174" w:hanging="11"/>
        <w:jc w:val="both"/>
        <w:rPr>
          <w:rFonts w:ascii="Verdana" w:eastAsia="Calibri" w:hAnsi="Verdana"/>
          <w:w w:val="95"/>
          <w:sz w:val="20"/>
          <w:szCs w:val="20"/>
          <w:lang w:val="es-EC"/>
        </w:rPr>
      </w:pPr>
    </w:p>
    <w:p w:rsidR="00DF15C3" w:rsidRPr="002B1610" w:rsidRDefault="00DF15C3" w:rsidP="003F26FD">
      <w:pPr>
        <w:numPr>
          <w:ilvl w:val="0"/>
          <w:numId w:val="17"/>
        </w:numPr>
        <w:spacing w:after="0" w:line="216" w:lineRule="auto"/>
        <w:ind w:left="-142" w:right="-174" w:hanging="11"/>
        <w:jc w:val="both"/>
        <w:rPr>
          <w:rFonts w:ascii="Verdana" w:eastAsia="Calibri" w:hAnsi="Verdana"/>
          <w:w w:val="95"/>
          <w:sz w:val="20"/>
          <w:szCs w:val="20"/>
          <w:lang w:val="es-EC"/>
        </w:rPr>
      </w:pPr>
      <w:r w:rsidRPr="002B1610">
        <w:rPr>
          <w:rFonts w:ascii="Verdana" w:hAnsi="Verdana"/>
          <w:w w:val="95"/>
          <w:sz w:val="20"/>
          <w:szCs w:val="20"/>
          <w:lang w:val="es-EC"/>
        </w:rPr>
        <w:t xml:space="preserve">Al respecto, la </w:t>
      </w:r>
      <w:r w:rsidRPr="002B1610">
        <w:rPr>
          <w:rFonts w:ascii="Verdana" w:hAnsi="Verdana"/>
          <w:b/>
          <w:i/>
          <w:w w:val="95"/>
          <w:sz w:val="20"/>
          <w:szCs w:val="20"/>
          <w:lang w:val="es-EC"/>
        </w:rPr>
        <w:t>representante</w:t>
      </w:r>
      <w:r w:rsidRPr="002B1610">
        <w:rPr>
          <w:rFonts w:ascii="Verdana" w:hAnsi="Verdana"/>
          <w:w w:val="95"/>
          <w:sz w:val="20"/>
          <w:szCs w:val="20"/>
          <w:lang w:val="es-EC"/>
        </w:rPr>
        <w:t xml:space="preserve"> indic</w:t>
      </w:r>
      <w:r>
        <w:rPr>
          <w:rFonts w:ascii="Verdana" w:hAnsi="Verdana"/>
          <w:w w:val="95"/>
          <w:sz w:val="20"/>
          <w:szCs w:val="20"/>
          <w:lang w:val="es-EC"/>
        </w:rPr>
        <w:t>ó</w:t>
      </w:r>
      <w:r w:rsidRPr="002B1610">
        <w:rPr>
          <w:rFonts w:ascii="Verdana" w:hAnsi="Verdana"/>
          <w:w w:val="95"/>
          <w:sz w:val="20"/>
          <w:szCs w:val="20"/>
          <w:lang w:val="es-EC"/>
        </w:rPr>
        <w:t xml:space="preserve"> que es necesario que el Estado “adopte una serie de medidas con el fin de promover la eliminación de los estereotipos y patrones socio-culturales discriminatorios y garantizar el pleno acceso a la justicia de las mujeres víctimas de violencia”. Entre dichas medidas señalaron: a) la </w:t>
      </w:r>
      <w:r>
        <w:rPr>
          <w:rFonts w:ascii="Verdana" w:hAnsi="Verdana"/>
          <w:w w:val="95"/>
          <w:sz w:val="20"/>
          <w:szCs w:val="20"/>
          <w:lang w:val="es-EC"/>
        </w:rPr>
        <w:t>“[</w:t>
      </w:r>
      <w:r w:rsidRPr="002B1610">
        <w:rPr>
          <w:rFonts w:ascii="Verdana" w:hAnsi="Verdana"/>
          <w:w w:val="95"/>
          <w:sz w:val="20"/>
          <w:szCs w:val="20"/>
          <w:lang w:val="es-EC"/>
        </w:rPr>
        <w:t>c</w:t>
      </w:r>
      <w:r>
        <w:rPr>
          <w:rFonts w:ascii="Verdana" w:hAnsi="Verdana"/>
          <w:w w:val="95"/>
          <w:sz w:val="20"/>
          <w:szCs w:val="20"/>
          <w:lang w:val="es-EC"/>
        </w:rPr>
        <w:t>]</w:t>
      </w:r>
      <w:r w:rsidRPr="002B1610">
        <w:rPr>
          <w:rFonts w:ascii="Verdana" w:hAnsi="Verdana"/>
          <w:w w:val="95"/>
          <w:sz w:val="20"/>
          <w:szCs w:val="20"/>
          <w:lang w:val="es-EC"/>
        </w:rPr>
        <w:t>reación de un protocolo de acción inmediata en casos de desaparición de niñas, adolescentes y mujeres</w:t>
      </w:r>
      <w:r>
        <w:rPr>
          <w:rFonts w:ascii="Verdana" w:hAnsi="Verdana"/>
          <w:w w:val="95"/>
          <w:sz w:val="20"/>
          <w:szCs w:val="20"/>
          <w:lang w:val="es-EC"/>
        </w:rPr>
        <w:t>”;</w:t>
      </w:r>
      <w:r w:rsidRPr="002B1610">
        <w:rPr>
          <w:rFonts w:ascii="Verdana" w:hAnsi="Verdana"/>
          <w:w w:val="95"/>
          <w:sz w:val="20"/>
          <w:szCs w:val="20"/>
          <w:lang w:val="es-EC"/>
        </w:rPr>
        <w:t xml:space="preserve"> b) </w:t>
      </w:r>
      <w:r>
        <w:rPr>
          <w:rFonts w:ascii="Verdana" w:hAnsi="Verdana"/>
          <w:w w:val="95"/>
          <w:sz w:val="20"/>
          <w:szCs w:val="20"/>
          <w:lang w:val="es-EC"/>
        </w:rPr>
        <w:t>la “[</w:t>
      </w:r>
      <w:r w:rsidRPr="002B1610">
        <w:rPr>
          <w:rFonts w:ascii="Verdana" w:hAnsi="Verdana"/>
          <w:w w:val="95"/>
          <w:sz w:val="20"/>
          <w:szCs w:val="20"/>
          <w:lang w:val="es-EC"/>
        </w:rPr>
        <w:t>a</w:t>
      </w:r>
      <w:r>
        <w:rPr>
          <w:rFonts w:ascii="Verdana" w:hAnsi="Verdana"/>
          <w:w w:val="95"/>
          <w:sz w:val="20"/>
          <w:szCs w:val="20"/>
          <w:lang w:val="es-EC"/>
        </w:rPr>
        <w:t>]</w:t>
      </w:r>
      <w:r w:rsidRPr="002B1610">
        <w:rPr>
          <w:rFonts w:ascii="Verdana" w:hAnsi="Verdana"/>
          <w:w w:val="95"/>
          <w:sz w:val="20"/>
          <w:szCs w:val="20"/>
          <w:lang w:val="es-EC"/>
        </w:rPr>
        <w:t>dopción de protocolos estandarizados de actuación conjunta para la atención e investigación de casos de violencia contra las mujeres y con perspectiva de derechos humanos de las mujeres</w:t>
      </w:r>
      <w:r>
        <w:rPr>
          <w:rFonts w:ascii="Verdana" w:hAnsi="Verdana"/>
          <w:w w:val="95"/>
          <w:sz w:val="20"/>
          <w:szCs w:val="20"/>
          <w:lang w:val="es-EC"/>
        </w:rPr>
        <w:t>”;</w:t>
      </w:r>
      <w:r w:rsidRPr="002B1610">
        <w:rPr>
          <w:rFonts w:ascii="Verdana" w:hAnsi="Verdana"/>
          <w:w w:val="95"/>
          <w:sz w:val="20"/>
          <w:szCs w:val="20"/>
          <w:lang w:val="es-EC"/>
        </w:rPr>
        <w:t xml:space="preserve"> c) </w:t>
      </w:r>
      <w:r>
        <w:rPr>
          <w:rFonts w:ascii="Verdana" w:hAnsi="Verdana"/>
          <w:w w:val="95"/>
          <w:sz w:val="20"/>
          <w:szCs w:val="20"/>
          <w:lang w:val="es-EC"/>
        </w:rPr>
        <w:t>la “[</w:t>
      </w:r>
      <w:r w:rsidRPr="002B1610">
        <w:rPr>
          <w:rFonts w:ascii="Verdana" w:hAnsi="Verdana"/>
          <w:w w:val="95"/>
          <w:sz w:val="20"/>
          <w:szCs w:val="20"/>
          <w:lang w:val="es-EC"/>
        </w:rPr>
        <w:t>c</w:t>
      </w:r>
      <w:r>
        <w:rPr>
          <w:rFonts w:ascii="Verdana" w:hAnsi="Verdana"/>
          <w:w w:val="95"/>
          <w:sz w:val="20"/>
          <w:szCs w:val="20"/>
          <w:lang w:val="es-EC"/>
        </w:rPr>
        <w:t>]</w:t>
      </w:r>
      <w:r w:rsidRPr="002B1610">
        <w:rPr>
          <w:rFonts w:ascii="Verdana" w:hAnsi="Verdana"/>
          <w:w w:val="95"/>
          <w:sz w:val="20"/>
          <w:szCs w:val="20"/>
          <w:lang w:val="es-EC"/>
        </w:rPr>
        <w:t>reación de una unidad de análisis y apoyo a las investigaciones de cosas de muertes violentas de mujeres</w:t>
      </w:r>
      <w:r>
        <w:rPr>
          <w:rFonts w:ascii="Verdana" w:hAnsi="Verdana"/>
          <w:w w:val="95"/>
          <w:sz w:val="20"/>
          <w:szCs w:val="20"/>
          <w:lang w:val="es-EC"/>
        </w:rPr>
        <w:t>”;</w:t>
      </w:r>
      <w:r w:rsidRPr="002B1610">
        <w:rPr>
          <w:rFonts w:ascii="Verdana" w:hAnsi="Verdana"/>
          <w:w w:val="95"/>
          <w:sz w:val="20"/>
          <w:szCs w:val="20"/>
          <w:lang w:val="es-EC"/>
        </w:rPr>
        <w:t xml:space="preserve"> d) </w:t>
      </w:r>
      <w:r>
        <w:rPr>
          <w:rFonts w:ascii="Verdana" w:hAnsi="Verdana"/>
          <w:w w:val="95"/>
          <w:sz w:val="20"/>
          <w:szCs w:val="20"/>
          <w:lang w:val="es-EC"/>
        </w:rPr>
        <w:t>la “</w:t>
      </w:r>
      <w:r w:rsidRPr="002B1610">
        <w:rPr>
          <w:rFonts w:ascii="Verdana" w:hAnsi="Verdana"/>
          <w:w w:val="95"/>
          <w:sz w:val="20"/>
          <w:szCs w:val="20"/>
          <w:lang w:val="es-EC"/>
        </w:rPr>
        <w:t>implementa</w:t>
      </w:r>
      <w:r>
        <w:rPr>
          <w:rFonts w:ascii="Verdana" w:hAnsi="Verdana"/>
          <w:w w:val="95"/>
          <w:sz w:val="20"/>
          <w:szCs w:val="20"/>
          <w:lang w:val="es-EC"/>
        </w:rPr>
        <w:t xml:space="preserve">[ción de] </w:t>
      </w:r>
      <w:r w:rsidRPr="002B1610">
        <w:rPr>
          <w:rFonts w:ascii="Verdana" w:hAnsi="Verdana"/>
          <w:w w:val="95"/>
          <w:sz w:val="20"/>
          <w:szCs w:val="20"/>
          <w:lang w:val="es-EC"/>
        </w:rPr>
        <w:t>programas de formación y capacitación para funcionarios</w:t>
      </w:r>
      <w:r>
        <w:rPr>
          <w:rFonts w:ascii="Verdana" w:hAnsi="Verdana"/>
          <w:w w:val="95"/>
          <w:sz w:val="20"/>
          <w:szCs w:val="20"/>
          <w:lang w:val="es-EC"/>
        </w:rPr>
        <w:t xml:space="preserve"> públicos”</w:t>
      </w:r>
      <w:r w:rsidRPr="002B1610">
        <w:rPr>
          <w:rFonts w:ascii="Verdana" w:hAnsi="Verdana"/>
          <w:w w:val="95"/>
          <w:sz w:val="20"/>
          <w:szCs w:val="20"/>
          <w:lang w:val="es-EC"/>
        </w:rPr>
        <w:t xml:space="preserve">, como un </w:t>
      </w:r>
      <w:r>
        <w:rPr>
          <w:rFonts w:ascii="Verdana" w:hAnsi="Verdana"/>
          <w:w w:val="95"/>
          <w:sz w:val="20"/>
          <w:szCs w:val="20"/>
          <w:lang w:val="es-EC"/>
        </w:rPr>
        <w:t>“[</w:t>
      </w:r>
      <w:r w:rsidRPr="002B1610">
        <w:rPr>
          <w:rFonts w:ascii="Verdana" w:hAnsi="Verdana"/>
          <w:w w:val="95"/>
          <w:sz w:val="20"/>
          <w:szCs w:val="20"/>
          <w:lang w:val="es-EC"/>
        </w:rPr>
        <w:t>p</w:t>
      </w:r>
      <w:r>
        <w:rPr>
          <w:rFonts w:ascii="Verdana" w:hAnsi="Verdana"/>
          <w:w w:val="95"/>
          <w:sz w:val="20"/>
          <w:szCs w:val="20"/>
          <w:lang w:val="es-EC"/>
        </w:rPr>
        <w:t>]</w:t>
      </w:r>
      <w:r w:rsidRPr="002B1610">
        <w:rPr>
          <w:rFonts w:ascii="Verdana" w:hAnsi="Verdana"/>
          <w:w w:val="95"/>
          <w:sz w:val="20"/>
          <w:szCs w:val="20"/>
          <w:lang w:val="es-EC"/>
        </w:rPr>
        <w:t>rograma de formación permanente sobre estándares de debida diligencia en la investigación con perspectiva de derechos humanos de las mujeres</w:t>
      </w:r>
      <w:r>
        <w:rPr>
          <w:rFonts w:ascii="Verdana" w:hAnsi="Verdana"/>
          <w:w w:val="95"/>
          <w:sz w:val="20"/>
          <w:szCs w:val="20"/>
          <w:lang w:val="es-EC"/>
        </w:rPr>
        <w:t>”</w:t>
      </w:r>
      <w:r w:rsidRPr="002B1610">
        <w:rPr>
          <w:rFonts w:ascii="Verdana" w:hAnsi="Verdana"/>
          <w:w w:val="95"/>
          <w:sz w:val="20"/>
          <w:szCs w:val="20"/>
          <w:lang w:val="es-EC"/>
        </w:rPr>
        <w:t xml:space="preserve">, </w:t>
      </w:r>
      <w:r>
        <w:rPr>
          <w:rFonts w:ascii="Verdana" w:hAnsi="Verdana"/>
          <w:w w:val="95"/>
          <w:sz w:val="20"/>
          <w:szCs w:val="20"/>
          <w:lang w:val="es-EC"/>
        </w:rPr>
        <w:t xml:space="preserve">y </w:t>
      </w:r>
      <w:r w:rsidRPr="002B1610">
        <w:rPr>
          <w:rFonts w:ascii="Verdana" w:hAnsi="Verdana"/>
          <w:w w:val="95"/>
          <w:sz w:val="20"/>
          <w:szCs w:val="20"/>
          <w:lang w:val="es-EC"/>
        </w:rPr>
        <w:t xml:space="preserve">un </w:t>
      </w:r>
      <w:r>
        <w:rPr>
          <w:rFonts w:ascii="Verdana" w:hAnsi="Verdana"/>
          <w:w w:val="95"/>
          <w:sz w:val="20"/>
          <w:szCs w:val="20"/>
          <w:lang w:val="es-EC"/>
        </w:rPr>
        <w:t>“[</w:t>
      </w:r>
      <w:r w:rsidRPr="002B1610">
        <w:rPr>
          <w:rFonts w:ascii="Verdana" w:hAnsi="Verdana"/>
          <w:w w:val="95"/>
          <w:sz w:val="20"/>
          <w:szCs w:val="20"/>
          <w:lang w:val="es-EC"/>
        </w:rPr>
        <w:t>p</w:t>
      </w:r>
      <w:r>
        <w:rPr>
          <w:rFonts w:ascii="Verdana" w:hAnsi="Verdana"/>
          <w:w w:val="95"/>
          <w:sz w:val="20"/>
          <w:szCs w:val="20"/>
          <w:lang w:val="es-EC"/>
        </w:rPr>
        <w:t>]</w:t>
      </w:r>
      <w:r w:rsidRPr="002B1610">
        <w:rPr>
          <w:rFonts w:ascii="Verdana" w:hAnsi="Verdana"/>
          <w:w w:val="95"/>
          <w:sz w:val="20"/>
          <w:szCs w:val="20"/>
          <w:lang w:val="es-EC"/>
        </w:rPr>
        <w:t>rograma de formación permanente sobre estándares en materia de prevención, sanción y erradicación de la violencia contra las mujeres</w:t>
      </w:r>
      <w:r>
        <w:rPr>
          <w:rFonts w:ascii="Verdana" w:hAnsi="Verdana"/>
          <w:w w:val="95"/>
          <w:sz w:val="20"/>
          <w:szCs w:val="20"/>
          <w:lang w:val="es-EC"/>
        </w:rPr>
        <w:t>”</w:t>
      </w:r>
      <w:r w:rsidRPr="002B1610">
        <w:rPr>
          <w:rFonts w:ascii="Verdana" w:hAnsi="Verdana"/>
          <w:w w:val="95"/>
          <w:sz w:val="20"/>
          <w:szCs w:val="20"/>
          <w:lang w:val="es-EC"/>
        </w:rPr>
        <w:t xml:space="preserve">; </w:t>
      </w:r>
      <w:r>
        <w:rPr>
          <w:rFonts w:ascii="Verdana" w:hAnsi="Verdana"/>
          <w:w w:val="95"/>
          <w:sz w:val="20"/>
          <w:szCs w:val="20"/>
          <w:lang w:val="es-EC"/>
        </w:rPr>
        <w:t>e</w:t>
      </w:r>
      <w:r w:rsidRPr="002B1610">
        <w:rPr>
          <w:rFonts w:ascii="Verdana" w:hAnsi="Verdana"/>
          <w:w w:val="95"/>
          <w:sz w:val="20"/>
          <w:szCs w:val="20"/>
          <w:lang w:val="es-EC"/>
        </w:rPr>
        <w:t xml:space="preserve">) </w:t>
      </w:r>
      <w:r>
        <w:rPr>
          <w:rFonts w:ascii="Verdana" w:hAnsi="Verdana"/>
          <w:w w:val="95"/>
          <w:sz w:val="20"/>
          <w:szCs w:val="20"/>
          <w:lang w:val="es-EC"/>
        </w:rPr>
        <w:t>“[</w:t>
      </w:r>
      <w:r w:rsidRPr="002B1610">
        <w:rPr>
          <w:rFonts w:ascii="Verdana" w:hAnsi="Verdana"/>
          <w:w w:val="95"/>
          <w:sz w:val="20"/>
          <w:szCs w:val="20"/>
          <w:lang w:val="es-EC"/>
        </w:rPr>
        <w:t>g</w:t>
      </w:r>
      <w:r>
        <w:rPr>
          <w:rFonts w:ascii="Verdana" w:hAnsi="Verdana"/>
          <w:w w:val="95"/>
          <w:sz w:val="20"/>
          <w:szCs w:val="20"/>
          <w:lang w:val="es-EC"/>
        </w:rPr>
        <w:t>]</w:t>
      </w:r>
      <w:r w:rsidRPr="002B1610">
        <w:rPr>
          <w:rFonts w:ascii="Verdana" w:hAnsi="Verdana"/>
          <w:w w:val="95"/>
          <w:sz w:val="20"/>
          <w:szCs w:val="20"/>
          <w:lang w:val="es-EC"/>
        </w:rPr>
        <w:t>arantizar el funcionamiento de las instituciones encargadas de las políticas públicas destinadas a prevenir y eliminar la violencia contra la mujer y de la atención de casos de violencia</w:t>
      </w:r>
      <w:r>
        <w:rPr>
          <w:rFonts w:ascii="Verdana" w:hAnsi="Verdana"/>
          <w:w w:val="95"/>
          <w:sz w:val="20"/>
          <w:szCs w:val="20"/>
          <w:lang w:val="es-EC"/>
        </w:rPr>
        <w:t>”</w:t>
      </w:r>
      <w:r w:rsidR="001F276B">
        <w:rPr>
          <w:rFonts w:ascii="Verdana" w:hAnsi="Verdana"/>
          <w:w w:val="95"/>
          <w:sz w:val="20"/>
          <w:szCs w:val="20"/>
          <w:lang w:val="es-EC"/>
        </w:rPr>
        <w:t>, y f</w:t>
      </w:r>
      <w:r w:rsidRPr="002B1610">
        <w:rPr>
          <w:rFonts w:ascii="Verdana" w:hAnsi="Verdana"/>
          <w:w w:val="95"/>
          <w:sz w:val="20"/>
          <w:szCs w:val="20"/>
          <w:lang w:val="es-EC"/>
        </w:rPr>
        <w:t xml:space="preserve">) </w:t>
      </w:r>
      <w:r>
        <w:rPr>
          <w:rFonts w:ascii="Verdana" w:hAnsi="Verdana"/>
          <w:w w:val="95"/>
          <w:sz w:val="20"/>
          <w:szCs w:val="20"/>
          <w:lang w:val="es-EC"/>
        </w:rPr>
        <w:t>“[</w:t>
      </w:r>
      <w:r w:rsidRPr="002B1610">
        <w:rPr>
          <w:rFonts w:ascii="Verdana" w:hAnsi="Verdana"/>
          <w:w w:val="95"/>
          <w:sz w:val="20"/>
          <w:szCs w:val="20"/>
          <w:lang w:val="es-EC"/>
        </w:rPr>
        <w:t>g</w:t>
      </w:r>
      <w:r>
        <w:rPr>
          <w:rFonts w:ascii="Verdana" w:hAnsi="Verdana"/>
          <w:w w:val="95"/>
          <w:sz w:val="20"/>
          <w:szCs w:val="20"/>
          <w:lang w:val="es-EC"/>
        </w:rPr>
        <w:t>]</w:t>
      </w:r>
      <w:r w:rsidRPr="002B1610">
        <w:rPr>
          <w:rFonts w:ascii="Verdana" w:hAnsi="Verdana"/>
          <w:w w:val="95"/>
          <w:sz w:val="20"/>
          <w:szCs w:val="20"/>
          <w:lang w:val="es-EC"/>
        </w:rPr>
        <w:t>arantizar un sistema de recopilación y producción de estadísticas confiable y accesible</w:t>
      </w:r>
      <w:r>
        <w:rPr>
          <w:rFonts w:ascii="Verdana" w:hAnsi="Verdana"/>
          <w:w w:val="95"/>
          <w:sz w:val="20"/>
          <w:szCs w:val="20"/>
          <w:lang w:val="es-EC"/>
        </w:rPr>
        <w:t>”</w:t>
      </w:r>
      <w:r w:rsidRPr="002B1610">
        <w:rPr>
          <w:rFonts w:ascii="Verdana" w:hAnsi="Verdana"/>
          <w:w w:val="95"/>
          <w:sz w:val="20"/>
          <w:szCs w:val="20"/>
          <w:lang w:val="es-EC"/>
        </w:rPr>
        <w:t>.</w:t>
      </w:r>
    </w:p>
    <w:p w:rsidR="00DF15C3" w:rsidRPr="002B1610" w:rsidRDefault="00DF15C3" w:rsidP="003F26FD">
      <w:pPr>
        <w:spacing w:after="0" w:line="216" w:lineRule="auto"/>
        <w:ind w:left="-142" w:right="-174" w:hanging="11"/>
        <w:jc w:val="both"/>
        <w:rPr>
          <w:rFonts w:ascii="Verdana" w:eastAsia="Calibri" w:hAnsi="Verdana"/>
          <w:w w:val="95"/>
          <w:sz w:val="20"/>
          <w:szCs w:val="20"/>
          <w:lang w:val="es-EC"/>
        </w:rPr>
      </w:pPr>
    </w:p>
    <w:p w:rsidR="00DF15C3" w:rsidRPr="002B1610" w:rsidRDefault="00DF15C3" w:rsidP="003F26FD">
      <w:pPr>
        <w:numPr>
          <w:ilvl w:val="0"/>
          <w:numId w:val="17"/>
        </w:numPr>
        <w:spacing w:after="0" w:line="216" w:lineRule="auto"/>
        <w:ind w:left="-142" w:right="-174" w:hanging="11"/>
        <w:jc w:val="both"/>
        <w:rPr>
          <w:rFonts w:ascii="Verdana" w:eastAsia="Calibri" w:hAnsi="Verdana"/>
          <w:w w:val="95"/>
          <w:sz w:val="20"/>
          <w:szCs w:val="20"/>
          <w:lang w:val="es-EC"/>
        </w:rPr>
      </w:pPr>
      <w:r w:rsidRPr="002B1610">
        <w:rPr>
          <w:rFonts w:ascii="Verdana" w:hAnsi="Verdana"/>
          <w:w w:val="95"/>
          <w:sz w:val="20"/>
          <w:szCs w:val="20"/>
          <w:lang w:val="es-EC"/>
        </w:rPr>
        <w:t xml:space="preserve">El </w:t>
      </w:r>
      <w:r w:rsidRPr="002B1610">
        <w:rPr>
          <w:rFonts w:ascii="Verdana" w:hAnsi="Verdana"/>
          <w:b/>
          <w:i/>
          <w:w w:val="95"/>
          <w:sz w:val="20"/>
          <w:szCs w:val="20"/>
          <w:lang w:val="es-EC"/>
        </w:rPr>
        <w:t>Estado</w:t>
      </w:r>
      <w:r w:rsidRPr="002B1610">
        <w:rPr>
          <w:rFonts w:ascii="Verdana" w:hAnsi="Verdana"/>
          <w:w w:val="95"/>
          <w:sz w:val="20"/>
          <w:szCs w:val="20"/>
          <w:lang w:val="es-EC"/>
        </w:rPr>
        <w:t xml:space="preserve"> reiteró que “no tiene por probado que este caso se trate de un ilícito cometido por razón de género [</w:t>
      </w:r>
      <w:r>
        <w:rPr>
          <w:rFonts w:ascii="Verdana" w:hAnsi="Verdana"/>
          <w:w w:val="95"/>
          <w:sz w:val="20"/>
          <w:szCs w:val="20"/>
          <w:lang w:val="es-EC"/>
        </w:rPr>
        <w:t>y</w:t>
      </w:r>
      <w:r w:rsidRPr="002B1610">
        <w:rPr>
          <w:rFonts w:ascii="Verdana" w:hAnsi="Verdana"/>
          <w:w w:val="95"/>
          <w:sz w:val="20"/>
          <w:szCs w:val="20"/>
          <w:lang w:val="es-EC"/>
        </w:rPr>
        <w:t>] que si ha tomado medidas que han cambiado las circunstancias de cómo se manejan los casos de violencia en contra de la mujeres de cuando sucedieron los hechos del caso”. Además, señaló que estas medidas adoptadas “han sido implementadas […] en aras de promover la más pronta y eficaz respuesta del Estado ante hechos de violencias contra las mujeres”.</w:t>
      </w:r>
    </w:p>
    <w:p w:rsidR="00DF15C3" w:rsidRPr="00B457A2" w:rsidRDefault="00DF15C3" w:rsidP="003F26FD">
      <w:pPr>
        <w:pStyle w:val="Ttulo4"/>
        <w:ind w:left="851" w:right="-174"/>
        <w:rPr>
          <w:rFonts w:ascii="Verdana" w:hAnsi="Verdana"/>
          <w:b w:val="0"/>
          <w:color w:val="auto"/>
          <w:w w:val="95"/>
          <w:sz w:val="20"/>
          <w:u w:val="single"/>
        </w:rPr>
      </w:pPr>
      <w:bookmarkStart w:id="143" w:name="_Toc394313707"/>
      <w:r w:rsidRPr="00B457A2">
        <w:rPr>
          <w:rFonts w:ascii="Verdana" w:hAnsi="Verdana"/>
          <w:b w:val="0"/>
          <w:color w:val="auto"/>
          <w:w w:val="95"/>
          <w:sz w:val="20"/>
          <w:u w:val="single"/>
        </w:rPr>
        <w:t>D.2.2.Consideraciones de la Corte</w:t>
      </w:r>
      <w:bookmarkEnd w:id="143"/>
    </w:p>
    <w:p w:rsidR="00DF15C3" w:rsidRPr="002B1610" w:rsidRDefault="00DF15C3" w:rsidP="003F26FD">
      <w:pPr>
        <w:spacing w:after="0" w:line="216" w:lineRule="auto"/>
        <w:ind w:right="-174"/>
        <w:jc w:val="both"/>
        <w:rPr>
          <w:rFonts w:ascii="Verdana" w:eastAsia="Calibri" w:hAnsi="Verdana"/>
          <w:w w:val="95"/>
          <w:sz w:val="20"/>
          <w:szCs w:val="20"/>
          <w:lang w:val="es-EC"/>
        </w:rPr>
      </w:pPr>
    </w:p>
    <w:p w:rsidR="00DF15C3" w:rsidRDefault="00DF15C3" w:rsidP="003F26FD">
      <w:pPr>
        <w:numPr>
          <w:ilvl w:val="0"/>
          <w:numId w:val="17"/>
        </w:numPr>
        <w:spacing w:after="0" w:line="216" w:lineRule="auto"/>
        <w:ind w:left="-142" w:right="-174" w:hanging="11"/>
        <w:jc w:val="both"/>
        <w:rPr>
          <w:rFonts w:ascii="Verdana" w:eastAsia="Calibri" w:hAnsi="Verdana"/>
          <w:w w:val="95"/>
          <w:sz w:val="20"/>
          <w:szCs w:val="20"/>
          <w:lang w:val="es-EC"/>
        </w:rPr>
      </w:pPr>
      <w:r w:rsidRPr="002B1610">
        <w:rPr>
          <w:rFonts w:ascii="Verdana" w:hAnsi="Verdana"/>
          <w:w w:val="95"/>
          <w:sz w:val="20"/>
          <w:szCs w:val="20"/>
          <w:lang w:val="es-CR"/>
        </w:rPr>
        <w:t xml:space="preserve">En cuanto a la solicitud relativa a un protocolo de acción inmediata en casos de desaparición de niñas, adolescentes y mujeres, </w:t>
      </w:r>
      <w:r w:rsidRPr="002B1610">
        <w:rPr>
          <w:rFonts w:ascii="Verdana" w:hAnsi="Verdana" w:cs="Calibri"/>
          <w:w w:val="95"/>
          <w:sz w:val="20"/>
          <w:szCs w:val="20"/>
          <w:lang w:val="es-CR"/>
        </w:rPr>
        <w:t xml:space="preserve">la Corte toma nota de lo indicado por el Estado sobre el “sistema de alerta” promulgado por </w:t>
      </w:r>
      <w:r>
        <w:rPr>
          <w:rFonts w:ascii="Verdana" w:hAnsi="Verdana" w:cs="Calibri"/>
          <w:w w:val="95"/>
          <w:sz w:val="20"/>
          <w:szCs w:val="20"/>
          <w:lang w:val="es-CR"/>
        </w:rPr>
        <w:t xml:space="preserve">la </w:t>
      </w:r>
      <w:r w:rsidRPr="002B1610">
        <w:rPr>
          <w:rFonts w:ascii="Verdana" w:hAnsi="Verdana" w:cs="Calibri"/>
          <w:w w:val="95"/>
          <w:sz w:val="20"/>
          <w:szCs w:val="20"/>
          <w:lang w:val="es-CR"/>
        </w:rPr>
        <w:t xml:space="preserve">Ley </w:t>
      </w:r>
      <w:r>
        <w:rPr>
          <w:rFonts w:ascii="Verdana" w:hAnsi="Verdana" w:cs="Calibri"/>
          <w:w w:val="95"/>
          <w:sz w:val="20"/>
          <w:szCs w:val="20"/>
          <w:lang w:val="es-CR"/>
        </w:rPr>
        <w:t xml:space="preserve">de </w:t>
      </w:r>
      <w:r w:rsidRPr="00B833E8">
        <w:rPr>
          <w:rFonts w:ascii="Verdana" w:hAnsi="Verdana" w:cs="Calibri"/>
          <w:w w:val="95"/>
          <w:sz w:val="20"/>
          <w:szCs w:val="20"/>
          <w:lang w:val="es-CR"/>
        </w:rPr>
        <w:t xml:space="preserve">Alerta </w:t>
      </w:r>
      <w:r w:rsidRPr="002B1610">
        <w:rPr>
          <w:rFonts w:ascii="Verdana" w:hAnsi="Verdana" w:cs="Calibri"/>
          <w:w w:val="95"/>
          <w:sz w:val="20"/>
          <w:szCs w:val="20"/>
          <w:lang w:val="es-CR"/>
        </w:rPr>
        <w:t>Alba-Kenneth para la localización de niños y niñas desaparecidas</w:t>
      </w:r>
      <w:r>
        <w:rPr>
          <w:rFonts w:ascii="Verdana" w:hAnsi="Verdana" w:cs="Calibri"/>
          <w:w w:val="95"/>
          <w:sz w:val="20"/>
          <w:szCs w:val="20"/>
          <w:lang w:val="es-CR"/>
        </w:rPr>
        <w:t xml:space="preserve"> </w:t>
      </w:r>
      <w:r w:rsidRPr="002B1610">
        <w:rPr>
          <w:rFonts w:ascii="Verdana" w:hAnsi="Verdana" w:cs="Calibri"/>
          <w:w w:val="95"/>
          <w:sz w:val="20"/>
          <w:szCs w:val="20"/>
          <w:lang w:val="es-CR"/>
        </w:rPr>
        <w:t>(</w:t>
      </w:r>
      <w:r w:rsidRPr="002B1610">
        <w:rPr>
          <w:rFonts w:ascii="Verdana" w:hAnsi="Verdana" w:cs="Calibri"/>
          <w:i/>
          <w:w w:val="95"/>
          <w:sz w:val="20"/>
          <w:szCs w:val="20"/>
          <w:lang w:val="es-CR"/>
        </w:rPr>
        <w:t>supra</w:t>
      </w:r>
      <w:r w:rsidRPr="002B1610">
        <w:rPr>
          <w:rFonts w:ascii="Verdana" w:hAnsi="Verdana" w:cs="Calibri"/>
          <w:w w:val="95"/>
          <w:sz w:val="20"/>
          <w:szCs w:val="20"/>
          <w:lang w:val="es-CR"/>
        </w:rPr>
        <w:t xml:space="preserve"> </w:t>
      </w:r>
      <w:r w:rsidRPr="00F61911">
        <w:rPr>
          <w:rFonts w:ascii="Verdana" w:hAnsi="Verdana" w:cs="Calibri"/>
          <w:w w:val="95"/>
          <w:sz w:val="20"/>
          <w:szCs w:val="20"/>
          <w:lang w:val="es-CR"/>
        </w:rPr>
        <w:t>párr.</w:t>
      </w:r>
      <w:r w:rsidR="005F48F7">
        <w:rPr>
          <w:rFonts w:ascii="Verdana" w:hAnsi="Verdana" w:cs="Calibri"/>
          <w:w w:val="95"/>
          <w:sz w:val="20"/>
          <w:szCs w:val="20"/>
          <w:lang w:val="es-CR"/>
        </w:rPr>
        <w:t xml:space="preserve"> </w:t>
      </w:r>
      <w:r w:rsidR="00DD75F5">
        <w:rPr>
          <w:rFonts w:ascii="Verdana" w:hAnsi="Verdana" w:cs="Calibri"/>
          <w:w w:val="95"/>
          <w:sz w:val="20"/>
          <w:szCs w:val="20"/>
          <w:lang w:val="es-CR"/>
        </w:rPr>
        <w:t>263</w:t>
      </w:r>
      <w:r w:rsidRPr="002B1610">
        <w:rPr>
          <w:rFonts w:ascii="Verdana" w:hAnsi="Verdana" w:cs="Calibri"/>
          <w:w w:val="95"/>
          <w:sz w:val="20"/>
          <w:szCs w:val="20"/>
          <w:lang w:val="es-CR"/>
        </w:rPr>
        <w:t>)</w:t>
      </w:r>
      <w:r w:rsidRPr="002B1610">
        <w:rPr>
          <w:rStyle w:val="Refdenotaalpie"/>
          <w:rFonts w:ascii="Verdana" w:hAnsi="Verdana" w:cs="Calibri"/>
          <w:w w:val="95"/>
          <w:sz w:val="20"/>
          <w:szCs w:val="20"/>
          <w:lang w:val="es-CR"/>
        </w:rPr>
        <w:footnoteReference w:id="357"/>
      </w:r>
      <w:r w:rsidRPr="002B1610">
        <w:rPr>
          <w:rFonts w:ascii="Verdana" w:hAnsi="Verdana" w:cs="Calibri"/>
          <w:w w:val="95"/>
          <w:sz w:val="20"/>
          <w:szCs w:val="20"/>
          <w:lang w:val="es-CR"/>
        </w:rPr>
        <w:t xml:space="preserve">.  Dado lo anterior, y siendo que los hechos del caso se vinculan con la desaparición de una niña, la Corte no considera procedente disponer que el Estado adopte un protocolo específico. </w:t>
      </w:r>
    </w:p>
    <w:p w:rsidR="00DF15C3" w:rsidRPr="00E72F18" w:rsidRDefault="00DF15C3" w:rsidP="003F26FD">
      <w:pPr>
        <w:spacing w:after="0" w:line="216" w:lineRule="auto"/>
        <w:ind w:right="-174"/>
        <w:jc w:val="both"/>
        <w:rPr>
          <w:rFonts w:ascii="Verdana" w:eastAsia="Calibri" w:hAnsi="Verdana"/>
          <w:w w:val="95"/>
          <w:sz w:val="20"/>
          <w:szCs w:val="20"/>
          <w:lang w:val="es-EC"/>
        </w:rPr>
      </w:pPr>
    </w:p>
    <w:p w:rsidR="00DF15C3" w:rsidRPr="00631CBE" w:rsidRDefault="00DF15C3" w:rsidP="003F26FD">
      <w:pPr>
        <w:numPr>
          <w:ilvl w:val="0"/>
          <w:numId w:val="17"/>
        </w:numPr>
        <w:spacing w:after="0" w:line="216" w:lineRule="auto"/>
        <w:ind w:left="-142" w:right="-174" w:hanging="11"/>
        <w:jc w:val="both"/>
        <w:rPr>
          <w:rFonts w:ascii="Verdana" w:eastAsia="Calibri" w:hAnsi="Verdana"/>
          <w:w w:val="95"/>
          <w:sz w:val="20"/>
          <w:szCs w:val="20"/>
          <w:lang w:val="es-EC"/>
        </w:rPr>
      </w:pPr>
      <w:r w:rsidRPr="00410F9B">
        <w:rPr>
          <w:rFonts w:ascii="Verdana" w:hAnsi="Verdana"/>
          <w:w w:val="95"/>
          <w:sz w:val="20"/>
          <w:szCs w:val="20"/>
          <w:lang w:val="es-EC"/>
        </w:rPr>
        <w:t>En lo que respecta a la implementación de programas de formación y capacitación para funcionarios estatales, la</w:t>
      </w:r>
      <w:r w:rsidRPr="00410F9B">
        <w:rPr>
          <w:rFonts w:ascii="Verdana" w:hAnsi="Verdana"/>
          <w:w w:val="95"/>
          <w:sz w:val="20"/>
          <w:szCs w:val="20"/>
          <w:lang w:val="es-CR"/>
        </w:rPr>
        <w:t xml:space="preserve"> Corte dispone que el Estado </w:t>
      </w:r>
      <w:r w:rsidRPr="001F276B">
        <w:rPr>
          <w:rFonts w:ascii="Verdana" w:hAnsi="Verdana"/>
          <w:w w:val="95"/>
          <w:sz w:val="20"/>
          <w:szCs w:val="20"/>
          <w:lang w:val="es-CR"/>
        </w:rPr>
        <w:t>debe,</w:t>
      </w:r>
      <w:r w:rsidRPr="00410F9B">
        <w:rPr>
          <w:rFonts w:ascii="Verdana" w:hAnsi="Verdana"/>
          <w:b/>
          <w:w w:val="95"/>
          <w:sz w:val="20"/>
          <w:szCs w:val="20"/>
          <w:lang w:val="es-CR"/>
        </w:rPr>
        <w:t xml:space="preserve"> </w:t>
      </w:r>
      <w:r w:rsidRPr="002857CA">
        <w:rPr>
          <w:rFonts w:ascii="Verdana" w:hAnsi="Verdana"/>
          <w:w w:val="95"/>
          <w:sz w:val="20"/>
          <w:szCs w:val="20"/>
          <w:lang w:val="es-CR"/>
        </w:rPr>
        <w:t>en un plazo razonable,</w:t>
      </w:r>
      <w:r w:rsidRPr="00410F9B">
        <w:rPr>
          <w:rFonts w:ascii="Verdana" w:hAnsi="Verdana"/>
          <w:w w:val="95"/>
          <w:sz w:val="20"/>
          <w:szCs w:val="20"/>
          <w:lang w:val="es-CR"/>
        </w:rPr>
        <w:t xml:space="preserve"> implementar programas y cursos para funcionarios públicos pertenecientes al Poder Judicial, Ministerio Público y Policía Nacional Civil que estén vinculados a la investigación de actos de homicidio de mujeres</w:t>
      </w:r>
      <w:r w:rsidRPr="00410F9B">
        <w:rPr>
          <w:rFonts w:ascii="Verdana" w:hAnsi="Verdana"/>
          <w:w w:val="95"/>
          <w:sz w:val="20"/>
          <w:szCs w:val="20"/>
          <w:lang w:val="es-EC"/>
        </w:rPr>
        <w:t xml:space="preserve"> sobre estándares en materia de prevención, eventual sanción y erradicación de </w:t>
      </w:r>
      <w:r w:rsidRPr="00410F9B">
        <w:rPr>
          <w:rFonts w:ascii="Verdana" w:hAnsi="Verdana"/>
          <w:w w:val="95"/>
          <w:sz w:val="20"/>
          <w:szCs w:val="20"/>
          <w:lang w:val="es-CR"/>
        </w:rPr>
        <w:t xml:space="preserve">homicidios de mujeres y capacitarlos sobre la debida aplicación de la </w:t>
      </w:r>
      <w:r w:rsidRPr="00410F9B">
        <w:rPr>
          <w:rFonts w:ascii="Verdana" w:hAnsi="Verdana" w:cs="Calibri"/>
          <w:w w:val="95"/>
          <w:sz w:val="20"/>
          <w:szCs w:val="20"/>
          <w:lang w:val="es-CR"/>
        </w:rPr>
        <w:t>normativa pertinente en la materia.</w:t>
      </w:r>
    </w:p>
    <w:p w:rsidR="00DF15C3" w:rsidRPr="002B1610" w:rsidRDefault="00DF15C3" w:rsidP="003F26FD">
      <w:pPr>
        <w:spacing w:after="0" w:line="216" w:lineRule="auto"/>
        <w:ind w:right="-174"/>
        <w:jc w:val="both"/>
        <w:rPr>
          <w:rFonts w:ascii="Verdana" w:eastAsia="Calibri" w:hAnsi="Verdana"/>
          <w:w w:val="95"/>
          <w:sz w:val="20"/>
          <w:szCs w:val="20"/>
          <w:lang w:val="es-EC"/>
        </w:rPr>
      </w:pPr>
    </w:p>
    <w:p w:rsidR="00DF15C3" w:rsidRDefault="00DF15C3" w:rsidP="003F26FD">
      <w:pPr>
        <w:numPr>
          <w:ilvl w:val="0"/>
          <w:numId w:val="17"/>
        </w:numPr>
        <w:spacing w:after="0" w:line="216" w:lineRule="auto"/>
        <w:ind w:left="-142" w:right="-174" w:hanging="11"/>
        <w:jc w:val="both"/>
        <w:rPr>
          <w:rFonts w:ascii="Verdana" w:hAnsi="Verdana"/>
          <w:w w:val="95"/>
          <w:sz w:val="20"/>
          <w:szCs w:val="20"/>
          <w:lang w:val="es-CR"/>
        </w:rPr>
      </w:pPr>
      <w:r w:rsidRPr="00A16F44">
        <w:rPr>
          <w:rFonts w:ascii="Verdana" w:hAnsi="Verdana"/>
          <w:w w:val="95"/>
          <w:sz w:val="20"/>
          <w:szCs w:val="20"/>
          <w:lang w:val="es-CR"/>
        </w:rPr>
        <w:t>En relación a garantizar un sistema de recopilación y producción de estadísticas confiable y accesible, el Tribunal toma en consideración que el artículo 20 de la Ley contra el Femicidio</w:t>
      </w:r>
      <w:r w:rsidRPr="00AA5F26">
        <w:rPr>
          <w:rFonts w:ascii="Verdana" w:hAnsi="Verdana"/>
          <w:w w:val="95"/>
          <w:sz w:val="20"/>
          <w:szCs w:val="20"/>
          <w:lang w:val="es-CR"/>
        </w:rPr>
        <w:t xml:space="preserve">, contempla que el Instituto Nacional de Estadística está obligado a generar indicadores e información estadística, debiendo crear un Sistema Nacional de Información sobre Violencia contra la Mujer. En sus alegatos finales el Estado proporcionó la dirección de la página electrónica en la que puede consultarse dicho Sistema Nacional de Información: </w:t>
      </w:r>
      <w:hyperlink r:id="rId8" w:history="1">
        <w:r w:rsidRPr="00497F88">
          <w:rPr>
            <w:rStyle w:val="Hipervnculo"/>
            <w:rFonts w:ascii="Verdana" w:hAnsi="Verdana"/>
            <w:w w:val="95"/>
            <w:sz w:val="20"/>
            <w:szCs w:val="20"/>
            <w:lang w:val="es-EC"/>
          </w:rPr>
          <w:t>http://www.ine.gob.gt/np/snvcm/index</w:t>
        </w:r>
      </w:hyperlink>
      <w:r w:rsidR="002C2755">
        <w:rPr>
          <w:rStyle w:val="Refdenotaalpie"/>
        </w:rPr>
        <w:footnoteReference w:id="358"/>
      </w:r>
      <w:r w:rsidRPr="00410F9B">
        <w:rPr>
          <w:rFonts w:ascii="Verdana" w:hAnsi="Verdana"/>
          <w:w w:val="95"/>
          <w:sz w:val="20"/>
          <w:szCs w:val="20"/>
          <w:lang w:val="es-CR"/>
        </w:rPr>
        <w:t xml:space="preserve">, </w:t>
      </w:r>
      <w:r w:rsidRPr="002002CC">
        <w:rPr>
          <w:rFonts w:ascii="Verdana" w:hAnsi="Verdana"/>
          <w:w w:val="95"/>
          <w:sz w:val="20"/>
          <w:szCs w:val="20"/>
          <w:lang w:val="es-CR"/>
        </w:rPr>
        <w:t xml:space="preserve">y la Corte ha constatado que el sitio contiene datos e información referente a la </w:t>
      </w:r>
      <w:r>
        <w:rPr>
          <w:rFonts w:ascii="Verdana" w:hAnsi="Verdana"/>
          <w:w w:val="95"/>
          <w:sz w:val="20"/>
          <w:szCs w:val="20"/>
          <w:lang w:val="es-CR"/>
        </w:rPr>
        <w:t>v</w:t>
      </w:r>
      <w:r w:rsidRPr="002002CC">
        <w:rPr>
          <w:rFonts w:ascii="Verdana" w:hAnsi="Verdana"/>
          <w:w w:val="95"/>
          <w:sz w:val="20"/>
          <w:szCs w:val="20"/>
          <w:lang w:val="es-CR"/>
        </w:rPr>
        <w:t xml:space="preserve">iolencia contra la </w:t>
      </w:r>
      <w:r>
        <w:rPr>
          <w:rFonts w:ascii="Verdana" w:hAnsi="Verdana"/>
          <w:w w:val="95"/>
          <w:sz w:val="20"/>
          <w:szCs w:val="20"/>
          <w:lang w:val="es-CR"/>
        </w:rPr>
        <w:t>m</w:t>
      </w:r>
      <w:r w:rsidRPr="002002CC">
        <w:rPr>
          <w:rFonts w:ascii="Verdana" w:hAnsi="Verdana"/>
          <w:w w:val="95"/>
          <w:sz w:val="20"/>
          <w:szCs w:val="20"/>
          <w:lang w:val="es-CR"/>
        </w:rPr>
        <w:t>ujer en Guatemala. Considerando lo anterior, el Tribunal dispone que no es necesario ordenar la creación de un sistema de recopilación y producción de estadísticas.</w:t>
      </w:r>
    </w:p>
    <w:p w:rsidR="00DF15C3" w:rsidRPr="00EF0A7B" w:rsidRDefault="00DF15C3" w:rsidP="003F26FD">
      <w:pPr>
        <w:spacing w:after="0" w:line="216" w:lineRule="auto"/>
        <w:ind w:right="-174"/>
        <w:jc w:val="both"/>
        <w:rPr>
          <w:rFonts w:ascii="Verdana" w:hAnsi="Verdana"/>
          <w:w w:val="95"/>
          <w:sz w:val="20"/>
          <w:szCs w:val="20"/>
          <w:lang w:val="es-CR"/>
        </w:rPr>
      </w:pPr>
    </w:p>
    <w:p w:rsidR="00DF15C3" w:rsidRPr="002B1610" w:rsidRDefault="00DF15C3" w:rsidP="003F26FD">
      <w:pPr>
        <w:numPr>
          <w:ilvl w:val="0"/>
          <w:numId w:val="17"/>
        </w:numPr>
        <w:spacing w:after="0" w:line="216" w:lineRule="auto"/>
        <w:ind w:left="-142" w:right="-174" w:hanging="11"/>
        <w:jc w:val="both"/>
        <w:rPr>
          <w:rFonts w:ascii="Verdana" w:hAnsi="Verdana"/>
          <w:w w:val="95"/>
          <w:sz w:val="20"/>
          <w:szCs w:val="20"/>
          <w:lang w:val="es-CR"/>
        </w:rPr>
      </w:pPr>
      <w:r>
        <w:rPr>
          <w:rFonts w:ascii="Verdana" w:hAnsi="Verdana"/>
          <w:w w:val="95"/>
          <w:sz w:val="20"/>
          <w:szCs w:val="20"/>
          <w:lang w:val="es-CR"/>
        </w:rPr>
        <w:t>E</w:t>
      </w:r>
      <w:r w:rsidRPr="002B1610">
        <w:rPr>
          <w:rFonts w:ascii="Verdana" w:hAnsi="Verdana"/>
          <w:w w:val="95"/>
          <w:sz w:val="20"/>
          <w:szCs w:val="20"/>
          <w:lang w:val="es-CR"/>
        </w:rPr>
        <w:t>n lo relativo a las otras medidas de reparación solicitadas, la Corte considera que las medidas otorgadas son suficientes, por lo que no estima necesario ordenar la adopción de</w:t>
      </w:r>
      <w:r w:rsidR="00AA5FAE">
        <w:rPr>
          <w:rFonts w:ascii="Verdana" w:hAnsi="Verdana"/>
          <w:w w:val="95"/>
          <w:sz w:val="20"/>
          <w:szCs w:val="20"/>
          <w:lang w:val="es-CR"/>
        </w:rPr>
        <w:t xml:space="preserve"> otras medidas</w:t>
      </w:r>
      <w:r w:rsidRPr="002B1610">
        <w:rPr>
          <w:rFonts w:ascii="Verdana" w:hAnsi="Verdana"/>
          <w:w w:val="95"/>
          <w:sz w:val="20"/>
          <w:szCs w:val="20"/>
          <w:lang w:val="es-CR"/>
        </w:rPr>
        <w:t>.</w:t>
      </w:r>
      <w:r w:rsidRPr="002B1610">
        <w:rPr>
          <w:rFonts w:ascii="Verdana" w:hAnsi="Verdana"/>
          <w:bCs/>
          <w:w w:val="95"/>
          <w:sz w:val="20"/>
          <w:szCs w:val="20"/>
          <w:lang w:val="es-CR"/>
        </w:rPr>
        <w:t xml:space="preserve"> En cuanto a la solicitud de la </w:t>
      </w:r>
      <w:r w:rsidRPr="00410F9B">
        <w:rPr>
          <w:rFonts w:ascii="Verdana" w:hAnsi="Verdana"/>
          <w:bCs/>
          <w:w w:val="95"/>
          <w:sz w:val="20"/>
          <w:szCs w:val="20"/>
          <w:lang w:val="es-CR"/>
        </w:rPr>
        <w:t xml:space="preserve">Comisión de que </w:t>
      </w:r>
      <w:r w:rsidRPr="002B1610">
        <w:rPr>
          <w:rFonts w:ascii="Verdana" w:hAnsi="Verdana"/>
          <w:w w:val="95"/>
          <w:sz w:val="20"/>
          <w:szCs w:val="20"/>
          <w:lang w:val="es-EC"/>
        </w:rPr>
        <w:t>que se ordene al Estado “</w:t>
      </w:r>
      <w:r>
        <w:rPr>
          <w:rFonts w:ascii="Verdana" w:hAnsi="Verdana"/>
          <w:w w:val="95"/>
          <w:sz w:val="20"/>
          <w:szCs w:val="20"/>
          <w:lang w:val="es-EC"/>
        </w:rPr>
        <w:t>[</w:t>
      </w:r>
      <w:r w:rsidRPr="002B1610">
        <w:rPr>
          <w:rFonts w:ascii="Verdana" w:hAnsi="Verdana"/>
          <w:w w:val="95"/>
          <w:sz w:val="20"/>
          <w:szCs w:val="20"/>
          <w:lang w:val="es-EC"/>
        </w:rPr>
        <w:t>a</w:t>
      </w:r>
      <w:r>
        <w:rPr>
          <w:rFonts w:ascii="Verdana" w:hAnsi="Verdana"/>
          <w:w w:val="95"/>
          <w:sz w:val="20"/>
          <w:szCs w:val="20"/>
          <w:lang w:val="es-EC"/>
        </w:rPr>
        <w:t>]</w:t>
      </w:r>
      <w:r w:rsidRPr="002B1610">
        <w:rPr>
          <w:rFonts w:ascii="Verdana" w:hAnsi="Verdana"/>
          <w:w w:val="95"/>
          <w:sz w:val="20"/>
          <w:szCs w:val="20"/>
          <w:lang w:val="es-EC"/>
        </w:rPr>
        <w:t>doptar reformas en los programas educativos del Estado, desde la etapa formativa y temprana, para promover el respeto de las mujeres como iguales, así como el respeto de sus derechos a la no violencia y a la no discriminación” y que se implementen “medidas y campañas de difusión destinadas al público en general sobre el deber de respetar y garantizar los derechos humanos de las niñas y los niños”</w:t>
      </w:r>
      <w:r>
        <w:rPr>
          <w:rFonts w:ascii="Verdana" w:hAnsi="Verdana"/>
          <w:w w:val="95"/>
          <w:sz w:val="20"/>
          <w:szCs w:val="20"/>
          <w:lang w:val="es-EC"/>
        </w:rPr>
        <w:t>, l</w:t>
      </w:r>
      <w:r w:rsidRPr="002B1610">
        <w:rPr>
          <w:rFonts w:ascii="Verdana" w:hAnsi="Verdana"/>
          <w:w w:val="95"/>
          <w:sz w:val="20"/>
          <w:szCs w:val="20"/>
          <w:lang w:val="es-EC"/>
        </w:rPr>
        <w:t>a Corte</w:t>
      </w:r>
      <w:r>
        <w:rPr>
          <w:rFonts w:ascii="Verdana" w:hAnsi="Verdana"/>
          <w:w w:val="95"/>
          <w:sz w:val="20"/>
          <w:szCs w:val="20"/>
          <w:lang w:val="es-EC"/>
        </w:rPr>
        <w:t xml:space="preserve"> </w:t>
      </w:r>
      <w:r w:rsidRPr="002857CA">
        <w:rPr>
          <w:rFonts w:ascii="Verdana" w:hAnsi="Verdana"/>
          <w:w w:val="95"/>
          <w:sz w:val="20"/>
          <w:szCs w:val="20"/>
          <w:lang w:val="es-EC"/>
        </w:rPr>
        <w:t>no tiene acreditado que el deber de respetar y garantizar los derechos humanos de las mujeres, las niñas y los niños no pueda</w:t>
      </w:r>
      <w:r w:rsidRPr="002857CA">
        <w:rPr>
          <w:rFonts w:ascii="Verdana" w:hAnsi="Verdana"/>
          <w:w w:val="95"/>
          <w:sz w:val="20"/>
          <w:szCs w:val="20"/>
          <w:lang w:val="es-ES"/>
        </w:rPr>
        <w:t xml:space="preserve"> ser garantizado mediante la continuación de los programas existentes</w:t>
      </w:r>
      <w:r w:rsidRPr="002B1610">
        <w:rPr>
          <w:rFonts w:ascii="Verdana" w:hAnsi="Verdana"/>
          <w:w w:val="95"/>
          <w:sz w:val="20"/>
          <w:szCs w:val="20"/>
          <w:lang w:val="es-ES"/>
        </w:rPr>
        <w:t xml:space="preserve"> y la difusión de las medidas que</w:t>
      </w:r>
      <w:r>
        <w:rPr>
          <w:rFonts w:ascii="Verdana" w:hAnsi="Verdana"/>
          <w:w w:val="95"/>
          <w:sz w:val="20"/>
          <w:szCs w:val="20"/>
          <w:lang w:val="es-ES"/>
        </w:rPr>
        <w:t>,</w:t>
      </w:r>
      <w:r w:rsidRPr="002B1610">
        <w:rPr>
          <w:rFonts w:ascii="Verdana" w:hAnsi="Verdana"/>
          <w:w w:val="95"/>
          <w:sz w:val="20"/>
          <w:szCs w:val="20"/>
          <w:lang w:val="es-ES"/>
        </w:rPr>
        <w:t xml:space="preserve"> como señaló el Estado</w:t>
      </w:r>
      <w:r>
        <w:rPr>
          <w:rFonts w:ascii="Verdana" w:hAnsi="Verdana"/>
          <w:w w:val="95"/>
          <w:sz w:val="20"/>
          <w:szCs w:val="20"/>
          <w:lang w:val="es-ES"/>
        </w:rPr>
        <w:t>,</w:t>
      </w:r>
      <w:r w:rsidRPr="002B1610">
        <w:rPr>
          <w:rFonts w:ascii="Verdana" w:hAnsi="Verdana"/>
          <w:w w:val="95"/>
          <w:sz w:val="20"/>
          <w:szCs w:val="20"/>
          <w:lang w:val="es-ES"/>
        </w:rPr>
        <w:t xml:space="preserve"> se encuentran dentro de sus actuaciones, e igualmente no considera pertinente disponer dichas medidas por las razones expresadas anteriormente.</w:t>
      </w:r>
    </w:p>
    <w:p w:rsidR="00DF15C3" w:rsidRPr="002B1610" w:rsidRDefault="00DF15C3" w:rsidP="003F26FD">
      <w:pPr>
        <w:spacing w:after="0" w:line="216" w:lineRule="auto"/>
        <w:ind w:right="-174"/>
        <w:jc w:val="both"/>
        <w:rPr>
          <w:rFonts w:ascii="Verdana" w:hAnsi="Verdana"/>
          <w:w w:val="95"/>
          <w:sz w:val="20"/>
          <w:szCs w:val="20"/>
          <w:lang w:val="es-EC"/>
        </w:rPr>
      </w:pPr>
    </w:p>
    <w:p w:rsidR="00DF15C3" w:rsidRPr="002B1610" w:rsidRDefault="00DF15C3" w:rsidP="003F26FD">
      <w:pPr>
        <w:pStyle w:val="Ttulo2"/>
        <w:spacing w:before="0" w:line="216" w:lineRule="auto"/>
        <w:ind w:left="284" w:right="-174"/>
        <w:jc w:val="both"/>
        <w:rPr>
          <w:rFonts w:ascii="Verdana" w:hAnsi="Verdana"/>
          <w:color w:val="auto"/>
          <w:w w:val="95"/>
          <w:sz w:val="20"/>
          <w:szCs w:val="20"/>
          <w:lang w:val="es-EC"/>
        </w:rPr>
      </w:pPr>
      <w:bookmarkStart w:id="144" w:name="_Toc394313708"/>
      <w:r w:rsidRPr="002B1610">
        <w:rPr>
          <w:rFonts w:ascii="Verdana" w:hAnsi="Verdana"/>
          <w:color w:val="auto"/>
          <w:w w:val="95"/>
          <w:sz w:val="20"/>
          <w:szCs w:val="20"/>
          <w:lang w:val="es-EC"/>
        </w:rPr>
        <w:t>E. Atención y tratamientos médicos y psicológicos adecuados</w:t>
      </w:r>
      <w:bookmarkEnd w:id="144"/>
      <w:r w:rsidRPr="002B1610">
        <w:rPr>
          <w:rFonts w:ascii="Verdana" w:hAnsi="Verdana"/>
          <w:color w:val="auto"/>
          <w:w w:val="95"/>
          <w:sz w:val="20"/>
          <w:szCs w:val="20"/>
          <w:lang w:val="es-EC"/>
        </w:rPr>
        <w:t xml:space="preserve"> </w:t>
      </w:r>
    </w:p>
    <w:p w:rsidR="00DF15C3" w:rsidRPr="002B1610" w:rsidRDefault="00DF15C3" w:rsidP="003F26FD">
      <w:pPr>
        <w:pStyle w:val="Prrafodelista"/>
        <w:spacing w:after="0" w:line="216" w:lineRule="auto"/>
        <w:ind w:right="-174"/>
        <w:contextualSpacing w:val="0"/>
        <w:rPr>
          <w:rFonts w:ascii="Verdana" w:hAnsi="Verdana"/>
          <w:b/>
          <w:w w:val="95"/>
          <w:sz w:val="20"/>
          <w:szCs w:val="20"/>
          <w:lang w:val="es-EC"/>
        </w:rPr>
      </w:pPr>
    </w:p>
    <w:p w:rsidR="00DF15C3" w:rsidRPr="002B1610" w:rsidRDefault="00DF15C3" w:rsidP="003F26FD">
      <w:pPr>
        <w:pStyle w:val="Prrafodelista"/>
        <w:spacing w:after="0" w:line="216" w:lineRule="auto"/>
        <w:ind w:left="567" w:right="-174"/>
        <w:contextualSpacing w:val="0"/>
        <w:outlineLvl w:val="2"/>
        <w:rPr>
          <w:rFonts w:ascii="Verdana" w:hAnsi="Verdana"/>
          <w:b/>
          <w:i/>
          <w:w w:val="95"/>
          <w:sz w:val="20"/>
          <w:szCs w:val="20"/>
          <w:lang w:val="es-EC"/>
        </w:rPr>
      </w:pPr>
      <w:bookmarkStart w:id="145" w:name="_Toc394313709"/>
      <w:r w:rsidRPr="002B1610">
        <w:rPr>
          <w:rFonts w:ascii="Verdana" w:hAnsi="Verdana"/>
          <w:b/>
          <w:i/>
          <w:w w:val="95"/>
          <w:sz w:val="20"/>
          <w:szCs w:val="20"/>
          <w:lang w:val="es-EC"/>
        </w:rPr>
        <w:t>E.1) Argumentos de la representante y el Estado</w:t>
      </w:r>
      <w:bookmarkEnd w:id="145"/>
    </w:p>
    <w:p w:rsidR="00DF15C3" w:rsidRPr="002B1610" w:rsidRDefault="00DF15C3" w:rsidP="003F26FD">
      <w:pPr>
        <w:pStyle w:val="Prrafodelista"/>
        <w:spacing w:after="0" w:line="216" w:lineRule="auto"/>
        <w:ind w:right="-174"/>
        <w:contextualSpacing w:val="0"/>
        <w:rPr>
          <w:rFonts w:ascii="Verdana" w:hAnsi="Verdana"/>
          <w:b/>
          <w:w w:val="95"/>
          <w:sz w:val="20"/>
          <w:szCs w:val="20"/>
          <w:lang w:val="es-EC"/>
        </w:rPr>
      </w:pPr>
    </w:p>
    <w:p w:rsidR="00DF15C3" w:rsidRDefault="00DF15C3" w:rsidP="003F26FD">
      <w:pPr>
        <w:numPr>
          <w:ilvl w:val="0"/>
          <w:numId w:val="17"/>
        </w:numPr>
        <w:spacing w:after="0" w:line="216" w:lineRule="auto"/>
        <w:ind w:left="-142" w:right="-174" w:hanging="11"/>
        <w:jc w:val="both"/>
        <w:rPr>
          <w:rFonts w:ascii="Verdana" w:hAnsi="Verdana"/>
          <w:w w:val="95"/>
          <w:sz w:val="20"/>
          <w:szCs w:val="20"/>
          <w:lang w:val="es-EC"/>
        </w:rPr>
      </w:pPr>
      <w:r w:rsidRPr="002B1610">
        <w:rPr>
          <w:rFonts w:ascii="Verdana" w:hAnsi="Verdana"/>
          <w:w w:val="95"/>
          <w:sz w:val="20"/>
          <w:szCs w:val="20"/>
          <w:lang w:val="es-EC"/>
        </w:rPr>
        <w:t xml:space="preserve">La </w:t>
      </w:r>
      <w:r w:rsidRPr="002B1610">
        <w:rPr>
          <w:rFonts w:ascii="Verdana" w:hAnsi="Verdana"/>
          <w:b/>
          <w:i/>
          <w:w w:val="95"/>
          <w:sz w:val="20"/>
          <w:szCs w:val="20"/>
          <w:lang w:val="es-EC"/>
        </w:rPr>
        <w:t>representante</w:t>
      </w:r>
      <w:r w:rsidRPr="002B1610">
        <w:rPr>
          <w:rFonts w:ascii="Verdana" w:hAnsi="Verdana"/>
          <w:w w:val="95"/>
          <w:sz w:val="20"/>
          <w:szCs w:val="20"/>
          <w:lang w:val="es-EC"/>
        </w:rPr>
        <w:t xml:space="preserve"> solicit</w:t>
      </w:r>
      <w:r>
        <w:rPr>
          <w:rFonts w:ascii="Verdana" w:hAnsi="Verdana"/>
          <w:w w:val="95"/>
          <w:sz w:val="20"/>
          <w:szCs w:val="20"/>
          <w:lang w:val="es-EC"/>
        </w:rPr>
        <w:t>ó</w:t>
      </w:r>
      <w:r w:rsidRPr="002B1610">
        <w:rPr>
          <w:rFonts w:ascii="Verdana" w:hAnsi="Verdana"/>
          <w:w w:val="95"/>
          <w:sz w:val="20"/>
          <w:szCs w:val="20"/>
          <w:lang w:val="es-EC"/>
        </w:rPr>
        <w:t xml:space="preserve"> que se ordene al Estado “brindar gratuitamente y de forma inmediata, adecuada y efectiva atención psicológica y médica a favor de los familiares de María Isabel V</w:t>
      </w:r>
      <w:r>
        <w:rPr>
          <w:rFonts w:ascii="Verdana" w:hAnsi="Verdana"/>
          <w:w w:val="95"/>
          <w:sz w:val="20"/>
          <w:szCs w:val="20"/>
          <w:lang w:val="es-EC"/>
        </w:rPr>
        <w:t>[e]</w:t>
      </w:r>
      <w:r w:rsidRPr="002B1610">
        <w:rPr>
          <w:rFonts w:ascii="Verdana" w:hAnsi="Verdana"/>
          <w:w w:val="95"/>
          <w:sz w:val="20"/>
          <w:szCs w:val="20"/>
          <w:lang w:val="es-EC"/>
        </w:rPr>
        <w:t>liz Franco: su madre Rosa Elvira Franco Sandoval y sus hermanos Leonel Enrique V</w:t>
      </w:r>
      <w:r>
        <w:rPr>
          <w:rFonts w:ascii="Verdana" w:hAnsi="Verdana"/>
          <w:w w:val="95"/>
          <w:sz w:val="20"/>
          <w:szCs w:val="20"/>
          <w:lang w:val="es-EC"/>
        </w:rPr>
        <w:t>[e]</w:t>
      </w:r>
      <w:r w:rsidRPr="002B1610">
        <w:rPr>
          <w:rFonts w:ascii="Verdana" w:hAnsi="Verdana"/>
          <w:w w:val="95"/>
          <w:sz w:val="20"/>
          <w:szCs w:val="20"/>
          <w:lang w:val="es-EC"/>
        </w:rPr>
        <w:t xml:space="preserve">liz Franco y José Roberto Franco”. Especificaron que </w:t>
      </w:r>
    </w:p>
    <w:p w:rsidR="00DF15C3" w:rsidRDefault="00DF15C3" w:rsidP="003F26FD">
      <w:pPr>
        <w:spacing w:after="0" w:line="216" w:lineRule="auto"/>
        <w:ind w:left="-142" w:right="-174"/>
        <w:jc w:val="both"/>
        <w:rPr>
          <w:rFonts w:ascii="Verdana" w:hAnsi="Verdana"/>
          <w:w w:val="95"/>
          <w:sz w:val="20"/>
          <w:szCs w:val="20"/>
          <w:lang w:val="es-EC"/>
        </w:rPr>
      </w:pPr>
    </w:p>
    <w:p w:rsidR="00DF15C3" w:rsidRPr="00F947FE" w:rsidRDefault="00DF15C3" w:rsidP="003F26FD">
      <w:pPr>
        <w:spacing w:after="0" w:line="216" w:lineRule="auto"/>
        <w:ind w:left="360" w:right="-174"/>
        <w:jc w:val="both"/>
        <w:rPr>
          <w:rFonts w:ascii="Verdana" w:hAnsi="Verdana"/>
          <w:w w:val="95"/>
          <w:sz w:val="16"/>
          <w:szCs w:val="16"/>
          <w:lang w:val="es-EC"/>
        </w:rPr>
      </w:pPr>
      <w:r w:rsidRPr="00F947FE">
        <w:rPr>
          <w:rFonts w:ascii="Verdana" w:hAnsi="Verdana"/>
          <w:w w:val="95"/>
          <w:sz w:val="16"/>
          <w:szCs w:val="16"/>
          <w:lang w:val="es-EC"/>
        </w:rPr>
        <w:t xml:space="preserve">este tratamiento debe ser suministrado a partir de un diagnóstico integral de las condiciones médicas y psicológicas de cada uno de ellos, por profesionales especializados que tengan experiencia y formación suficiente para tratar tanto los problemas de salud físicos que padezcan como los traumas psicológicos ocasionados como resultado de la violencia de género, la falta de respuesta, estatal y la impunidad, </w:t>
      </w:r>
    </w:p>
    <w:p w:rsidR="00DF15C3" w:rsidRDefault="00DF15C3" w:rsidP="003F26FD">
      <w:pPr>
        <w:spacing w:after="0" w:line="216" w:lineRule="auto"/>
        <w:ind w:left="-142" w:right="-174"/>
        <w:jc w:val="both"/>
        <w:rPr>
          <w:rFonts w:ascii="Verdana" w:hAnsi="Verdana"/>
          <w:w w:val="95"/>
          <w:sz w:val="20"/>
          <w:szCs w:val="20"/>
          <w:lang w:val="es-EC"/>
        </w:rPr>
      </w:pPr>
    </w:p>
    <w:p w:rsidR="00DF15C3" w:rsidRPr="002B1610" w:rsidRDefault="00DF15C3" w:rsidP="003F26FD">
      <w:pPr>
        <w:spacing w:after="0" w:line="216" w:lineRule="auto"/>
        <w:ind w:left="-142" w:right="-174"/>
        <w:jc w:val="both"/>
        <w:rPr>
          <w:rFonts w:ascii="Verdana" w:hAnsi="Verdana"/>
          <w:w w:val="95"/>
          <w:sz w:val="20"/>
          <w:szCs w:val="20"/>
          <w:lang w:val="es-EC"/>
        </w:rPr>
      </w:pPr>
      <w:r w:rsidRPr="002B1610">
        <w:rPr>
          <w:rFonts w:ascii="Verdana" w:hAnsi="Verdana"/>
          <w:w w:val="95"/>
          <w:sz w:val="20"/>
          <w:szCs w:val="20"/>
          <w:lang w:val="es-EC"/>
        </w:rPr>
        <w:t>y que el mismo debe de “prestarse por el tiempo que sea necesario e incluir el suministro de todos los medicamentos que eventualmente requieran”.</w:t>
      </w:r>
    </w:p>
    <w:p w:rsidR="00DF15C3" w:rsidRPr="002B1610" w:rsidRDefault="00DF15C3" w:rsidP="003F26FD">
      <w:pPr>
        <w:spacing w:after="0" w:line="216" w:lineRule="auto"/>
        <w:ind w:left="-142" w:right="-174" w:hanging="11"/>
        <w:jc w:val="both"/>
        <w:rPr>
          <w:rFonts w:ascii="Verdana" w:hAnsi="Verdana"/>
          <w:w w:val="95"/>
          <w:sz w:val="20"/>
          <w:szCs w:val="20"/>
          <w:lang w:val="es-EC"/>
        </w:rPr>
      </w:pPr>
    </w:p>
    <w:p w:rsidR="00DF15C3" w:rsidRDefault="00DF15C3" w:rsidP="003F26FD">
      <w:pPr>
        <w:numPr>
          <w:ilvl w:val="0"/>
          <w:numId w:val="17"/>
        </w:numPr>
        <w:spacing w:after="0" w:line="216" w:lineRule="auto"/>
        <w:ind w:left="-142" w:right="-174" w:hanging="11"/>
        <w:jc w:val="both"/>
        <w:rPr>
          <w:rFonts w:ascii="Verdana" w:hAnsi="Verdana"/>
          <w:w w:val="95"/>
          <w:sz w:val="20"/>
          <w:szCs w:val="20"/>
          <w:lang w:val="es-EC"/>
        </w:rPr>
      </w:pPr>
      <w:r w:rsidRPr="002B1610">
        <w:rPr>
          <w:rFonts w:ascii="Verdana" w:hAnsi="Verdana"/>
          <w:w w:val="95"/>
          <w:sz w:val="20"/>
          <w:szCs w:val="20"/>
          <w:lang w:val="es-EC"/>
        </w:rPr>
        <w:t xml:space="preserve">El </w:t>
      </w:r>
      <w:r w:rsidRPr="002B1610">
        <w:rPr>
          <w:rFonts w:ascii="Verdana" w:hAnsi="Verdana"/>
          <w:b/>
          <w:i/>
          <w:w w:val="95"/>
          <w:sz w:val="20"/>
          <w:szCs w:val="20"/>
          <w:lang w:val="es-EC"/>
        </w:rPr>
        <w:t>Estado</w:t>
      </w:r>
      <w:r w:rsidRPr="002B1610">
        <w:rPr>
          <w:rFonts w:ascii="Verdana" w:hAnsi="Verdana"/>
          <w:w w:val="95"/>
          <w:sz w:val="20"/>
          <w:szCs w:val="20"/>
          <w:lang w:val="es-EC"/>
        </w:rPr>
        <w:t xml:space="preserve"> indicó que </w:t>
      </w:r>
    </w:p>
    <w:p w:rsidR="00DF15C3" w:rsidRDefault="00DF15C3" w:rsidP="003F26FD">
      <w:pPr>
        <w:spacing w:after="0" w:line="216" w:lineRule="auto"/>
        <w:ind w:left="-142" w:right="-174"/>
        <w:jc w:val="both"/>
        <w:rPr>
          <w:rFonts w:ascii="Verdana" w:hAnsi="Verdana"/>
          <w:w w:val="95"/>
          <w:sz w:val="20"/>
          <w:szCs w:val="20"/>
          <w:lang w:val="es-EC"/>
        </w:rPr>
      </w:pPr>
    </w:p>
    <w:p w:rsidR="00DF15C3" w:rsidRDefault="00DF15C3" w:rsidP="003F26FD">
      <w:pPr>
        <w:spacing w:after="0" w:line="216" w:lineRule="auto"/>
        <w:ind w:left="360" w:right="-174"/>
        <w:jc w:val="both"/>
        <w:rPr>
          <w:rFonts w:ascii="Verdana" w:hAnsi="Verdana"/>
          <w:w w:val="95"/>
          <w:sz w:val="20"/>
          <w:szCs w:val="20"/>
          <w:lang w:val="es-EC"/>
        </w:rPr>
      </w:pPr>
      <w:r w:rsidRPr="00F947FE">
        <w:rPr>
          <w:rFonts w:ascii="Verdana" w:hAnsi="Verdana"/>
          <w:w w:val="95"/>
          <w:sz w:val="16"/>
          <w:szCs w:val="16"/>
          <w:lang w:val="es-EC"/>
        </w:rPr>
        <w:t>de haberlo solicitado, a la señora Rosa Elvira Franco y a sus hijos, […] se les habría prestado los servicios de psicología y atención a víctimas con que cuenta el Estado dentro de las instituciones públicas, como parte o complemento de las medidas cautelares que se les dieron por instrucción de la Comisión. Sin embargo, en ningún momento los familiares han manifestado, que deseen de apoyo psicológico para algún miembro de su grupo familiar.</w:t>
      </w:r>
      <w:r w:rsidRPr="002B1610">
        <w:rPr>
          <w:rFonts w:ascii="Verdana" w:hAnsi="Verdana"/>
          <w:w w:val="95"/>
          <w:sz w:val="20"/>
          <w:szCs w:val="20"/>
          <w:lang w:val="es-EC"/>
        </w:rPr>
        <w:t xml:space="preserve"> </w:t>
      </w:r>
    </w:p>
    <w:p w:rsidR="00DF15C3" w:rsidRPr="002B1610" w:rsidRDefault="00DF15C3" w:rsidP="003F26FD">
      <w:pPr>
        <w:pStyle w:val="Prrafodelista"/>
        <w:spacing w:after="0" w:line="216" w:lineRule="auto"/>
        <w:ind w:right="-174"/>
        <w:rPr>
          <w:rFonts w:ascii="Verdana" w:hAnsi="Verdana"/>
          <w:w w:val="95"/>
          <w:sz w:val="20"/>
          <w:szCs w:val="20"/>
          <w:lang w:val="es-EC"/>
        </w:rPr>
      </w:pPr>
    </w:p>
    <w:p w:rsidR="00DF15C3" w:rsidRPr="002B1610" w:rsidRDefault="00DF15C3" w:rsidP="003F26FD">
      <w:pPr>
        <w:pStyle w:val="Prrafodelista"/>
        <w:spacing w:after="0" w:line="216" w:lineRule="auto"/>
        <w:ind w:left="567" w:right="-174"/>
        <w:jc w:val="both"/>
        <w:outlineLvl w:val="2"/>
        <w:rPr>
          <w:rFonts w:ascii="Verdana" w:hAnsi="Verdana"/>
          <w:b/>
          <w:i/>
          <w:w w:val="95"/>
          <w:sz w:val="20"/>
          <w:szCs w:val="20"/>
          <w:lang w:val="es-EC"/>
        </w:rPr>
      </w:pPr>
      <w:bookmarkStart w:id="146" w:name="_Toc394313710"/>
      <w:r w:rsidRPr="002B1610">
        <w:rPr>
          <w:rFonts w:ascii="Verdana" w:hAnsi="Verdana"/>
          <w:b/>
          <w:i/>
          <w:w w:val="95"/>
          <w:sz w:val="20"/>
          <w:szCs w:val="20"/>
          <w:lang w:val="es-EC"/>
        </w:rPr>
        <w:t>E.2) Consideraciones de la Corte</w:t>
      </w:r>
      <w:bookmarkEnd w:id="146"/>
    </w:p>
    <w:p w:rsidR="00DF15C3" w:rsidRPr="002B1610" w:rsidRDefault="00DF15C3" w:rsidP="003F26FD">
      <w:pPr>
        <w:pStyle w:val="Prrafodelista"/>
        <w:spacing w:after="0" w:line="216" w:lineRule="auto"/>
        <w:ind w:right="-174"/>
        <w:rPr>
          <w:rFonts w:ascii="Verdana" w:hAnsi="Verdana"/>
          <w:w w:val="95"/>
          <w:sz w:val="20"/>
          <w:szCs w:val="20"/>
          <w:lang w:val="es-EC"/>
        </w:rPr>
      </w:pPr>
    </w:p>
    <w:p w:rsidR="00DF15C3" w:rsidRDefault="00DF15C3" w:rsidP="003F26FD">
      <w:pPr>
        <w:numPr>
          <w:ilvl w:val="0"/>
          <w:numId w:val="17"/>
        </w:numPr>
        <w:spacing w:after="0" w:line="216" w:lineRule="auto"/>
        <w:ind w:left="-142" w:right="-174" w:hanging="11"/>
        <w:jc w:val="both"/>
        <w:rPr>
          <w:rFonts w:ascii="Verdana" w:hAnsi="Verdana"/>
          <w:w w:val="95"/>
          <w:sz w:val="20"/>
          <w:szCs w:val="20"/>
          <w:lang w:val="es-EC"/>
        </w:rPr>
      </w:pPr>
      <w:r>
        <w:rPr>
          <w:rFonts w:ascii="Verdana" w:hAnsi="Verdana"/>
          <w:w w:val="95"/>
          <w:sz w:val="20"/>
          <w:szCs w:val="20"/>
          <w:lang w:val="es-EC"/>
        </w:rPr>
        <w:t xml:space="preserve">La Corte </w:t>
      </w:r>
      <w:r w:rsidRPr="00BA711F">
        <w:rPr>
          <w:rFonts w:ascii="Verdana" w:hAnsi="Verdana"/>
          <w:w w:val="95"/>
          <w:sz w:val="20"/>
          <w:szCs w:val="20"/>
          <w:lang w:val="es-EC"/>
        </w:rPr>
        <w:t>nota</w:t>
      </w:r>
      <w:r w:rsidRPr="00557B39">
        <w:rPr>
          <w:rFonts w:ascii="Verdana" w:hAnsi="Verdana"/>
          <w:w w:val="95"/>
          <w:sz w:val="20"/>
          <w:szCs w:val="20"/>
          <w:lang w:val="es-EC"/>
        </w:rPr>
        <w:t xml:space="preserve"> el argumento estatal sobre la posibilidad de solicitar los servicios de atención que brinda el Estado, </w:t>
      </w:r>
      <w:r w:rsidRPr="00BA711F">
        <w:rPr>
          <w:rFonts w:ascii="Verdana" w:hAnsi="Verdana"/>
          <w:w w:val="95"/>
          <w:sz w:val="20"/>
          <w:szCs w:val="20"/>
          <w:lang w:val="es-EC"/>
        </w:rPr>
        <w:t>y valora</w:t>
      </w:r>
      <w:r w:rsidRPr="00557B39">
        <w:rPr>
          <w:rFonts w:ascii="Verdana" w:hAnsi="Verdana"/>
          <w:w w:val="95"/>
          <w:sz w:val="20"/>
          <w:szCs w:val="20"/>
          <w:lang w:val="es-EC"/>
        </w:rPr>
        <w:t xml:space="preserve"> lo</w:t>
      </w:r>
      <w:r w:rsidRPr="002B1610">
        <w:rPr>
          <w:rFonts w:ascii="Verdana" w:hAnsi="Verdana"/>
          <w:w w:val="95"/>
          <w:sz w:val="20"/>
          <w:szCs w:val="20"/>
          <w:lang w:val="es-EC"/>
        </w:rPr>
        <w:t xml:space="preserve"> señalado por Guatemala en relación con su disposición para brindar la atención necesaria. Por otra parte, sin perjuicio de lo referido por el Estado, las medidas de reparación que pueda dictar la Corte tienen sustento directo en los daños relativos a violaciones a derechos humanos declaradas en este c</w:t>
      </w:r>
      <w:r w:rsidRPr="002857CA">
        <w:rPr>
          <w:rFonts w:ascii="Verdana" w:hAnsi="Verdana"/>
          <w:w w:val="95"/>
          <w:sz w:val="20"/>
          <w:szCs w:val="20"/>
          <w:lang w:val="es-EC"/>
        </w:rPr>
        <w:t>aso. Por tanto, como lo ha hecho en otros casos</w:t>
      </w:r>
      <w:r w:rsidRPr="002857CA">
        <w:rPr>
          <w:rFonts w:ascii="Verdana" w:hAnsi="Verdana"/>
          <w:w w:val="95"/>
          <w:sz w:val="20"/>
          <w:vertAlign w:val="superscript"/>
        </w:rPr>
        <w:footnoteReference w:id="359"/>
      </w:r>
      <w:r w:rsidRPr="002857CA">
        <w:rPr>
          <w:rFonts w:ascii="Verdana" w:hAnsi="Verdana"/>
          <w:w w:val="95"/>
          <w:sz w:val="20"/>
          <w:szCs w:val="20"/>
          <w:lang w:val="es-EC"/>
        </w:rPr>
        <w:t xml:space="preserve">, ordena al Estado que brinde atención médica o psicológica gratuita, de forma inmediata, adecuada y efectiva, a través de instituciones estatales de salud especializadas, a la señora Rosa Elvira Franco Sandoval, cuya afectación a la integridad personal fue declarada por este Tribunal en el caso </w:t>
      </w:r>
      <w:r w:rsidRPr="002857CA">
        <w:rPr>
          <w:rFonts w:ascii="Verdana" w:hAnsi="Verdana"/>
          <w:i/>
          <w:w w:val="95"/>
          <w:sz w:val="20"/>
          <w:szCs w:val="20"/>
          <w:lang w:val="es-EC"/>
        </w:rPr>
        <w:t>sub judice</w:t>
      </w:r>
      <w:r w:rsidRPr="002857CA">
        <w:rPr>
          <w:rFonts w:ascii="Verdana" w:hAnsi="Verdana"/>
          <w:w w:val="95"/>
          <w:sz w:val="20"/>
          <w:szCs w:val="20"/>
          <w:lang w:val="es-EC"/>
        </w:rPr>
        <w:t>, si ésta así lo desea. El</w:t>
      </w:r>
      <w:r w:rsidRPr="002B1610">
        <w:rPr>
          <w:rFonts w:ascii="Verdana" w:hAnsi="Verdana"/>
          <w:w w:val="95"/>
          <w:sz w:val="20"/>
          <w:szCs w:val="20"/>
          <w:lang w:val="es-EC"/>
        </w:rPr>
        <w:t xml:space="preserve"> Estado deberá asegurar que los profesionales de las instituciones de salud especializadas que sean asignados para el tratamiento de las víctimas valoren debidamente las condici</w:t>
      </w:r>
      <w:r>
        <w:rPr>
          <w:rFonts w:ascii="Verdana" w:hAnsi="Verdana"/>
          <w:w w:val="95"/>
          <w:sz w:val="20"/>
          <w:szCs w:val="20"/>
          <w:lang w:val="es-EC"/>
        </w:rPr>
        <w:t xml:space="preserve">ones psicológicas y físicas </w:t>
      </w:r>
      <w:r w:rsidRPr="00410F9B">
        <w:rPr>
          <w:rFonts w:ascii="Verdana" w:hAnsi="Verdana"/>
          <w:w w:val="95"/>
          <w:sz w:val="20"/>
          <w:szCs w:val="20"/>
          <w:lang w:val="es-EC"/>
        </w:rPr>
        <w:t>de la</w:t>
      </w:r>
      <w:r w:rsidRPr="005269B7">
        <w:rPr>
          <w:rFonts w:ascii="Verdana" w:hAnsi="Verdana"/>
          <w:w w:val="95"/>
          <w:sz w:val="20"/>
          <w:szCs w:val="20"/>
          <w:lang w:val="es-EC"/>
        </w:rPr>
        <w:t xml:space="preserve"> víctima y tengan la experiencia y formación suficientes para tratar tanto los problemas de salud físicos que padezca </w:t>
      </w:r>
      <w:r w:rsidRPr="00410F9B">
        <w:rPr>
          <w:rFonts w:ascii="Verdana" w:hAnsi="Verdana"/>
          <w:w w:val="95"/>
          <w:sz w:val="20"/>
          <w:szCs w:val="20"/>
          <w:lang w:val="es-EC"/>
        </w:rPr>
        <w:t>como los traumas psicológicos ocasionados como resultado de la falta de respuesta estatal, la impunidad y el trato recibido durante la investigación</w:t>
      </w:r>
      <w:r w:rsidRPr="005269B7">
        <w:rPr>
          <w:rFonts w:ascii="Verdana" w:hAnsi="Verdana"/>
          <w:w w:val="95"/>
          <w:sz w:val="20"/>
          <w:szCs w:val="20"/>
          <w:lang w:val="es-EC"/>
        </w:rPr>
        <w:t xml:space="preserve"> (</w:t>
      </w:r>
      <w:r w:rsidRPr="005269B7">
        <w:rPr>
          <w:rFonts w:ascii="Verdana" w:hAnsi="Verdana"/>
          <w:i/>
          <w:w w:val="95"/>
          <w:sz w:val="20"/>
          <w:szCs w:val="20"/>
          <w:lang w:val="es-EC"/>
        </w:rPr>
        <w:t>supra</w:t>
      </w:r>
      <w:r w:rsidRPr="005269B7">
        <w:rPr>
          <w:rFonts w:ascii="Verdana" w:hAnsi="Verdana"/>
          <w:w w:val="95"/>
          <w:sz w:val="20"/>
          <w:szCs w:val="20"/>
          <w:lang w:val="es-EC"/>
        </w:rPr>
        <w:t xml:space="preserve"> párr. </w:t>
      </w:r>
      <w:r w:rsidR="00EC781A">
        <w:rPr>
          <w:rFonts w:ascii="Verdana" w:hAnsi="Verdana"/>
          <w:w w:val="95"/>
          <w:sz w:val="20"/>
          <w:szCs w:val="20"/>
          <w:lang w:val="es-EC"/>
        </w:rPr>
        <w:t>239</w:t>
      </w:r>
      <w:r w:rsidRPr="00410F9B">
        <w:rPr>
          <w:rFonts w:ascii="Verdana" w:hAnsi="Verdana"/>
          <w:w w:val="95"/>
          <w:sz w:val="20"/>
          <w:szCs w:val="20"/>
          <w:lang w:val="es-EC"/>
        </w:rPr>
        <w:t>). Asimismo, el tratamiento debe prestarse por el tiempo que sea necesario e incluir el suministro gratuito de todos los medicamentos que eventualmente requiera</w:t>
      </w:r>
      <w:r w:rsidRPr="005269B7">
        <w:rPr>
          <w:rFonts w:ascii="Verdana" w:hAnsi="Verdana"/>
          <w:w w:val="95"/>
          <w:sz w:val="20"/>
          <w:szCs w:val="20"/>
          <w:lang w:val="es-EC"/>
        </w:rPr>
        <w:t>.</w:t>
      </w:r>
    </w:p>
    <w:p w:rsidR="005F48F7" w:rsidRPr="005269B7" w:rsidRDefault="005F48F7" w:rsidP="003F26FD">
      <w:pPr>
        <w:spacing w:after="0" w:line="216" w:lineRule="auto"/>
        <w:ind w:left="-142" w:right="-174"/>
        <w:jc w:val="both"/>
        <w:rPr>
          <w:rFonts w:ascii="Verdana" w:hAnsi="Verdana"/>
          <w:w w:val="95"/>
          <w:sz w:val="20"/>
          <w:szCs w:val="20"/>
          <w:lang w:val="es-EC"/>
        </w:rPr>
      </w:pPr>
    </w:p>
    <w:p w:rsidR="00DF15C3" w:rsidRPr="00200AC2" w:rsidRDefault="00DF15C3" w:rsidP="003F26FD">
      <w:pPr>
        <w:pStyle w:val="Prrafodelista"/>
        <w:spacing w:after="0" w:line="216" w:lineRule="auto"/>
        <w:ind w:left="284" w:right="-174"/>
        <w:jc w:val="both"/>
        <w:outlineLvl w:val="1"/>
        <w:rPr>
          <w:rFonts w:ascii="Verdana" w:hAnsi="Verdana"/>
          <w:b/>
          <w:w w:val="95"/>
          <w:sz w:val="20"/>
          <w:szCs w:val="20"/>
          <w:lang w:val="es-EC"/>
        </w:rPr>
      </w:pPr>
      <w:bookmarkStart w:id="147" w:name="_Toc394313711"/>
      <w:r w:rsidRPr="00200AC2">
        <w:rPr>
          <w:rFonts w:ascii="Verdana" w:hAnsi="Verdana"/>
          <w:b/>
          <w:w w:val="95"/>
          <w:sz w:val="20"/>
          <w:szCs w:val="20"/>
          <w:lang w:val="es-EC"/>
        </w:rPr>
        <w:t xml:space="preserve">F. Indemnización </w:t>
      </w:r>
      <w:r>
        <w:rPr>
          <w:rFonts w:ascii="Verdana" w:hAnsi="Verdana"/>
          <w:b/>
          <w:w w:val="95"/>
          <w:sz w:val="20"/>
          <w:szCs w:val="20"/>
          <w:lang w:val="es-EC"/>
        </w:rPr>
        <w:t>por daños materiales e inmateriales.</w:t>
      </w:r>
      <w:bookmarkEnd w:id="147"/>
      <w:r>
        <w:rPr>
          <w:rFonts w:ascii="Verdana" w:hAnsi="Verdana"/>
          <w:b/>
          <w:w w:val="95"/>
          <w:sz w:val="20"/>
          <w:szCs w:val="20"/>
          <w:lang w:val="es-EC"/>
        </w:rPr>
        <w:t xml:space="preserve"> </w:t>
      </w:r>
    </w:p>
    <w:p w:rsidR="00DF15C3" w:rsidRDefault="00DF15C3" w:rsidP="003F26FD">
      <w:pPr>
        <w:spacing w:after="0" w:line="216" w:lineRule="auto"/>
        <w:ind w:left="-142" w:right="-174"/>
        <w:jc w:val="both"/>
        <w:rPr>
          <w:rFonts w:ascii="Verdana" w:hAnsi="Verdana"/>
          <w:w w:val="95"/>
          <w:sz w:val="20"/>
          <w:szCs w:val="20"/>
          <w:lang w:val="es-EC"/>
        </w:rPr>
      </w:pPr>
    </w:p>
    <w:p w:rsidR="00DF15C3" w:rsidRDefault="00DF15C3" w:rsidP="003F26FD">
      <w:pPr>
        <w:pStyle w:val="Ttulo3"/>
        <w:spacing w:before="0" w:line="216" w:lineRule="auto"/>
        <w:ind w:left="567" w:right="-174"/>
        <w:jc w:val="both"/>
        <w:rPr>
          <w:rFonts w:ascii="Verdana" w:hAnsi="Verdana"/>
          <w:w w:val="95"/>
          <w:sz w:val="20"/>
          <w:lang w:val="es-EC"/>
        </w:rPr>
      </w:pPr>
      <w:bookmarkStart w:id="148" w:name="_Toc394313712"/>
      <w:r w:rsidRPr="00BA711F">
        <w:rPr>
          <w:rFonts w:ascii="Verdana" w:hAnsi="Verdana"/>
          <w:i/>
          <w:color w:val="auto"/>
          <w:w w:val="95"/>
          <w:sz w:val="20"/>
          <w:lang w:val="es-EC"/>
        </w:rPr>
        <w:t xml:space="preserve">F.1) </w:t>
      </w:r>
      <w:r w:rsidR="00F364D2">
        <w:rPr>
          <w:rFonts w:ascii="Verdana" w:hAnsi="Verdana"/>
          <w:i/>
          <w:color w:val="auto"/>
          <w:w w:val="95"/>
          <w:sz w:val="20"/>
          <w:lang w:val="es-EC"/>
        </w:rPr>
        <w:t>Introducción</w:t>
      </w:r>
      <w:bookmarkEnd w:id="148"/>
    </w:p>
    <w:p w:rsidR="00DF15C3" w:rsidRPr="00200AC2" w:rsidRDefault="00DF15C3" w:rsidP="003F26FD">
      <w:pPr>
        <w:spacing w:after="0" w:line="216" w:lineRule="auto"/>
        <w:ind w:left="-142" w:right="-174"/>
        <w:jc w:val="both"/>
        <w:rPr>
          <w:rFonts w:ascii="Verdana" w:hAnsi="Verdana"/>
          <w:w w:val="95"/>
          <w:sz w:val="20"/>
          <w:szCs w:val="20"/>
          <w:lang w:val="es-EC"/>
        </w:rPr>
      </w:pPr>
    </w:p>
    <w:p w:rsidR="00DF15C3" w:rsidRPr="00200AC2" w:rsidRDefault="00DF15C3" w:rsidP="003F26FD">
      <w:pPr>
        <w:numPr>
          <w:ilvl w:val="0"/>
          <w:numId w:val="17"/>
        </w:numPr>
        <w:spacing w:after="0" w:line="216" w:lineRule="auto"/>
        <w:ind w:left="-142" w:right="-174" w:hanging="11"/>
        <w:jc w:val="both"/>
        <w:rPr>
          <w:rFonts w:ascii="Verdana" w:hAnsi="Verdana"/>
          <w:w w:val="95"/>
          <w:sz w:val="20"/>
          <w:szCs w:val="20"/>
          <w:lang w:val="es-EC"/>
        </w:rPr>
      </w:pPr>
      <w:r w:rsidRPr="00200AC2">
        <w:rPr>
          <w:rFonts w:ascii="Verdana" w:hAnsi="Verdana"/>
          <w:w w:val="95"/>
          <w:sz w:val="20"/>
          <w:szCs w:val="20"/>
          <w:lang w:val="es-EC"/>
        </w:rPr>
        <w:t xml:space="preserve">La Corte toma en consideración que, de forma general, la </w:t>
      </w:r>
      <w:r w:rsidRPr="00200AC2">
        <w:rPr>
          <w:rFonts w:ascii="Verdana" w:hAnsi="Verdana"/>
          <w:b/>
          <w:i/>
          <w:w w:val="95"/>
          <w:sz w:val="20"/>
          <w:szCs w:val="20"/>
          <w:lang w:val="es-EC"/>
        </w:rPr>
        <w:t>Comisión</w:t>
      </w:r>
      <w:r w:rsidRPr="00200AC2">
        <w:rPr>
          <w:rFonts w:ascii="Verdana" w:hAnsi="Verdana"/>
          <w:b/>
          <w:w w:val="95"/>
          <w:sz w:val="20"/>
          <w:szCs w:val="20"/>
          <w:lang w:val="es-EC"/>
        </w:rPr>
        <w:t xml:space="preserve"> </w:t>
      </w:r>
      <w:r w:rsidRPr="00200AC2">
        <w:rPr>
          <w:rFonts w:ascii="Verdana" w:hAnsi="Verdana"/>
          <w:w w:val="95"/>
          <w:sz w:val="20"/>
          <w:szCs w:val="20"/>
          <w:lang w:val="es-EC"/>
        </w:rPr>
        <w:t>recomendó “[r]</w:t>
      </w:r>
      <w:r w:rsidRPr="00557B39">
        <w:rPr>
          <w:rFonts w:ascii="Verdana" w:hAnsi="Verdana"/>
          <w:w w:val="95"/>
          <w:sz w:val="20"/>
          <w:szCs w:val="20"/>
          <w:lang w:val="es-EC"/>
        </w:rPr>
        <w:t>eparar adecuadamente</w:t>
      </w:r>
      <w:r w:rsidRPr="00200AC2">
        <w:rPr>
          <w:rFonts w:ascii="Verdana" w:hAnsi="Verdana"/>
          <w:w w:val="95"/>
          <w:sz w:val="20"/>
          <w:szCs w:val="20"/>
          <w:lang w:val="es-EC"/>
        </w:rPr>
        <w:t xml:space="preserve"> las violaciones de derechos humanos declaradas en [su] informe [de fondo] tanto en el aspecto material como moral”</w:t>
      </w:r>
      <w:r>
        <w:rPr>
          <w:rFonts w:ascii="Verdana" w:hAnsi="Verdana"/>
          <w:b/>
          <w:w w:val="95"/>
          <w:sz w:val="20"/>
          <w:szCs w:val="20"/>
          <w:lang w:val="es-EC"/>
        </w:rPr>
        <w:t xml:space="preserve"> </w:t>
      </w:r>
      <w:r w:rsidRPr="002857CA">
        <w:rPr>
          <w:rFonts w:ascii="Verdana" w:hAnsi="Verdana"/>
          <w:w w:val="95"/>
          <w:sz w:val="20"/>
          <w:szCs w:val="20"/>
          <w:lang w:val="es-EC"/>
        </w:rPr>
        <w:t>sin esbozar argumentos</w:t>
      </w:r>
      <w:r w:rsidRPr="00831A28">
        <w:rPr>
          <w:rFonts w:ascii="Verdana" w:hAnsi="Verdana"/>
          <w:w w:val="95"/>
          <w:sz w:val="20"/>
          <w:szCs w:val="20"/>
          <w:lang w:val="es-EC"/>
        </w:rPr>
        <w:t xml:space="preserve"> específicos</w:t>
      </w:r>
      <w:r w:rsidRPr="00200AC2">
        <w:rPr>
          <w:rFonts w:ascii="Verdana" w:hAnsi="Verdana"/>
          <w:w w:val="95"/>
          <w:sz w:val="20"/>
          <w:szCs w:val="20"/>
          <w:lang w:val="es-EC"/>
        </w:rPr>
        <w:t xml:space="preserve">. La </w:t>
      </w:r>
      <w:r w:rsidRPr="00200AC2">
        <w:rPr>
          <w:rFonts w:ascii="Verdana" w:hAnsi="Verdana"/>
          <w:b/>
          <w:i/>
          <w:w w:val="95"/>
          <w:sz w:val="20"/>
          <w:szCs w:val="20"/>
          <w:lang w:val="es-EC"/>
        </w:rPr>
        <w:t>representante</w:t>
      </w:r>
      <w:r w:rsidRPr="00200AC2">
        <w:rPr>
          <w:rFonts w:ascii="Verdana" w:hAnsi="Verdana"/>
          <w:w w:val="95"/>
          <w:sz w:val="20"/>
          <w:szCs w:val="20"/>
          <w:lang w:val="es-EC"/>
        </w:rPr>
        <w:t>, por su parte, solicit</w:t>
      </w:r>
      <w:r>
        <w:rPr>
          <w:rFonts w:ascii="Verdana" w:hAnsi="Verdana"/>
          <w:w w:val="95"/>
          <w:sz w:val="20"/>
          <w:szCs w:val="20"/>
          <w:lang w:val="es-EC"/>
        </w:rPr>
        <w:t>ó</w:t>
      </w:r>
      <w:r w:rsidRPr="00200AC2">
        <w:rPr>
          <w:rFonts w:ascii="Verdana" w:hAnsi="Verdana"/>
          <w:w w:val="95"/>
          <w:sz w:val="20"/>
          <w:szCs w:val="20"/>
          <w:lang w:val="es-EC"/>
        </w:rPr>
        <w:t xml:space="preserve"> indemnizaciones compensatorias, de acuerdo a argumentos que se reseñan más adelante. </w:t>
      </w:r>
      <w:r w:rsidRPr="00831A28">
        <w:rPr>
          <w:rFonts w:ascii="Verdana" w:hAnsi="Verdana"/>
          <w:w w:val="95"/>
          <w:sz w:val="20"/>
          <w:szCs w:val="20"/>
          <w:lang w:val="es-EC"/>
        </w:rPr>
        <w:t xml:space="preserve">El </w:t>
      </w:r>
      <w:r w:rsidRPr="006457FE">
        <w:rPr>
          <w:rFonts w:ascii="Verdana" w:hAnsi="Verdana"/>
          <w:b/>
          <w:i/>
          <w:w w:val="95"/>
          <w:sz w:val="20"/>
          <w:szCs w:val="20"/>
          <w:lang w:val="es-EC"/>
        </w:rPr>
        <w:t>Estado</w:t>
      </w:r>
      <w:r w:rsidRPr="006457FE">
        <w:rPr>
          <w:rFonts w:ascii="Verdana" w:hAnsi="Verdana"/>
          <w:b/>
          <w:w w:val="95"/>
          <w:sz w:val="20"/>
          <w:szCs w:val="20"/>
          <w:lang w:val="es-EC"/>
        </w:rPr>
        <w:t xml:space="preserve"> </w:t>
      </w:r>
      <w:r w:rsidRPr="00831A28">
        <w:rPr>
          <w:rFonts w:ascii="Verdana" w:hAnsi="Verdana"/>
          <w:w w:val="95"/>
          <w:sz w:val="20"/>
          <w:szCs w:val="20"/>
          <w:lang w:val="es-EC"/>
        </w:rPr>
        <w:t>rechazó tales solicitudes, por argumentos que también</w:t>
      </w:r>
      <w:r>
        <w:rPr>
          <w:rFonts w:ascii="Verdana" w:hAnsi="Verdana"/>
          <w:b/>
          <w:w w:val="95"/>
          <w:sz w:val="20"/>
          <w:szCs w:val="20"/>
          <w:lang w:val="es-EC"/>
        </w:rPr>
        <w:t xml:space="preserve"> </w:t>
      </w:r>
      <w:r w:rsidRPr="00831A28">
        <w:rPr>
          <w:rFonts w:ascii="Verdana" w:hAnsi="Verdana"/>
          <w:w w:val="95"/>
          <w:sz w:val="20"/>
          <w:szCs w:val="20"/>
          <w:lang w:val="es-EC"/>
        </w:rPr>
        <w:t>se</w:t>
      </w:r>
      <w:r>
        <w:rPr>
          <w:rFonts w:ascii="Verdana" w:hAnsi="Verdana"/>
          <w:b/>
          <w:w w:val="95"/>
          <w:sz w:val="20"/>
          <w:szCs w:val="20"/>
          <w:lang w:val="es-EC"/>
        </w:rPr>
        <w:t xml:space="preserve"> </w:t>
      </w:r>
      <w:r w:rsidRPr="002857CA">
        <w:rPr>
          <w:rFonts w:ascii="Verdana" w:hAnsi="Verdana"/>
          <w:w w:val="95"/>
          <w:sz w:val="20"/>
          <w:szCs w:val="20"/>
          <w:lang w:val="es-EC"/>
        </w:rPr>
        <w:t>detallan a continuación</w:t>
      </w:r>
      <w:r w:rsidR="002857CA" w:rsidRPr="002857CA">
        <w:rPr>
          <w:rFonts w:ascii="Verdana" w:hAnsi="Verdana"/>
          <w:w w:val="95"/>
          <w:sz w:val="20"/>
          <w:szCs w:val="20"/>
          <w:lang w:val="es-EC"/>
        </w:rPr>
        <w:t>.</w:t>
      </w:r>
      <w:r w:rsidR="005F48F7" w:rsidRPr="002857CA">
        <w:rPr>
          <w:rFonts w:ascii="Verdana" w:hAnsi="Verdana"/>
          <w:w w:val="95"/>
          <w:sz w:val="20"/>
          <w:szCs w:val="20"/>
          <w:lang w:val="es-EC"/>
        </w:rPr>
        <w:t xml:space="preserve"> </w:t>
      </w:r>
      <w:r w:rsidRPr="002857CA">
        <w:rPr>
          <w:rFonts w:ascii="Verdana" w:hAnsi="Verdana"/>
          <w:w w:val="95"/>
          <w:sz w:val="20"/>
          <w:szCs w:val="20"/>
          <w:lang w:val="es-EC"/>
        </w:rPr>
        <w:t>En</w:t>
      </w:r>
      <w:r w:rsidRPr="00831A28">
        <w:rPr>
          <w:rFonts w:ascii="Verdana" w:hAnsi="Verdana"/>
          <w:w w:val="95"/>
          <w:sz w:val="20"/>
          <w:szCs w:val="20"/>
          <w:lang w:val="es-EC"/>
        </w:rPr>
        <w:t xml:space="preserve"> el presente caso, la Corte estima pertinente abordar en forma conjunta la determinación de las indemnizaciones de daños materiales e inmateriales.</w:t>
      </w:r>
      <w:r w:rsidRPr="00C3540E">
        <w:rPr>
          <w:rFonts w:ascii="Verdana" w:hAnsi="Verdana"/>
          <w:w w:val="95"/>
          <w:sz w:val="20"/>
          <w:szCs w:val="20"/>
          <w:lang w:val="es-EC"/>
        </w:rPr>
        <w:t xml:space="preserve"> </w:t>
      </w:r>
    </w:p>
    <w:p w:rsidR="00DF15C3" w:rsidRDefault="00DF15C3" w:rsidP="003F26FD">
      <w:pPr>
        <w:pStyle w:val="Ttulo3"/>
        <w:spacing w:before="0" w:line="216" w:lineRule="auto"/>
        <w:ind w:left="567" w:right="-174"/>
        <w:jc w:val="both"/>
        <w:rPr>
          <w:rFonts w:ascii="Verdana" w:hAnsi="Verdana"/>
          <w:i/>
          <w:color w:val="auto"/>
          <w:w w:val="95"/>
          <w:sz w:val="20"/>
          <w:lang w:val="es-EC"/>
        </w:rPr>
      </w:pPr>
    </w:p>
    <w:p w:rsidR="00DF15C3" w:rsidRDefault="00DF15C3" w:rsidP="003F26FD">
      <w:pPr>
        <w:pStyle w:val="Ttulo3"/>
        <w:spacing w:before="0" w:line="216" w:lineRule="auto"/>
        <w:ind w:left="567" w:right="-174"/>
        <w:jc w:val="both"/>
        <w:rPr>
          <w:rFonts w:ascii="Verdana" w:hAnsi="Verdana"/>
          <w:i/>
          <w:color w:val="auto"/>
          <w:w w:val="95"/>
          <w:sz w:val="20"/>
          <w:lang w:val="es-EC"/>
        </w:rPr>
      </w:pPr>
      <w:bookmarkStart w:id="149" w:name="_Toc394313713"/>
      <w:r w:rsidRPr="00BA711F">
        <w:rPr>
          <w:rFonts w:ascii="Verdana" w:hAnsi="Verdana"/>
          <w:i/>
          <w:color w:val="auto"/>
          <w:w w:val="95"/>
          <w:sz w:val="20"/>
          <w:lang w:val="es-EC"/>
        </w:rPr>
        <w:t>F.</w:t>
      </w:r>
      <w:r>
        <w:rPr>
          <w:rFonts w:ascii="Verdana" w:hAnsi="Verdana"/>
          <w:i/>
          <w:color w:val="auto"/>
          <w:w w:val="95"/>
          <w:sz w:val="20"/>
          <w:lang w:val="es-EC"/>
        </w:rPr>
        <w:t>2</w:t>
      </w:r>
      <w:r w:rsidRPr="00BA711F">
        <w:rPr>
          <w:rFonts w:ascii="Verdana" w:hAnsi="Verdana"/>
          <w:i/>
          <w:color w:val="auto"/>
          <w:w w:val="95"/>
          <w:sz w:val="20"/>
          <w:lang w:val="es-EC"/>
        </w:rPr>
        <w:t xml:space="preserve">) </w:t>
      </w:r>
      <w:r>
        <w:rPr>
          <w:rFonts w:ascii="Verdana" w:hAnsi="Verdana"/>
          <w:i/>
          <w:color w:val="auto"/>
          <w:w w:val="95"/>
          <w:sz w:val="20"/>
          <w:lang w:val="es-EC"/>
        </w:rPr>
        <w:t>Argumentos de las partes</w:t>
      </w:r>
      <w:bookmarkEnd w:id="149"/>
    </w:p>
    <w:p w:rsidR="00DF15C3" w:rsidRPr="003268EF" w:rsidRDefault="00DF15C3" w:rsidP="003F26FD">
      <w:pPr>
        <w:spacing w:after="0"/>
        <w:ind w:right="-174"/>
        <w:rPr>
          <w:lang w:val="es-EC"/>
        </w:rPr>
      </w:pPr>
    </w:p>
    <w:p w:rsidR="00DF15C3" w:rsidRDefault="00DF15C3" w:rsidP="003F26FD">
      <w:pPr>
        <w:numPr>
          <w:ilvl w:val="0"/>
          <w:numId w:val="17"/>
        </w:numPr>
        <w:spacing w:after="0" w:line="216" w:lineRule="auto"/>
        <w:ind w:left="-142" w:right="-174" w:firstLine="0"/>
        <w:jc w:val="both"/>
        <w:rPr>
          <w:rFonts w:ascii="Verdana" w:hAnsi="Verdana"/>
          <w:w w:val="95"/>
          <w:sz w:val="20"/>
          <w:szCs w:val="20"/>
          <w:lang w:val="es-EC"/>
        </w:rPr>
      </w:pPr>
      <w:r>
        <w:rPr>
          <w:rFonts w:ascii="Verdana" w:hAnsi="Verdana"/>
          <w:w w:val="95"/>
          <w:sz w:val="20"/>
          <w:szCs w:val="20"/>
          <w:lang w:val="es-EC"/>
        </w:rPr>
        <w:t xml:space="preserve"> </w:t>
      </w:r>
      <w:r w:rsidRPr="00BA711F">
        <w:rPr>
          <w:rFonts w:ascii="Verdana" w:hAnsi="Verdana"/>
          <w:w w:val="95"/>
          <w:sz w:val="20"/>
          <w:szCs w:val="20"/>
          <w:lang w:val="es-EC"/>
        </w:rPr>
        <w:t xml:space="preserve">La </w:t>
      </w:r>
      <w:r w:rsidRPr="00BA711F">
        <w:rPr>
          <w:rFonts w:ascii="Verdana" w:hAnsi="Verdana"/>
          <w:b/>
          <w:i/>
          <w:w w:val="95"/>
          <w:sz w:val="20"/>
          <w:szCs w:val="20"/>
          <w:lang w:val="es-EC"/>
        </w:rPr>
        <w:t>representante</w:t>
      </w:r>
      <w:r w:rsidRPr="00BA711F">
        <w:rPr>
          <w:rFonts w:ascii="Verdana" w:hAnsi="Verdana"/>
          <w:w w:val="95"/>
          <w:sz w:val="20"/>
          <w:szCs w:val="20"/>
          <w:lang w:val="es-EC"/>
        </w:rPr>
        <w:t xml:space="preserve"> indic</w:t>
      </w:r>
      <w:r>
        <w:rPr>
          <w:rFonts w:ascii="Verdana" w:hAnsi="Verdana"/>
          <w:w w:val="95"/>
          <w:sz w:val="20"/>
          <w:szCs w:val="20"/>
          <w:lang w:val="es-EC"/>
        </w:rPr>
        <w:t>ó</w:t>
      </w:r>
      <w:r w:rsidRPr="00BA711F">
        <w:rPr>
          <w:rFonts w:ascii="Verdana" w:hAnsi="Verdana"/>
          <w:w w:val="95"/>
          <w:sz w:val="20"/>
          <w:szCs w:val="20"/>
          <w:lang w:val="es-EC"/>
        </w:rPr>
        <w:t xml:space="preserve"> que la muerte de María Isabel </w:t>
      </w:r>
      <w:r>
        <w:rPr>
          <w:rFonts w:ascii="Verdana" w:hAnsi="Verdana"/>
          <w:w w:val="95"/>
          <w:sz w:val="20"/>
          <w:szCs w:val="20"/>
          <w:lang w:val="es-EC"/>
        </w:rPr>
        <w:t>Veliz</w:t>
      </w:r>
      <w:r w:rsidRPr="00BA711F">
        <w:rPr>
          <w:rFonts w:ascii="Verdana" w:hAnsi="Verdana"/>
          <w:w w:val="95"/>
          <w:sz w:val="20"/>
          <w:szCs w:val="20"/>
          <w:lang w:val="es-EC"/>
        </w:rPr>
        <w:t xml:space="preserve"> Franco “trajo consigo gastos inesperados, el primero de ellos “la necesidad de otorgarle una sepultura digna. Los gastos funerarios correspondientes fueron sufragados en su totalidad por su familia”.  No obstante, señal</w:t>
      </w:r>
      <w:r>
        <w:rPr>
          <w:rFonts w:ascii="Verdana" w:hAnsi="Verdana"/>
          <w:w w:val="95"/>
          <w:sz w:val="20"/>
          <w:szCs w:val="20"/>
          <w:lang w:val="es-EC"/>
        </w:rPr>
        <w:t>ó</w:t>
      </w:r>
      <w:r w:rsidRPr="00BA711F">
        <w:rPr>
          <w:rFonts w:ascii="Verdana" w:hAnsi="Verdana"/>
          <w:w w:val="95"/>
          <w:sz w:val="20"/>
          <w:szCs w:val="20"/>
          <w:lang w:val="es-EC"/>
        </w:rPr>
        <w:t xml:space="preserve"> que la señora Rosa Elvira</w:t>
      </w:r>
      <w:r>
        <w:rPr>
          <w:rFonts w:ascii="Verdana" w:hAnsi="Verdana"/>
          <w:w w:val="95"/>
          <w:sz w:val="20"/>
          <w:szCs w:val="20"/>
          <w:lang w:val="es-EC"/>
        </w:rPr>
        <w:t xml:space="preserve"> Franco</w:t>
      </w:r>
      <w:r w:rsidRPr="00BA711F">
        <w:rPr>
          <w:rFonts w:ascii="Verdana" w:hAnsi="Verdana"/>
          <w:w w:val="95"/>
          <w:sz w:val="20"/>
          <w:szCs w:val="20"/>
          <w:lang w:val="es-EC"/>
        </w:rPr>
        <w:t xml:space="preserve"> “no cuenta con todos los recibos de los gastos, los cuales fueron efectuados hace más de 10 años”, y en consecuencia solicitaron que la Corte “determine el monto de esta c</w:t>
      </w:r>
      <w:r w:rsidRPr="002B1610">
        <w:rPr>
          <w:rFonts w:ascii="Verdana" w:hAnsi="Verdana"/>
          <w:w w:val="95"/>
          <w:sz w:val="20"/>
          <w:szCs w:val="20"/>
          <w:lang w:val="es-EC"/>
        </w:rPr>
        <w:t>a</w:t>
      </w:r>
      <w:r w:rsidRPr="00200AC2">
        <w:rPr>
          <w:rFonts w:ascii="Verdana" w:hAnsi="Verdana"/>
          <w:w w:val="95"/>
          <w:sz w:val="20"/>
          <w:szCs w:val="20"/>
          <w:lang w:val="es-EC"/>
        </w:rPr>
        <w:t>nti</w:t>
      </w:r>
      <w:r w:rsidRPr="002B1610">
        <w:rPr>
          <w:rFonts w:ascii="Verdana" w:hAnsi="Verdana"/>
          <w:w w:val="95"/>
          <w:sz w:val="20"/>
          <w:szCs w:val="20"/>
          <w:lang w:val="es-EC"/>
        </w:rPr>
        <w:t>dad de acuerdo a criterios de equidad”.</w:t>
      </w:r>
    </w:p>
    <w:p w:rsidR="00DF15C3" w:rsidRDefault="00DF15C3" w:rsidP="003F26FD">
      <w:pPr>
        <w:spacing w:after="0" w:line="216" w:lineRule="auto"/>
        <w:ind w:left="-142" w:right="-174"/>
        <w:jc w:val="both"/>
        <w:rPr>
          <w:rFonts w:ascii="Verdana" w:hAnsi="Verdana"/>
          <w:w w:val="95"/>
          <w:sz w:val="20"/>
          <w:szCs w:val="20"/>
          <w:lang w:val="es-EC"/>
        </w:rPr>
      </w:pPr>
    </w:p>
    <w:p w:rsidR="00DF15C3" w:rsidRPr="00B34530" w:rsidRDefault="00DF15C3" w:rsidP="003F26FD">
      <w:pPr>
        <w:numPr>
          <w:ilvl w:val="0"/>
          <w:numId w:val="17"/>
        </w:numPr>
        <w:spacing w:after="0" w:line="216" w:lineRule="auto"/>
        <w:ind w:left="-142" w:right="-174" w:firstLine="0"/>
        <w:jc w:val="both"/>
        <w:rPr>
          <w:rFonts w:ascii="Verdana" w:hAnsi="Verdana"/>
          <w:w w:val="95"/>
          <w:sz w:val="20"/>
          <w:szCs w:val="20"/>
          <w:lang w:val="es-EC"/>
        </w:rPr>
      </w:pPr>
      <w:r w:rsidRPr="00831A28">
        <w:rPr>
          <w:rFonts w:ascii="Verdana" w:hAnsi="Verdana"/>
          <w:w w:val="95"/>
          <w:sz w:val="20"/>
          <w:szCs w:val="20"/>
          <w:lang w:val="es-EC"/>
        </w:rPr>
        <w:t>M</w:t>
      </w:r>
      <w:r w:rsidRPr="00B34530">
        <w:rPr>
          <w:rFonts w:ascii="Verdana" w:hAnsi="Verdana"/>
          <w:w w:val="95"/>
          <w:sz w:val="20"/>
          <w:szCs w:val="20"/>
          <w:lang w:val="es-EC"/>
        </w:rPr>
        <w:t>anifest</w:t>
      </w:r>
      <w:r>
        <w:rPr>
          <w:rFonts w:ascii="Verdana" w:hAnsi="Verdana"/>
          <w:w w:val="95"/>
          <w:sz w:val="20"/>
          <w:szCs w:val="20"/>
          <w:lang w:val="es-EC"/>
        </w:rPr>
        <w:t>ó</w:t>
      </w:r>
      <w:r w:rsidRPr="00B34530">
        <w:rPr>
          <w:rFonts w:ascii="Verdana" w:hAnsi="Verdana"/>
          <w:w w:val="95"/>
          <w:sz w:val="20"/>
          <w:szCs w:val="20"/>
          <w:lang w:val="es-EC"/>
        </w:rPr>
        <w:t xml:space="preserve"> también que “desde el momento de la muerte de María Isabel […] y a lo largo de los más de 10 años que han transcurrido desde entonces, su madre ha realizado numerosas acciones para obtener justicia y establece</w:t>
      </w:r>
      <w:r>
        <w:rPr>
          <w:rFonts w:ascii="Verdana" w:hAnsi="Verdana"/>
          <w:w w:val="95"/>
          <w:sz w:val="20"/>
          <w:szCs w:val="20"/>
          <w:lang w:val="es-EC"/>
        </w:rPr>
        <w:t>r</w:t>
      </w:r>
      <w:r w:rsidRPr="00B34530">
        <w:rPr>
          <w:rFonts w:ascii="Verdana" w:hAnsi="Verdana"/>
          <w:w w:val="95"/>
          <w:sz w:val="20"/>
          <w:szCs w:val="20"/>
          <w:lang w:val="es-EC"/>
        </w:rPr>
        <w:t xml:space="preserve"> la verdad de lo ocurrido, lo cual ha implicado muchas horas de dedicación”. Al respecto, señal</w:t>
      </w:r>
      <w:r>
        <w:rPr>
          <w:rFonts w:ascii="Verdana" w:hAnsi="Verdana"/>
          <w:w w:val="95"/>
          <w:sz w:val="20"/>
          <w:szCs w:val="20"/>
          <w:lang w:val="es-EC"/>
        </w:rPr>
        <w:t>ó</w:t>
      </w:r>
      <w:r w:rsidRPr="00B34530">
        <w:rPr>
          <w:rFonts w:ascii="Verdana" w:hAnsi="Verdana"/>
          <w:w w:val="95"/>
          <w:sz w:val="20"/>
          <w:szCs w:val="20"/>
          <w:lang w:val="es-EC"/>
        </w:rPr>
        <w:t xml:space="preserve"> que durante el tiempo invertido en l</w:t>
      </w:r>
      <w:r w:rsidR="00C4690D">
        <w:rPr>
          <w:rFonts w:ascii="Verdana" w:hAnsi="Verdana"/>
          <w:w w:val="95"/>
          <w:sz w:val="20"/>
          <w:szCs w:val="20"/>
          <w:lang w:val="es-EC"/>
        </w:rPr>
        <w:t xml:space="preserve">as diligencias, “la señora […] </w:t>
      </w:r>
      <w:r w:rsidRPr="00B34530">
        <w:rPr>
          <w:rFonts w:ascii="Verdana" w:hAnsi="Verdana"/>
          <w:w w:val="95"/>
          <w:sz w:val="20"/>
          <w:szCs w:val="20"/>
          <w:lang w:val="es-EC"/>
        </w:rPr>
        <w:t xml:space="preserve">Franco </w:t>
      </w:r>
      <w:r w:rsidR="00C4690D">
        <w:rPr>
          <w:rFonts w:ascii="Verdana" w:hAnsi="Verdana"/>
          <w:w w:val="95"/>
          <w:sz w:val="20"/>
          <w:szCs w:val="20"/>
          <w:lang w:val="es-EC"/>
        </w:rPr>
        <w:t xml:space="preserve">[Sandoval] </w:t>
      </w:r>
      <w:r w:rsidRPr="00B34530">
        <w:rPr>
          <w:rFonts w:ascii="Verdana" w:hAnsi="Verdana"/>
          <w:w w:val="95"/>
          <w:sz w:val="20"/>
          <w:szCs w:val="20"/>
          <w:lang w:val="es-EC"/>
        </w:rPr>
        <w:t>no conserva los recibos de los” gastos, y por tanto solicit</w:t>
      </w:r>
      <w:r>
        <w:rPr>
          <w:rFonts w:ascii="Verdana" w:hAnsi="Verdana"/>
          <w:w w:val="95"/>
          <w:sz w:val="20"/>
          <w:szCs w:val="20"/>
          <w:lang w:val="es-EC"/>
        </w:rPr>
        <w:t>ó</w:t>
      </w:r>
      <w:r w:rsidRPr="00B34530">
        <w:rPr>
          <w:rFonts w:ascii="Verdana" w:hAnsi="Verdana"/>
          <w:w w:val="95"/>
          <w:sz w:val="20"/>
          <w:szCs w:val="20"/>
          <w:lang w:val="es-EC"/>
        </w:rPr>
        <w:t xml:space="preserve"> que se “determine en equidad el monto que debe ser entregado a la señora </w:t>
      </w:r>
      <w:r w:rsidR="00C4690D">
        <w:rPr>
          <w:rFonts w:ascii="Verdana" w:hAnsi="Verdana"/>
          <w:w w:val="95"/>
          <w:sz w:val="20"/>
          <w:szCs w:val="20"/>
          <w:lang w:val="es-EC"/>
        </w:rPr>
        <w:t xml:space="preserve">[…] </w:t>
      </w:r>
      <w:r w:rsidR="00C4690D" w:rsidRPr="00B34530">
        <w:rPr>
          <w:rFonts w:ascii="Verdana" w:hAnsi="Verdana"/>
          <w:w w:val="95"/>
          <w:sz w:val="20"/>
          <w:szCs w:val="20"/>
          <w:lang w:val="es-EC"/>
        </w:rPr>
        <w:t xml:space="preserve">Franco </w:t>
      </w:r>
      <w:r w:rsidR="00C4690D">
        <w:rPr>
          <w:rFonts w:ascii="Verdana" w:hAnsi="Verdana"/>
          <w:w w:val="95"/>
          <w:sz w:val="20"/>
          <w:szCs w:val="20"/>
          <w:lang w:val="es-EC"/>
        </w:rPr>
        <w:t>[Sandoval]</w:t>
      </w:r>
      <w:r w:rsidRPr="00B34530">
        <w:rPr>
          <w:rFonts w:ascii="Verdana" w:hAnsi="Verdana"/>
          <w:w w:val="95"/>
          <w:sz w:val="20"/>
          <w:szCs w:val="20"/>
          <w:lang w:val="es-EC"/>
        </w:rPr>
        <w:t xml:space="preserve">”.   </w:t>
      </w:r>
    </w:p>
    <w:p w:rsidR="00DF15C3" w:rsidRDefault="00DF15C3" w:rsidP="003F26FD">
      <w:pPr>
        <w:spacing w:after="0" w:line="216" w:lineRule="auto"/>
        <w:ind w:left="-142" w:right="-174"/>
        <w:jc w:val="both"/>
        <w:rPr>
          <w:rFonts w:ascii="Verdana" w:hAnsi="Verdana"/>
          <w:w w:val="95"/>
          <w:sz w:val="20"/>
          <w:szCs w:val="20"/>
          <w:lang w:val="es-EC"/>
        </w:rPr>
      </w:pPr>
    </w:p>
    <w:p w:rsidR="00DF15C3" w:rsidRDefault="00DF15C3" w:rsidP="003F26FD">
      <w:pPr>
        <w:numPr>
          <w:ilvl w:val="0"/>
          <w:numId w:val="17"/>
        </w:numPr>
        <w:spacing w:after="0" w:line="216" w:lineRule="auto"/>
        <w:ind w:left="-142" w:right="-174" w:hanging="11"/>
        <w:jc w:val="both"/>
        <w:rPr>
          <w:rFonts w:ascii="Verdana" w:hAnsi="Verdana"/>
          <w:w w:val="95"/>
          <w:sz w:val="20"/>
          <w:szCs w:val="20"/>
          <w:lang w:val="es-EC"/>
        </w:rPr>
      </w:pPr>
      <w:r w:rsidRPr="00831A28">
        <w:rPr>
          <w:rFonts w:ascii="Verdana" w:hAnsi="Verdana"/>
          <w:w w:val="95"/>
          <w:sz w:val="20"/>
          <w:szCs w:val="20"/>
          <w:lang w:val="es-EC"/>
        </w:rPr>
        <w:t>Además,</w:t>
      </w:r>
      <w:r>
        <w:rPr>
          <w:rFonts w:ascii="Verdana" w:hAnsi="Verdana"/>
          <w:b/>
          <w:w w:val="95"/>
          <w:sz w:val="20"/>
          <w:szCs w:val="20"/>
          <w:lang w:val="es-EC"/>
        </w:rPr>
        <w:t xml:space="preserve"> </w:t>
      </w:r>
      <w:r w:rsidRPr="00831A28">
        <w:rPr>
          <w:rFonts w:ascii="Verdana" w:hAnsi="Verdana"/>
          <w:w w:val="95"/>
          <w:sz w:val="20"/>
          <w:szCs w:val="20"/>
          <w:lang w:val="es-EC"/>
        </w:rPr>
        <w:t>l</w:t>
      </w:r>
      <w:r w:rsidRPr="00B34530">
        <w:rPr>
          <w:rFonts w:ascii="Verdana" w:hAnsi="Verdana"/>
          <w:w w:val="95"/>
          <w:sz w:val="20"/>
          <w:szCs w:val="20"/>
          <w:lang w:val="es-EC"/>
        </w:rPr>
        <w:t xml:space="preserve">a </w:t>
      </w:r>
      <w:r w:rsidRPr="00831A28">
        <w:rPr>
          <w:rFonts w:ascii="Verdana" w:hAnsi="Verdana"/>
          <w:w w:val="95"/>
          <w:sz w:val="20"/>
          <w:szCs w:val="20"/>
          <w:lang w:val="es-EC"/>
        </w:rPr>
        <w:t>representante</w:t>
      </w:r>
      <w:r w:rsidRPr="00B34530">
        <w:rPr>
          <w:rFonts w:ascii="Verdana" w:hAnsi="Verdana"/>
          <w:w w:val="95"/>
          <w:sz w:val="20"/>
          <w:szCs w:val="20"/>
          <w:lang w:val="es-EC"/>
        </w:rPr>
        <w:t xml:space="preserve"> señal</w:t>
      </w:r>
      <w:r>
        <w:rPr>
          <w:rFonts w:ascii="Verdana" w:hAnsi="Verdana"/>
          <w:w w:val="95"/>
          <w:sz w:val="20"/>
          <w:szCs w:val="20"/>
          <w:lang w:val="es-EC"/>
        </w:rPr>
        <w:t>ó</w:t>
      </w:r>
      <w:r w:rsidRPr="00B34530">
        <w:rPr>
          <w:rFonts w:ascii="Verdana" w:hAnsi="Verdana"/>
          <w:w w:val="95"/>
          <w:sz w:val="20"/>
          <w:szCs w:val="20"/>
          <w:lang w:val="es-EC"/>
        </w:rPr>
        <w:t xml:space="preserve"> que “el profundo dolor y la angustia que sintió y sigue experimentado la señora Rosa Elvira Franco como consecuencia [de los hechos], le causaron graves afectaciones a su salud, tales como depresión, hipertensión, hipotiroidismo, una hernia entre otros”. En razón de ello, solicit</w:t>
      </w:r>
      <w:r>
        <w:rPr>
          <w:rFonts w:ascii="Verdana" w:hAnsi="Verdana"/>
          <w:w w:val="95"/>
          <w:sz w:val="20"/>
          <w:szCs w:val="20"/>
          <w:lang w:val="es-EC"/>
        </w:rPr>
        <w:t>ó</w:t>
      </w:r>
      <w:r w:rsidRPr="00B34530">
        <w:rPr>
          <w:rFonts w:ascii="Verdana" w:hAnsi="Verdana"/>
          <w:w w:val="95"/>
          <w:sz w:val="20"/>
          <w:szCs w:val="20"/>
          <w:lang w:val="es-EC"/>
        </w:rPr>
        <w:t xml:space="preserve"> que “se fije en equidad la cantidad que el Estado debe otorgar a la señora </w:t>
      </w:r>
      <w:r w:rsidR="00C4690D">
        <w:rPr>
          <w:rFonts w:ascii="Verdana" w:hAnsi="Verdana"/>
          <w:w w:val="95"/>
          <w:sz w:val="20"/>
          <w:szCs w:val="20"/>
          <w:lang w:val="es-EC"/>
        </w:rPr>
        <w:t xml:space="preserve">[…] </w:t>
      </w:r>
      <w:r w:rsidR="00C4690D" w:rsidRPr="00B34530">
        <w:rPr>
          <w:rFonts w:ascii="Verdana" w:hAnsi="Verdana"/>
          <w:w w:val="95"/>
          <w:sz w:val="20"/>
          <w:szCs w:val="20"/>
          <w:lang w:val="es-EC"/>
        </w:rPr>
        <w:t xml:space="preserve">Franco </w:t>
      </w:r>
      <w:r w:rsidR="00C4690D">
        <w:rPr>
          <w:rFonts w:ascii="Verdana" w:hAnsi="Verdana"/>
          <w:w w:val="95"/>
          <w:sz w:val="20"/>
          <w:szCs w:val="20"/>
          <w:lang w:val="es-EC"/>
        </w:rPr>
        <w:t>[Sandoval]</w:t>
      </w:r>
      <w:r w:rsidR="00C4690D" w:rsidRPr="00B34530">
        <w:rPr>
          <w:rFonts w:ascii="Verdana" w:hAnsi="Verdana"/>
          <w:w w:val="95"/>
          <w:sz w:val="20"/>
          <w:szCs w:val="20"/>
          <w:lang w:val="es-EC"/>
        </w:rPr>
        <w:t xml:space="preserve"> </w:t>
      </w:r>
      <w:r w:rsidRPr="00B34530">
        <w:rPr>
          <w:rFonts w:ascii="Verdana" w:hAnsi="Verdana"/>
          <w:w w:val="95"/>
          <w:sz w:val="20"/>
          <w:szCs w:val="20"/>
          <w:lang w:val="es-EC"/>
        </w:rPr>
        <w:t xml:space="preserve">por estos gastos”. </w:t>
      </w:r>
    </w:p>
    <w:p w:rsidR="00DF15C3" w:rsidRDefault="00DF15C3" w:rsidP="003F26FD">
      <w:pPr>
        <w:pStyle w:val="Prrafodelista"/>
        <w:spacing w:after="0"/>
        <w:ind w:right="-174"/>
        <w:rPr>
          <w:rFonts w:ascii="Verdana" w:hAnsi="Verdana"/>
          <w:w w:val="95"/>
          <w:sz w:val="20"/>
          <w:szCs w:val="20"/>
          <w:lang w:val="es-EC"/>
        </w:rPr>
      </w:pPr>
    </w:p>
    <w:p w:rsidR="00DF15C3" w:rsidRDefault="00DF15C3" w:rsidP="003F26FD">
      <w:pPr>
        <w:numPr>
          <w:ilvl w:val="0"/>
          <w:numId w:val="17"/>
        </w:numPr>
        <w:spacing w:after="0" w:line="216" w:lineRule="auto"/>
        <w:ind w:left="-142" w:right="-174" w:hanging="11"/>
        <w:jc w:val="both"/>
        <w:rPr>
          <w:rFonts w:ascii="Verdana" w:hAnsi="Verdana"/>
          <w:w w:val="95"/>
          <w:sz w:val="20"/>
          <w:szCs w:val="20"/>
          <w:lang w:val="es-EC"/>
        </w:rPr>
      </w:pPr>
      <w:r w:rsidRPr="00B34530">
        <w:rPr>
          <w:rFonts w:ascii="Verdana" w:hAnsi="Verdana"/>
          <w:w w:val="95"/>
          <w:sz w:val="20"/>
          <w:szCs w:val="20"/>
          <w:lang w:val="es-EC"/>
        </w:rPr>
        <w:t>Respecto al lucro cesante, manifest</w:t>
      </w:r>
      <w:r>
        <w:rPr>
          <w:rFonts w:ascii="Verdana" w:hAnsi="Verdana"/>
          <w:w w:val="95"/>
          <w:sz w:val="20"/>
          <w:szCs w:val="20"/>
          <w:lang w:val="es-EC"/>
        </w:rPr>
        <w:t>ó</w:t>
      </w:r>
      <w:r w:rsidRPr="00B34530">
        <w:rPr>
          <w:rFonts w:ascii="Verdana" w:hAnsi="Verdana"/>
          <w:w w:val="95"/>
          <w:sz w:val="20"/>
          <w:szCs w:val="20"/>
          <w:lang w:val="es-EC"/>
        </w:rPr>
        <w:t xml:space="preserve"> que María Isabel </w:t>
      </w:r>
      <w:r>
        <w:rPr>
          <w:rFonts w:ascii="Verdana" w:hAnsi="Verdana"/>
          <w:w w:val="95"/>
          <w:sz w:val="20"/>
          <w:szCs w:val="20"/>
          <w:lang w:val="es-EC"/>
        </w:rPr>
        <w:t>Veliz</w:t>
      </w:r>
      <w:r w:rsidRPr="00B34530">
        <w:rPr>
          <w:rFonts w:ascii="Verdana" w:hAnsi="Verdana"/>
          <w:w w:val="95"/>
          <w:sz w:val="20"/>
          <w:szCs w:val="20"/>
          <w:lang w:val="es-EC"/>
        </w:rPr>
        <w:t xml:space="preserve"> Franco, tenía 15 años cuando fue asesinada y que en el año “2001 la esperanza de vida para las mujeres en Guatemala era de 72 años, por lo que le restaban por vivir aproximadamente 57 años”. Además, indic</w:t>
      </w:r>
      <w:r>
        <w:rPr>
          <w:rFonts w:ascii="Verdana" w:hAnsi="Verdana"/>
          <w:w w:val="95"/>
          <w:sz w:val="20"/>
          <w:szCs w:val="20"/>
          <w:lang w:val="es-EC"/>
        </w:rPr>
        <w:t>ó</w:t>
      </w:r>
      <w:r w:rsidRPr="00B34530">
        <w:rPr>
          <w:rFonts w:ascii="Verdana" w:hAnsi="Verdana"/>
          <w:w w:val="95"/>
          <w:sz w:val="20"/>
          <w:szCs w:val="20"/>
          <w:lang w:val="es-EC"/>
        </w:rPr>
        <w:t xml:space="preserve"> que ella “había manifestado su deseo de cursar estudios superiores” y que, en virtud de “que no existen posibilidades de estimar el salario que habría devengado […] al finalizar sus estudios” solicit</w:t>
      </w:r>
      <w:r>
        <w:rPr>
          <w:rFonts w:ascii="Verdana" w:hAnsi="Verdana"/>
          <w:w w:val="95"/>
          <w:sz w:val="20"/>
          <w:szCs w:val="20"/>
          <w:lang w:val="es-EC"/>
        </w:rPr>
        <w:t>ó</w:t>
      </w:r>
      <w:r w:rsidRPr="00B34530">
        <w:rPr>
          <w:rFonts w:ascii="Verdana" w:hAnsi="Verdana"/>
          <w:w w:val="95"/>
          <w:sz w:val="20"/>
          <w:szCs w:val="20"/>
          <w:lang w:val="es-EC"/>
        </w:rPr>
        <w:t xml:space="preserve"> que con base a los precedentes “fijados en la </w:t>
      </w:r>
      <w:r>
        <w:rPr>
          <w:rFonts w:ascii="Verdana" w:hAnsi="Verdana"/>
          <w:w w:val="95"/>
          <w:sz w:val="20"/>
          <w:szCs w:val="20"/>
          <w:lang w:val="es-EC"/>
        </w:rPr>
        <w:t>[S]</w:t>
      </w:r>
      <w:r w:rsidRPr="00B34530">
        <w:rPr>
          <w:rFonts w:ascii="Verdana" w:hAnsi="Verdana"/>
          <w:w w:val="95"/>
          <w:sz w:val="20"/>
          <w:szCs w:val="20"/>
          <w:lang w:val="es-EC"/>
        </w:rPr>
        <w:t xml:space="preserve">entencia </w:t>
      </w:r>
      <w:r>
        <w:rPr>
          <w:rFonts w:ascii="Verdana" w:hAnsi="Verdana"/>
          <w:w w:val="95"/>
          <w:sz w:val="20"/>
          <w:szCs w:val="20"/>
          <w:lang w:val="es-EC"/>
        </w:rPr>
        <w:t>[sobre el caso]</w:t>
      </w:r>
      <w:r w:rsidRPr="00B34530">
        <w:rPr>
          <w:rFonts w:ascii="Verdana" w:hAnsi="Verdana"/>
          <w:w w:val="95"/>
          <w:sz w:val="20"/>
          <w:szCs w:val="20"/>
          <w:lang w:val="es-EC"/>
        </w:rPr>
        <w:t xml:space="preserve"> </w:t>
      </w:r>
      <w:r w:rsidRPr="00831A28">
        <w:rPr>
          <w:rFonts w:ascii="Verdana" w:hAnsi="Verdana"/>
          <w:i/>
          <w:w w:val="95"/>
          <w:sz w:val="20"/>
          <w:szCs w:val="20"/>
          <w:lang w:val="es-EC"/>
        </w:rPr>
        <w:t>González y otras vs. México</w:t>
      </w:r>
      <w:r w:rsidRPr="00B34530">
        <w:rPr>
          <w:rFonts w:ascii="Verdana" w:hAnsi="Verdana"/>
          <w:w w:val="95"/>
          <w:sz w:val="20"/>
          <w:szCs w:val="20"/>
          <w:lang w:val="es-EC"/>
        </w:rPr>
        <w:t xml:space="preserve"> […] establezca en equidad un monto de </w:t>
      </w:r>
      <w:r>
        <w:rPr>
          <w:rFonts w:ascii="Verdana" w:hAnsi="Verdana"/>
          <w:w w:val="95"/>
          <w:sz w:val="20"/>
          <w:szCs w:val="20"/>
          <w:lang w:val="es-EC"/>
        </w:rPr>
        <w:t>[US]</w:t>
      </w:r>
      <w:r w:rsidRPr="00B34530">
        <w:rPr>
          <w:rFonts w:ascii="Verdana" w:hAnsi="Verdana"/>
          <w:w w:val="95"/>
          <w:sz w:val="20"/>
          <w:szCs w:val="20"/>
          <w:lang w:val="es-EC"/>
        </w:rPr>
        <w:t>$145</w:t>
      </w:r>
      <w:r>
        <w:rPr>
          <w:rFonts w:ascii="Verdana" w:hAnsi="Verdana"/>
          <w:w w:val="95"/>
          <w:sz w:val="20"/>
          <w:szCs w:val="20"/>
          <w:lang w:val="es-EC"/>
        </w:rPr>
        <w:t>[,]</w:t>
      </w:r>
      <w:r w:rsidRPr="00B34530">
        <w:rPr>
          <w:rFonts w:ascii="Verdana" w:hAnsi="Verdana"/>
          <w:w w:val="95"/>
          <w:sz w:val="20"/>
          <w:szCs w:val="20"/>
          <w:lang w:val="es-EC"/>
        </w:rPr>
        <w:t xml:space="preserve">000.00” (ciento cuarenta y cinco mil dólares de los Estados Unidos de América).  </w:t>
      </w:r>
    </w:p>
    <w:p w:rsidR="00DF15C3" w:rsidRPr="004517D0" w:rsidRDefault="00DF15C3" w:rsidP="003F26FD">
      <w:pPr>
        <w:spacing w:after="0" w:line="216" w:lineRule="auto"/>
        <w:ind w:right="-174"/>
        <w:jc w:val="both"/>
        <w:rPr>
          <w:rFonts w:ascii="Verdana" w:hAnsi="Verdana"/>
          <w:w w:val="95"/>
          <w:sz w:val="20"/>
          <w:szCs w:val="20"/>
          <w:lang w:val="es-EC"/>
        </w:rPr>
      </w:pPr>
    </w:p>
    <w:p w:rsidR="00DF15C3" w:rsidRPr="004517D0" w:rsidRDefault="00DF15C3" w:rsidP="003F26FD">
      <w:pPr>
        <w:numPr>
          <w:ilvl w:val="0"/>
          <w:numId w:val="17"/>
        </w:numPr>
        <w:spacing w:after="0" w:line="216" w:lineRule="auto"/>
        <w:ind w:left="-142" w:right="-174" w:hanging="11"/>
        <w:jc w:val="both"/>
        <w:rPr>
          <w:rFonts w:ascii="Verdana" w:hAnsi="Verdana"/>
          <w:w w:val="95"/>
          <w:sz w:val="20"/>
          <w:szCs w:val="20"/>
          <w:lang w:val="es-EC"/>
        </w:rPr>
      </w:pPr>
      <w:r w:rsidRPr="0060061F">
        <w:rPr>
          <w:rFonts w:ascii="Verdana" w:hAnsi="Verdana"/>
          <w:w w:val="95"/>
          <w:sz w:val="20"/>
          <w:szCs w:val="20"/>
          <w:lang w:val="es-EC"/>
        </w:rPr>
        <w:t>La representante</w:t>
      </w:r>
      <w:r w:rsidRPr="0060061F">
        <w:rPr>
          <w:rFonts w:ascii="Verdana" w:hAnsi="Verdana"/>
          <w:b/>
          <w:i/>
          <w:w w:val="95"/>
          <w:sz w:val="20"/>
          <w:szCs w:val="20"/>
          <w:lang w:val="es-EC"/>
        </w:rPr>
        <w:t xml:space="preserve"> </w:t>
      </w:r>
      <w:r w:rsidRPr="00831A28">
        <w:rPr>
          <w:rFonts w:ascii="Verdana" w:hAnsi="Verdana"/>
          <w:w w:val="95"/>
          <w:sz w:val="20"/>
          <w:szCs w:val="20"/>
          <w:lang w:val="es-EC"/>
        </w:rPr>
        <w:t>se refirió también al daño inmaterial</w:t>
      </w:r>
      <w:r w:rsidRPr="005F48F7">
        <w:rPr>
          <w:rFonts w:ascii="Verdana" w:hAnsi="Verdana"/>
          <w:w w:val="95"/>
          <w:sz w:val="20"/>
          <w:szCs w:val="20"/>
          <w:lang w:val="es-EC"/>
        </w:rPr>
        <w:t>.</w:t>
      </w:r>
      <w:r w:rsidRPr="0060061F">
        <w:rPr>
          <w:rFonts w:ascii="Verdana" w:hAnsi="Verdana"/>
          <w:w w:val="95"/>
          <w:sz w:val="20"/>
          <w:szCs w:val="20"/>
          <w:lang w:val="es-EC"/>
        </w:rPr>
        <w:t xml:space="preserve"> </w:t>
      </w:r>
      <w:r w:rsidRPr="00831A28">
        <w:rPr>
          <w:rFonts w:ascii="Verdana" w:hAnsi="Verdana"/>
          <w:w w:val="95"/>
          <w:sz w:val="20"/>
          <w:szCs w:val="20"/>
          <w:lang w:val="es-EC"/>
        </w:rPr>
        <w:t>S</w:t>
      </w:r>
      <w:r w:rsidRPr="0060061F">
        <w:rPr>
          <w:rFonts w:ascii="Verdana" w:hAnsi="Verdana"/>
          <w:w w:val="95"/>
          <w:sz w:val="20"/>
          <w:szCs w:val="20"/>
          <w:lang w:val="es-EC"/>
        </w:rPr>
        <w:t>olicit</w:t>
      </w:r>
      <w:r>
        <w:rPr>
          <w:rFonts w:ascii="Verdana" w:hAnsi="Verdana"/>
          <w:w w:val="95"/>
          <w:sz w:val="20"/>
          <w:szCs w:val="20"/>
          <w:lang w:val="es-EC"/>
        </w:rPr>
        <w:t>ó</w:t>
      </w:r>
      <w:r w:rsidRPr="0060061F">
        <w:rPr>
          <w:rFonts w:ascii="Verdana" w:hAnsi="Verdana"/>
          <w:w w:val="95"/>
          <w:sz w:val="20"/>
          <w:szCs w:val="20"/>
          <w:lang w:val="es-EC"/>
        </w:rPr>
        <w:t xml:space="preserve"> que por concepto de daño moral en perjuicio de María Isabel </w:t>
      </w:r>
      <w:r>
        <w:rPr>
          <w:rFonts w:ascii="Verdana" w:hAnsi="Verdana"/>
          <w:w w:val="95"/>
          <w:sz w:val="20"/>
          <w:szCs w:val="20"/>
          <w:lang w:val="es-EC"/>
        </w:rPr>
        <w:t>Veliz</w:t>
      </w:r>
      <w:r w:rsidRPr="0060061F">
        <w:rPr>
          <w:rFonts w:ascii="Verdana" w:hAnsi="Verdana"/>
          <w:w w:val="95"/>
          <w:sz w:val="20"/>
          <w:szCs w:val="20"/>
          <w:lang w:val="es-EC"/>
        </w:rPr>
        <w:t xml:space="preserve"> Franco, el Estado pague la suma de US$40</w:t>
      </w:r>
      <w:r>
        <w:rPr>
          <w:rFonts w:ascii="Verdana" w:hAnsi="Verdana"/>
          <w:w w:val="95"/>
          <w:sz w:val="20"/>
          <w:szCs w:val="20"/>
          <w:lang w:val="es-EC"/>
        </w:rPr>
        <w:t>,</w:t>
      </w:r>
      <w:r w:rsidRPr="0060061F">
        <w:rPr>
          <w:rFonts w:ascii="Verdana" w:hAnsi="Verdana"/>
          <w:w w:val="95"/>
          <w:sz w:val="20"/>
          <w:szCs w:val="20"/>
          <w:lang w:val="es-EC"/>
        </w:rPr>
        <w:t>000.00 (cuarenta mil dólares de los Estados Unidos de América). Ello por “la falta de garantía de los derechos a la vida, la integridad personal, y a la libertad personal […] así como el incumplimiento por parte del Estado de su obligación de brindarle especial protección por su condición de niña”. Indic</w:t>
      </w:r>
      <w:r>
        <w:rPr>
          <w:rFonts w:ascii="Verdana" w:hAnsi="Verdana"/>
          <w:w w:val="95"/>
          <w:sz w:val="20"/>
          <w:szCs w:val="20"/>
          <w:lang w:val="es-EC"/>
        </w:rPr>
        <w:t>ó</w:t>
      </w:r>
      <w:r w:rsidRPr="0060061F">
        <w:rPr>
          <w:rFonts w:ascii="Verdana" w:hAnsi="Verdana"/>
          <w:w w:val="95"/>
          <w:sz w:val="20"/>
          <w:szCs w:val="20"/>
          <w:lang w:val="es-EC"/>
        </w:rPr>
        <w:t xml:space="preserve"> que dicha suma “deberá de ser entregada a sus familiares conforme al derecho sucesorio vigente en la actualidad en Guatemala”. </w:t>
      </w:r>
    </w:p>
    <w:p w:rsidR="00DF15C3" w:rsidRDefault="00DF15C3" w:rsidP="003F26FD">
      <w:pPr>
        <w:spacing w:after="0" w:line="216" w:lineRule="auto"/>
        <w:ind w:left="-142" w:right="-174"/>
        <w:jc w:val="both"/>
        <w:rPr>
          <w:rFonts w:ascii="Verdana" w:hAnsi="Verdana"/>
          <w:w w:val="95"/>
          <w:sz w:val="20"/>
          <w:szCs w:val="20"/>
          <w:lang w:val="es-EC"/>
        </w:rPr>
      </w:pPr>
    </w:p>
    <w:p w:rsidR="00DF15C3" w:rsidRPr="006A3F93" w:rsidRDefault="00DF15C3" w:rsidP="003F26FD">
      <w:pPr>
        <w:numPr>
          <w:ilvl w:val="0"/>
          <w:numId w:val="17"/>
        </w:numPr>
        <w:spacing w:after="0" w:line="216" w:lineRule="auto"/>
        <w:ind w:left="-142" w:right="-174" w:hanging="11"/>
        <w:jc w:val="both"/>
        <w:rPr>
          <w:rFonts w:ascii="Verdana" w:hAnsi="Verdana"/>
          <w:w w:val="95"/>
          <w:sz w:val="20"/>
          <w:szCs w:val="20"/>
          <w:lang w:val="es-EC"/>
        </w:rPr>
      </w:pPr>
      <w:r w:rsidRPr="0060061F">
        <w:rPr>
          <w:rFonts w:ascii="Verdana" w:hAnsi="Verdana"/>
          <w:w w:val="95"/>
          <w:sz w:val="20"/>
          <w:szCs w:val="20"/>
          <w:lang w:val="es-EC"/>
        </w:rPr>
        <w:t xml:space="preserve">En cuanto a los familiares de María Isabel </w:t>
      </w:r>
      <w:r>
        <w:rPr>
          <w:rFonts w:ascii="Verdana" w:hAnsi="Verdana"/>
          <w:w w:val="95"/>
          <w:sz w:val="20"/>
          <w:szCs w:val="20"/>
          <w:lang w:val="es-EC"/>
        </w:rPr>
        <w:t>Veliz</w:t>
      </w:r>
      <w:r w:rsidRPr="0060061F">
        <w:rPr>
          <w:rFonts w:ascii="Verdana" w:hAnsi="Verdana"/>
          <w:w w:val="95"/>
          <w:sz w:val="20"/>
          <w:szCs w:val="20"/>
          <w:lang w:val="es-EC"/>
        </w:rPr>
        <w:t xml:space="preserve"> Franco, señal</w:t>
      </w:r>
      <w:r>
        <w:rPr>
          <w:rFonts w:ascii="Verdana" w:hAnsi="Verdana"/>
          <w:w w:val="95"/>
          <w:sz w:val="20"/>
          <w:szCs w:val="20"/>
          <w:lang w:val="es-EC"/>
        </w:rPr>
        <w:t>ó</w:t>
      </w:r>
      <w:r w:rsidRPr="0060061F">
        <w:rPr>
          <w:rFonts w:ascii="Verdana" w:hAnsi="Verdana"/>
          <w:w w:val="95"/>
          <w:sz w:val="20"/>
          <w:szCs w:val="20"/>
          <w:lang w:val="es-EC"/>
        </w:rPr>
        <w:t xml:space="preserve"> que “en el presente caso, resulta eviden</w:t>
      </w:r>
      <w:r w:rsidR="002857CA">
        <w:rPr>
          <w:rFonts w:ascii="Verdana" w:hAnsi="Verdana"/>
          <w:w w:val="95"/>
          <w:sz w:val="20"/>
          <w:szCs w:val="20"/>
          <w:lang w:val="es-EC"/>
        </w:rPr>
        <w:t xml:space="preserve">te el sufrimiento intenso”, </w:t>
      </w:r>
      <w:r w:rsidRPr="0060061F">
        <w:rPr>
          <w:rFonts w:ascii="Verdana" w:hAnsi="Verdana"/>
          <w:w w:val="95"/>
          <w:sz w:val="20"/>
          <w:szCs w:val="20"/>
          <w:lang w:val="es-EC"/>
        </w:rPr>
        <w:t>ya que “experimentaron profundos sentimientos de angustia y dolor a raíz de [la] desaparición, de los vejámenes que sufrió y de[l] asesinato” de María Isabel. Adicionalmente indic</w:t>
      </w:r>
      <w:r>
        <w:rPr>
          <w:rFonts w:ascii="Verdana" w:hAnsi="Verdana"/>
          <w:w w:val="95"/>
          <w:sz w:val="20"/>
          <w:szCs w:val="20"/>
          <w:lang w:val="es-EC"/>
        </w:rPr>
        <w:t>ó</w:t>
      </w:r>
      <w:r w:rsidRPr="0060061F">
        <w:rPr>
          <w:rFonts w:ascii="Verdana" w:hAnsi="Verdana"/>
          <w:w w:val="95"/>
          <w:sz w:val="20"/>
          <w:szCs w:val="20"/>
          <w:lang w:val="es-EC"/>
        </w:rPr>
        <w:t xml:space="preserve"> que, la madre y los hermanos de María Isabel siguen “sufriendo por afectaciones en su integridad psíquica y moral debido a las negligencias de los funcionarios públicos que participaron en las investigaciones y los señalamientos y prejuicios que emitieron en contra de María Isabel así como la impunidad </w:t>
      </w:r>
      <w:r w:rsidR="00F364D2">
        <w:rPr>
          <w:rFonts w:ascii="Verdana" w:hAnsi="Verdana"/>
          <w:w w:val="95"/>
          <w:sz w:val="20"/>
          <w:szCs w:val="20"/>
          <w:lang w:val="es-EC"/>
        </w:rPr>
        <w:t xml:space="preserve">en </w:t>
      </w:r>
      <w:r w:rsidRPr="0060061F">
        <w:rPr>
          <w:rFonts w:ascii="Verdana" w:hAnsi="Verdana"/>
          <w:w w:val="95"/>
          <w:sz w:val="20"/>
          <w:szCs w:val="20"/>
          <w:lang w:val="es-EC"/>
        </w:rPr>
        <w:t xml:space="preserve">que permanecen los hechos del presente caso”. </w:t>
      </w:r>
      <w:r w:rsidRPr="002857CA">
        <w:rPr>
          <w:rFonts w:ascii="Verdana" w:hAnsi="Verdana"/>
          <w:w w:val="95"/>
          <w:sz w:val="20"/>
          <w:szCs w:val="20"/>
          <w:lang w:val="es-EC"/>
        </w:rPr>
        <w:t xml:space="preserve">Manifestó </w:t>
      </w:r>
      <w:r w:rsidRPr="0060061F">
        <w:rPr>
          <w:rFonts w:ascii="Verdana" w:hAnsi="Verdana"/>
          <w:w w:val="95"/>
          <w:sz w:val="20"/>
          <w:szCs w:val="20"/>
          <w:lang w:val="es-EC"/>
        </w:rPr>
        <w:t xml:space="preserve">que “el asesinato de María Isabel trajo serias implicaciones al proyecto de vida de su madre debido a que en ella recayó principalmente la búsqueda de justicia y el impulso de las investigaciones”.  </w:t>
      </w:r>
      <w:r w:rsidRPr="00831A28">
        <w:rPr>
          <w:rFonts w:ascii="Verdana" w:hAnsi="Verdana"/>
          <w:w w:val="95"/>
          <w:sz w:val="20"/>
          <w:szCs w:val="20"/>
          <w:lang w:val="es-EC"/>
        </w:rPr>
        <w:t>Además</w:t>
      </w:r>
      <w:r w:rsidRPr="0060061F">
        <w:rPr>
          <w:rFonts w:ascii="Verdana" w:hAnsi="Verdana"/>
          <w:w w:val="95"/>
          <w:sz w:val="20"/>
          <w:szCs w:val="20"/>
          <w:lang w:val="es-EC"/>
        </w:rPr>
        <w:t xml:space="preserve"> indic</w:t>
      </w:r>
      <w:r>
        <w:rPr>
          <w:rFonts w:ascii="Verdana" w:hAnsi="Verdana"/>
          <w:w w:val="95"/>
          <w:sz w:val="20"/>
          <w:szCs w:val="20"/>
          <w:lang w:val="es-EC"/>
        </w:rPr>
        <w:t>ó</w:t>
      </w:r>
      <w:r w:rsidRPr="0060061F">
        <w:rPr>
          <w:rFonts w:ascii="Verdana" w:hAnsi="Verdana"/>
          <w:w w:val="95"/>
          <w:sz w:val="20"/>
          <w:szCs w:val="20"/>
          <w:lang w:val="es-EC"/>
        </w:rPr>
        <w:t xml:space="preserve"> que remitieron un peritaje psicológico para demostrar el sufrimiento de los abuelos así como de los hermanos de María Isabel. Por todo lo anterior, la representante solicit</w:t>
      </w:r>
      <w:r>
        <w:rPr>
          <w:rFonts w:ascii="Verdana" w:hAnsi="Verdana"/>
          <w:w w:val="95"/>
          <w:sz w:val="20"/>
          <w:szCs w:val="20"/>
          <w:lang w:val="es-EC"/>
        </w:rPr>
        <w:t>ó</w:t>
      </w:r>
      <w:r w:rsidRPr="0060061F">
        <w:rPr>
          <w:rFonts w:ascii="Verdana" w:hAnsi="Verdana"/>
          <w:w w:val="95"/>
          <w:sz w:val="20"/>
          <w:szCs w:val="20"/>
          <w:lang w:val="es-EC"/>
        </w:rPr>
        <w:t xml:space="preserve"> que “con base al principio de equidad y de conformidad con la jurisprudencia” del Tribunal se fije un monto por concepto de daño moral sufrido por la mamá, hermanos y abuelos de María Isabel </w:t>
      </w:r>
      <w:r>
        <w:rPr>
          <w:rFonts w:ascii="Verdana" w:hAnsi="Verdana"/>
          <w:w w:val="95"/>
          <w:sz w:val="20"/>
          <w:szCs w:val="20"/>
          <w:lang w:val="es-EC"/>
        </w:rPr>
        <w:t>Veliz</w:t>
      </w:r>
      <w:r w:rsidRPr="0060061F">
        <w:rPr>
          <w:rFonts w:ascii="Verdana" w:hAnsi="Verdana"/>
          <w:w w:val="95"/>
          <w:sz w:val="20"/>
          <w:szCs w:val="20"/>
          <w:lang w:val="es-EC"/>
        </w:rPr>
        <w:t xml:space="preserve"> Franco. </w:t>
      </w:r>
      <w:r w:rsidR="0063373E" w:rsidRPr="002857CA">
        <w:rPr>
          <w:rFonts w:ascii="Verdana" w:hAnsi="Verdana"/>
          <w:w w:val="95"/>
          <w:sz w:val="20"/>
          <w:szCs w:val="20"/>
          <w:lang w:val="es-EC"/>
        </w:rPr>
        <w:t>Pidió</w:t>
      </w:r>
      <w:r w:rsidR="0063373E" w:rsidRPr="006A3F93">
        <w:rPr>
          <w:rFonts w:ascii="Verdana" w:hAnsi="Verdana"/>
          <w:w w:val="95"/>
          <w:sz w:val="20"/>
          <w:szCs w:val="20"/>
          <w:lang w:val="es-EC"/>
        </w:rPr>
        <w:t xml:space="preserve"> que los montos otorgados a favor de los abuelos “sea[n] entregad[os] a sus herederos legítimos de conformidad con la legislación guatemalteca</w:t>
      </w:r>
      <w:r w:rsidRPr="006A3F93">
        <w:rPr>
          <w:rFonts w:ascii="Verdana" w:hAnsi="Verdana"/>
          <w:w w:val="95"/>
          <w:sz w:val="20"/>
          <w:szCs w:val="20"/>
          <w:lang w:val="es-EC"/>
        </w:rPr>
        <w:t>”.</w:t>
      </w:r>
    </w:p>
    <w:p w:rsidR="00DF15C3" w:rsidRPr="006A3F93" w:rsidRDefault="00DF15C3" w:rsidP="003F26FD">
      <w:pPr>
        <w:spacing w:after="0" w:line="216" w:lineRule="auto"/>
        <w:ind w:left="-142" w:right="-174"/>
        <w:jc w:val="both"/>
        <w:rPr>
          <w:rFonts w:ascii="Verdana" w:hAnsi="Verdana"/>
          <w:w w:val="95"/>
          <w:sz w:val="20"/>
          <w:szCs w:val="20"/>
          <w:lang w:val="es-EC"/>
        </w:rPr>
      </w:pPr>
    </w:p>
    <w:p w:rsidR="00DF15C3" w:rsidRDefault="00DF15C3" w:rsidP="003F26FD">
      <w:pPr>
        <w:numPr>
          <w:ilvl w:val="0"/>
          <w:numId w:val="17"/>
        </w:numPr>
        <w:spacing w:after="0" w:line="216" w:lineRule="auto"/>
        <w:ind w:left="-142" w:right="-174" w:hanging="11"/>
        <w:jc w:val="both"/>
        <w:rPr>
          <w:rFonts w:ascii="Verdana" w:hAnsi="Verdana"/>
          <w:w w:val="95"/>
          <w:sz w:val="20"/>
          <w:szCs w:val="20"/>
          <w:lang w:val="es-EC"/>
        </w:rPr>
      </w:pPr>
      <w:r w:rsidRPr="006A3F93">
        <w:rPr>
          <w:rFonts w:ascii="Verdana" w:hAnsi="Verdana"/>
          <w:w w:val="95"/>
          <w:sz w:val="20"/>
          <w:szCs w:val="20"/>
          <w:lang w:val="es-EC"/>
        </w:rPr>
        <w:t>El</w:t>
      </w:r>
      <w:r w:rsidRPr="006A3F93">
        <w:rPr>
          <w:rFonts w:ascii="Verdana" w:hAnsi="Verdana"/>
          <w:b/>
          <w:w w:val="95"/>
          <w:sz w:val="20"/>
          <w:szCs w:val="20"/>
          <w:lang w:val="es-EC"/>
        </w:rPr>
        <w:t xml:space="preserve"> </w:t>
      </w:r>
      <w:r w:rsidRPr="006A3F93">
        <w:rPr>
          <w:rFonts w:ascii="Verdana" w:hAnsi="Verdana"/>
          <w:b/>
          <w:i/>
          <w:w w:val="95"/>
          <w:sz w:val="20"/>
          <w:szCs w:val="20"/>
          <w:lang w:val="es-EC"/>
        </w:rPr>
        <w:t>Estado</w:t>
      </w:r>
      <w:r w:rsidRPr="006A3F93">
        <w:rPr>
          <w:rFonts w:ascii="Verdana" w:hAnsi="Verdana"/>
          <w:w w:val="95"/>
          <w:sz w:val="20"/>
          <w:szCs w:val="20"/>
          <w:lang w:val="es-EC"/>
        </w:rPr>
        <w:t xml:space="preserve">, por su parte, resaltó sobre los gastos funerarios que existe una contradicción en la solicitud de la representante en cuanto “la señora </w:t>
      </w:r>
      <w:r w:rsidR="00C4690D">
        <w:rPr>
          <w:rFonts w:ascii="Verdana" w:hAnsi="Verdana"/>
          <w:w w:val="95"/>
          <w:sz w:val="20"/>
          <w:szCs w:val="20"/>
          <w:lang w:val="es-EC"/>
        </w:rPr>
        <w:t xml:space="preserve">[…] </w:t>
      </w:r>
      <w:r w:rsidR="00C4690D" w:rsidRPr="00B34530">
        <w:rPr>
          <w:rFonts w:ascii="Verdana" w:hAnsi="Verdana"/>
          <w:w w:val="95"/>
          <w:sz w:val="20"/>
          <w:szCs w:val="20"/>
          <w:lang w:val="es-EC"/>
        </w:rPr>
        <w:t xml:space="preserve">Franco </w:t>
      </w:r>
      <w:r w:rsidR="00C4690D">
        <w:rPr>
          <w:rFonts w:ascii="Verdana" w:hAnsi="Verdana"/>
          <w:w w:val="95"/>
          <w:sz w:val="20"/>
          <w:szCs w:val="20"/>
          <w:lang w:val="es-EC"/>
        </w:rPr>
        <w:t>[Sandoval]</w:t>
      </w:r>
      <w:r w:rsidR="00C4690D" w:rsidRPr="006A3F93">
        <w:rPr>
          <w:rFonts w:ascii="Verdana" w:hAnsi="Verdana"/>
          <w:w w:val="95"/>
          <w:sz w:val="20"/>
          <w:szCs w:val="20"/>
          <w:lang w:val="es-EC"/>
        </w:rPr>
        <w:t xml:space="preserve"> </w:t>
      </w:r>
      <w:r w:rsidRPr="006A3F93">
        <w:rPr>
          <w:rFonts w:ascii="Verdana" w:hAnsi="Verdana"/>
          <w:w w:val="95"/>
          <w:sz w:val="20"/>
          <w:szCs w:val="20"/>
          <w:lang w:val="es-EC"/>
        </w:rPr>
        <w:t xml:space="preserve">no cuenta con todos los recibos”, sin embargo “entre los documentos anexos a su [escrito de solicitudes  argumentos] consta en el anexo identificado como </w:t>
      </w:r>
      <w:r w:rsidR="0063373E" w:rsidRPr="006A3F93">
        <w:rPr>
          <w:rFonts w:ascii="Verdana" w:hAnsi="Verdana"/>
          <w:w w:val="95"/>
          <w:sz w:val="20"/>
          <w:szCs w:val="20"/>
          <w:lang w:val="es-EC"/>
        </w:rPr>
        <w:t>Anexo 127 [sic],</w:t>
      </w:r>
      <w:r w:rsidRPr="0060061F">
        <w:rPr>
          <w:rFonts w:ascii="Verdana" w:hAnsi="Verdana"/>
          <w:w w:val="95"/>
          <w:sz w:val="20"/>
          <w:szCs w:val="20"/>
          <w:lang w:val="es-EC"/>
        </w:rPr>
        <w:t xml:space="preserve"> comprobantes de los gastos funerarios, mismos que fueron verificados por agentes del Estado”.  En relación a ello, el Estado hizo notar la diferencia que se obtuvo entre la “certificación extendida como constancia por el servicio funerario de María Isabel” y “el recibo de caja” presentado por la representante. El primero de ellos indicaba un valor total de “GTQ 2,500.00 (dos mil quinientos quetzales exactos)” mientras que el segundo indica que se cancelaron “GTQ 10,500.00 (diez mil quinientos quetzales exactos) en concepto de diferencia por el valor de sándwiches y embalsamiento de María Isabel </w:t>
      </w:r>
      <w:r>
        <w:rPr>
          <w:rFonts w:ascii="Verdana" w:hAnsi="Verdana"/>
          <w:w w:val="95"/>
          <w:sz w:val="20"/>
          <w:szCs w:val="20"/>
          <w:lang w:val="es-EC"/>
        </w:rPr>
        <w:t>Veliz</w:t>
      </w:r>
      <w:r w:rsidRPr="0060061F">
        <w:rPr>
          <w:rFonts w:ascii="Verdana" w:hAnsi="Verdana"/>
          <w:w w:val="95"/>
          <w:sz w:val="20"/>
          <w:szCs w:val="20"/>
          <w:lang w:val="es-EC"/>
        </w:rPr>
        <w:t xml:space="preserve"> Franco”. El Estado indicó que al observar la incongruencia “se presentaron a la caja funeraria que extendió dicha certificación y el recibo de caja que obra en sus archivos, para verificar la autenticidad de dichos documentos y legitimidad del contenido del mismo”. No obstante, encontraron que la “señora Rosa Elvira Franco, incurrió en una acción delictiva de conformidad con la legislación interna” en vista de que “el valor de ese recibo de caja, según indican las representantes de la empresa funeraria […] es de GTQ 1,050.00 (mil cincuenta quetzales exactos)”.  Asimismo </w:t>
      </w:r>
      <w:r>
        <w:rPr>
          <w:rFonts w:ascii="Verdana" w:hAnsi="Verdana"/>
          <w:w w:val="95"/>
          <w:sz w:val="20"/>
          <w:szCs w:val="20"/>
          <w:lang w:val="es-EC"/>
        </w:rPr>
        <w:t>expresó</w:t>
      </w:r>
      <w:r w:rsidRPr="0060061F">
        <w:rPr>
          <w:rFonts w:ascii="Verdana" w:hAnsi="Verdana"/>
          <w:w w:val="95"/>
          <w:sz w:val="20"/>
          <w:szCs w:val="20"/>
          <w:lang w:val="es-EC"/>
        </w:rPr>
        <w:t xml:space="preserve"> que </w:t>
      </w:r>
    </w:p>
    <w:p w:rsidR="00DF15C3" w:rsidRDefault="00DF15C3" w:rsidP="003F26FD">
      <w:pPr>
        <w:spacing w:after="0" w:line="216" w:lineRule="auto"/>
        <w:ind w:left="-142" w:right="-174"/>
        <w:jc w:val="both"/>
        <w:rPr>
          <w:rFonts w:ascii="Verdana" w:hAnsi="Verdana"/>
          <w:w w:val="95"/>
          <w:sz w:val="20"/>
          <w:szCs w:val="20"/>
          <w:lang w:val="es-EC"/>
        </w:rPr>
      </w:pPr>
    </w:p>
    <w:p w:rsidR="00DF15C3" w:rsidRPr="00637CAB" w:rsidRDefault="00DF15C3" w:rsidP="00FB575D">
      <w:pPr>
        <w:spacing w:after="0" w:line="216" w:lineRule="auto"/>
        <w:ind w:left="284" w:right="186"/>
        <w:jc w:val="both"/>
        <w:rPr>
          <w:rFonts w:ascii="Verdana" w:hAnsi="Verdana"/>
          <w:w w:val="95"/>
          <w:sz w:val="16"/>
          <w:szCs w:val="16"/>
          <w:lang w:val="es-EC"/>
        </w:rPr>
      </w:pPr>
      <w:r w:rsidRPr="00637CAB">
        <w:rPr>
          <w:rFonts w:ascii="Verdana" w:hAnsi="Verdana"/>
          <w:w w:val="95"/>
          <w:sz w:val="16"/>
          <w:szCs w:val="16"/>
          <w:lang w:val="es-EC"/>
        </w:rPr>
        <w:t xml:space="preserve">si bien se paga el embalsamamiento y sándwiches adicionales, el costo hoy por hoy, de embalsamar el cuerpo es de GTQ 2,000.00 (dos mil quetzales exactos), y que el precio de este servicio no se ha disminuido en los últimos años, sino que ha aumentado, y que en el 2001, costaba GTQ 850.00 (ochocientos cincuenta quetzales exactos). </w:t>
      </w:r>
    </w:p>
    <w:p w:rsidR="00DF15C3" w:rsidRDefault="00DF15C3" w:rsidP="003F26FD">
      <w:pPr>
        <w:spacing w:after="0" w:line="216" w:lineRule="auto"/>
        <w:ind w:left="-142" w:right="-174"/>
        <w:jc w:val="both"/>
        <w:rPr>
          <w:rFonts w:ascii="Verdana" w:hAnsi="Verdana"/>
          <w:w w:val="95"/>
          <w:sz w:val="20"/>
          <w:szCs w:val="20"/>
          <w:lang w:val="es-EC"/>
        </w:rPr>
      </w:pPr>
    </w:p>
    <w:p w:rsidR="00DF15C3" w:rsidRDefault="00DF15C3" w:rsidP="003F26FD">
      <w:pPr>
        <w:spacing w:after="0" w:line="216" w:lineRule="auto"/>
        <w:ind w:left="-142" w:right="-174"/>
        <w:jc w:val="both"/>
        <w:rPr>
          <w:rFonts w:ascii="Verdana" w:hAnsi="Verdana"/>
          <w:w w:val="95"/>
          <w:sz w:val="20"/>
          <w:szCs w:val="20"/>
          <w:lang w:val="es-EC"/>
        </w:rPr>
      </w:pPr>
      <w:r w:rsidRPr="0060061F">
        <w:rPr>
          <w:rFonts w:ascii="Verdana" w:hAnsi="Verdana"/>
          <w:w w:val="95"/>
          <w:sz w:val="20"/>
          <w:szCs w:val="20"/>
          <w:lang w:val="es-EC"/>
        </w:rPr>
        <w:t xml:space="preserve">Por último indicó que “en la esquina inferior izquierda del recibo de caja presentado por la madre de la víctima, se hace la observación de que  para el </w:t>
      </w:r>
      <w:r>
        <w:rPr>
          <w:rFonts w:ascii="Verdana" w:hAnsi="Verdana"/>
          <w:w w:val="95"/>
          <w:sz w:val="20"/>
          <w:szCs w:val="20"/>
          <w:lang w:val="es-EC"/>
        </w:rPr>
        <w:t>‘</w:t>
      </w:r>
      <w:r w:rsidRPr="0060061F">
        <w:rPr>
          <w:rFonts w:ascii="Verdana" w:hAnsi="Verdana"/>
          <w:w w:val="95"/>
          <w:sz w:val="20"/>
          <w:szCs w:val="20"/>
          <w:lang w:val="es-EC"/>
        </w:rPr>
        <w:t xml:space="preserve">Caso María Isabel </w:t>
      </w:r>
      <w:r>
        <w:rPr>
          <w:rFonts w:ascii="Verdana" w:hAnsi="Verdana"/>
          <w:w w:val="95"/>
          <w:sz w:val="20"/>
          <w:szCs w:val="20"/>
          <w:lang w:val="es-EC"/>
        </w:rPr>
        <w:t>Veliz</w:t>
      </w:r>
      <w:r w:rsidR="005F48F7">
        <w:rPr>
          <w:rFonts w:ascii="Verdana" w:hAnsi="Verdana"/>
          <w:w w:val="95"/>
          <w:sz w:val="20"/>
          <w:szCs w:val="20"/>
          <w:lang w:val="es-EC"/>
        </w:rPr>
        <w:t xml:space="preserve"> </w:t>
      </w:r>
      <w:r w:rsidRPr="0060061F">
        <w:rPr>
          <w:rFonts w:ascii="Verdana" w:hAnsi="Verdana"/>
          <w:w w:val="95"/>
          <w:sz w:val="20"/>
          <w:szCs w:val="20"/>
          <w:lang w:val="es-EC"/>
        </w:rPr>
        <w:t>Franco y Otros</w:t>
      </w:r>
      <w:r>
        <w:rPr>
          <w:rFonts w:ascii="Verdana" w:hAnsi="Verdana"/>
          <w:w w:val="95"/>
          <w:sz w:val="20"/>
          <w:szCs w:val="20"/>
          <w:lang w:val="es-EC"/>
        </w:rPr>
        <w:t>’</w:t>
      </w:r>
      <w:r w:rsidRPr="0060061F">
        <w:rPr>
          <w:rFonts w:ascii="Verdana" w:hAnsi="Verdana"/>
          <w:w w:val="95"/>
          <w:sz w:val="20"/>
          <w:szCs w:val="20"/>
          <w:lang w:val="es-EC"/>
        </w:rPr>
        <w:t xml:space="preserve"> [por lo que] resulta evidente que ese texto fue agregado” y que es una “exposición de mala fe con que la madre de la víctima y, en su caso, su representante, se conducen para obtener beneficios económicos derivados de la trágica muerte de la menor”. </w:t>
      </w:r>
    </w:p>
    <w:p w:rsidR="00DF15C3" w:rsidRDefault="00DF15C3" w:rsidP="003F26FD">
      <w:pPr>
        <w:spacing w:after="0" w:line="216" w:lineRule="auto"/>
        <w:ind w:left="-142" w:right="-174"/>
        <w:jc w:val="both"/>
        <w:rPr>
          <w:rFonts w:ascii="Verdana" w:hAnsi="Verdana"/>
          <w:w w:val="95"/>
          <w:sz w:val="20"/>
          <w:szCs w:val="20"/>
          <w:lang w:val="es-EC"/>
        </w:rPr>
      </w:pPr>
    </w:p>
    <w:p w:rsidR="00DF15C3" w:rsidRPr="004517D0" w:rsidRDefault="00DF15C3" w:rsidP="003F26FD">
      <w:pPr>
        <w:numPr>
          <w:ilvl w:val="0"/>
          <w:numId w:val="17"/>
        </w:numPr>
        <w:spacing w:after="0" w:line="216" w:lineRule="auto"/>
        <w:ind w:left="-142" w:right="-174" w:hanging="11"/>
        <w:jc w:val="both"/>
        <w:rPr>
          <w:rFonts w:ascii="Verdana" w:hAnsi="Verdana"/>
          <w:w w:val="95"/>
          <w:sz w:val="20"/>
          <w:szCs w:val="20"/>
          <w:lang w:val="es-EC"/>
        </w:rPr>
      </w:pPr>
      <w:r w:rsidRPr="00831A28">
        <w:rPr>
          <w:rFonts w:ascii="Verdana" w:hAnsi="Verdana"/>
          <w:w w:val="95"/>
          <w:sz w:val="20"/>
          <w:szCs w:val="20"/>
          <w:lang w:val="es-EC"/>
        </w:rPr>
        <w:t>I</w:t>
      </w:r>
      <w:r w:rsidRPr="0060061F">
        <w:rPr>
          <w:rFonts w:ascii="Verdana" w:hAnsi="Verdana"/>
          <w:w w:val="95"/>
          <w:sz w:val="20"/>
          <w:szCs w:val="20"/>
          <w:lang w:val="es-EC"/>
        </w:rPr>
        <w:t>ndicó</w:t>
      </w:r>
      <w:r>
        <w:rPr>
          <w:rFonts w:ascii="Verdana" w:hAnsi="Verdana"/>
          <w:w w:val="95"/>
          <w:sz w:val="20"/>
          <w:szCs w:val="20"/>
          <w:lang w:val="es-EC"/>
        </w:rPr>
        <w:t xml:space="preserve"> </w:t>
      </w:r>
      <w:r w:rsidRPr="00831A28">
        <w:rPr>
          <w:rFonts w:ascii="Verdana" w:hAnsi="Verdana"/>
          <w:w w:val="95"/>
          <w:sz w:val="20"/>
          <w:szCs w:val="20"/>
          <w:lang w:val="es-EC"/>
        </w:rPr>
        <w:t>también, sobre los aducidos gastos para la obtención de justicia,</w:t>
      </w:r>
      <w:r w:rsidRPr="0060061F">
        <w:rPr>
          <w:rFonts w:ascii="Verdana" w:hAnsi="Verdana"/>
          <w:w w:val="95"/>
          <w:sz w:val="20"/>
          <w:szCs w:val="20"/>
          <w:lang w:val="es-EC"/>
        </w:rPr>
        <w:t xml:space="preserve"> que “desconfía absolutamente de la veracidad, de lo dicho por l[a] [representante], sin embargo recuerda […] que ninguno de los gastos hasta ahora erogados por la señora Franco, son necesarios para la obtención de justicia”. </w:t>
      </w:r>
    </w:p>
    <w:p w:rsidR="00DF15C3" w:rsidRDefault="00DF15C3" w:rsidP="003F26FD">
      <w:pPr>
        <w:spacing w:after="0" w:line="216" w:lineRule="auto"/>
        <w:ind w:left="-142" w:right="-174"/>
        <w:jc w:val="both"/>
        <w:rPr>
          <w:rFonts w:ascii="Verdana" w:hAnsi="Verdana"/>
          <w:w w:val="95"/>
          <w:sz w:val="20"/>
          <w:szCs w:val="20"/>
          <w:lang w:val="es-EC"/>
        </w:rPr>
      </w:pPr>
    </w:p>
    <w:p w:rsidR="00DF15C3" w:rsidRDefault="00DF15C3" w:rsidP="003F26FD">
      <w:pPr>
        <w:numPr>
          <w:ilvl w:val="0"/>
          <w:numId w:val="17"/>
        </w:numPr>
        <w:spacing w:after="0" w:line="216" w:lineRule="auto"/>
        <w:ind w:left="-142" w:right="-174" w:hanging="11"/>
        <w:jc w:val="both"/>
        <w:rPr>
          <w:rFonts w:ascii="Verdana" w:hAnsi="Verdana"/>
          <w:w w:val="95"/>
          <w:sz w:val="20"/>
          <w:szCs w:val="20"/>
          <w:lang w:val="es-EC"/>
        </w:rPr>
      </w:pPr>
      <w:r w:rsidRPr="0060061F">
        <w:rPr>
          <w:rFonts w:ascii="Verdana" w:hAnsi="Verdana"/>
          <w:w w:val="95"/>
          <w:sz w:val="20"/>
          <w:szCs w:val="20"/>
          <w:lang w:val="es-EC"/>
        </w:rPr>
        <w:t xml:space="preserve">El Estado </w:t>
      </w:r>
      <w:r w:rsidRPr="002857CA">
        <w:rPr>
          <w:rFonts w:ascii="Verdana" w:hAnsi="Verdana"/>
          <w:w w:val="95"/>
          <w:sz w:val="20"/>
          <w:szCs w:val="20"/>
          <w:lang w:val="es-EC"/>
        </w:rPr>
        <w:t>señaló</w:t>
      </w:r>
      <w:r>
        <w:rPr>
          <w:rFonts w:ascii="Verdana" w:hAnsi="Verdana"/>
          <w:w w:val="95"/>
          <w:sz w:val="20"/>
          <w:szCs w:val="20"/>
          <w:lang w:val="es-EC"/>
        </w:rPr>
        <w:t xml:space="preserve"> </w:t>
      </w:r>
      <w:r w:rsidRPr="00831A28">
        <w:rPr>
          <w:rFonts w:ascii="Verdana" w:hAnsi="Verdana"/>
          <w:w w:val="95"/>
          <w:sz w:val="20"/>
          <w:szCs w:val="20"/>
          <w:lang w:val="es-EC"/>
        </w:rPr>
        <w:t>además</w:t>
      </w:r>
      <w:r w:rsidRPr="0060061F">
        <w:rPr>
          <w:rFonts w:ascii="Verdana" w:hAnsi="Verdana"/>
          <w:w w:val="95"/>
          <w:sz w:val="20"/>
          <w:szCs w:val="20"/>
          <w:lang w:val="es-EC"/>
        </w:rPr>
        <w:t xml:space="preserve"> que “los peticionarios y su</w:t>
      </w:r>
      <w:r>
        <w:rPr>
          <w:rFonts w:ascii="Verdana" w:hAnsi="Verdana"/>
          <w:w w:val="95"/>
          <w:sz w:val="20"/>
          <w:szCs w:val="20"/>
          <w:lang w:val="es-EC"/>
        </w:rPr>
        <w:t xml:space="preserve"> […]</w:t>
      </w:r>
      <w:r w:rsidRPr="0060061F">
        <w:rPr>
          <w:rFonts w:ascii="Verdana" w:hAnsi="Verdana"/>
          <w:w w:val="95"/>
          <w:sz w:val="20"/>
          <w:szCs w:val="20"/>
          <w:lang w:val="es-EC"/>
        </w:rPr>
        <w:t xml:space="preserve"> representante</w:t>
      </w:r>
      <w:r>
        <w:rPr>
          <w:rFonts w:ascii="Verdana" w:hAnsi="Verdana"/>
          <w:w w:val="95"/>
          <w:sz w:val="20"/>
          <w:szCs w:val="20"/>
          <w:lang w:val="es-EC"/>
        </w:rPr>
        <w:t xml:space="preserve"> […]</w:t>
      </w:r>
      <w:r w:rsidRPr="0060061F">
        <w:rPr>
          <w:rFonts w:ascii="Verdana" w:hAnsi="Verdana"/>
          <w:w w:val="95"/>
          <w:sz w:val="20"/>
          <w:szCs w:val="20"/>
          <w:lang w:val="es-EC"/>
        </w:rPr>
        <w:t xml:space="preserve"> solicita[ron</w:t>
      </w:r>
      <w:r>
        <w:rPr>
          <w:rFonts w:ascii="Verdana" w:hAnsi="Verdana"/>
          <w:w w:val="95"/>
          <w:sz w:val="20"/>
          <w:szCs w:val="20"/>
          <w:lang w:val="es-EC"/>
        </w:rPr>
        <w:t>]</w:t>
      </w:r>
      <w:r w:rsidRPr="0060061F">
        <w:rPr>
          <w:rFonts w:ascii="Verdana" w:hAnsi="Verdana"/>
          <w:w w:val="95"/>
          <w:sz w:val="20"/>
          <w:szCs w:val="20"/>
          <w:lang w:val="es-EC"/>
        </w:rPr>
        <w:t xml:space="preserve"> el reintegro de gastos médicos y psicológicos, pero en el apartado en el que reclaman el reembolso de gastos médicos erogados no se menciona en ningún sentido que hayan recibido tratamientos psicológicos de ninguna clase”.</w:t>
      </w:r>
    </w:p>
    <w:p w:rsidR="00DF15C3" w:rsidRDefault="00DF15C3" w:rsidP="003F26FD">
      <w:pPr>
        <w:spacing w:after="0" w:line="216" w:lineRule="auto"/>
        <w:ind w:left="-142" w:right="-174"/>
        <w:jc w:val="both"/>
        <w:rPr>
          <w:rFonts w:ascii="Verdana" w:hAnsi="Verdana"/>
          <w:w w:val="95"/>
          <w:sz w:val="20"/>
          <w:szCs w:val="20"/>
          <w:lang w:val="es-EC"/>
        </w:rPr>
      </w:pPr>
    </w:p>
    <w:p w:rsidR="00DF15C3" w:rsidRDefault="00DF15C3" w:rsidP="003F26FD">
      <w:pPr>
        <w:numPr>
          <w:ilvl w:val="0"/>
          <w:numId w:val="17"/>
        </w:numPr>
        <w:spacing w:after="0" w:line="216" w:lineRule="auto"/>
        <w:ind w:left="-142" w:right="-174" w:hanging="11"/>
        <w:jc w:val="both"/>
        <w:rPr>
          <w:rFonts w:ascii="Verdana" w:hAnsi="Verdana"/>
          <w:w w:val="95"/>
          <w:sz w:val="20"/>
          <w:szCs w:val="20"/>
          <w:lang w:val="es-EC"/>
        </w:rPr>
      </w:pPr>
      <w:r w:rsidRPr="00831A28">
        <w:rPr>
          <w:rFonts w:ascii="Verdana" w:hAnsi="Verdana"/>
          <w:w w:val="95"/>
          <w:sz w:val="20"/>
          <w:szCs w:val="20"/>
          <w:lang w:val="es-EC"/>
        </w:rPr>
        <w:t>En cuanto a la aducida pérdida de ingresos, expresó que</w:t>
      </w:r>
      <w:r>
        <w:rPr>
          <w:rFonts w:ascii="Verdana" w:hAnsi="Verdana"/>
          <w:w w:val="95"/>
          <w:sz w:val="20"/>
          <w:szCs w:val="20"/>
          <w:lang w:val="es-EC"/>
        </w:rPr>
        <w:t xml:space="preserve"> </w:t>
      </w:r>
    </w:p>
    <w:p w:rsidR="00DF15C3" w:rsidRDefault="00DF15C3" w:rsidP="003F26FD">
      <w:pPr>
        <w:pStyle w:val="Prrafodelista"/>
        <w:ind w:right="-174"/>
        <w:rPr>
          <w:rFonts w:ascii="Verdana" w:hAnsi="Verdana"/>
          <w:w w:val="95"/>
          <w:sz w:val="20"/>
          <w:szCs w:val="20"/>
          <w:lang w:val="es-EC"/>
        </w:rPr>
      </w:pPr>
    </w:p>
    <w:p w:rsidR="00763922" w:rsidRDefault="00DF15C3" w:rsidP="00FB575D">
      <w:pPr>
        <w:spacing w:after="0" w:line="216" w:lineRule="auto"/>
        <w:ind w:left="567" w:right="186"/>
        <w:jc w:val="both"/>
        <w:rPr>
          <w:rFonts w:ascii="Verdana" w:hAnsi="Verdana"/>
          <w:w w:val="95"/>
          <w:sz w:val="16"/>
          <w:szCs w:val="16"/>
          <w:lang w:val="es-EC"/>
        </w:rPr>
      </w:pPr>
      <w:r w:rsidRPr="00637CAB">
        <w:rPr>
          <w:rFonts w:ascii="Verdana" w:hAnsi="Verdana"/>
          <w:w w:val="95"/>
          <w:sz w:val="16"/>
          <w:szCs w:val="16"/>
          <w:lang w:val="es-EC"/>
        </w:rPr>
        <w:t xml:space="preserve">si hay posibilidades de estimar el salario que habría devengado María Isabel al finalizar sus estudios. Para tal efecto, el Estado puede proporcionar información, si la Corte la requiere, sobre salarios promedios de personas con grados académicos en actividades relacionadas con el comercio, dado que María Isabel trabajaba como vendedora en una tienda y puede asumirse que éste era un ámbito de interés.  </w:t>
      </w:r>
    </w:p>
    <w:p w:rsidR="00DF15C3" w:rsidRDefault="00DF15C3" w:rsidP="003F26FD">
      <w:pPr>
        <w:spacing w:after="0" w:line="216" w:lineRule="auto"/>
        <w:ind w:left="-142" w:right="-174"/>
        <w:jc w:val="both"/>
        <w:rPr>
          <w:rFonts w:ascii="Verdana" w:hAnsi="Verdana"/>
          <w:w w:val="95"/>
          <w:sz w:val="20"/>
          <w:szCs w:val="20"/>
          <w:lang w:val="es-EC"/>
        </w:rPr>
      </w:pPr>
    </w:p>
    <w:p w:rsidR="00DF15C3" w:rsidRDefault="00DF15C3" w:rsidP="003F26FD">
      <w:pPr>
        <w:spacing w:after="0" w:line="216" w:lineRule="auto"/>
        <w:ind w:left="-142" w:right="-174"/>
        <w:jc w:val="both"/>
        <w:rPr>
          <w:rFonts w:ascii="Verdana" w:hAnsi="Verdana"/>
          <w:w w:val="95"/>
          <w:sz w:val="20"/>
          <w:szCs w:val="20"/>
          <w:lang w:val="es-EC"/>
        </w:rPr>
      </w:pPr>
      <w:r w:rsidRPr="0060061F">
        <w:rPr>
          <w:rFonts w:ascii="Verdana" w:hAnsi="Verdana"/>
          <w:w w:val="95"/>
          <w:sz w:val="20"/>
          <w:szCs w:val="20"/>
          <w:lang w:val="es-EC"/>
        </w:rPr>
        <w:t xml:space="preserve">Por último, consideró </w:t>
      </w:r>
    </w:p>
    <w:p w:rsidR="00DF15C3" w:rsidRDefault="00DF15C3" w:rsidP="003F26FD">
      <w:pPr>
        <w:spacing w:after="0" w:line="216" w:lineRule="auto"/>
        <w:ind w:left="-142" w:right="-174"/>
        <w:jc w:val="both"/>
        <w:rPr>
          <w:rFonts w:ascii="Verdana" w:hAnsi="Verdana"/>
          <w:w w:val="95"/>
          <w:sz w:val="20"/>
          <w:szCs w:val="20"/>
          <w:lang w:val="es-EC"/>
        </w:rPr>
      </w:pPr>
    </w:p>
    <w:p w:rsidR="00DF15C3" w:rsidRDefault="00DF15C3" w:rsidP="00FB575D">
      <w:pPr>
        <w:spacing w:after="0" w:line="216" w:lineRule="auto"/>
        <w:ind w:left="567" w:right="186"/>
        <w:jc w:val="both"/>
        <w:rPr>
          <w:rFonts w:ascii="Verdana" w:hAnsi="Verdana"/>
          <w:w w:val="95"/>
          <w:sz w:val="16"/>
          <w:szCs w:val="16"/>
          <w:lang w:val="es-EC"/>
        </w:rPr>
      </w:pPr>
      <w:r w:rsidRPr="00637CAB">
        <w:rPr>
          <w:rFonts w:ascii="Verdana" w:hAnsi="Verdana"/>
          <w:w w:val="95"/>
          <w:sz w:val="16"/>
          <w:szCs w:val="16"/>
          <w:lang w:val="es-EC"/>
        </w:rPr>
        <w:t>exagerado que se establezca en equidad el monto total de supuesto lucro cesante de US$145,000.00 [(ciento cuarenta y cinco mil dólares de Estados Unidos de América)], pues en 10 años, esa cantidad de dólares vienen a ser US$14,500.00 [catorce mil quinientos dólares de Estados Unidos de América] anuales, lo que mensualmente vendrían siendo aproximadamente US$1,200.00 [mil doscientos dólares de los Estados</w:t>
      </w:r>
      <w:r w:rsidR="00EC781A">
        <w:rPr>
          <w:rFonts w:ascii="Verdana" w:hAnsi="Verdana"/>
          <w:w w:val="95"/>
          <w:sz w:val="16"/>
          <w:szCs w:val="16"/>
          <w:lang w:val="es-EC"/>
        </w:rPr>
        <w:t xml:space="preserve"> Unidos de América] mensuales. </w:t>
      </w:r>
    </w:p>
    <w:p w:rsidR="00EC781A" w:rsidRPr="00EC781A" w:rsidRDefault="00EC781A" w:rsidP="003F26FD">
      <w:pPr>
        <w:spacing w:after="0" w:line="216" w:lineRule="auto"/>
        <w:ind w:left="567" w:right="-174"/>
        <w:jc w:val="both"/>
        <w:rPr>
          <w:rFonts w:ascii="Verdana" w:hAnsi="Verdana"/>
          <w:w w:val="95"/>
          <w:sz w:val="16"/>
          <w:szCs w:val="16"/>
          <w:lang w:val="es-EC"/>
        </w:rPr>
      </w:pPr>
    </w:p>
    <w:p w:rsidR="00DF15C3" w:rsidRPr="00032E76" w:rsidRDefault="00DF15C3" w:rsidP="003F26FD">
      <w:pPr>
        <w:numPr>
          <w:ilvl w:val="0"/>
          <w:numId w:val="17"/>
        </w:numPr>
        <w:spacing w:after="0" w:line="216" w:lineRule="auto"/>
        <w:ind w:left="-142" w:right="-174" w:hanging="11"/>
        <w:jc w:val="both"/>
        <w:rPr>
          <w:rFonts w:ascii="Verdana" w:hAnsi="Verdana"/>
          <w:w w:val="95"/>
          <w:sz w:val="20"/>
          <w:szCs w:val="20"/>
          <w:lang w:val="es-EC"/>
        </w:rPr>
      </w:pPr>
      <w:r w:rsidRPr="00032E76">
        <w:rPr>
          <w:rFonts w:ascii="Verdana" w:hAnsi="Verdana"/>
          <w:w w:val="95"/>
          <w:sz w:val="20"/>
          <w:szCs w:val="20"/>
          <w:lang w:val="es-EC"/>
        </w:rPr>
        <w:t xml:space="preserve">Por todo lo anterior y tomando en cuenta que “la menor no era aún profesional, resulta complicado para el Estado acreditar legítimamente que de alguna forma habría devengado, en caso de continuar sus estudios, casi 3 veces el salario mínimo establecido a la fecha en el país, desde el momento en que saliera del colegio  hasta que muriera por causas naturales”. </w:t>
      </w:r>
    </w:p>
    <w:p w:rsidR="00DF15C3" w:rsidRDefault="00DF15C3" w:rsidP="003F26FD">
      <w:pPr>
        <w:spacing w:after="0" w:line="216" w:lineRule="auto"/>
        <w:ind w:left="-142" w:right="-174"/>
        <w:jc w:val="both"/>
        <w:rPr>
          <w:rFonts w:ascii="Verdana" w:hAnsi="Verdana"/>
          <w:w w:val="95"/>
          <w:sz w:val="20"/>
          <w:szCs w:val="20"/>
          <w:lang w:val="es-EC"/>
        </w:rPr>
      </w:pPr>
    </w:p>
    <w:p w:rsidR="00DF15C3" w:rsidRPr="004517D0" w:rsidRDefault="00DF15C3" w:rsidP="003F26FD">
      <w:pPr>
        <w:numPr>
          <w:ilvl w:val="0"/>
          <w:numId w:val="17"/>
        </w:numPr>
        <w:spacing w:after="0" w:line="216" w:lineRule="auto"/>
        <w:ind w:left="-142" w:right="-174" w:hanging="11"/>
        <w:jc w:val="both"/>
        <w:rPr>
          <w:rFonts w:ascii="Verdana" w:hAnsi="Verdana"/>
          <w:w w:val="95"/>
          <w:sz w:val="20"/>
          <w:szCs w:val="20"/>
          <w:lang w:val="es-EC"/>
        </w:rPr>
      </w:pPr>
      <w:r w:rsidRPr="00831A28">
        <w:rPr>
          <w:rFonts w:ascii="Verdana" w:hAnsi="Verdana"/>
          <w:w w:val="95"/>
          <w:sz w:val="20"/>
          <w:szCs w:val="20"/>
          <w:lang w:val="es-EC"/>
        </w:rPr>
        <w:t>E</w:t>
      </w:r>
      <w:r w:rsidRPr="0060061F">
        <w:rPr>
          <w:rFonts w:ascii="Verdana" w:hAnsi="Verdana"/>
          <w:w w:val="95"/>
          <w:sz w:val="20"/>
          <w:szCs w:val="20"/>
          <w:lang w:val="es-EC"/>
        </w:rPr>
        <w:t>n cuanto a la indemnización</w:t>
      </w:r>
      <w:r>
        <w:rPr>
          <w:rFonts w:ascii="Verdana" w:hAnsi="Verdana"/>
          <w:w w:val="95"/>
          <w:sz w:val="20"/>
          <w:szCs w:val="20"/>
          <w:lang w:val="es-EC"/>
        </w:rPr>
        <w:t xml:space="preserve"> </w:t>
      </w:r>
      <w:r w:rsidRPr="00831A28">
        <w:rPr>
          <w:rFonts w:ascii="Verdana" w:hAnsi="Verdana"/>
          <w:w w:val="95"/>
          <w:sz w:val="20"/>
          <w:szCs w:val="20"/>
          <w:lang w:val="es-EC"/>
        </w:rPr>
        <w:t>por daño inmaterial</w:t>
      </w:r>
      <w:r w:rsidRPr="0060061F">
        <w:rPr>
          <w:rFonts w:ascii="Verdana" w:hAnsi="Verdana"/>
          <w:w w:val="95"/>
          <w:sz w:val="20"/>
          <w:szCs w:val="20"/>
          <w:lang w:val="es-EC"/>
        </w:rPr>
        <w:t xml:space="preserve"> a favor de Mar</w:t>
      </w:r>
      <w:r>
        <w:rPr>
          <w:rFonts w:ascii="Verdana" w:hAnsi="Verdana"/>
          <w:w w:val="95"/>
          <w:sz w:val="20"/>
          <w:szCs w:val="20"/>
          <w:lang w:val="es-EC"/>
        </w:rPr>
        <w:t>ía Isabel, el Estado señaló que</w:t>
      </w:r>
      <w:r w:rsidRPr="0060061F">
        <w:rPr>
          <w:rFonts w:ascii="Verdana" w:hAnsi="Verdana"/>
          <w:w w:val="95"/>
          <w:sz w:val="20"/>
          <w:szCs w:val="20"/>
          <w:lang w:val="es-EC"/>
        </w:rPr>
        <w:t xml:space="preserve"> “ha realizado una investigación seria y diligente […</w:t>
      </w:r>
      <w:r w:rsidR="00EC781A">
        <w:rPr>
          <w:rFonts w:ascii="Verdana" w:hAnsi="Verdana"/>
          <w:w w:val="95"/>
          <w:sz w:val="20"/>
          <w:szCs w:val="20"/>
          <w:lang w:val="es-EC"/>
        </w:rPr>
        <w:t>] para determinar lo sucedido [</w:t>
      </w:r>
      <w:r w:rsidRPr="0060061F">
        <w:rPr>
          <w:rFonts w:ascii="Verdana" w:hAnsi="Verdana"/>
          <w:w w:val="95"/>
          <w:sz w:val="20"/>
          <w:szCs w:val="20"/>
          <w:lang w:val="es-EC"/>
        </w:rPr>
        <w:t>no obstante</w:t>
      </w:r>
      <w:r>
        <w:rPr>
          <w:rFonts w:ascii="Verdana" w:hAnsi="Verdana"/>
          <w:w w:val="95"/>
          <w:sz w:val="20"/>
          <w:szCs w:val="20"/>
          <w:lang w:val="es-EC"/>
        </w:rPr>
        <w:t>,</w:t>
      </w:r>
      <w:r w:rsidRPr="0060061F">
        <w:rPr>
          <w:rFonts w:ascii="Verdana" w:hAnsi="Verdana"/>
          <w:w w:val="95"/>
          <w:sz w:val="20"/>
          <w:szCs w:val="20"/>
          <w:lang w:val="es-EC"/>
        </w:rPr>
        <w:t xml:space="preserve">] no ha sido posible identificar y sancionar a los responsables”. Además indicó que “tomó todas las medidas idóneas para coadyuvar a la determinación de su paradero, ya que remitió la denuncia a la oficina correspondiente para la búsqueda de menores y al aparecer el cuerpo se emitió oficio para determinar si las características del cuerpo hallado correspondían a las de </w:t>
      </w:r>
      <w:r w:rsidRPr="004517D0">
        <w:rPr>
          <w:rFonts w:ascii="Verdana" w:hAnsi="Verdana"/>
          <w:w w:val="95"/>
          <w:sz w:val="20"/>
          <w:szCs w:val="20"/>
          <w:lang w:val="es-EC"/>
        </w:rPr>
        <w:t xml:space="preserve">alguna mujer cuya desaparición hubiera sido denunciada”. </w:t>
      </w:r>
    </w:p>
    <w:p w:rsidR="00DF15C3" w:rsidRPr="004517D0" w:rsidRDefault="00DF15C3" w:rsidP="003F26FD">
      <w:pPr>
        <w:spacing w:after="0" w:line="216" w:lineRule="auto"/>
        <w:ind w:left="-142" w:right="-174"/>
        <w:jc w:val="both"/>
        <w:rPr>
          <w:rFonts w:ascii="Verdana" w:hAnsi="Verdana"/>
          <w:w w:val="95"/>
          <w:sz w:val="20"/>
          <w:szCs w:val="20"/>
          <w:lang w:val="es-EC"/>
        </w:rPr>
      </w:pPr>
    </w:p>
    <w:p w:rsidR="00DF15C3" w:rsidRPr="006457FE" w:rsidRDefault="00DF15C3" w:rsidP="006457FE">
      <w:pPr>
        <w:numPr>
          <w:ilvl w:val="0"/>
          <w:numId w:val="17"/>
        </w:numPr>
        <w:spacing w:after="0" w:line="216" w:lineRule="auto"/>
        <w:ind w:left="-142" w:right="-174" w:hanging="11"/>
        <w:jc w:val="both"/>
        <w:rPr>
          <w:rFonts w:ascii="Verdana" w:hAnsi="Verdana"/>
          <w:w w:val="95"/>
          <w:sz w:val="20"/>
          <w:szCs w:val="20"/>
          <w:lang w:val="es-EC"/>
        </w:rPr>
      </w:pPr>
      <w:r w:rsidRPr="00831A28">
        <w:rPr>
          <w:rFonts w:ascii="Verdana" w:hAnsi="Verdana"/>
          <w:w w:val="95"/>
          <w:sz w:val="20"/>
          <w:szCs w:val="20"/>
          <w:lang w:val="es-EC"/>
        </w:rPr>
        <w:t>Expres</w:t>
      </w:r>
      <w:r w:rsidRPr="0060061F">
        <w:rPr>
          <w:rFonts w:ascii="Verdana" w:hAnsi="Verdana"/>
          <w:w w:val="95"/>
          <w:sz w:val="20"/>
          <w:szCs w:val="20"/>
          <w:lang w:val="es-EC"/>
        </w:rPr>
        <w:t xml:space="preserve">ó </w:t>
      </w:r>
      <w:r w:rsidRPr="00831A28">
        <w:rPr>
          <w:rFonts w:ascii="Verdana" w:hAnsi="Verdana"/>
          <w:w w:val="95"/>
          <w:sz w:val="20"/>
          <w:szCs w:val="20"/>
          <w:lang w:val="es-EC"/>
        </w:rPr>
        <w:t xml:space="preserve">asimismo </w:t>
      </w:r>
      <w:r w:rsidRPr="0060061F">
        <w:rPr>
          <w:rFonts w:ascii="Verdana" w:hAnsi="Verdana"/>
          <w:w w:val="95"/>
          <w:sz w:val="20"/>
          <w:szCs w:val="20"/>
          <w:lang w:val="es-EC"/>
        </w:rPr>
        <w:t xml:space="preserve">que “no se debe ningún tipo de reparación pecuniaria por daño moral a ninguna de las supuestas víctimas en el presente caso (María Isabel ni familiares) toda vez que el Estado no </w:t>
      </w:r>
      <w:r w:rsidRPr="00831A28">
        <w:rPr>
          <w:rFonts w:ascii="Verdana" w:hAnsi="Verdana"/>
          <w:w w:val="95"/>
          <w:sz w:val="20"/>
          <w:szCs w:val="20"/>
          <w:lang w:val="es-EC"/>
        </w:rPr>
        <w:t>ha</w:t>
      </w:r>
      <w:r w:rsidRPr="0060061F">
        <w:rPr>
          <w:rFonts w:ascii="Verdana" w:hAnsi="Verdana"/>
          <w:b/>
          <w:w w:val="95"/>
          <w:sz w:val="20"/>
          <w:szCs w:val="20"/>
          <w:lang w:val="es-EC"/>
        </w:rPr>
        <w:t xml:space="preserve"> </w:t>
      </w:r>
      <w:r w:rsidRPr="0060061F">
        <w:rPr>
          <w:rFonts w:ascii="Verdana" w:hAnsi="Verdana"/>
          <w:w w:val="95"/>
          <w:sz w:val="20"/>
          <w:szCs w:val="20"/>
          <w:lang w:val="es-EC"/>
        </w:rPr>
        <w:t xml:space="preserve">incumplido ninguno de los términos a que el criterio de esta Corte se refiere para establecer como evidente el daño inmaterial”. Además indicó que “ha realizado una investigación seria y diligente por parte de las autoridades estatales para determinar lo sucedido a aquellas”, no obstante “por los resultados de la investigación no ha sido posible identificar y sancionar a los responsables, asimismo, dentro de sus posibilidades y con la premura del tiempo en que se hizo de su conocimiento el riesgo que corría la menor y apareció muerta, tomó las medidas idóneas para coadyuvar a la determinación de su paradero”. Por último, señaló que “han transcurrido 11 años desde la muerte de la menor, y en todo este tiempo los familiares nunca han solicitado ayuda psicológica ni manifestado que tienen algún impedimento de recuperación emocional al Estado”.  </w:t>
      </w:r>
    </w:p>
    <w:p w:rsidR="00DF15C3" w:rsidRPr="008A13E3" w:rsidRDefault="00DF15C3" w:rsidP="00DB3A57">
      <w:pPr>
        <w:pStyle w:val="Ttulo3"/>
        <w:rPr>
          <w:rFonts w:ascii="Verdana" w:hAnsi="Verdana"/>
          <w:i/>
          <w:color w:val="auto"/>
          <w:w w:val="95"/>
          <w:sz w:val="20"/>
          <w:lang w:val="es-EC"/>
        </w:rPr>
      </w:pPr>
      <w:bookmarkStart w:id="150" w:name="_Toc394313714"/>
      <w:r w:rsidRPr="008A13E3">
        <w:rPr>
          <w:rFonts w:ascii="Verdana" w:hAnsi="Verdana"/>
          <w:i/>
          <w:color w:val="auto"/>
          <w:w w:val="95"/>
          <w:sz w:val="20"/>
          <w:lang w:val="es-EC"/>
        </w:rPr>
        <w:t>F.3) Consideraciones de la Corte</w:t>
      </w:r>
      <w:bookmarkEnd w:id="150"/>
    </w:p>
    <w:p w:rsidR="00DF15C3" w:rsidRDefault="00DF15C3" w:rsidP="003F26FD">
      <w:pPr>
        <w:spacing w:after="0" w:line="216" w:lineRule="auto"/>
        <w:ind w:left="-142" w:right="-174"/>
        <w:jc w:val="both"/>
        <w:rPr>
          <w:rFonts w:ascii="Verdana" w:hAnsi="Verdana"/>
          <w:w w:val="95"/>
          <w:sz w:val="20"/>
          <w:szCs w:val="20"/>
          <w:lang w:val="es-EC"/>
        </w:rPr>
      </w:pPr>
    </w:p>
    <w:p w:rsidR="00DF15C3" w:rsidRDefault="00DF15C3" w:rsidP="003F26FD">
      <w:pPr>
        <w:numPr>
          <w:ilvl w:val="0"/>
          <w:numId w:val="17"/>
        </w:numPr>
        <w:spacing w:after="0" w:line="216" w:lineRule="auto"/>
        <w:ind w:left="-142" w:right="-174" w:hanging="11"/>
        <w:jc w:val="both"/>
        <w:rPr>
          <w:rFonts w:ascii="Verdana" w:hAnsi="Verdana"/>
          <w:b/>
          <w:w w:val="95"/>
          <w:sz w:val="20"/>
          <w:szCs w:val="20"/>
          <w:lang w:val="es-EC"/>
        </w:rPr>
      </w:pPr>
      <w:r w:rsidRPr="0022628C">
        <w:rPr>
          <w:rFonts w:ascii="Verdana" w:hAnsi="Verdana"/>
          <w:w w:val="95"/>
          <w:sz w:val="20"/>
          <w:szCs w:val="20"/>
          <w:lang w:val="es-EC"/>
        </w:rPr>
        <w:t>La Corte ha desarrollado en su jurisprudencia el concepto de daño material y ha establecido que éste supone “la pérdida o detrimento de los ingreso</w:t>
      </w:r>
      <w:r w:rsidRPr="00831A28">
        <w:rPr>
          <w:rFonts w:ascii="Verdana" w:hAnsi="Verdana"/>
          <w:w w:val="95"/>
          <w:sz w:val="20"/>
          <w:szCs w:val="20"/>
          <w:lang w:val="es-EC"/>
        </w:rPr>
        <w:t>s de las víctimas, los gastos efectuado</w:t>
      </w:r>
      <w:r w:rsidRPr="0022628C">
        <w:rPr>
          <w:rFonts w:ascii="Verdana" w:hAnsi="Verdana"/>
          <w:w w:val="95"/>
          <w:sz w:val="20"/>
          <w:szCs w:val="20"/>
          <w:lang w:val="es-EC"/>
        </w:rPr>
        <w:t>s con motivo de los hechos y las consecuencias de carácter pecuniario que</w:t>
      </w:r>
      <w:r w:rsidRPr="0022628C">
        <w:rPr>
          <w:rFonts w:ascii="Verdana" w:hAnsi="Verdana"/>
          <w:i/>
          <w:w w:val="95"/>
          <w:sz w:val="20"/>
          <w:szCs w:val="20"/>
          <w:lang w:val="es-EC"/>
        </w:rPr>
        <w:t xml:space="preserve"> </w:t>
      </w:r>
      <w:r w:rsidRPr="00EC781A">
        <w:rPr>
          <w:rFonts w:ascii="Verdana" w:hAnsi="Verdana"/>
          <w:w w:val="95"/>
          <w:sz w:val="20"/>
          <w:szCs w:val="20"/>
          <w:lang w:val="es-EC"/>
        </w:rPr>
        <w:t>tengan un</w:t>
      </w:r>
      <w:r w:rsidRPr="0022628C">
        <w:rPr>
          <w:rFonts w:ascii="Verdana" w:hAnsi="Verdana"/>
          <w:w w:val="95"/>
          <w:sz w:val="20"/>
          <w:szCs w:val="20"/>
          <w:lang w:val="es-EC"/>
        </w:rPr>
        <w:t xml:space="preserve"> nexo causal con los hechos del caso”</w:t>
      </w:r>
      <w:r w:rsidRPr="00200AC2">
        <w:rPr>
          <w:rStyle w:val="Refdenotaalpie"/>
          <w:rFonts w:ascii="Verdana" w:hAnsi="Verdana"/>
          <w:w w:val="95"/>
          <w:sz w:val="20"/>
          <w:lang w:val="es-EC"/>
        </w:rPr>
        <w:footnoteReference w:id="360"/>
      </w:r>
      <w:r w:rsidR="008438D1">
        <w:rPr>
          <w:rFonts w:ascii="Verdana" w:hAnsi="Verdana"/>
          <w:w w:val="95"/>
          <w:sz w:val="20"/>
          <w:szCs w:val="20"/>
          <w:lang w:val="es-EC"/>
        </w:rPr>
        <w:t xml:space="preserve">. </w:t>
      </w:r>
      <w:r w:rsidRPr="0022628C">
        <w:rPr>
          <w:rFonts w:ascii="Verdana" w:hAnsi="Verdana"/>
          <w:w w:val="95"/>
          <w:sz w:val="20"/>
          <w:szCs w:val="20"/>
          <w:lang w:val="es-EC"/>
        </w:rPr>
        <w:t xml:space="preserve"> </w:t>
      </w:r>
      <w:r w:rsidRPr="00831A28">
        <w:rPr>
          <w:rFonts w:ascii="Verdana" w:hAnsi="Verdana"/>
          <w:w w:val="95"/>
          <w:sz w:val="20"/>
          <w:szCs w:val="20"/>
          <w:lang w:val="es-EC"/>
        </w:rPr>
        <w:t>Del mismo modo,</w:t>
      </w:r>
      <w:r w:rsidRPr="0022628C">
        <w:rPr>
          <w:rFonts w:ascii="Verdana" w:hAnsi="Verdana"/>
          <w:w w:val="95"/>
          <w:sz w:val="20"/>
          <w:szCs w:val="20"/>
          <w:lang w:val="es-EC"/>
        </w:rPr>
        <w:t xml:space="preserve"> ha desarrollado en su jurisprudencia el concepto de daño inmaterial y ha establecido que éste “puede comprender tanto los sufrimientos y las aflicciones causados por la violación como el menoscabo de valores muy significativos para las personas y cualquier alteración, de carácter no pecuniario, en las condiciones de existencia de las víctimas”</w:t>
      </w:r>
      <w:r w:rsidRPr="002B1610">
        <w:rPr>
          <w:rFonts w:ascii="Verdana" w:hAnsi="Verdana"/>
          <w:w w:val="95"/>
          <w:sz w:val="20"/>
          <w:szCs w:val="20"/>
          <w:vertAlign w:val="superscript"/>
          <w:lang w:val="es-EC"/>
        </w:rPr>
        <w:footnoteReference w:id="361"/>
      </w:r>
      <w:r w:rsidRPr="0022628C">
        <w:rPr>
          <w:rFonts w:ascii="Verdana" w:hAnsi="Verdana"/>
          <w:w w:val="95"/>
          <w:sz w:val="20"/>
          <w:szCs w:val="20"/>
          <w:lang w:val="es-EC"/>
        </w:rPr>
        <w:t xml:space="preserve">. </w:t>
      </w:r>
      <w:r w:rsidRPr="0022628C">
        <w:rPr>
          <w:rFonts w:ascii="Verdana" w:hAnsi="Verdana" w:cs="Verdana"/>
          <w:w w:val="95"/>
          <w:sz w:val="20"/>
          <w:szCs w:val="20"/>
          <w:lang w:val="es-CR" w:bidi="en-US"/>
        </w:rPr>
        <w:t xml:space="preserve"> </w:t>
      </w:r>
      <w:r w:rsidRPr="0022628C">
        <w:rPr>
          <w:rFonts w:ascii="Verdana" w:hAnsi="Verdana"/>
          <w:w w:val="95"/>
          <w:sz w:val="20"/>
          <w:szCs w:val="20"/>
          <w:highlight w:val="white"/>
          <w:lang w:val="es-CR"/>
        </w:rPr>
        <w:t>Dado que no es posible asignar al daño inmaterial un equivalente monetario preciso, sólo puede ser objeto de compensación, para los fines de la reparación integral a la víctima, mediante el pago de una cantidad de dinero o la entrega de bienes o servicios apreciables en dinero, que el Tribunal determine en aplicación razonable del arbitrio judicial y en términos de equidad</w:t>
      </w:r>
      <w:r w:rsidRPr="002B1610">
        <w:rPr>
          <w:rStyle w:val="Refdenotaalpie"/>
          <w:rFonts w:ascii="Verdana" w:hAnsi="Verdana"/>
          <w:w w:val="95"/>
          <w:sz w:val="20"/>
          <w:lang w:val="es-CO"/>
        </w:rPr>
        <w:footnoteReference w:id="362"/>
      </w:r>
      <w:r w:rsidRPr="0022628C">
        <w:rPr>
          <w:rFonts w:ascii="Verdana" w:hAnsi="Verdana"/>
          <w:w w:val="95"/>
          <w:sz w:val="20"/>
          <w:szCs w:val="20"/>
          <w:highlight w:val="white"/>
          <w:lang w:val="es-CR"/>
        </w:rPr>
        <w:t>.</w:t>
      </w:r>
      <w:r>
        <w:rPr>
          <w:rFonts w:ascii="Verdana" w:hAnsi="Verdana"/>
          <w:w w:val="95"/>
          <w:sz w:val="20"/>
          <w:szCs w:val="20"/>
          <w:lang w:val="es-CR"/>
        </w:rPr>
        <w:t xml:space="preserve"> </w:t>
      </w:r>
      <w:r w:rsidRPr="0022628C">
        <w:rPr>
          <w:rFonts w:ascii="Verdana" w:hAnsi="Verdana"/>
          <w:w w:val="95"/>
          <w:sz w:val="20"/>
          <w:szCs w:val="20"/>
          <w:lang w:val="es-CR"/>
        </w:rPr>
        <w:t xml:space="preserve"> Asimismo, la Corte reitera el carácter compensatorio de las indemnizaciones, cuya naturaleza y monto dependen del daño ocasionado, por lo que no pueden significar ni enriquecimiento ni empobrecimiento para las víctimas o sus sucesores</w:t>
      </w:r>
      <w:r w:rsidRPr="002B1610">
        <w:rPr>
          <w:rStyle w:val="Refdenotaalpie"/>
          <w:rFonts w:ascii="Verdana" w:hAnsi="Verdana"/>
          <w:w w:val="95"/>
          <w:sz w:val="20"/>
          <w:lang w:val="es-CO"/>
        </w:rPr>
        <w:footnoteReference w:id="363"/>
      </w:r>
      <w:r w:rsidRPr="0022628C">
        <w:rPr>
          <w:rFonts w:ascii="Verdana" w:hAnsi="Verdana"/>
          <w:w w:val="95"/>
          <w:sz w:val="20"/>
          <w:szCs w:val="20"/>
          <w:lang w:val="es-CR"/>
        </w:rPr>
        <w:t xml:space="preserve">. </w:t>
      </w:r>
    </w:p>
    <w:p w:rsidR="00DF15C3" w:rsidRPr="00A02E3F" w:rsidRDefault="00DF15C3" w:rsidP="003F26FD">
      <w:pPr>
        <w:spacing w:after="0" w:line="216" w:lineRule="auto"/>
        <w:ind w:left="-142" w:right="-174"/>
        <w:jc w:val="both"/>
        <w:rPr>
          <w:rFonts w:ascii="Verdana" w:hAnsi="Verdana"/>
          <w:b/>
          <w:w w:val="95"/>
          <w:sz w:val="20"/>
          <w:szCs w:val="20"/>
          <w:lang w:val="es-EC"/>
        </w:rPr>
      </w:pPr>
    </w:p>
    <w:p w:rsidR="00DF15C3" w:rsidRPr="00DD42FD" w:rsidRDefault="00DF15C3" w:rsidP="003F26FD">
      <w:pPr>
        <w:numPr>
          <w:ilvl w:val="0"/>
          <w:numId w:val="17"/>
        </w:numPr>
        <w:spacing w:after="0" w:line="216" w:lineRule="auto"/>
        <w:ind w:left="-142" w:right="-174" w:hanging="11"/>
        <w:jc w:val="both"/>
        <w:rPr>
          <w:rFonts w:ascii="Verdana" w:hAnsi="Verdana"/>
          <w:w w:val="95"/>
          <w:sz w:val="20"/>
          <w:szCs w:val="20"/>
          <w:lang w:val="es-EC"/>
        </w:rPr>
      </w:pPr>
      <w:r w:rsidRPr="00F75E89">
        <w:rPr>
          <w:rFonts w:ascii="Verdana" w:hAnsi="Verdana"/>
          <w:bCs/>
          <w:w w:val="95"/>
          <w:sz w:val="20"/>
          <w:szCs w:val="20"/>
          <w:lang w:val="es-CR"/>
        </w:rPr>
        <w:t>De la información aportada sobre los gastos funerarios, este Tribunal toma nota de la contradicción de la representante, como también lo seña</w:t>
      </w:r>
      <w:r w:rsidR="001F276B">
        <w:rPr>
          <w:rFonts w:ascii="Verdana" w:hAnsi="Verdana"/>
          <w:bCs/>
          <w:w w:val="95"/>
          <w:sz w:val="20"/>
          <w:szCs w:val="20"/>
          <w:lang w:val="es-CR"/>
        </w:rPr>
        <w:t>ló</w:t>
      </w:r>
      <w:r w:rsidR="008438D1">
        <w:rPr>
          <w:rFonts w:ascii="Verdana" w:hAnsi="Verdana"/>
          <w:bCs/>
          <w:w w:val="95"/>
          <w:sz w:val="20"/>
          <w:szCs w:val="20"/>
          <w:lang w:val="es-CR"/>
        </w:rPr>
        <w:t xml:space="preserve"> el Estado, que, por un lado,</w:t>
      </w:r>
      <w:r w:rsidRPr="00F75E89">
        <w:rPr>
          <w:rFonts w:ascii="Verdana" w:hAnsi="Verdana"/>
          <w:bCs/>
          <w:w w:val="95"/>
          <w:sz w:val="20"/>
          <w:szCs w:val="20"/>
          <w:lang w:val="es-CR"/>
        </w:rPr>
        <w:t xml:space="preserve"> remiti</w:t>
      </w:r>
      <w:r>
        <w:rPr>
          <w:rFonts w:ascii="Verdana" w:hAnsi="Verdana"/>
          <w:bCs/>
          <w:w w:val="95"/>
          <w:sz w:val="20"/>
          <w:szCs w:val="20"/>
          <w:lang w:val="es-CR"/>
        </w:rPr>
        <w:t>ó</w:t>
      </w:r>
      <w:r w:rsidRPr="00F75E89">
        <w:rPr>
          <w:rFonts w:ascii="Verdana" w:hAnsi="Verdana"/>
          <w:bCs/>
          <w:w w:val="95"/>
          <w:sz w:val="20"/>
          <w:szCs w:val="20"/>
          <w:lang w:val="es-CR"/>
        </w:rPr>
        <w:t xml:space="preserve"> comprobantes de los gastos funerarios en que incurrieron los familiares de la víctima, y por otro, solicit</w:t>
      </w:r>
      <w:r>
        <w:rPr>
          <w:rFonts w:ascii="Verdana" w:hAnsi="Verdana"/>
          <w:bCs/>
          <w:w w:val="95"/>
          <w:sz w:val="20"/>
          <w:szCs w:val="20"/>
          <w:lang w:val="es-CR"/>
        </w:rPr>
        <w:t>ó</w:t>
      </w:r>
      <w:r w:rsidRPr="00F75E89">
        <w:rPr>
          <w:rFonts w:ascii="Verdana" w:hAnsi="Verdana"/>
          <w:bCs/>
          <w:w w:val="95"/>
          <w:sz w:val="20"/>
          <w:szCs w:val="20"/>
          <w:lang w:val="es-CR"/>
        </w:rPr>
        <w:t xml:space="preserve"> que la Corte fije en equidad el monto respectivo por no contar con comprobantes. Además, el Estado presentó una certificación emitida por la funeraria contratada para el funeral de María Isabel por los familiares y cuestionó los comprobantes presentados por la representante por considerar que el monto fue supuestamente alterado.</w:t>
      </w:r>
      <w:r w:rsidRPr="00F75E89">
        <w:rPr>
          <w:rFonts w:ascii="Verdana" w:hAnsi="Verdana"/>
          <w:b/>
          <w:w w:val="95"/>
          <w:sz w:val="20"/>
          <w:szCs w:val="20"/>
          <w:lang w:val="es-EC"/>
        </w:rPr>
        <w:t xml:space="preserve"> </w:t>
      </w:r>
      <w:r w:rsidRPr="00831A28">
        <w:rPr>
          <w:rFonts w:ascii="Verdana" w:hAnsi="Verdana"/>
          <w:w w:val="95"/>
          <w:sz w:val="20"/>
          <w:szCs w:val="20"/>
          <w:lang w:val="es-EC"/>
        </w:rPr>
        <w:t>Sin perjuicio de ello, el Tribunal presume, como lo ha hecho en casos anteriores</w:t>
      </w:r>
      <w:r w:rsidRPr="00831A28">
        <w:rPr>
          <w:rStyle w:val="Refdenotaalpie"/>
          <w:rFonts w:ascii="Verdana" w:hAnsi="Verdana"/>
          <w:w w:val="95"/>
          <w:sz w:val="20"/>
          <w:lang w:val="es-EC"/>
        </w:rPr>
        <w:footnoteReference w:id="364"/>
      </w:r>
      <w:r w:rsidRPr="00831A28">
        <w:rPr>
          <w:rFonts w:ascii="Verdana" w:hAnsi="Verdana"/>
          <w:w w:val="95"/>
          <w:sz w:val="20"/>
          <w:szCs w:val="20"/>
          <w:lang w:val="es-EC"/>
        </w:rPr>
        <w:t>, que los familiares incurrieron en diversos gastos con motivo de la muerte de María Isabel.</w:t>
      </w:r>
      <w:r w:rsidRPr="00F75E89">
        <w:rPr>
          <w:rFonts w:ascii="Verdana" w:hAnsi="Verdana"/>
          <w:b/>
          <w:w w:val="95"/>
          <w:sz w:val="20"/>
          <w:szCs w:val="20"/>
          <w:lang w:val="es-EC"/>
        </w:rPr>
        <w:t xml:space="preserve"> </w:t>
      </w:r>
      <w:r w:rsidRPr="00F75E89">
        <w:rPr>
          <w:rFonts w:ascii="Verdana" w:hAnsi="Verdana"/>
          <w:w w:val="95"/>
          <w:sz w:val="20"/>
          <w:szCs w:val="20"/>
          <w:lang w:val="es-CR"/>
        </w:rPr>
        <w:t xml:space="preserve"> </w:t>
      </w:r>
      <w:r w:rsidRPr="00831A28">
        <w:rPr>
          <w:rFonts w:ascii="Verdana" w:hAnsi="Verdana"/>
          <w:w w:val="95"/>
          <w:sz w:val="20"/>
          <w:szCs w:val="20"/>
          <w:lang w:val="es-CR"/>
        </w:rPr>
        <w:t>Del mismo modo,</w:t>
      </w:r>
      <w:r w:rsidRPr="00F75E89">
        <w:rPr>
          <w:rFonts w:ascii="Verdana" w:hAnsi="Verdana"/>
          <w:b/>
          <w:w w:val="95"/>
          <w:sz w:val="20"/>
          <w:szCs w:val="20"/>
          <w:lang w:val="es-CR"/>
        </w:rPr>
        <w:t xml:space="preserve"> </w:t>
      </w:r>
      <w:r w:rsidRPr="00F75E89">
        <w:rPr>
          <w:rFonts w:ascii="Verdana" w:hAnsi="Verdana"/>
          <w:w w:val="95"/>
          <w:sz w:val="20"/>
          <w:szCs w:val="20"/>
          <w:lang w:val="es-CR"/>
        </w:rPr>
        <w:t xml:space="preserve">considera los alegatos de la representante sobre los gastos en que incurrió la señora Franco </w:t>
      </w:r>
      <w:r>
        <w:rPr>
          <w:rFonts w:ascii="Verdana" w:hAnsi="Verdana"/>
          <w:w w:val="95"/>
          <w:sz w:val="20"/>
          <w:szCs w:val="20"/>
          <w:lang w:val="es-CR"/>
        </w:rPr>
        <w:t xml:space="preserve">Sandoval </w:t>
      </w:r>
      <w:r w:rsidRPr="00F75E89">
        <w:rPr>
          <w:rFonts w:ascii="Verdana" w:hAnsi="Verdana"/>
          <w:w w:val="95"/>
          <w:sz w:val="20"/>
          <w:szCs w:val="20"/>
          <w:lang w:val="es-CR"/>
        </w:rPr>
        <w:t>para la obtención de justicia</w:t>
      </w:r>
      <w:r>
        <w:rPr>
          <w:rFonts w:ascii="Verdana" w:hAnsi="Verdana"/>
          <w:b/>
          <w:w w:val="95"/>
          <w:sz w:val="20"/>
          <w:szCs w:val="20"/>
          <w:lang w:val="es-CR"/>
        </w:rPr>
        <w:t xml:space="preserve"> </w:t>
      </w:r>
      <w:r w:rsidRPr="00831A28">
        <w:rPr>
          <w:rFonts w:ascii="Verdana" w:hAnsi="Verdana"/>
          <w:w w:val="95"/>
          <w:sz w:val="20"/>
          <w:szCs w:val="20"/>
          <w:lang w:val="es-CR"/>
        </w:rPr>
        <w:t>para determinar el monto indemnizatorio correspondiente (</w:t>
      </w:r>
      <w:r w:rsidR="00B21806">
        <w:rPr>
          <w:rFonts w:ascii="Verdana" w:hAnsi="Verdana"/>
          <w:i/>
          <w:w w:val="95"/>
          <w:sz w:val="20"/>
          <w:szCs w:val="20"/>
          <w:lang w:val="es-CR"/>
        </w:rPr>
        <w:t>supra</w:t>
      </w:r>
      <w:r w:rsidR="00B21806" w:rsidRPr="00831A28">
        <w:rPr>
          <w:rFonts w:ascii="Verdana" w:hAnsi="Verdana"/>
          <w:w w:val="95"/>
          <w:sz w:val="20"/>
          <w:szCs w:val="20"/>
          <w:lang w:val="es-CR"/>
        </w:rPr>
        <w:t xml:space="preserve"> </w:t>
      </w:r>
      <w:r w:rsidRPr="00831A28">
        <w:rPr>
          <w:rFonts w:ascii="Verdana" w:hAnsi="Verdana"/>
          <w:w w:val="95"/>
          <w:sz w:val="20"/>
          <w:szCs w:val="20"/>
          <w:lang w:val="es-CR"/>
        </w:rPr>
        <w:t xml:space="preserve">párr. </w:t>
      </w:r>
      <w:r w:rsidR="00B21806">
        <w:rPr>
          <w:rFonts w:ascii="Verdana" w:hAnsi="Verdana"/>
          <w:w w:val="95"/>
          <w:sz w:val="20"/>
          <w:szCs w:val="20"/>
          <w:lang w:val="es-CR"/>
        </w:rPr>
        <w:t>28</w:t>
      </w:r>
      <w:r w:rsidR="008524C7">
        <w:rPr>
          <w:rFonts w:ascii="Verdana" w:hAnsi="Verdana"/>
          <w:w w:val="95"/>
          <w:sz w:val="20"/>
          <w:szCs w:val="20"/>
          <w:lang w:val="es-CR"/>
        </w:rPr>
        <w:t>3</w:t>
      </w:r>
      <w:r w:rsidRPr="00831A28">
        <w:rPr>
          <w:rFonts w:ascii="Verdana" w:hAnsi="Verdana"/>
          <w:w w:val="95"/>
          <w:sz w:val="20"/>
          <w:szCs w:val="20"/>
          <w:lang w:val="es-CR"/>
        </w:rPr>
        <w:t>).</w:t>
      </w:r>
    </w:p>
    <w:p w:rsidR="00DF15C3" w:rsidRPr="00F75E89" w:rsidRDefault="00DF15C3" w:rsidP="003F26FD">
      <w:pPr>
        <w:spacing w:after="0" w:line="216" w:lineRule="auto"/>
        <w:ind w:left="-142" w:right="-174"/>
        <w:jc w:val="both"/>
        <w:rPr>
          <w:rFonts w:ascii="Verdana" w:hAnsi="Verdana"/>
          <w:w w:val="95"/>
          <w:sz w:val="20"/>
          <w:szCs w:val="20"/>
          <w:lang w:val="es-EC"/>
        </w:rPr>
      </w:pPr>
    </w:p>
    <w:p w:rsidR="00DF15C3" w:rsidRPr="0022628C" w:rsidRDefault="00DF15C3" w:rsidP="003F26FD">
      <w:pPr>
        <w:numPr>
          <w:ilvl w:val="0"/>
          <w:numId w:val="17"/>
        </w:numPr>
        <w:spacing w:after="0" w:line="216" w:lineRule="auto"/>
        <w:ind w:left="-142" w:right="-174" w:hanging="11"/>
        <w:jc w:val="both"/>
        <w:rPr>
          <w:rFonts w:ascii="Verdana" w:hAnsi="Verdana"/>
          <w:w w:val="95"/>
          <w:sz w:val="20"/>
          <w:szCs w:val="20"/>
          <w:lang w:val="es-EC"/>
        </w:rPr>
      </w:pPr>
      <w:r w:rsidRPr="00831A28">
        <w:rPr>
          <w:rFonts w:ascii="Verdana" w:hAnsi="Verdana"/>
          <w:w w:val="95"/>
          <w:sz w:val="20"/>
          <w:szCs w:val="20"/>
          <w:lang w:val="es-EC"/>
        </w:rPr>
        <w:t>Por otra parte, e</w:t>
      </w:r>
      <w:r w:rsidRPr="00437D8B">
        <w:rPr>
          <w:rFonts w:ascii="Verdana" w:hAnsi="Verdana"/>
          <w:w w:val="95"/>
          <w:sz w:val="20"/>
          <w:szCs w:val="20"/>
          <w:lang w:val="es-EC"/>
        </w:rPr>
        <w:t xml:space="preserve">ste Tribunal </w:t>
      </w:r>
      <w:r w:rsidRPr="00831A28">
        <w:rPr>
          <w:rFonts w:ascii="Verdana" w:hAnsi="Verdana"/>
          <w:w w:val="95"/>
          <w:sz w:val="20"/>
          <w:szCs w:val="20"/>
          <w:lang w:val="es-EC"/>
        </w:rPr>
        <w:t xml:space="preserve">desestima el pedido de la representante en cuanto a los gastos médicos erogados, ya que de la prueba allegada a la Corte no surge la demostración de un nexo causal entre las afecciones puntuales que padece la señora Franco y las violaciones declaradas en esta Sentencia. </w:t>
      </w:r>
      <w:r w:rsidRPr="00437D8B">
        <w:rPr>
          <w:rFonts w:ascii="Verdana" w:hAnsi="Verdana"/>
          <w:w w:val="95"/>
          <w:sz w:val="20"/>
          <w:szCs w:val="20"/>
          <w:lang w:val="es-EC"/>
        </w:rPr>
        <w:t xml:space="preserve">Sin perjuicio de lo anterior, </w:t>
      </w:r>
      <w:r w:rsidRPr="00831A28">
        <w:rPr>
          <w:rFonts w:ascii="Verdana" w:hAnsi="Verdana"/>
          <w:w w:val="95"/>
          <w:sz w:val="20"/>
          <w:szCs w:val="20"/>
          <w:lang w:val="es-EC"/>
        </w:rPr>
        <w:t>se deja constancia que, respecto al daño relativo a la declarada afectación a la integridad personal de la señora Franco Sandoval, se ordena la reparación</w:t>
      </w:r>
      <w:r w:rsidRPr="00437D8B">
        <w:rPr>
          <w:rFonts w:ascii="Verdana" w:hAnsi="Verdana"/>
          <w:w w:val="95"/>
          <w:sz w:val="20"/>
          <w:szCs w:val="20"/>
          <w:lang w:val="es-EC"/>
        </w:rPr>
        <w:t xml:space="preserve"> a través de la prestación de la atención respectiva </w:t>
      </w:r>
      <w:r w:rsidRPr="00831A28">
        <w:rPr>
          <w:rFonts w:ascii="Verdana" w:hAnsi="Verdana"/>
          <w:w w:val="95"/>
          <w:sz w:val="20"/>
          <w:szCs w:val="20"/>
          <w:lang w:val="es-EC"/>
        </w:rPr>
        <w:t>(</w:t>
      </w:r>
      <w:r w:rsidRPr="00831A28">
        <w:rPr>
          <w:rFonts w:ascii="Verdana" w:hAnsi="Verdana"/>
          <w:i/>
          <w:w w:val="95"/>
          <w:sz w:val="20"/>
          <w:szCs w:val="20"/>
          <w:lang w:val="es-EC"/>
        </w:rPr>
        <w:t>supra</w:t>
      </w:r>
      <w:r w:rsidRPr="00831A28">
        <w:rPr>
          <w:rFonts w:ascii="Verdana" w:hAnsi="Verdana"/>
          <w:w w:val="95"/>
          <w:sz w:val="20"/>
          <w:szCs w:val="20"/>
          <w:lang w:val="es-EC"/>
        </w:rPr>
        <w:t xml:space="preserve"> párr. </w:t>
      </w:r>
      <w:r w:rsidR="00D97216">
        <w:rPr>
          <w:rFonts w:ascii="Verdana" w:hAnsi="Verdana"/>
          <w:w w:val="95"/>
          <w:sz w:val="20"/>
          <w:szCs w:val="20"/>
          <w:lang w:val="es-EC"/>
        </w:rPr>
        <w:t>280</w:t>
      </w:r>
      <w:r w:rsidRPr="00831A28">
        <w:rPr>
          <w:rFonts w:ascii="Verdana" w:hAnsi="Verdana"/>
          <w:w w:val="95"/>
          <w:sz w:val="20"/>
          <w:szCs w:val="20"/>
          <w:lang w:val="es-EC"/>
        </w:rPr>
        <w:t>)</w:t>
      </w:r>
    </w:p>
    <w:p w:rsidR="00DF15C3" w:rsidRDefault="00DF15C3" w:rsidP="003F26FD">
      <w:pPr>
        <w:pStyle w:val="Prrafodelista"/>
        <w:spacing w:after="0"/>
        <w:ind w:right="-174"/>
        <w:rPr>
          <w:rFonts w:ascii="Verdana" w:hAnsi="Verdana"/>
          <w:w w:val="95"/>
          <w:sz w:val="20"/>
          <w:szCs w:val="20"/>
          <w:lang w:val="es-EC"/>
        </w:rPr>
      </w:pPr>
    </w:p>
    <w:p w:rsidR="00DF15C3" w:rsidRPr="00437D8B" w:rsidRDefault="00DF15C3" w:rsidP="003F26FD">
      <w:pPr>
        <w:numPr>
          <w:ilvl w:val="0"/>
          <w:numId w:val="17"/>
        </w:numPr>
        <w:spacing w:after="0" w:line="216" w:lineRule="auto"/>
        <w:ind w:left="-142" w:right="-174" w:hanging="11"/>
        <w:jc w:val="both"/>
        <w:rPr>
          <w:rFonts w:ascii="Verdana" w:hAnsi="Verdana"/>
          <w:w w:val="95"/>
          <w:sz w:val="20"/>
          <w:szCs w:val="20"/>
          <w:lang w:val="es-CR"/>
        </w:rPr>
      </w:pPr>
      <w:r w:rsidRPr="00831A28">
        <w:rPr>
          <w:rFonts w:ascii="Verdana" w:hAnsi="Verdana"/>
          <w:w w:val="95"/>
          <w:sz w:val="20"/>
          <w:szCs w:val="20"/>
          <w:lang w:val="es-EC"/>
        </w:rPr>
        <w:t xml:space="preserve">En lo que se refiere a la alegada pérdida de ingresos de María Isabel, la Corte nota que la representante solicitó que la indemnización por ese concepto sea establecida con base en lo dispuesto en lo pertinente en </w:t>
      </w:r>
      <w:r w:rsidR="008438D1" w:rsidRPr="002857CA">
        <w:rPr>
          <w:rFonts w:ascii="Verdana" w:hAnsi="Verdana"/>
          <w:w w:val="95"/>
          <w:sz w:val="20"/>
          <w:szCs w:val="20"/>
          <w:lang w:val="es-EC"/>
        </w:rPr>
        <w:t>la s</w:t>
      </w:r>
      <w:r w:rsidRPr="002857CA">
        <w:rPr>
          <w:rFonts w:ascii="Verdana" w:hAnsi="Verdana"/>
          <w:w w:val="95"/>
          <w:sz w:val="20"/>
          <w:szCs w:val="20"/>
          <w:lang w:val="es-EC"/>
        </w:rPr>
        <w:t>entencia sobre el caso</w:t>
      </w:r>
      <w:r w:rsidRPr="002857CA">
        <w:rPr>
          <w:rFonts w:ascii="Verdana" w:hAnsi="Verdana"/>
          <w:w w:val="95"/>
          <w:sz w:val="20"/>
          <w:szCs w:val="20"/>
          <w:vertAlign w:val="superscript"/>
          <w:lang w:val="es-EC"/>
        </w:rPr>
        <w:t xml:space="preserve"> </w:t>
      </w:r>
      <w:r w:rsidRPr="002857CA">
        <w:rPr>
          <w:rFonts w:ascii="Verdana" w:hAnsi="Verdana"/>
          <w:i/>
          <w:w w:val="95"/>
          <w:sz w:val="20"/>
          <w:szCs w:val="20"/>
          <w:lang w:val="es-EC"/>
        </w:rPr>
        <w:t>González</w:t>
      </w:r>
      <w:r w:rsidRPr="00831A28">
        <w:rPr>
          <w:rFonts w:ascii="Verdana" w:hAnsi="Verdana"/>
          <w:i/>
          <w:w w:val="95"/>
          <w:sz w:val="20"/>
          <w:szCs w:val="20"/>
          <w:lang w:val="es-EC"/>
        </w:rPr>
        <w:t xml:space="preserve"> y otras Vs. México</w:t>
      </w:r>
      <w:r w:rsidRPr="00831A28">
        <w:rPr>
          <w:rFonts w:ascii="Verdana" w:hAnsi="Verdana"/>
          <w:w w:val="95"/>
          <w:sz w:val="20"/>
          <w:szCs w:val="20"/>
          <w:lang w:val="es-EC"/>
        </w:rPr>
        <w:t>. Al respecto, la Corte en el referido caso</w:t>
      </w:r>
      <w:r w:rsidRPr="00831A28">
        <w:rPr>
          <w:rFonts w:ascii="Verdana" w:hAnsi="Verdana" w:cs="Verdana"/>
          <w:w w:val="95"/>
          <w:sz w:val="20"/>
          <w:szCs w:val="20"/>
          <w:lang w:val="es-EC"/>
        </w:rPr>
        <w:t xml:space="preserve"> concluyó que “el ofrecimiento estatal realizado para compensar por el lucro cesante […] era adecuado” y lo tomó en cuenta para fijar los montos indemnizatorios a favor de las víctimas por ese concepto</w:t>
      </w:r>
      <w:r w:rsidRPr="00831A28">
        <w:rPr>
          <w:rStyle w:val="Refdenotaalpie"/>
          <w:rFonts w:ascii="Verdana" w:hAnsi="Verdana"/>
          <w:w w:val="95"/>
          <w:sz w:val="20"/>
          <w:lang w:val="es-EC"/>
        </w:rPr>
        <w:footnoteReference w:id="365"/>
      </w:r>
      <w:r w:rsidRPr="00831A28">
        <w:rPr>
          <w:rFonts w:ascii="Verdana" w:hAnsi="Verdana" w:cs="Verdana"/>
          <w:w w:val="95"/>
          <w:sz w:val="20"/>
          <w:szCs w:val="20"/>
          <w:lang w:val="es-EC"/>
        </w:rPr>
        <w:t>. E</w:t>
      </w:r>
      <w:r w:rsidRPr="00831A28">
        <w:rPr>
          <w:rFonts w:ascii="Verdana" w:hAnsi="Verdana"/>
          <w:w w:val="95"/>
          <w:sz w:val="20"/>
          <w:szCs w:val="20"/>
          <w:lang w:val="es-EC"/>
        </w:rPr>
        <w:t xml:space="preserve">n el presente caso, la representante no presentó prueba relacionada con los posibles ingresos futuros de la víctima ni tampoco datos </w:t>
      </w:r>
      <w:r w:rsidRPr="00831A28">
        <w:rPr>
          <w:rFonts w:ascii="Verdana" w:hAnsi="Verdana"/>
          <w:w w:val="95"/>
          <w:sz w:val="20"/>
          <w:szCs w:val="20"/>
          <w:lang w:val="es-CR"/>
        </w:rPr>
        <w:t xml:space="preserve">relacionados con su salario en su trabajo temporario, ni sobre su expectativa de vida.  </w:t>
      </w:r>
    </w:p>
    <w:p w:rsidR="00DF15C3" w:rsidRPr="00437D8B" w:rsidRDefault="00DF15C3" w:rsidP="003F26FD">
      <w:pPr>
        <w:spacing w:after="0" w:line="216" w:lineRule="auto"/>
        <w:ind w:left="-142" w:right="-174"/>
        <w:jc w:val="both"/>
        <w:rPr>
          <w:rFonts w:ascii="Verdana" w:hAnsi="Verdana"/>
          <w:w w:val="95"/>
          <w:sz w:val="20"/>
          <w:szCs w:val="20"/>
          <w:lang w:val="es-CR"/>
        </w:rPr>
      </w:pPr>
    </w:p>
    <w:p w:rsidR="00DF15C3" w:rsidRPr="001E0CE4" w:rsidRDefault="00DF15C3" w:rsidP="003F26FD">
      <w:pPr>
        <w:numPr>
          <w:ilvl w:val="0"/>
          <w:numId w:val="17"/>
        </w:numPr>
        <w:spacing w:after="0" w:line="216" w:lineRule="auto"/>
        <w:ind w:left="-142" w:right="-174" w:hanging="11"/>
        <w:jc w:val="both"/>
        <w:rPr>
          <w:rFonts w:ascii="Verdana" w:hAnsi="Verdana"/>
          <w:w w:val="95"/>
          <w:sz w:val="20"/>
          <w:szCs w:val="20"/>
          <w:lang w:val="es-CR"/>
        </w:rPr>
      </w:pPr>
      <w:r w:rsidRPr="00831A28">
        <w:rPr>
          <w:rFonts w:ascii="Verdana" w:hAnsi="Verdana"/>
          <w:w w:val="95"/>
          <w:sz w:val="20"/>
          <w:szCs w:val="20"/>
          <w:lang w:val="es-EC"/>
        </w:rPr>
        <w:t xml:space="preserve">De otro lado, en lo que se refiere al daño inmaterial, </w:t>
      </w:r>
      <w:r w:rsidRPr="00437D8B">
        <w:rPr>
          <w:rFonts w:ascii="Verdana" w:hAnsi="Verdana"/>
          <w:w w:val="95"/>
          <w:sz w:val="20"/>
          <w:szCs w:val="20"/>
          <w:lang w:val="es-EC"/>
        </w:rPr>
        <w:t>este</w:t>
      </w:r>
      <w:r w:rsidRPr="00437D8B">
        <w:rPr>
          <w:rFonts w:ascii="Verdana" w:hAnsi="Verdana"/>
          <w:w w:val="95"/>
          <w:sz w:val="20"/>
          <w:szCs w:val="20"/>
          <w:lang w:val="es-CR"/>
        </w:rPr>
        <w:t xml:space="preserve"> Tribunal ha sostenido que el daño inmaterial resulta evidente, pues es propio de la naturaleza humana que toda persona que padece una violación a sus derechos humanos experimente un sufrimiento</w:t>
      </w:r>
      <w:r w:rsidRPr="00437D8B">
        <w:rPr>
          <w:rStyle w:val="Refdenotaalpie"/>
          <w:rFonts w:ascii="Verdana" w:hAnsi="Verdana"/>
          <w:w w:val="95"/>
          <w:sz w:val="20"/>
          <w:lang w:val="es-CO"/>
        </w:rPr>
        <w:footnoteReference w:id="366"/>
      </w:r>
      <w:r w:rsidRPr="00437D8B">
        <w:rPr>
          <w:rFonts w:ascii="Verdana" w:hAnsi="Verdana"/>
          <w:w w:val="95"/>
          <w:sz w:val="20"/>
          <w:szCs w:val="20"/>
          <w:lang w:val="es-CR"/>
        </w:rPr>
        <w:t xml:space="preserve">. </w:t>
      </w:r>
      <w:r w:rsidRPr="00831A28">
        <w:rPr>
          <w:rFonts w:ascii="Verdana" w:hAnsi="Verdana"/>
          <w:w w:val="95"/>
          <w:sz w:val="20"/>
          <w:szCs w:val="20"/>
          <w:lang w:val="es-EC"/>
        </w:rPr>
        <w:t xml:space="preserve">En relación con María Isabel Veliz Franco, en el presente caso la Corte estableció </w:t>
      </w:r>
      <w:r w:rsidRPr="00831A28">
        <w:rPr>
          <w:rFonts w:ascii="Verdana" w:hAnsi="Verdana"/>
          <w:w w:val="95"/>
          <w:sz w:val="20"/>
          <w:szCs w:val="20"/>
          <w:lang w:val="es-CR"/>
        </w:rPr>
        <w:t>la responsabilidad internacional estatal por las deficiencias en la prevención de hechos que vulneraron los bienes protegidos por los derechos a la vida e integridad personal de la niña. Asimismo, quedó establecido que diversas deficiencias en la inve</w:t>
      </w:r>
      <w:r w:rsidR="00D97216">
        <w:rPr>
          <w:rFonts w:ascii="Verdana" w:hAnsi="Verdana"/>
          <w:w w:val="95"/>
          <w:sz w:val="20"/>
          <w:szCs w:val="20"/>
          <w:lang w:val="es-CR"/>
        </w:rPr>
        <w:t>stigación de tales hechos afectaron</w:t>
      </w:r>
      <w:r w:rsidRPr="00831A28">
        <w:rPr>
          <w:rFonts w:ascii="Verdana" w:hAnsi="Verdana"/>
          <w:w w:val="95"/>
          <w:sz w:val="20"/>
          <w:szCs w:val="20"/>
          <w:lang w:val="es-CR"/>
        </w:rPr>
        <w:t xml:space="preserve"> el acceso a la justicia de sus familiares y, en el caso de su</w:t>
      </w:r>
      <w:r w:rsidR="00D97216">
        <w:rPr>
          <w:rFonts w:ascii="Verdana" w:hAnsi="Verdana"/>
          <w:w w:val="95"/>
          <w:sz w:val="20"/>
          <w:szCs w:val="20"/>
          <w:lang w:val="es-CR"/>
        </w:rPr>
        <w:t xml:space="preserve"> madre, adicionalmente se afectaron</w:t>
      </w:r>
      <w:r w:rsidRPr="00831A28">
        <w:rPr>
          <w:rFonts w:ascii="Verdana" w:hAnsi="Verdana"/>
          <w:w w:val="95"/>
          <w:sz w:val="20"/>
          <w:szCs w:val="20"/>
          <w:lang w:val="es-CR"/>
        </w:rPr>
        <w:t xml:space="preserve"> su integridad </w:t>
      </w:r>
      <w:r w:rsidRPr="001E0CE4">
        <w:rPr>
          <w:rFonts w:ascii="Verdana" w:hAnsi="Verdana"/>
          <w:w w:val="95"/>
          <w:sz w:val="20"/>
          <w:szCs w:val="20"/>
          <w:lang w:val="es-CR"/>
        </w:rPr>
        <w:t>personal (</w:t>
      </w:r>
      <w:r w:rsidRPr="001E0CE4">
        <w:rPr>
          <w:rFonts w:ascii="Verdana" w:hAnsi="Verdana"/>
          <w:i/>
          <w:w w:val="95"/>
          <w:sz w:val="20"/>
          <w:szCs w:val="20"/>
          <w:lang w:val="es-CR"/>
        </w:rPr>
        <w:t>supra</w:t>
      </w:r>
      <w:r w:rsidRPr="001E0CE4">
        <w:rPr>
          <w:rFonts w:ascii="Verdana" w:hAnsi="Verdana"/>
          <w:w w:val="95"/>
          <w:sz w:val="20"/>
          <w:szCs w:val="20"/>
          <w:lang w:val="es-CR"/>
        </w:rPr>
        <w:t xml:space="preserve"> párrs</w:t>
      </w:r>
      <w:r w:rsidR="00A355F6" w:rsidRPr="001E0CE4">
        <w:rPr>
          <w:rFonts w:ascii="Verdana" w:hAnsi="Verdana"/>
          <w:w w:val="95"/>
          <w:sz w:val="20"/>
          <w:szCs w:val="20"/>
          <w:lang w:val="es-CR"/>
        </w:rPr>
        <w:t>.</w:t>
      </w:r>
      <w:r w:rsidR="001F276B">
        <w:rPr>
          <w:rFonts w:ascii="Verdana" w:hAnsi="Verdana"/>
          <w:w w:val="95"/>
          <w:sz w:val="20"/>
          <w:szCs w:val="20"/>
          <w:lang w:val="es-CR"/>
        </w:rPr>
        <w:t xml:space="preserve"> 225 </w:t>
      </w:r>
      <w:r w:rsidR="00D97216">
        <w:rPr>
          <w:rFonts w:ascii="Verdana" w:hAnsi="Verdana"/>
          <w:w w:val="95"/>
          <w:sz w:val="20"/>
          <w:szCs w:val="20"/>
          <w:lang w:val="es-CR"/>
        </w:rPr>
        <w:t>y</w:t>
      </w:r>
      <w:r w:rsidR="008438D1" w:rsidRPr="001E0CE4">
        <w:rPr>
          <w:rFonts w:ascii="Verdana" w:hAnsi="Verdana"/>
          <w:w w:val="95"/>
          <w:sz w:val="20"/>
          <w:szCs w:val="20"/>
          <w:lang w:val="es-CR"/>
        </w:rPr>
        <w:t xml:space="preserve"> 242</w:t>
      </w:r>
      <w:r w:rsidRPr="001E0CE4">
        <w:rPr>
          <w:rFonts w:ascii="Verdana" w:hAnsi="Verdana"/>
          <w:w w:val="95"/>
          <w:sz w:val="20"/>
          <w:szCs w:val="20"/>
          <w:lang w:val="es-CR"/>
        </w:rPr>
        <w:t>).</w:t>
      </w:r>
      <w:r w:rsidRPr="001E0CE4">
        <w:rPr>
          <w:rFonts w:ascii="Verdana" w:hAnsi="Verdana"/>
          <w:w w:val="95"/>
          <w:sz w:val="20"/>
          <w:szCs w:val="20"/>
          <w:lang w:val="es-ES"/>
        </w:rPr>
        <w:t xml:space="preserve"> Al respecto, el daño inmaterial sufrido por los abuelos de María Isabel, será tomado en cuenta al determinar las </w:t>
      </w:r>
      <w:r w:rsidRPr="001E0CE4">
        <w:rPr>
          <w:rFonts w:ascii="Verdana" w:hAnsi="Verdana"/>
          <w:w w:val="95"/>
          <w:sz w:val="20"/>
          <w:szCs w:val="20"/>
          <w:lang w:val="es-CR"/>
        </w:rPr>
        <w:t>indemnizaciones correspondientes.</w:t>
      </w:r>
    </w:p>
    <w:p w:rsidR="00DF15C3" w:rsidRPr="004517D0" w:rsidRDefault="00DF15C3" w:rsidP="003F26FD">
      <w:pPr>
        <w:spacing w:after="0" w:line="216" w:lineRule="auto"/>
        <w:ind w:left="-142" w:right="-174"/>
        <w:jc w:val="both"/>
        <w:rPr>
          <w:rFonts w:ascii="Verdana" w:hAnsi="Verdana"/>
          <w:b/>
          <w:w w:val="95"/>
          <w:sz w:val="20"/>
          <w:szCs w:val="20"/>
          <w:lang w:val="es-CR"/>
        </w:rPr>
      </w:pPr>
    </w:p>
    <w:p w:rsidR="00DF15C3" w:rsidRPr="00437D8B" w:rsidRDefault="00DF15C3" w:rsidP="003F26FD">
      <w:pPr>
        <w:numPr>
          <w:ilvl w:val="0"/>
          <w:numId w:val="17"/>
        </w:numPr>
        <w:spacing w:after="0" w:line="216" w:lineRule="auto"/>
        <w:ind w:left="-142" w:right="-174" w:hanging="11"/>
        <w:jc w:val="both"/>
        <w:rPr>
          <w:rFonts w:ascii="Verdana" w:hAnsi="Verdana"/>
          <w:w w:val="95"/>
          <w:sz w:val="20"/>
          <w:szCs w:val="20"/>
          <w:lang w:val="es-EC"/>
        </w:rPr>
      </w:pPr>
      <w:r w:rsidRPr="00831A28">
        <w:rPr>
          <w:rFonts w:ascii="Verdana" w:hAnsi="Verdana"/>
          <w:w w:val="95"/>
          <w:sz w:val="20"/>
          <w:szCs w:val="20"/>
          <w:lang w:val="es-CR"/>
        </w:rPr>
        <w:t>En consideración</w:t>
      </w:r>
      <w:r w:rsidRPr="00831A28">
        <w:rPr>
          <w:rFonts w:ascii="Verdana" w:hAnsi="Verdana"/>
          <w:w w:val="95"/>
          <w:sz w:val="20"/>
          <w:szCs w:val="20"/>
          <w:lang w:val="es-EC"/>
        </w:rPr>
        <w:t xml:space="preserve"> de lo expuesto, este Tribunal fija en equidad la cantidad de US$220,000.00 (doscientos veinte mil dólares de los Estados Unidos de América) por concepto de daños materiales e inmateriales. Dicha suma será distribuida de la siguiente manera: para Rosa Elvira Franco la cantidad de US$120,000.00 (ciento veinte mil dólares de los Estados Unidos de América), y para </w:t>
      </w:r>
      <w:r w:rsidRPr="00831A28">
        <w:rPr>
          <w:rFonts w:ascii="Verdana" w:hAnsi="Verdana"/>
          <w:w w:val="95"/>
          <w:sz w:val="20"/>
          <w:szCs w:val="20"/>
          <w:lang w:val="es-CR"/>
        </w:rPr>
        <w:t>Leonel Enrique V</w:t>
      </w:r>
      <w:r w:rsidR="0001516C">
        <w:rPr>
          <w:rFonts w:ascii="Verdana" w:hAnsi="Verdana"/>
          <w:w w:val="95"/>
          <w:sz w:val="20"/>
          <w:szCs w:val="20"/>
          <w:lang w:val="es-CR"/>
        </w:rPr>
        <w:t>e</w:t>
      </w:r>
      <w:r w:rsidRPr="00831A28">
        <w:rPr>
          <w:rFonts w:ascii="Verdana" w:hAnsi="Verdana"/>
          <w:w w:val="95"/>
          <w:sz w:val="20"/>
          <w:szCs w:val="20"/>
          <w:lang w:val="es-CR"/>
        </w:rPr>
        <w:t xml:space="preserve">liz Franco y José Roberto Franco la suma </w:t>
      </w:r>
      <w:r w:rsidRPr="00831A28">
        <w:rPr>
          <w:rFonts w:ascii="Verdana" w:hAnsi="Verdana"/>
          <w:color w:val="000000"/>
          <w:w w:val="95"/>
          <w:sz w:val="20"/>
          <w:szCs w:val="20"/>
          <w:lang w:val="es-CR"/>
        </w:rPr>
        <w:t>US$50,000.00 (</w:t>
      </w:r>
      <w:r w:rsidRPr="00831A28">
        <w:rPr>
          <w:rFonts w:ascii="Verdana" w:eastAsia="Calibri" w:hAnsi="Verdana"/>
          <w:w w:val="95"/>
          <w:sz w:val="20"/>
          <w:szCs w:val="20"/>
          <w:lang w:val="es-CR"/>
        </w:rPr>
        <w:t>cincuenta mil dólares de los Estados Unidos de América</w:t>
      </w:r>
      <w:r w:rsidRPr="00831A28">
        <w:rPr>
          <w:rFonts w:ascii="Verdana" w:hAnsi="Verdana"/>
          <w:color w:val="000000"/>
          <w:w w:val="95"/>
          <w:sz w:val="20"/>
          <w:szCs w:val="20"/>
          <w:lang w:val="es-CR"/>
        </w:rPr>
        <w:t>)</w:t>
      </w:r>
      <w:r w:rsidRPr="00831A28">
        <w:rPr>
          <w:rFonts w:ascii="Verdana" w:hAnsi="Verdana"/>
          <w:w w:val="95"/>
          <w:sz w:val="20"/>
          <w:szCs w:val="20"/>
          <w:lang w:val="es-CR"/>
        </w:rPr>
        <w:t xml:space="preserve"> para cada uno.</w:t>
      </w:r>
    </w:p>
    <w:p w:rsidR="00DF15C3" w:rsidRPr="00F75E89" w:rsidRDefault="00DF15C3" w:rsidP="003F26FD">
      <w:pPr>
        <w:spacing w:after="0" w:line="216" w:lineRule="auto"/>
        <w:ind w:left="-142" w:right="-174"/>
        <w:jc w:val="both"/>
        <w:rPr>
          <w:rFonts w:ascii="Verdana" w:hAnsi="Verdana"/>
          <w:w w:val="95"/>
          <w:sz w:val="20"/>
          <w:szCs w:val="20"/>
          <w:lang w:val="es-EC"/>
        </w:rPr>
      </w:pPr>
    </w:p>
    <w:p w:rsidR="00DF15C3" w:rsidRPr="002B1610" w:rsidRDefault="00DF15C3" w:rsidP="003F26FD">
      <w:pPr>
        <w:pStyle w:val="Prrafodelista"/>
        <w:spacing w:after="0" w:line="216" w:lineRule="auto"/>
        <w:ind w:left="284" w:right="-174"/>
        <w:jc w:val="both"/>
        <w:outlineLvl w:val="1"/>
        <w:rPr>
          <w:rFonts w:ascii="Verdana" w:hAnsi="Verdana"/>
          <w:b/>
          <w:w w:val="95"/>
          <w:sz w:val="20"/>
          <w:szCs w:val="20"/>
          <w:lang w:val="es-EC"/>
        </w:rPr>
      </w:pPr>
      <w:bookmarkStart w:id="151" w:name="_Toc394313715"/>
      <w:r w:rsidRPr="002B1610">
        <w:rPr>
          <w:rFonts w:ascii="Verdana" w:hAnsi="Verdana"/>
          <w:b/>
          <w:w w:val="95"/>
          <w:sz w:val="20"/>
          <w:szCs w:val="20"/>
          <w:lang w:val="es-EC"/>
        </w:rPr>
        <w:t>G. Costas y gastos</w:t>
      </w:r>
      <w:bookmarkEnd w:id="151"/>
    </w:p>
    <w:p w:rsidR="00DF15C3" w:rsidRPr="002B1610" w:rsidRDefault="00DF15C3" w:rsidP="003F26FD">
      <w:pPr>
        <w:pStyle w:val="Prrafodelista"/>
        <w:spacing w:after="0" w:line="216" w:lineRule="auto"/>
        <w:ind w:left="0" w:right="-174"/>
        <w:rPr>
          <w:rFonts w:ascii="Verdana" w:hAnsi="Verdana"/>
          <w:w w:val="95"/>
          <w:sz w:val="20"/>
          <w:szCs w:val="20"/>
          <w:lang w:val="es-EC"/>
        </w:rPr>
      </w:pPr>
    </w:p>
    <w:p w:rsidR="00DF15C3" w:rsidRPr="002B1610" w:rsidRDefault="00DF15C3" w:rsidP="003F26FD">
      <w:pPr>
        <w:pStyle w:val="Prrafodelista"/>
        <w:spacing w:after="0" w:line="216" w:lineRule="auto"/>
        <w:ind w:left="567" w:right="-174"/>
        <w:outlineLvl w:val="2"/>
        <w:rPr>
          <w:rFonts w:ascii="Verdana" w:hAnsi="Verdana"/>
          <w:b/>
          <w:i/>
          <w:w w:val="95"/>
          <w:sz w:val="20"/>
          <w:szCs w:val="20"/>
          <w:lang w:val="es-EC"/>
        </w:rPr>
      </w:pPr>
      <w:bookmarkStart w:id="152" w:name="_Toc394313716"/>
      <w:r w:rsidRPr="002B1610">
        <w:rPr>
          <w:rFonts w:ascii="Verdana" w:hAnsi="Verdana"/>
          <w:b/>
          <w:i/>
          <w:w w:val="95"/>
          <w:sz w:val="20"/>
          <w:szCs w:val="20"/>
          <w:lang w:val="es-EC"/>
        </w:rPr>
        <w:t>G.1) Argumentos de la representante y el Estado</w:t>
      </w:r>
      <w:bookmarkEnd w:id="152"/>
    </w:p>
    <w:p w:rsidR="00DF15C3" w:rsidRPr="002B1610" w:rsidRDefault="00DF15C3" w:rsidP="003F26FD">
      <w:pPr>
        <w:pStyle w:val="Prrafodelista"/>
        <w:spacing w:after="0" w:line="216" w:lineRule="auto"/>
        <w:ind w:left="0" w:right="-174"/>
        <w:rPr>
          <w:rFonts w:ascii="Verdana" w:hAnsi="Verdana"/>
          <w:w w:val="95"/>
          <w:sz w:val="20"/>
          <w:szCs w:val="20"/>
          <w:lang w:val="es-EC"/>
        </w:rPr>
      </w:pPr>
    </w:p>
    <w:p w:rsidR="00DF15C3" w:rsidRPr="002B1610" w:rsidRDefault="00DF15C3" w:rsidP="003F26FD">
      <w:pPr>
        <w:numPr>
          <w:ilvl w:val="0"/>
          <w:numId w:val="17"/>
        </w:numPr>
        <w:spacing w:after="0" w:line="216" w:lineRule="auto"/>
        <w:ind w:left="-142" w:right="-174" w:hanging="11"/>
        <w:jc w:val="both"/>
        <w:rPr>
          <w:rFonts w:ascii="Verdana" w:hAnsi="Verdana"/>
          <w:b/>
          <w:w w:val="95"/>
          <w:sz w:val="20"/>
          <w:szCs w:val="20"/>
          <w:lang w:val="es-EC"/>
        </w:rPr>
      </w:pPr>
      <w:r w:rsidRPr="002B1610">
        <w:rPr>
          <w:rFonts w:ascii="Verdana" w:hAnsi="Verdana"/>
          <w:w w:val="95"/>
          <w:sz w:val="20"/>
          <w:szCs w:val="20"/>
          <w:lang w:val="es-EC"/>
        </w:rPr>
        <w:t xml:space="preserve">La </w:t>
      </w:r>
      <w:r w:rsidRPr="002B1610">
        <w:rPr>
          <w:rFonts w:ascii="Verdana" w:hAnsi="Verdana"/>
          <w:b/>
          <w:i/>
          <w:w w:val="95"/>
          <w:sz w:val="20"/>
          <w:szCs w:val="20"/>
          <w:lang w:val="es-EC"/>
        </w:rPr>
        <w:t>representante</w:t>
      </w:r>
      <w:r w:rsidRPr="002B1610">
        <w:rPr>
          <w:rFonts w:ascii="Verdana" w:hAnsi="Verdana"/>
          <w:w w:val="95"/>
          <w:sz w:val="20"/>
          <w:szCs w:val="20"/>
          <w:lang w:val="es-EC"/>
        </w:rPr>
        <w:t xml:space="preserve"> indic</w:t>
      </w:r>
      <w:r>
        <w:rPr>
          <w:rFonts w:ascii="Verdana" w:hAnsi="Verdana"/>
          <w:w w:val="95"/>
          <w:sz w:val="20"/>
          <w:szCs w:val="20"/>
          <w:lang w:val="es-EC"/>
        </w:rPr>
        <w:t>ó</w:t>
      </w:r>
      <w:r w:rsidRPr="002B1610">
        <w:rPr>
          <w:rFonts w:ascii="Verdana" w:hAnsi="Verdana"/>
          <w:w w:val="95"/>
          <w:sz w:val="20"/>
          <w:szCs w:val="20"/>
          <w:lang w:val="es-EC"/>
        </w:rPr>
        <w:t xml:space="preserve"> que dos organizaciones han representado a la presunta víctima y sus familiares, siendo estas CEJIL y REDNOVI. </w:t>
      </w:r>
      <w:r>
        <w:rPr>
          <w:rFonts w:ascii="Verdana" w:hAnsi="Verdana"/>
          <w:w w:val="95"/>
          <w:sz w:val="20"/>
          <w:szCs w:val="20"/>
          <w:lang w:val="es-EC"/>
        </w:rPr>
        <w:t xml:space="preserve">Manifestó </w:t>
      </w:r>
      <w:r w:rsidRPr="002B1610">
        <w:rPr>
          <w:rFonts w:ascii="Verdana" w:hAnsi="Verdana"/>
          <w:w w:val="95"/>
          <w:sz w:val="20"/>
          <w:szCs w:val="20"/>
          <w:lang w:val="es-EC"/>
        </w:rPr>
        <w:t>que “CEJIL ha actuado como representante […] desde el año 2005” y que en el ejercicio de dicha representación incurri</w:t>
      </w:r>
      <w:r>
        <w:rPr>
          <w:rFonts w:ascii="Verdana" w:hAnsi="Verdana"/>
          <w:w w:val="95"/>
          <w:sz w:val="20"/>
          <w:szCs w:val="20"/>
          <w:lang w:val="es-EC"/>
        </w:rPr>
        <w:t>ó</w:t>
      </w:r>
      <w:r w:rsidRPr="002B1610">
        <w:rPr>
          <w:rFonts w:ascii="Verdana" w:hAnsi="Verdana"/>
          <w:w w:val="95"/>
          <w:sz w:val="20"/>
          <w:szCs w:val="20"/>
          <w:lang w:val="es-EC"/>
        </w:rPr>
        <w:t xml:space="preserve"> en gastos que incluyen “viajes, alojamiento, comunicaciones, fotocopias, papelería y envío de documentos”. Por lo </w:t>
      </w:r>
      <w:r>
        <w:rPr>
          <w:rFonts w:ascii="Verdana" w:hAnsi="Verdana"/>
          <w:w w:val="95"/>
          <w:sz w:val="20"/>
          <w:szCs w:val="20"/>
          <w:lang w:val="es-EC"/>
        </w:rPr>
        <w:t>expuesto</w:t>
      </w:r>
      <w:r w:rsidRPr="002B1610">
        <w:rPr>
          <w:rFonts w:ascii="Verdana" w:hAnsi="Verdana"/>
          <w:w w:val="95"/>
          <w:sz w:val="20"/>
          <w:szCs w:val="20"/>
          <w:lang w:val="es-EC"/>
        </w:rPr>
        <w:t>, solicit</w:t>
      </w:r>
      <w:r>
        <w:rPr>
          <w:rFonts w:ascii="Verdana" w:hAnsi="Verdana"/>
          <w:w w:val="95"/>
          <w:sz w:val="20"/>
          <w:szCs w:val="20"/>
          <w:lang w:val="es-EC"/>
        </w:rPr>
        <w:t>ó</w:t>
      </w:r>
      <w:r w:rsidRPr="002B1610">
        <w:rPr>
          <w:rFonts w:ascii="Verdana" w:hAnsi="Verdana"/>
          <w:w w:val="95"/>
          <w:sz w:val="20"/>
          <w:szCs w:val="20"/>
          <w:lang w:val="es-EC"/>
        </w:rPr>
        <w:t xml:space="preserve"> que se fije en equidad la cantidad de US$8.251.63 (ocho mil doscientos cincuenta y un dólares con sesenta y tres centavos de dólar de los Estados Unidos de América) y que dicho monto sea reintegrado directamente por el Estado a CEJIL. </w:t>
      </w:r>
    </w:p>
    <w:p w:rsidR="00DF15C3" w:rsidRPr="002857CA" w:rsidRDefault="00DF15C3" w:rsidP="003F26FD">
      <w:pPr>
        <w:spacing w:after="0" w:line="216" w:lineRule="auto"/>
        <w:ind w:left="-142" w:right="-174" w:hanging="11"/>
        <w:jc w:val="both"/>
        <w:rPr>
          <w:rFonts w:ascii="Verdana" w:hAnsi="Verdana"/>
          <w:w w:val="95"/>
          <w:sz w:val="20"/>
          <w:szCs w:val="20"/>
          <w:lang w:val="es-EC"/>
        </w:rPr>
      </w:pPr>
    </w:p>
    <w:p w:rsidR="00DF15C3" w:rsidRPr="002857CA" w:rsidRDefault="00DF15C3" w:rsidP="003F26FD">
      <w:pPr>
        <w:numPr>
          <w:ilvl w:val="0"/>
          <w:numId w:val="17"/>
        </w:numPr>
        <w:spacing w:after="0" w:line="216" w:lineRule="auto"/>
        <w:ind w:left="-142" w:right="-174" w:hanging="11"/>
        <w:jc w:val="both"/>
        <w:rPr>
          <w:rFonts w:ascii="Verdana" w:hAnsi="Verdana"/>
          <w:w w:val="95"/>
          <w:sz w:val="20"/>
          <w:szCs w:val="20"/>
          <w:lang w:val="es-EC"/>
        </w:rPr>
      </w:pPr>
      <w:r w:rsidRPr="002857CA">
        <w:rPr>
          <w:rFonts w:ascii="Verdana" w:hAnsi="Verdana"/>
          <w:w w:val="95"/>
          <w:sz w:val="20"/>
          <w:szCs w:val="20"/>
          <w:lang w:val="es-EC"/>
        </w:rPr>
        <w:t xml:space="preserve">REDNOVI, por su parte, según adujo, </w:t>
      </w:r>
    </w:p>
    <w:p w:rsidR="00FA4467" w:rsidRPr="00437D8B" w:rsidRDefault="00FA4467" w:rsidP="003F26FD">
      <w:pPr>
        <w:spacing w:after="0" w:line="216" w:lineRule="auto"/>
        <w:ind w:right="-174"/>
        <w:jc w:val="both"/>
        <w:rPr>
          <w:rFonts w:ascii="Verdana" w:hAnsi="Verdana"/>
          <w:b/>
          <w:w w:val="95"/>
          <w:sz w:val="20"/>
          <w:szCs w:val="20"/>
          <w:lang w:val="es-EC"/>
        </w:rPr>
      </w:pPr>
    </w:p>
    <w:p w:rsidR="00DF15C3" w:rsidRPr="00831A28" w:rsidRDefault="00DF15C3" w:rsidP="00FB575D">
      <w:pPr>
        <w:spacing w:after="0" w:line="216" w:lineRule="auto"/>
        <w:ind w:left="360" w:right="186"/>
        <w:jc w:val="both"/>
        <w:rPr>
          <w:rFonts w:ascii="Verdana" w:hAnsi="Verdana"/>
          <w:w w:val="95"/>
          <w:sz w:val="16"/>
          <w:szCs w:val="16"/>
          <w:lang w:val="es-EC"/>
        </w:rPr>
      </w:pPr>
      <w:r w:rsidRPr="00831A28">
        <w:rPr>
          <w:rFonts w:ascii="Verdana" w:hAnsi="Verdana"/>
          <w:w w:val="95"/>
          <w:sz w:val="16"/>
          <w:szCs w:val="16"/>
          <w:lang w:val="es-EC"/>
        </w:rPr>
        <w:t xml:space="preserve">ha dado seguimiento al caso desde el año 2003 [y] desde entonces ha realizado múltiples gestiones de acompañamiento a la familia de María Isabel durante el trámite ante la Comisión, tales como la verificación periódica del expediente judicial, gestión, obtención de fotocopias de documentos, participación en reuniones con autoridades, gastos para la elaboración de declaraciones y certificación de documentos, entre otros.  </w:t>
      </w:r>
    </w:p>
    <w:p w:rsidR="00DF15C3" w:rsidRDefault="00DF15C3" w:rsidP="003F26FD">
      <w:pPr>
        <w:spacing w:after="0" w:line="216" w:lineRule="auto"/>
        <w:ind w:left="-142" w:right="-174"/>
        <w:jc w:val="both"/>
        <w:rPr>
          <w:rFonts w:ascii="Verdana" w:hAnsi="Verdana"/>
          <w:w w:val="95"/>
          <w:sz w:val="20"/>
          <w:szCs w:val="20"/>
          <w:lang w:val="es-EC"/>
        </w:rPr>
      </w:pPr>
    </w:p>
    <w:p w:rsidR="00DF15C3" w:rsidRPr="002B1610" w:rsidRDefault="00DF15C3" w:rsidP="003F26FD">
      <w:pPr>
        <w:spacing w:after="0" w:line="216" w:lineRule="auto"/>
        <w:ind w:left="-142" w:right="-174"/>
        <w:jc w:val="both"/>
        <w:rPr>
          <w:rFonts w:ascii="Verdana" w:hAnsi="Verdana"/>
          <w:b/>
          <w:w w:val="95"/>
          <w:sz w:val="20"/>
          <w:szCs w:val="20"/>
          <w:lang w:val="es-EC"/>
        </w:rPr>
      </w:pPr>
      <w:r w:rsidRPr="002B1610">
        <w:rPr>
          <w:rFonts w:ascii="Verdana" w:hAnsi="Verdana"/>
          <w:w w:val="95"/>
          <w:sz w:val="20"/>
          <w:szCs w:val="20"/>
          <w:lang w:val="es-EC"/>
        </w:rPr>
        <w:t xml:space="preserve">Además “se han llevado a cabo gastos relativos a viajes […] a Washington DC [… y] San José.” </w:t>
      </w:r>
      <w:r w:rsidRPr="002857CA">
        <w:rPr>
          <w:rFonts w:ascii="Verdana" w:hAnsi="Verdana"/>
          <w:w w:val="95"/>
          <w:sz w:val="20"/>
          <w:szCs w:val="20"/>
          <w:lang w:val="es-EC"/>
        </w:rPr>
        <w:t>Adicionalmente indicó</w:t>
      </w:r>
      <w:r w:rsidRPr="002B1610">
        <w:rPr>
          <w:rFonts w:ascii="Verdana" w:hAnsi="Verdana"/>
          <w:w w:val="95"/>
          <w:sz w:val="20"/>
          <w:szCs w:val="20"/>
          <w:lang w:val="es-EC"/>
        </w:rPr>
        <w:t xml:space="preserve"> que “no cuenta con los recibos de los gastos realizados” y por tanto le solicit</w:t>
      </w:r>
      <w:r>
        <w:rPr>
          <w:rFonts w:ascii="Verdana" w:hAnsi="Verdana"/>
          <w:w w:val="95"/>
          <w:sz w:val="20"/>
          <w:szCs w:val="20"/>
          <w:lang w:val="es-EC"/>
        </w:rPr>
        <w:t>ó</w:t>
      </w:r>
      <w:r w:rsidRPr="002B1610">
        <w:rPr>
          <w:rFonts w:ascii="Verdana" w:hAnsi="Verdana"/>
          <w:w w:val="95"/>
          <w:sz w:val="20"/>
          <w:szCs w:val="20"/>
          <w:lang w:val="es-EC"/>
        </w:rPr>
        <w:t xml:space="preserve"> a la Corte “que determine en equidad un monto de US$10,000.00 (diez mil dólares de los Estados Unidos América)”. Solicit</w:t>
      </w:r>
      <w:r>
        <w:rPr>
          <w:rFonts w:ascii="Verdana" w:hAnsi="Verdana"/>
          <w:w w:val="95"/>
          <w:sz w:val="20"/>
          <w:szCs w:val="20"/>
          <w:lang w:val="es-EC"/>
        </w:rPr>
        <w:t>ó</w:t>
      </w:r>
      <w:r w:rsidRPr="002B1610">
        <w:rPr>
          <w:rFonts w:ascii="Verdana" w:hAnsi="Verdana"/>
          <w:w w:val="95"/>
          <w:sz w:val="20"/>
          <w:szCs w:val="20"/>
          <w:lang w:val="es-EC"/>
        </w:rPr>
        <w:t xml:space="preserve"> que “el monto referente a los gastos que ha incurrido la REDNOVI sea reintegrado directamente por el Estado, a la Asociación Nuevos Horizontes, organización integrante de la REDNOVI”. </w:t>
      </w:r>
    </w:p>
    <w:p w:rsidR="00DF15C3" w:rsidRPr="002B1610" w:rsidRDefault="00DF15C3" w:rsidP="003F26FD">
      <w:pPr>
        <w:pStyle w:val="Prrafodelista"/>
        <w:spacing w:after="0" w:line="216" w:lineRule="auto"/>
        <w:ind w:left="-142" w:right="-174" w:hanging="11"/>
        <w:jc w:val="both"/>
        <w:rPr>
          <w:rFonts w:ascii="Verdana" w:hAnsi="Verdana"/>
          <w:w w:val="95"/>
          <w:sz w:val="20"/>
          <w:szCs w:val="20"/>
          <w:lang w:val="es-EC"/>
        </w:rPr>
      </w:pPr>
    </w:p>
    <w:p w:rsidR="00DF15C3" w:rsidRPr="00CA28F5" w:rsidRDefault="00DF15C3" w:rsidP="003F26FD">
      <w:pPr>
        <w:numPr>
          <w:ilvl w:val="0"/>
          <w:numId w:val="17"/>
        </w:numPr>
        <w:spacing w:after="0" w:line="216" w:lineRule="auto"/>
        <w:ind w:left="-142" w:right="-174" w:hanging="11"/>
        <w:jc w:val="both"/>
        <w:rPr>
          <w:rFonts w:ascii="Verdana" w:hAnsi="Verdana"/>
          <w:b/>
          <w:w w:val="95"/>
          <w:sz w:val="20"/>
          <w:szCs w:val="20"/>
          <w:lang w:val="es-EC"/>
        </w:rPr>
      </w:pPr>
      <w:r w:rsidRPr="002B1610">
        <w:rPr>
          <w:rFonts w:ascii="Verdana" w:hAnsi="Verdana"/>
          <w:w w:val="95"/>
          <w:sz w:val="20"/>
          <w:szCs w:val="20"/>
          <w:lang w:val="es-EC"/>
        </w:rPr>
        <w:t>Por último, solicit</w:t>
      </w:r>
      <w:r>
        <w:rPr>
          <w:rFonts w:ascii="Verdana" w:hAnsi="Verdana"/>
          <w:w w:val="95"/>
          <w:sz w:val="20"/>
          <w:szCs w:val="20"/>
          <w:lang w:val="es-EC"/>
        </w:rPr>
        <w:t>ó</w:t>
      </w:r>
      <w:r w:rsidRPr="002B1610">
        <w:rPr>
          <w:rFonts w:ascii="Verdana" w:hAnsi="Verdana"/>
          <w:w w:val="95"/>
          <w:sz w:val="20"/>
          <w:szCs w:val="20"/>
          <w:lang w:val="es-EC"/>
        </w:rPr>
        <w:t xml:space="preserve"> que </w:t>
      </w:r>
    </w:p>
    <w:p w:rsidR="00DF15C3" w:rsidRDefault="00DF15C3" w:rsidP="003F26FD">
      <w:pPr>
        <w:spacing w:after="0" w:line="216" w:lineRule="auto"/>
        <w:ind w:left="-142" w:right="-174"/>
        <w:jc w:val="both"/>
        <w:rPr>
          <w:rFonts w:ascii="Verdana" w:hAnsi="Verdana"/>
          <w:w w:val="95"/>
          <w:sz w:val="20"/>
          <w:szCs w:val="20"/>
          <w:lang w:val="es-EC"/>
        </w:rPr>
      </w:pPr>
    </w:p>
    <w:p w:rsidR="00DF15C3" w:rsidRPr="002B1610" w:rsidRDefault="00DF15C3" w:rsidP="00FB575D">
      <w:pPr>
        <w:spacing w:after="0" w:line="216" w:lineRule="auto"/>
        <w:ind w:left="567" w:right="186"/>
        <w:jc w:val="both"/>
        <w:rPr>
          <w:rFonts w:ascii="Verdana" w:hAnsi="Verdana"/>
          <w:b/>
          <w:w w:val="95"/>
          <w:sz w:val="20"/>
          <w:szCs w:val="20"/>
          <w:lang w:val="es-EC"/>
        </w:rPr>
      </w:pPr>
      <w:r w:rsidRPr="00CA28F5">
        <w:rPr>
          <w:rFonts w:ascii="Verdana" w:hAnsi="Verdana"/>
          <w:w w:val="95"/>
          <w:sz w:val="16"/>
          <w:szCs w:val="16"/>
          <w:lang w:val="es-EC"/>
        </w:rPr>
        <w:t xml:space="preserve">se abone una suma dineraria adicional a los gastos que fueron detallados anteriormente, en concepto de gastos futuros [entre los cuales comprenden] aquellos relacionados con el cumplimiento de la sentencia; los que demandará el trámite de supervisión de cumplimiento de la sentencia; los gastos de viaje para impulsar en cumplimiento de la [S]entencia y si fuera el caso, los gastos internos en Guatemala para poder verificar el cumplimiento de la </w:t>
      </w:r>
      <w:r>
        <w:rPr>
          <w:rFonts w:ascii="Verdana" w:hAnsi="Verdana"/>
          <w:w w:val="95"/>
          <w:sz w:val="16"/>
          <w:szCs w:val="16"/>
          <w:lang w:val="es-EC"/>
        </w:rPr>
        <w:t>[S]</w:t>
      </w:r>
      <w:r w:rsidRPr="00CA28F5">
        <w:rPr>
          <w:rFonts w:ascii="Verdana" w:hAnsi="Verdana"/>
          <w:w w:val="95"/>
          <w:sz w:val="16"/>
          <w:szCs w:val="16"/>
          <w:lang w:val="es-EC"/>
        </w:rPr>
        <w:t>entencia.</w:t>
      </w:r>
      <w:r w:rsidRPr="002B1610">
        <w:rPr>
          <w:rFonts w:ascii="Verdana" w:hAnsi="Verdana"/>
          <w:w w:val="95"/>
          <w:sz w:val="20"/>
          <w:szCs w:val="20"/>
          <w:lang w:val="es-EC"/>
        </w:rPr>
        <w:t xml:space="preserve"> </w:t>
      </w:r>
    </w:p>
    <w:p w:rsidR="00DF15C3" w:rsidRPr="002B1610" w:rsidRDefault="00DF15C3" w:rsidP="003F26FD">
      <w:pPr>
        <w:pStyle w:val="Prrafodelista"/>
        <w:spacing w:after="0" w:line="216" w:lineRule="auto"/>
        <w:ind w:left="-142" w:right="-174" w:hanging="11"/>
        <w:jc w:val="both"/>
        <w:rPr>
          <w:rFonts w:ascii="Verdana" w:hAnsi="Verdana"/>
          <w:w w:val="95"/>
          <w:sz w:val="20"/>
          <w:szCs w:val="20"/>
          <w:lang w:val="es-EC"/>
        </w:rPr>
      </w:pPr>
    </w:p>
    <w:p w:rsidR="00DF15C3" w:rsidRPr="00CA28F5" w:rsidRDefault="00DF15C3" w:rsidP="003F26FD">
      <w:pPr>
        <w:numPr>
          <w:ilvl w:val="0"/>
          <w:numId w:val="17"/>
        </w:numPr>
        <w:spacing w:after="0" w:line="216" w:lineRule="auto"/>
        <w:ind w:left="-142" w:right="-174" w:hanging="11"/>
        <w:jc w:val="both"/>
        <w:rPr>
          <w:rFonts w:ascii="Verdana" w:hAnsi="Verdana"/>
          <w:b/>
          <w:w w:val="95"/>
          <w:sz w:val="20"/>
          <w:szCs w:val="20"/>
          <w:lang w:val="es-EC"/>
        </w:rPr>
      </w:pPr>
      <w:r w:rsidRPr="002B1610">
        <w:rPr>
          <w:rFonts w:ascii="Verdana" w:hAnsi="Verdana"/>
          <w:w w:val="95"/>
          <w:sz w:val="20"/>
          <w:szCs w:val="20"/>
          <w:lang w:val="es-EC"/>
        </w:rPr>
        <w:t xml:space="preserve">El </w:t>
      </w:r>
      <w:r w:rsidRPr="002B1610">
        <w:rPr>
          <w:rFonts w:ascii="Verdana" w:hAnsi="Verdana"/>
          <w:b/>
          <w:i/>
          <w:w w:val="95"/>
          <w:sz w:val="20"/>
          <w:szCs w:val="20"/>
          <w:lang w:val="es-EC"/>
        </w:rPr>
        <w:t>Estado</w:t>
      </w:r>
      <w:r w:rsidRPr="002B1610">
        <w:rPr>
          <w:rFonts w:ascii="Verdana" w:hAnsi="Verdana"/>
          <w:w w:val="95"/>
          <w:sz w:val="20"/>
          <w:szCs w:val="20"/>
          <w:lang w:val="es-EC"/>
        </w:rPr>
        <w:t xml:space="preserve"> señaló que </w:t>
      </w:r>
    </w:p>
    <w:p w:rsidR="00DF15C3" w:rsidRDefault="00DF15C3" w:rsidP="003F26FD">
      <w:pPr>
        <w:spacing w:after="0" w:line="216" w:lineRule="auto"/>
        <w:ind w:left="-142" w:right="-174"/>
        <w:jc w:val="both"/>
        <w:rPr>
          <w:rFonts w:ascii="Verdana" w:hAnsi="Verdana"/>
          <w:w w:val="95"/>
          <w:sz w:val="20"/>
          <w:szCs w:val="20"/>
          <w:lang w:val="es-EC"/>
        </w:rPr>
      </w:pPr>
    </w:p>
    <w:p w:rsidR="00DF15C3" w:rsidRPr="00CA28F5" w:rsidRDefault="00DF15C3" w:rsidP="003F26FD">
      <w:pPr>
        <w:spacing w:after="0" w:line="216" w:lineRule="auto"/>
        <w:ind w:left="567" w:right="-174"/>
        <w:jc w:val="both"/>
        <w:rPr>
          <w:rFonts w:ascii="Verdana" w:hAnsi="Verdana"/>
          <w:w w:val="95"/>
          <w:sz w:val="16"/>
          <w:szCs w:val="16"/>
          <w:lang w:val="es-EC"/>
        </w:rPr>
      </w:pPr>
      <w:r w:rsidRPr="00CA28F5">
        <w:rPr>
          <w:rFonts w:ascii="Verdana" w:hAnsi="Verdana"/>
          <w:w w:val="95"/>
          <w:sz w:val="16"/>
          <w:szCs w:val="16"/>
          <w:lang w:val="es-EC"/>
        </w:rPr>
        <w:t xml:space="preserve">dada la situación que se comprueba en el presente caso, en relación a la alteración de documentos que contienen supuestos gastos erogados por servicios funerarios, el Estado apreciaría de gran medida que [la Corte] tenga a bien no condenar al Estado de Guatemala por los supuestos gastos y costas de su contraparte en este proceso.   </w:t>
      </w:r>
    </w:p>
    <w:p w:rsidR="00DF15C3" w:rsidRDefault="00DF15C3" w:rsidP="003F26FD">
      <w:pPr>
        <w:spacing w:after="0" w:line="216" w:lineRule="auto"/>
        <w:ind w:left="-142" w:right="-174"/>
        <w:jc w:val="both"/>
        <w:rPr>
          <w:rFonts w:ascii="Verdana" w:hAnsi="Verdana"/>
          <w:w w:val="95"/>
          <w:sz w:val="20"/>
          <w:szCs w:val="20"/>
          <w:lang w:val="es-EC"/>
        </w:rPr>
      </w:pPr>
    </w:p>
    <w:p w:rsidR="00DF15C3" w:rsidRPr="002B1610" w:rsidRDefault="00DF15C3" w:rsidP="003F26FD">
      <w:pPr>
        <w:spacing w:after="0" w:line="216" w:lineRule="auto"/>
        <w:ind w:left="-142" w:right="-174"/>
        <w:jc w:val="both"/>
        <w:rPr>
          <w:rFonts w:ascii="Verdana" w:hAnsi="Verdana"/>
          <w:b/>
          <w:w w:val="95"/>
          <w:sz w:val="20"/>
          <w:szCs w:val="20"/>
          <w:lang w:val="es-EC"/>
        </w:rPr>
      </w:pPr>
      <w:r w:rsidRPr="002B1610">
        <w:rPr>
          <w:rFonts w:ascii="Verdana" w:hAnsi="Verdana"/>
          <w:w w:val="95"/>
          <w:sz w:val="20"/>
          <w:szCs w:val="20"/>
          <w:lang w:val="es-EC"/>
        </w:rPr>
        <w:t xml:space="preserve">En particular, en cuanto a los montos solicitados por CEJIL el Estado señaló que “no acepta el cobro de ninguno de los gastos planteados; toda vez que su participación en este proceso fue voluntaria [en vista que] la peticionaria ya tenía </w:t>
      </w:r>
      <w:r w:rsidR="008438D1">
        <w:rPr>
          <w:rFonts w:ascii="Verdana" w:hAnsi="Verdana"/>
          <w:w w:val="95"/>
          <w:sz w:val="20"/>
          <w:szCs w:val="20"/>
          <w:lang w:val="es-EC"/>
        </w:rPr>
        <w:t xml:space="preserve">como representante a REDNOVI”. </w:t>
      </w:r>
      <w:r w:rsidRPr="002B1610">
        <w:rPr>
          <w:rFonts w:ascii="Verdana" w:hAnsi="Verdana"/>
          <w:w w:val="95"/>
          <w:sz w:val="20"/>
          <w:szCs w:val="20"/>
          <w:lang w:val="es-EC"/>
        </w:rPr>
        <w:t xml:space="preserve">Por último, sobre los gastos de REDNOVI, el Estado indicó que “no se responsabiliza por el reembolso de gastos que no sean comprobados”. </w:t>
      </w:r>
    </w:p>
    <w:p w:rsidR="00DF15C3" w:rsidRPr="002B1610" w:rsidRDefault="00DF15C3" w:rsidP="003F26FD">
      <w:pPr>
        <w:spacing w:after="0" w:line="216" w:lineRule="auto"/>
        <w:ind w:right="-174"/>
        <w:jc w:val="both"/>
        <w:rPr>
          <w:rFonts w:ascii="Verdana" w:hAnsi="Verdana"/>
          <w:b/>
          <w:w w:val="95"/>
          <w:sz w:val="20"/>
          <w:szCs w:val="20"/>
          <w:lang w:val="es-EC"/>
        </w:rPr>
      </w:pPr>
    </w:p>
    <w:p w:rsidR="00DF15C3" w:rsidRPr="002B1610" w:rsidRDefault="00DF15C3" w:rsidP="003F26FD">
      <w:pPr>
        <w:pStyle w:val="Prrafodelista"/>
        <w:spacing w:after="0" w:line="216" w:lineRule="auto"/>
        <w:ind w:left="567" w:right="-174"/>
        <w:jc w:val="both"/>
        <w:outlineLvl w:val="2"/>
        <w:rPr>
          <w:rFonts w:ascii="Verdana" w:eastAsia="Calibri" w:hAnsi="Verdana"/>
          <w:b/>
          <w:i/>
          <w:w w:val="95"/>
          <w:sz w:val="20"/>
          <w:szCs w:val="20"/>
          <w:lang w:val="es-EC"/>
        </w:rPr>
      </w:pPr>
      <w:bookmarkStart w:id="153" w:name="_Toc394313717"/>
      <w:r w:rsidRPr="002B1610">
        <w:rPr>
          <w:rFonts w:ascii="Verdana" w:eastAsia="Calibri" w:hAnsi="Verdana"/>
          <w:b/>
          <w:i/>
          <w:w w:val="95"/>
          <w:sz w:val="20"/>
          <w:szCs w:val="20"/>
          <w:lang w:val="es-EC"/>
        </w:rPr>
        <w:t>G.2) Consideraciones de la Corte</w:t>
      </w:r>
      <w:bookmarkEnd w:id="153"/>
    </w:p>
    <w:p w:rsidR="00DF15C3" w:rsidRPr="002B1610" w:rsidRDefault="00DF15C3" w:rsidP="003F26FD">
      <w:pPr>
        <w:pStyle w:val="Prrafodelista"/>
        <w:spacing w:after="0" w:line="216" w:lineRule="auto"/>
        <w:ind w:left="284" w:right="-174"/>
        <w:jc w:val="both"/>
        <w:rPr>
          <w:rFonts w:ascii="Verdana" w:eastAsia="Calibri" w:hAnsi="Verdana"/>
          <w:b/>
          <w:i/>
          <w:w w:val="95"/>
          <w:sz w:val="20"/>
          <w:szCs w:val="20"/>
          <w:lang w:val="es-EC"/>
        </w:rPr>
      </w:pPr>
    </w:p>
    <w:p w:rsidR="00DF15C3" w:rsidRPr="002B1610" w:rsidRDefault="00DF15C3" w:rsidP="003F26FD">
      <w:pPr>
        <w:numPr>
          <w:ilvl w:val="0"/>
          <w:numId w:val="17"/>
        </w:numPr>
        <w:spacing w:after="0" w:line="216" w:lineRule="auto"/>
        <w:ind w:left="-142" w:right="-174" w:hanging="11"/>
        <w:jc w:val="both"/>
        <w:rPr>
          <w:rFonts w:ascii="Verdana" w:hAnsi="Verdana"/>
          <w:b/>
          <w:w w:val="95"/>
          <w:sz w:val="20"/>
          <w:szCs w:val="20"/>
          <w:lang w:val="es-EC"/>
        </w:rPr>
      </w:pPr>
      <w:r w:rsidRPr="002B1610">
        <w:rPr>
          <w:rFonts w:ascii="Verdana" w:eastAsia="Calibri" w:hAnsi="Verdana"/>
          <w:w w:val="95"/>
          <w:sz w:val="20"/>
          <w:szCs w:val="20"/>
          <w:lang w:val="es-EC"/>
        </w:rPr>
        <w:t>La Corte reitera que, conforme a su jurisprudencia</w:t>
      </w:r>
      <w:r w:rsidRPr="002B1610">
        <w:rPr>
          <w:rFonts w:ascii="Verdana" w:hAnsi="Verdana"/>
          <w:w w:val="95"/>
          <w:sz w:val="20"/>
          <w:szCs w:val="20"/>
          <w:vertAlign w:val="superscript"/>
          <w:lang w:val="es-EC"/>
        </w:rPr>
        <w:footnoteReference w:id="367"/>
      </w:r>
      <w:r w:rsidRPr="002B1610">
        <w:rPr>
          <w:rFonts w:ascii="Verdana" w:eastAsia="Calibri" w:hAnsi="Verdana"/>
          <w:w w:val="95"/>
          <w:sz w:val="20"/>
          <w:szCs w:val="20"/>
          <w:lang w:val="es-EC"/>
        </w:rPr>
        <w:t>, las costas y gastos hacen parte del concepto de reparación, toda vez que la actividad desplegada por las víctimas con el fin de obtener justicia, tanto a niv</w:t>
      </w:r>
      <w:r w:rsidR="00FA4467">
        <w:rPr>
          <w:rFonts w:ascii="Verdana" w:eastAsia="Calibri" w:hAnsi="Verdana"/>
          <w:w w:val="95"/>
          <w:sz w:val="20"/>
          <w:szCs w:val="20"/>
          <w:lang w:val="es-EC"/>
        </w:rPr>
        <w:t xml:space="preserve">el nacional como internacional, </w:t>
      </w:r>
      <w:r w:rsidRPr="002B1610">
        <w:rPr>
          <w:rFonts w:ascii="Verdana" w:eastAsia="Calibri" w:hAnsi="Verdana"/>
          <w:w w:val="95"/>
          <w:sz w:val="20"/>
          <w:szCs w:val="20"/>
          <w:lang w:val="es-EC"/>
        </w:rPr>
        <w:t>implican erogaciones que deben ser compensadas cuando la responsabilidad internacional del Estado es declarada mediante una sentencia condenatoria.</w:t>
      </w:r>
    </w:p>
    <w:p w:rsidR="00DF15C3" w:rsidRPr="002B1610" w:rsidRDefault="00DF15C3" w:rsidP="003F26FD">
      <w:pPr>
        <w:spacing w:after="0" w:line="216" w:lineRule="auto"/>
        <w:ind w:left="-142" w:right="-174" w:hanging="11"/>
        <w:jc w:val="both"/>
        <w:rPr>
          <w:rFonts w:ascii="Verdana" w:hAnsi="Verdana"/>
          <w:b/>
          <w:w w:val="95"/>
          <w:sz w:val="20"/>
          <w:szCs w:val="20"/>
          <w:lang w:val="es-EC"/>
        </w:rPr>
      </w:pPr>
    </w:p>
    <w:p w:rsidR="00DF15C3" w:rsidRPr="002B1610" w:rsidRDefault="00DF15C3" w:rsidP="003F26FD">
      <w:pPr>
        <w:numPr>
          <w:ilvl w:val="0"/>
          <w:numId w:val="17"/>
        </w:numPr>
        <w:spacing w:after="0" w:line="216" w:lineRule="auto"/>
        <w:ind w:left="-142" w:right="-174" w:hanging="11"/>
        <w:jc w:val="both"/>
        <w:rPr>
          <w:rFonts w:ascii="Verdana" w:hAnsi="Verdana"/>
          <w:b/>
          <w:w w:val="95"/>
          <w:sz w:val="20"/>
          <w:szCs w:val="20"/>
          <w:lang w:val="es-EC"/>
        </w:rPr>
      </w:pPr>
      <w:r w:rsidRPr="002B1610">
        <w:rPr>
          <w:rFonts w:ascii="Verdana" w:eastAsia="Calibri" w:hAnsi="Verdana"/>
          <w:w w:val="95"/>
          <w:sz w:val="20"/>
          <w:szCs w:val="20"/>
          <w:lang w:val="es-EC"/>
        </w:rPr>
        <w:t>Asimismo, la Corte reitera que no es suficiente la remisión de documentos probatorios, sino que se requiere que las partes hagan una argumentación que relacione la prueba con el hecho que se considera representado, y que, al tratarse de alegados desembolsos económicos, se establezcan con claridad los rubros y la justificación de los mismos</w:t>
      </w:r>
      <w:r w:rsidRPr="002B1610">
        <w:rPr>
          <w:rFonts w:ascii="Verdana" w:hAnsi="Verdana"/>
          <w:w w:val="95"/>
          <w:sz w:val="20"/>
          <w:szCs w:val="20"/>
          <w:vertAlign w:val="superscript"/>
          <w:lang w:val="es-EC"/>
        </w:rPr>
        <w:footnoteReference w:id="368"/>
      </w:r>
      <w:r w:rsidRPr="002B1610">
        <w:rPr>
          <w:rFonts w:ascii="Verdana" w:eastAsia="Calibri" w:hAnsi="Verdana"/>
          <w:w w:val="95"/>
          <w:sz w:val="20"/>
          <w:szCs w:val="20"/>
          <w:lang w:val="es-EC"/>
        </w:rPr>
        <w:t>.</w:t>
      </w:r>
    </w:p>
    <w:p w:rsidR="00DF15C3" w:rsidRPr="002B1610" w:rsidRDefault="00DF15C3" w:rsidP="003F26FD">
      <w:pPr>
        <w:spacing w:after="0" w:line="216" w:lineRule="auto"/>
        <w:ind w:right="-174"/>
        <w:jc w:val="both"/>
        <w:rPr>
          <w:rFonts w:ascii="Verdana" w:hAnsi="Verdana"/>
          <w:b/>
          <w:w w:val="95"/>
          <w:sz w:val="20"/>
          <w:szCs w:val="20"/>
          <w:lang w:val="es-EC"/>
        </w:rPr>
      </w:pPr>
    </w:p>
    <w:p w:rsidR="00DF15C3" w:rsidRPr="00131C3E" w:rsidRDefault="00DF15C3" w:rsidP="003F26FD">
      <w:pPr>
        <w:numPr>
          <w:ilvl w:val="0"/>
          <w:numId w:val="17"/>
        </w:numPr>
        <w:spacing w:after="0" w:line="216" w:lineRule="auto"/>
        <w:ind w:left="-142" w:right="-174" w:hanging="11"/>
        <w:jc w:val="both"/>
        <w:rPr>
          <w:rFonts w:ascii="Verdana" w:hAnsi="Verdana"/>
          <w:b/>
          <w:w w:val="95"/>
          <w:sz w:val="20"/>
          <w:szCs w:val="20"/>
          <w:lang w:val="es-EC"/>
        </w:rPr>
      </w:pPr>
      <w:r w:rsidRPr="002B1610">
        <w:rPr>
          <w:rFonts w:ascii="Verdana" w:eastAsia="Calibri" w:hAnsi="Verdana"/>
          <w:w w:val="95"/>
          <w:sz w:val="20"/>
          <w:szCs w:val="20"/>
          <w:lang w:val="es-EC"/>
        </w:rPr>
        <w:t>En el presente caso, la prueba aportada por la representante y la argumentación correspondiente no permite una justificación completa de los montos solicitados.</w:t>
      </w:r>
      <w:r w:rsidRPr="002B1610">
        <w:rPr>
          <w:rFonts w:ascii="Verdana" w:hAnsi="Verdana"/>
          <w:w w:val="95"/>
          <w:sz w:val="20"/>
          <w:szCs w:val="20"/>
          <w:lang w:val="es-EC"/>
        </w:rPr>
        <w:t xml:space="preserve"> Asimismo el Tribunal nota que en el escrito de solicitudes y argumentos, CEJIL solicitó el pago de las costas del proceso, no obstante mediante comunicación de 8 de febrero de 2013 indicó que “a partir de ese día no </w:t>
      </w:r>
      <w:r w:rsidRPr="0060474A">
        <w:rPr>
          <w:rFonts w:ascii="Verdana" w:hAnsi="Verdana"/>
          <w:w w:val="95"/>
          <w:sz w:val="20"/>
          <w:szCs w:val="20"/>
          <w:lang w:val="es-EC"/>
        </w:rPr>
        <w:t>continuar[ía] con la representación legal de la señora Rosa Elvira Franco Sandoval y su familia”</w:t>
      </w:r>
      <w:r>
        <w:rPr>
          <w:rFonts w:ascii="Verdana" w:hAnsi="Verdana"/>
          <w:w w:val="95"/>
          <w:sz w:val="20"/>
          <w:szCs w:val="20"/>
          <w:lang w:val="es-EC"/>
        </w:rPr>
        <w:t>,</w:t>
      </w:r>
      <w:r w:rsidRPr="0060474A">
        <w:rPr>
          <w:rFonts w:ascii="Verdana" w:hAnsi="Verdana"/>
          <w:w w:val="95"/>
          <w:sz w:val="20"/>
          <w:szCs w:val="20"/>
          <w:lang w:val="es-EC"/>
        </w:rPr>
        <w:t xml:space="preserve"> sin </w:t>
      </w:r>
      <w:r w:rsidRPr="00CA28F5">
        <w:rPr>
          <w:rFonts w:ascii="Verdana" w:hAnsi="Verdana"/>
          <w:w w:val="95"/>
          <w:sz w:val="20"/>
          <w:szCs w:val="20"/>
          <w:lang w:val="es-EC"/>
        </w:rPr>
        <w:t xml:space="preserve">embargo no realizó ninguna solicitud sobre las costas y gastos a su favor. En virtud de </w:t>
      </w:r>
      <w:r w:rsidRPr="00831A28">
        <w:rPr>
          <w:rFonts w:ascii="Verdana" w:hAnsi="Verdana"/>
          <w:w w:val="95"/>
          <w:sz w:val="20"/>
          <w:szCs w:val="20"/>
          <w:lang w:val="es-EC"/>
        </w:rPr>
        <w:t xml:space="preserve">ello, la Corte no se pronunciará al respecto. </w:t>
      </w:r>
      <w:r w:rsidRPr="00831A28">
        <w:rPr>
          <w:rFonts w:ascii="Verdana" w:eastAsia="Calibri" w:hAnsi="Verdana"/>
          <w:w w:val="95"/>
          <w:sz w:val="20"/>
          <w:szCs w:val="20"/>
          <w:lang w:val="es-EC"/>
        </w:rPr>
        <w:t>Teniendo en cuenta lo anterior, la Corte fija en equidad</w:t>
      </w:r>
      <w:r w:rsidRPr="00CA28F5">
        <w:rPr>
          <w:rFonts w:ascii="Verdana" w:eastAsia="Calibri" w:hAnsi="Verdana"/>
          <w:w w:val="95"/>
          <w:sz w:val="20"/>
          <w:szCs w:val="20"/>
          <w:lang w:val="es-EC"/>
        </w:rPr>
        <w:t xml:space="preserve"> la cantidad de US</w:t>
      </w:r>
      <w:r w:rsidRPr="00831A28">
        <w:rPr>
          <w:rFonts w:ascii="Verdana" w:eastAsia="Calibri" w:hAnsi="Verdana"/>
          <w:w w:val="95"/>
          <w:sz w:val="20"/>
          <w:szCs w:val="20"/>
          <w:lang w:val="es-EC"/>
        </w:rPr>
        <w:t>$</w:t>
      </w:r>
      <w:r w:rsidRPr="00831A28">
        <w:rPr>
          <w:rFonts w:ascii="Verdana" w:hAnsi="Verdana"/>
          <w:w w:val="95"/>
          <w:sz w:val="20"/>
          <w:szCs w:val="20"/>
          <w:lang w:val="es-EC"/>
        </w:rPr>
        <w:t>10,</w:t>
      </w:r>
      <w:r w:rsidRPr="00CA28F5">
        <w:rPr>
          <w:rFonts w:ascii="Verdana" w:hAnsi="Verdana"/>
          <w:w w:val="95"/>
          <w:sz w:val="20"/>
          <w:szCs w:val="20"/>
          <w:lang w:val="es-EC"/>
        </w:rPr>
        <w:t>000.00</w:t>
      </w:r>
      <w:r w:rsidRPr="00CA28F5">
        <w:rPr>
          <w:rFonts w:ascii="Verdana" w:eastAsia="Calibri" w:hAnsi="Verdana"/>
          <w:w w:val="95"/>
          <w:sz w:val="20"/>
          <w:szCs w:val="20"/>
          <w:lang w:val="es-EC"/>
        </w:rPr>
        <w:t xml:space="preserve"> (</w:t>
      </w:r>
      <w:r w:rsidRPr="00831A28">
        <w:rPr>
          <w:rFonts w:ascii="Verdana" w:hAnsi="Verdana"/>
          <w:w w:val="95"/>
          <w:sz w:val="20"/>
          <w:szCs w:val="20"/>
          <w:lang w:val="es-EC"/>
        </w:rPr>
        <w:t>diez</w:t>
      </w:r>
      <w:r w:rsidRPr="00CA28F5">
        <w:rPr>
          <w:rFonts w:ascii="Verdana" w:hAnsi="Verdana"/>
          <w:w w:val="95"/>
          <w:sz w:val="20"/>
          <w:szCs w:val="20"/>
          <w:lang w:val="es-EC"/>
        </w:rPr>
        <w:t xml:space="preserve"> mil</w:t>
      </w:r>
      <w:r w:rsidRPr="00CA28F5">
        <w:rPr>
          <w:rFonts w:ascii="Verdana" w:eastAsia="Calibri" w:hAnsi="Verdana"/>
          <w:w w:val="95"/>
          <w:sz w:val="20"/>
          <w:szCs w:val="20"/>
          <w:lang w:val="es-EC"/>
        </w:rPr>
        <w:t xml:space="preserve"> dólares de los Estados Unidos de América) que deben ser entregados a </w:t>
      </w:r>
      <w:r w:rsidRPr="00831A28">
        <w:rPr>
          <w:rFonts w:ascii="Verdana" w:hAnsi="Verdana"/>
          <w:w w:val="95"/>
          <w:sz w:val="20"/>
          <w:szCs w:val="20"/>
          <w:lang w:val="es-EC"/>
        </w:rPr>
        <w:t>REDNOVI</w:t>
      </w:r>
      <w:r w:rsidRPr="00831A28">
        <w:rPr>
          <w:rFonts w:ascii="Verdana" w:eastAsia="Calibri" w:hAnsi="Verdana"/>
          <w:w w:val="95"/>
          <w:sz w:val="20"/>
          <w:szCs w:val="20"/>
          <w:lang w:val="es-EC"/>
        </w:rPr>
        <w:t>, con motivo de los gastos por la tramitación del proceso ante el sistema interamericano de derechos humanos. Dicho m</w:t>
      </w:r>
      <w:r w:rsidRPr="00831A28">
        <w:rPr>
          <w:rFonts w:ascii="Verdana" w:hAnsi="Verdana"/>
          <w:w w:val="95"/>
          <w:sz w:val="20"/>
          <w:szCs w:val="20"/>
          <w:lang w:val="es-EC"/>
        </w:rPr>
        <w:t>onto deberá ser entregado</w:t>
      </w:r>
      <w:r w:rsidRPr="00831A28">
        <w:rPr>
          <w:rFonts w:ascii="Verdana" w:eastAsia="Calibri" w:hAnsi="Verdana"/>
          <w:w w:val="95"/>
          <w:sz w:val="20"/>
          <w:szCs w:val="20"/>
          <w:lang w:val="es-EC"/>
        </w:rPr>
        <w:t xml:space="preserve"> a la representante.</w:t>
      </w:r>
      <w:r w:rsidRPr="002B1610">
        <w:rPr>
          <w:rFonts w:ascii="Verdana" w:eastAsia="Calibri" w:hAnsi="Verdana"/>
          <w:w w:val="95"/>
          <w:sz w:val="20"/>
          <w:szCs w:val="20"/>
          <w:lang w:val="es-EC"/>
        </w:rPr>
        <w:t xml:space="preserve"> En la etapa de supervisión de cumplimiento de la presente Sentencia, la Corte podrá disponer el reembolso por parte del Estado a las víctimas o sus representantes de gastos posteriores razonables y debidamente comprobados</w:t>
      </w:r>
      <w:r w:rsidRPr="002B1610">
        <w:rPr>
          <w:rFonts w:ascii="Verdana" w:eastAsia="Calibri" w:hAnsi="Verdana"/>
          <w:w w:val="95"/>
          <w:sz w:val="20"/>
          <w:szCs w:val="20"/>
          <w:vertAlign w:val="superscript"/>
          <w:lang w:val="es-EC"/>
        </w:rPr>
        <w:footnoteReference w:id="369"/>
      </w:r>
      <w:bookmarkStart w:id="154" w:name="_Ref283280839"/>
      <w:r w:rsidRPr="002B1610">
        <w:rPr>
          <w:rFonts w:ascii="Verdana" w:eastAsia="Calibri" w:hAnsi="Verdana"/>
          <w:w w:val="95"/>
          <w:sz w:val="20"/>
          <w:szCs w:val="20"/>
          <w:lang w:val="es-EC"/>
        </w:rPr>
        <w:t>.</w:t>
      </w:r>
      <w:r w:rsidRPr="002B1610">
        <w:rPr>
          <w:rFonts w:ascii="Verdana" w:hAnsi="Verdana"/>
          <w:w w:val="95"/>
          <w:sz w:val="20"/>
          <w:szCs w:val="20"/>
          <w:lang w:val="es-EC"/>
        </w:rPr>
        <w:t xml:space="preserve"> </w:t>
      </w:r>
    </w:p>
    <w:p w:rsidR="00DF15C3" w:rsidRPr="002B1610" w:rsidRDefault="00DF15C3" w:rsidP="003F26FD">
      <w:pPr>
        <w:pStyle w:val="Prrafodelista"/>
        <w:spacing w:after="0" w:line="216" w:lineRule="auto"/>
        <w:ind w:left="-142" w:right="-174"/>
        <w:contextualSpacing w:val="0"/>
        <w:jc w:val="both"/>
        <w:rPr>
          <w:rFonts w:ascii="Verdana" w:hAnsi="Verdana"/>
          <w:b/>
          <w:w w:val="95"/>
          <w:sz w:val="20"/>
          <w:szCs w:val="20"/>
          <w:lang w:val="es-EC"/>
        </w:rPr>
      </w:pPr>
    </w:p>
    <w:p w:rsidR="00DF15C3" w:rsidRPr="002B1610" w:rsidRDefault="00DF15C3" w:rsidP="003F26FD">
      <w:pPr>
        <w:pStyle w:val="Prrafodelista"/>
        <w:spacing w:after="0" w:line="216" w:lineRule="auto"/>
        <w:ind w:left="284" w:right="-174"/>
        <w:contextualSpacing w:val="0"/>
        <w:jc w:val="both"/>
        <w:outlineLvl w:val="1"/>
        <w:rPr>
          <w:rFonts w:ascii="Verdana" w:hAnsi="Verdana"/>
          <w:b/>
          <w:w w:val="95"/>
          <w:sz w:val="20"/>
          <w:szCs w:val="20"/>
          <w:lang w:val="es-EC"/>
        </w:rPr>
      </w:pPr>
      <w:bookmarkStart w:id="155" w:name="_Toc394313718"/>
      <w:r w:rsidRPr="002B1610">
        <w:rPr>
          <w:rFonts w:ascii="Verdana" w:hAnsi="Verdana"/>
          <w:b/>
          <w:w w:val="95"/>
          <w:sz w:val="20"/>
          <w:szCs w:val="20"/>
          <w:lang w:val="es-EC"/>
        </w:rPr>
        <w:t>H. Reintegro de los gastos al Fondo de Asistencia Legal de Víctimas</w:t>
      </w:r>
      <w:bookmarkEnd w:id="155"/>
    </w:p>
    <w:p w:rsidR="00DF15C3" w:rsidRPr="002B1610" w:rsidRDefault="00DF15C3" w:rsidP="003F26FD">
      <w:pPr>
        <w:spacing w:after="0" w:line="216" w:lineRule="auto"/>
        <w:ind w:left="-142" w:right="-174"/>
        <w:jc w:val="both"/>
        <w:rPr>
          <w:rFonts w:ascii="Verdana" w:hAnsi="Verdana"/>
          <w:w w:val="95"/>
          <w:sz w:val="20"/>
          <w:szCs w:val="20"/>
          <w:lang w:val="es-EC"/>
        </w:rPr>
      </w:pPr>
    </w:p>
    <w:p w:rsidR="00DF15C3" w:rsidRPr="002B1610" w:rsidRDefault="00DF15C3" w:rsidP="003F26FD">
      <w:pPr>
        <w:numPr>
          <w:ilvl w:val="0"/>
          <w:numId w:val="17"/>
        </w:numPr>
        <w:spacing w:after="0" w:line="216" w:lineRule="auto"/>
        <w:ind w:left="-142" w:right="-174" w:hanging="11"/>
        <w:jc w:val="both"/>
        <w:rPr>
          <w:rFonts w:ascii="Verdana" w:hAnsi="Verdana"/>
          <w:b/>
          <w:w w:val="95"/>
          <w:sz w:val="20"/>
          <w:szCs w:val="20"/>
          <w:lang w:val="es-EC"/>
        </w:rPr>
      </w:pPr>
      <w:r w:rsidRPr="002B1610">
        <w:rPr>
          <w:rFonts w:ascii="Verdana" w:hAnsi="Verdana"/>
          <w:w w:val="95"/>
          <w:sz w:val="20"/>
          <w:szCs w:val="20"/>
          <w:lang w:val="es-CR"/>
        </w:rPr>
        <w:t>En el 2008 la Asamblea General de la Organización de los Estados Americanos creó el Fondo de Asistencia Legal del Sistema Interamericano de Derechos Humanos, con el “objeto [de] facilitar el acceso al sistema interamericano de derechos humanos a aquellas personas que actualmente no tienen los recursos necesarios para llevar su caso al sistema”</w:t>
      </w:r>
      <w:r w:rsidRPr="002B1610">
        <w:rPr>
          <w:rStyle w:val="Refdenotaalpie"/>
          <w:rFonts w:ascii="Verdana" w:eastAsia="Calibri" w:hAnsi="Verdana"/>
          <w:w w:val="95"/>
          <w:sz w:val="20"/>
          <w:lang w:val="es-CR"/>
        </w:rPr>
        <w:footnoteReference w:id="370"/>
      </w:r>
      <w:r w:rsidRPr="002B1610">
        <w:rPr>
          <w:rStyle w:val="Ttulo5Car"/>
          <w:rFonts w:eastAsia="Calibri"/>
          <w:w w:val="95"/>
          <w:sz w:val="20"/>
          <w:lang w:val="es-CR"/>
        </w:rPr>
        <w:t xml:space="preserve">. En el presente caso, mediante las </w:t>
      </w:r>
      <w:r w:rsidRPr="002B1610">
        <w:rPr>
          <w:rFonts w:ascii="Verdana" w:hAnsi="Verdana"/>
          <w:w w:val="95"/>
          <w:sz w:val="20"/>
          <w:szCs w:val="20"/>
          <w:lang w:val="es-EC"/>
        </w:rPr>
        <w:t xml:space="preserve">Resoluciones del </w:t>
      </w:r>
      <w:r>
        <w:rPr>
          <w:rFonts w:ascii="Verdana" w:hAnsi="Verdana"/>
          <w:w w:val="95"/>
          <w:sz w:val="20"/>
          <w:szCs w:val="20"/>
          <w:lang w:val="es-EC"/>
        </w:rPr>
        <w:t>Presidente</w:t>
      </w:r>
      <w:r w:rsidRPr="002B1610">
        <w:rPr>
          <w:rFonts w:ascii="Verdana" w:hAnsi="Verdana"/>
          <w:w w:val="95"/>
          <w:sz w:val="20"/>
          <w:szCs w:val="20"/>
          <w:lang w:val="es-EC"/>
        </w:rPr>
        <w:t xml:space="preserve"> de 8 de enero de 2013 y 10 de abril de 2013</w:t>
      </w:r>
      <w:r w:rsidRPr="002B1610">
        <w:rPr>
          <w:rStyle w:val="Ttulo5Car"/>
          <w:rFonts w:eastAsia="Calibri"/>
          <w:w w:val="95"/>
          <w:sz w:val="20"/>
          <w:lang w:val="es-CR"/>
        </w:rPr>
        <w:t xml:space="preserve"> (</w:t>
      </w:r>
      <w:r w:rsidRPr="00FA4467">
        <w:rPr>
          <w:rStyle w:val="Ttulo5Car"/>
          <w:rFonts w:eastAsia="Calibri"/>
          <w:i/>
          <w:w w:val="95"/>
          <w:sz w:val="20"/>
          <w:lang w:val="es-CR"/>
        </w:rPr>
        <w:t>supra</w:t>
      </w:r>
      <w:r w:rsidRPr="002B1610">
        <w:rPr>
          <w:rStyle w:val="Ttulo5Car"/>
          <w:rFonts w:eastAsia="Calibri"/>
          <w:w w:val="95"/>
          <w:sz w:val="20"/>
          <w:lang w:val="es-CR"/>
        </w:rPr>
        <w:t xml:space="preserve"> </w:t>
      </w:r>
      <w:r w:rsidRPr="008438D1">
        <w:rPr>
          <w:rStyle w:val="Ttulo5Car"/>
          <w:rFonts w:eastAsia="Calibri"/>
          <w:w w:val="95"/>
          <w:sz w:val="20"/>
          <w:lang w:val="es-CR"/>
        </w:rPr>
        <w:t>párr</w:t>
      </w:r>
      <w:r w:rsidR="001E5946">
        <w:rPr>
          <w:rStyle w:val="Ttulo5Car"/>
          <w:rFonts w:eastAsia="Calibri"/>
          <w:w w:val="95"/>
          <w:sz w:val="20"/>
          <w:lang w:val="es-CR"/>
        </w:rPr>
        <w:t>s</w:t>
      </w:r>
      <w:r w:rsidRPr="008438D1">
        <w:rPr>
          <w:rStyle w:val="Ttulo5Car"/>
          <w:rFonts w:eastAsia="Calibri"/>
          <w:w w:val="95"/>
          <w:sz w:val="20"/>
          <w:lang w:val="es-CR"/>
        </w:rPr>
        <w:t>. 9</w:t>
      </w:r>
      <w:r w:rsidR="001E5946">
        <w:rPr>
          <w:rStyle w:val="Ttulo5Car"/>
          <w:rFonts w:eastAsia="Calibri"/>
          <w:w w:val="95"/>
          <w:sz w:val="20"/>
          <w:lang w:val="es-CR"/>
        </w:rPr>
        <w:t xml:space="preserve"> y 11</w:t>
      </w:r>
      <w:r w:rsidRPr="002B1610">
        <w:rPr>
          <w:rStyle w:val="Ttulo5Car"/>
          <w:rFonts w:eastAsia="Calibri"/>
          <w:w w:val="95"/>
          <w:sz w:val="20"/>
          <w:lang w:val="es-CR"/>
        </w:rPr>
        <w:t xml:space="preserve">) se dispuso la asistencia del Fondo de Asistencia Legal para sufragar los gastos razonables y necesarios, que en el presente caso </w:t>
      </w:r>
      <w:r w:rsidRPr="002B1610">
        <w:rPr>
          <w:rFonts w:ascii="Verdana" w:hAnsi="Verdana"/>
          <w:w w:val="95"/>
          <w:sz w:val="20"/>
          <w:szCs w:val="20"/>
          <w:lang w:val="es-CR"/>
        </w:rPr>
        <w:t xml:space="preserve">consistieron en: i) los gastos de viaje y estadía necesarios para que Rosa Elvira Franco Sandoval y María Eugenia Solís asistieran a la audiencia pública, y ii) los gastos de formalización y envío de las declaraciones de la víctimas Leonel Enrique </w:t>
      </w:r>
      <w:r w:rsidR="0050766B" w:rsidRPr="002B1610">
        <w:rPr>
          <w:rFonts w:ascii="Verdana" w:hAnsi="Verdana"/>
          <w:w w:val="95"/>
          <w:sz w:val="20"/>
          <w:szCs w:val="20"/>
          <w:lang w:val="es-CR"/>
        </w:rPr>
        <w:t>V</w:t>
      </w:r>
      <w:r w:rsidR="0050766B">
        <w:rPr>
          <w:rFonts w:ascii="Verdana" w:hAnsi="Verdana"/>
          <w:w w:val="95"/>
          <w:sz w:val="20"/>
          <w:szCs w:val="20"/>
          <w:lang w:val="es-CR"/>
        </w:rPr>
        <w:t>e</w:t>
      </w:r>
      <w:r w:rsidR="0050766B" w:rsidRPr="002B1610">
        <w:rPr>
          <w:rFonts w:ascii="Verdana" w:hAnsi="Verdana"/>
          <w:w w:val="95"/>
          <w:sz w:val="20"/>
          <w:szCs w:val="20"/>
          <w:lang w:val="es-CR"/>
        </w:rPr>
        <w:t xml:space="preserve">liz </w:t>
      </w:r>
      <w:r w:rsidRPr="002B1610">
        <w:rPr>
          <w:rFonts w:ascii="Verdana" w:hAnsi="Verdana"/>
          <w:w w:val="95"/>
          <w:sz w:val="20"/>
          <w:szCs w:val="20"/>
          <w:lang w:val="es-CR"/>
        </w:rPr>
        <w:t>Franco y José Roberto Franco rendidas ante fedatario público.</w:t>
      </w:r>
    </w:p>
    <w:p w:rsidR="00DF15C3" w:rsidRPr="002B1610" w:rsidRDefault="00DF15C3" w:rsidP="003F26FD">
      <w:pPr>
        <w:spacing w:after="0" w:line="216" w:lineRule="auto"/>
        <w:ind w:left="-142" w:right="-174" w:hanging="11"/>
        <w:jc w:val="both"/>
        <w:rPr>
          <w:rFonts w:ascii="Verdana" w:hAnsi="Verdana"/>
          <w:b/>
          <w:w w:val="95"/>
          <w:sz w:val="20"/>
          <w:szCs w:val="20"/>
          <w:lang w:val="es-EC"/>
        </w:rPr>
      </w:pPr>
    </w:p>
    <w:p w:rsidR="00DF15C3" w:rsidRPr="002B1610" w:rsidRDefault="00DF15C3" w:rsidP="003F26FD">
      <w:pPr>
        <w:numPr>
          <w:ilvl w:val="0"/>
          <w:numId w:val="17"/>
        </w:numPr>
        <w:spacing w:after="0" w:line="216" w:lineRule="auto"/>
        <w:ind w:left="-142" w:right="-174" w:hanging="11"/>
        <w:jc w:val="both"/>
        <w:rPr>
          <w:rFonts w:ascii="Verdana" w:hAnsi="Verdana"/>
          <w:b/>
          <w:w w:val="95"/>
          <w:sz w:val="20"/>
          <w:szCs w:val="20"/>
          <w:lang w:val="es-EC"/>
        </w:rPr>
      </w:pPr>
      <w:r w:rsidRPr="002B1610">
        <w:rPr>
          <w:rFonts w:ascii="Verdana" w:hAnsi="Verdana"/>
          <w:w w:val="95"/>
          <w:sz w:val="20"/>
          <w:szCs w:val="20"/>
          <w:lang w:val="es-CR"/>
        </w:rPr>
        <w:t>Más adelante, mediante nota de Secretaría de 28 de agosto de 2013, se dio oportunidad procesal al Estado de presentar sus observaciones al informe sobre las erogaciones realizadas en aplicación del Fondo de Asistencia Legal de Víctimas. En su escrito de observaciones, y anteriormente en su contestación, el Estado manifestó que: a)</w:t>
      </w:r>
      <w:r w:rsidRPr="002B1610">
        <w:rPr>
          <w:rFonts w:ascii="Verdana" w:hAnsi="Verdana"/>
          <w:w w:val="95"/>
          <w:sz w:val="20"/>
          <w:szCs w:val="20"/>
          <w:lang w:val="es-EC"/>
        </w:rPr>
        <w:t xml:space="preserve"> “no puede aceptar que se le condene en el presente caso […] porque no se considera responsable de ninguna de las  presuntas violaciones; b) debido a que el objetivo principal de recurrir [ante la] Corte […] no es el de que las supuestas víctimas puedan enriquecerse a expensas del Estado”; c) como la representante alter</w:t>
      </w:r>
      <w:r>
        <w:rPr>
          <w:rFonts w:ascii="Verdana" w:hAnsi="Verdana"/>
          <w:w w:val="95"/>
          <w:sz w:val="20"/>
          <w:szCs w:val="20"/>
          <w:lang w:val="es-EC"/>
        </w:rPr>
        <w:t>ó</w:t>
      </w:r>
      <w:r w:rsidRPr="002B1610">
        <w:rPr>
          <w:rFonts w:ascii="Verdana" w:hAnsi="Verdana"/>
          <w:w w:val="95"/>
          <w:sz w:val="20"/>
          <w:szCs w:val="20"/>
          <w:lang w:val="es-EC"/>
        </w:rPr>
        <w:t xml:space="preserve"> “los documentos contables relacionados al gasto incurrido por servicios funerarios” y que “el principio de buena fe, economía procesal y verdad sabida han sido transgredidos”, se opone a reembolsar alguna suma de dinero a la supuesta víctima y a su representante, y d) no considera justo reembolsar montos de dinero al Fondo de Asistencia Legal de Víctimas, ya que [según el Estado como] iba a ser cubierto con éste, hubo un aumento innecesario e injustificado en el costo”. </w:t>
      </w:r>
    </w:p>
    <w:p w:rsidR="00DF15C3" w:rsidRPr="002B1610" w:rsidRDefault="00DF15C3" w:rsidP="003F26FD">
      <w:pPr>
        <w:spacing w:after="0" w:line="216" w:lineRule="auto"/>
        <w:ind w:left="-142" w:right="-174" w:hanging="11"/>
        <w:jc w:val="both"/>
        <w:rPr>
          <w:rFonts w:ascii="Verdana" w:hAnsi="Verdana"/>
          <w:b/>
          <w:w w:val="95"/>
          <w:sz w:val="20"/>
          <w:szCs w:val="20"/>
          <w:lang w:val="es-EC"/>
        </w:rPr>
      </w:pPr>
    </w:p>
    <w:p w:rsidR="00DF15C3" w:rsidRPr="002B1610" w:rsidRDefault="00DF15C3" w:rsidP="003F26FD">
      <w:pPr>
        <w:numPr>
          <w:ilvl w:val="0"/>
          <w:numId w:val="17"/>
        </w:numPr>
        <w:spacing w:after="0" w:line="216" w:lineRule="auto"/>
        <w:ind w:left="-142" w:right="-174" w:hanging="11"/>
        <w:jc w:val="both"/>
        <w:rPr>
          <w:rFonts w:ascii="Verdana" w:hAnsi="Verdana"/>
          <w:b/>
          <w:w w:val="95"/>
          <w:sz w:val="20"/>
          <w:szCs w:val="20"/>
          <w:lang w:val="es-EC"/>
        </w:rPr>
      </w:pPr>
      <w:r w:rsidRPr="002B1610">
        <w:rPr>
          <w:rFonts w:ascii="Verdana" w:hAnsi="Verdana"/>
          <w:w w:val="95"/>
          <w:sz w:val="20"/>
          <w:szCs w:val="20"/>
          <w:lang w:val="es-CR"/>
        </w:rPr>
        <w:t xml:space="preserve">De acuerdo con la información que figura en el informe </w:t>
      </w:r>
      <w:r w:rsidRPr="002B1610">
        <w:rPr>
          <w:rFonts w:ascii="Verdana" w:hAnsi="Verdana"/>
          <w:w w:val="95"/>
          <w:sz w:val="20"/>
          <w:szCs w:val="20"/>
          <w:lang w:val="es-CL"/>
        </w:rPr>
        <w:t xml:space="preserve">sobre las erogaciones realizadas en el presente caso, las mismas ascendieron a la suma </w:t>
      </w:r>
      <w:r w:rsidRPr="002B1610">
        <w:rPr>
          <w:rFonts w:ascii="Verdana" w:hAnsi="Verdana"/>
          <w:w w:val="95"/>
          <w:sz w:val="20"/>
          <w:szCs w:val="20"/>
          <w:lang w:val="es-EC"/>
        </w:rPr>
        <w:t xml:space="preserve">de US$2,117.99 (dos mil ciento diecisiete y </w:t>
      </w:r>
      <w:r w:rsidR="00B42B4D">
        <w:rPr>
          <w:rFonts w:ascii="Verdana" w:hAnsi="Verdana"/>
          <w:w w:val="95"/>
          <w:sz w:val="20"/>
          <w:szCs w:val="20"/>
          <w:lang w:val="es-EC"/>
        </w:rPr>
        <w:t xml:space="preserve">dólares </w:t>
      </w:r>
      <w:r w:rsidRPr="002B1610">
        <w:rPr>
          <w:rFonts w:ascii="Verdana" w:hAnsi="Verdana"/>
          <w:w w:val="95"/>
          <w:sz w:val="20"/>
          <w:szCs w:val="20"/>
          <w:lang w:val="es-EC"/>
        </w:rPr>
        <w:t>de los Estados Unidos de América</w:t>
      </w:r>
      <w:r w:rsidR="00B42B4D" w:rsidRPr="00B42B4D">
        <w:rPr>
          <w:rFonts w:ascii="Verdana" w:hAnsi="Verdana"/>
          <w:w w:val="95"/>
          <w:sz w:val="20"/>
          <w:szCs w:val="20"/>
          <w:lang w:val="es-EC"/>
        </w:rPr>
        <w:t xml:space="preserve"> </w:t>
      </w:r>
      <w:r w:rsidR="00B42B4D">
        <w:rPr>
          <w:rFonts w:ascii="Verdana" w:hAnsi="Verdana"/>
          <w:w w:val="95"/>
          <w:sz w:val="20"/>
          <w:szCs w:val="20"/>
          <w:lang w:val="es-EC"/>
        </w:rPr>
        <w:t>con</w:t>
      </w:r>
      <w:r w:rsidR="00B42B4D" w:rsidRPr="002B1610">
        <w:rPr>
          <w:rFonts w:ascii="Verdana" w:hAnsi="Verdana"/>
          <w:w w:val="95"/>
          <w:sz w:val="20"/>
          <w:szCs w:val="20"/>
          <w:lang w:val="es-EC"/>
        </w:rPr>
        <w:t xml:space="preserve"> noventa nueve céntimos</w:t>
      </w:r>
      <w:r w:rsidRPr="002B1610">
        <w:rPr>
          <w:rFonts w:ascii="Verdana" w:hAnsi="Verdana"/>
          <w:w w:val="95"/>
          <w:sz w:val="20"/>
          <w:szCs w:val="20"/>
          <w:lang w:val="es-EC"/>
        </w:rPr>
        <w:t>). Corresponde al Tribunal, en aplicación del artículo 5 del Reglamento del Fondo, evaluar la procedencia de ordenar al Estado demandado el reintegro al Fondo de Asistencia Legal de las erogaciones en que se hubiese incurrido.</w:t>
      </w:r>
      <w:r w:rsidRPr="002B1610">
        <w:rPr>
          <w:rFonts w:ascii="Verdana" w:hAnsi="Verdana"/>
          <w:w w:val="95"/>
          <w:sz w:val="18"/>
          <w:szCs w:val="18"/>
          <w:lang w:val="es-EC"/>
        </w:rPr>
        <w:t xml:space="preserve"> </w:t>
      </w:r>
    </w:p>
    <w:p w:rsidR="00DF15C3" w:rsidRPr="002B1610" w:rsidRDefault="00DF15C3" w:rsidP="003F26FD">
      <w:pPr>
        <w:pStyle w:val="Prrafodelista"/>
        <w:spacing w:after="0" w:line="216" w:lineRule="auto"/>
        <w:ind w:left="-142" w:right="-174" w:hanging="11"/>
        <w:jc w:val="both"/>
        <w:rPr>
          <w:rStyle w:val="Ttulo5Car"/>
          <w:rFonts w:eastAsia="Calibri"/>
          <w:w w:val="95"/>
          <w:sz w:val="20"/>
          <w:lang w:val="es-CR"/>
        </w:rPr>
      </w:pPr>
    </w:p>
    <w:p w:rsidR="00DF15C3" w:rsidRPr="002B1610" w:rsidRDefault="00DF15C3" w:rsidP="003F26FD">
      <w:pPr>
        <w:numPr>
          <w:ilvl w:val="0"/>
          <w:numId w:val="17"/>
        </w:numPr>
        <w:spacing w:after="0" w:line="216" w:lineRule="auto"/>
        <w:ind w:left="-142" w:right="-174" w:hanging="11"/>
        <w:jc w:val="both"/>
        <w:rPr>
          <w:rFonts w:ascii="Verdana" w:hAnsi="Verdana"/>
          <w:b/>
          <w:w w:val="95"/>
          <w:sz w:val="20"/>
          <w:szCs w:val="20"/>
          <w:lang w:val="es-EC"/>
        </w:rPr>
      </w:pPr>
      <w:r w:rsidRPr="00011561">
        <w:rPr>
          <w:rStyle w:val="Ttulo5Car"/>
          <w:rFonts w:eastAsia="Calibri"/>
          <w:w w:val="95"/>
          <w:sz w:val="20"/>
          <w:szCs w:val="20"/>
          <w:lang w:val="es-CR"/>
        </w:rPr>
        <w:t xml:space="preserve"> </w:t>
      </w:r>
      <w:bookmarkStart w:id="156" w:name="_Toc384712040"/>
      <w:bookmarkStart w:id="157" w:name="_Toc384720362"/>
      <w:bookmarkStart w:id="158" w:name="_Toc384720511"/>
      <w:bookmarkStart w:id="159" w:name="_Toc392856575"/>
      <w:bookmarkStart w:id="160" w:name="_Toc393724793"/>
      <w:bookmarkStart w:id="161" w:name="_Toc393726292"/>
      <w:bookmarkStart w:id="162" w:name="_Toc393726511"/>
      <w:bookmarkStart w:id="163" w:name="_Toc393728233"/>
      <w:bookmarkStart w:id="164" w:name="_Toc393728723"/>
      <w:bookmarkStart w:id="165" w:name="_Toc394313719"/>
      <w:bookmarkStart w:id="166" w:name="_Toc378081833"/>
      <w:bookmarkStart w:id="167" w:name="_Toc381901703"/>
      <w:r w:rsidRPr="00011561">
        <w:rPr>
          <w:rStyle w:val="Ttulo5Car"/>
          <w:rFonts w:eastAsia="Calibri"/>
          <w:w w:val="95"/>
          <w:sz w:val="20"/>
          <w:szCs w:val="20"/>
          <w:lang w:val="es-CR"/>
        </w:rPr>
        <w:t>Con respecto a lo anterior, la Corte reitera lo señalado en la Resolución de su Presidente de 8 de</w:t>
      </w:r>
      <w:bookmarkEnd w:id="156"/>
      <w:bookmarkEnd w:id="157"/>
      <w:bookmarkEnd w:id="158"/>
      <w:bookmarkEnd w:id="159"/>
      <w:bookmarkEnd w:id="160"/>
      <w:bookmarkEnd w:id="161"/>
      <w:bookmarkEnd w:id="162"/>
      <w:bookmarkEnd w:id="163"/>
      <w:bookmarkEnd w:id="164"/>
      <w:bookmarkEnd w:id="165"/>
      <w:r w:rsidRPr="00011561">
        <w:rPr>
          <w:rStyle w:val="Ttulo5Car"/>
          <w:rFonts w:eastAsia="Calibri"/>
          <w:w w:val="95"/>
          <w:sz w:val="20"/>
          <w:szCs w:val="20"/>
          <w:lang w:val="es-CR"/>
        </w:rPr>
        <w:t xml:space="preserve"> </w:t>
      </w:r>
      <w:r w:rsidRPr="00011561">
        <w:rPr>
          <w:rFonts w:ascii="Verdana" w:hAnsi="Verdana"/>
          <w:bCs/>
          <w:iCs/>
          <w:sz w:val="20"/>
          <w:szCs w:val="20"/>
          <w:lang w:val="es-CL"/>
        </w:rPr>
        <w:t>enero</w:t>
      </w:r>
      <w:r w:rsidRPr="00011561">
        <w:rPr>
          <w:rStyle w:val="Ttulo5Car"/>
          <w:rFonts w:eastAsia="Calibri"/>
          <w:w w:val="95"/>
          <w:sz w:val="20"/>
          <w:szCs w:val="20"/>
          <w:lang w:val="es-CR"/>
        </w:rPr>
        <w:t xml:space="preserve"> de 2013, mediante la cual se señaló que la solicitud para acogerse al Fondo de Asistencia fue realizada oportunamente en el escrito de solicitudes y argumentos y que la representante había indicado con precisión cuál es la asistencia del referido Fondo que requerían las presuntas víctimas (</w:t>
      </w:r>
      <w:r w:rsidRPr="00011561">
        <w:rPr>
          <w:rStyle w:val="Ttulo5Car"/>
          <w:rFonts w:eastAsia="Calibri"/>
          <w:i/>
          <w:w w:val="95"/>
          <w:sz w:val="20"/>
          <w:szCs w:val="20"/>
          <w:lang w:val="es-CR"/>
        </w:rPr>
        <w:t>supra</w:t>
      </w:r>
      <w:r w:rsidRPr="001E0CE4">
        <w:rPr>
          <w:rStyle w:val="Ttulo5Car"/>
          <w:rFonts w:eastAsia="Calibri"/>
          <w:w w:val="95"/>
          <w:sz w:val="20"/>
          <w:lang w:val="es-CR"/>
        </w:rPr>
        <w:t xml:space="preserve"> párr. </w:t>
      </w:r>
      <w:r w:rsidR="008438D1" w:rsidRPr="001E0CE4">
        <w:rPr>
          <w:rStyle w:val="Ttulo5Car"/>
          <w:rFonts w:eastAsia="Calibri"/>
          <w:w w:val="95"/>
          <w:sz w:val="20"/>
          <w:lang w:val="es-CR"/>
        </w:rPr>
        <w:t>9</w:t>
      </w:r>
      <w:r w:rsidRPr="001E0CE4">
        <w:rPr>
          <w:rStyle w:val="Ttulo5Car"/>
          <w:rFonts w:eastAsia="Calibri"/>
          <w:w w:val="95"/>
          <w:sz w:val="20"/>
          <w:lang w:val="es-CR"/>
        </w:rPr>
        <w:t>). Además, tal como fue señalado en la referida resolución, la Corte reitera que la aplicación del Fondo</w:t>
      </w:r>
      <w:r w:rsidRPr="002B1610">
        <w:rPr>
          <w:rStyle w:val="Ttulo5Car"/>
          <w:rFonts w:eastAsia="Calibri"/>
          <w:w w:val="95"/>
          <w:sz w:val="20"/>
          <w:lang w:val="es-CR"/>
        </w:rPr>
        <w:t xml:space="preserve"> de Asistencia debe estar encaminada a solventar los gastos razonables y necesarios relacionados co</w:t>
      </w:r>
      <w:r w:rsidRPr="002B1610">
        <w:rPr>
          <w:rStyle w:val="Ttulo5Car"/>
          <w:rFonts w:eastAsia="Calibri" w:cs="Verdana"/>
          <w:w w:val="95"/>
          <w:sz w:val="20"/>
          <w:lang w:val="es-ES"/>
        </w:rPr>
        <w:t>n</w:t>
      </w:r>
      <w:bookmarkEnd w:id="166"/>
      <w:bookmarkEnd w:id="167"/>
      <w:r w:rsidRPr="002B1610">
        <w:rPr>
          <w:rFonts w:ascii="Verdana" w:hAnsi="Verdana" w:cs="Verdana"/>
          <w:w w:val="95"/>
          <w:sz w:val="20"/>
          <w:szCs w:val="20"/>
          <w:lang w:val="es-ES"/>
        </w:rPr>
        <w:t xml:space="preserve"> la producción de prueba ante el Tribunal, específicamente para la presentación de un máximo de cuatro declaraciones, sea por</w:t>
      </w:r>
      <w:r w:rsidRPr="002B1610">
        <w:rPr>
          <w:rFonts w:ascii="Verdana" w:hAnsi="Verdana" w:cs="Verdana"/>
          <w:i/>
          <w:iCs/>
          <w:w w:val="95"/>
          <w:sz w:val="20"/>
          <w:szCs w:val="20"/>
          <w:lang w:val="es-ES"/>
        </w:rPr>
        <w:t xml:space="preserve"> affidávit </w:t>
      </w:r>
      <w:r w:rsidRPr="002B1610">
        <w:rPr>
          <w:rFonts w:ascii="Verdana" w:hAnsi="Verdana" w:cs="Verdana"/>
          <w:w w:val="95"/>
          <w:sz w:val="20"/>
          <w:szCs w:val="20"/>
          <w:lang w:val="es-ES"/>
        </w:rPr>
        <w:t>o en audiencia pública</w:t>
      </w:r>
      <w:r w:rsidRPr="002B1610">
        <w:rPr>
          <w:rFonts w:ascii="Verdana" w:hAnsi="Verdana" w:cs="Verdana"/>
          <w:w w:val="95"/>
          <w:sz w:val="20"/>
          <w:szCs w:val="20"/>
          <w:lang w:val="es-EC"/>
        </w:rPr>
        <w:t>.</w:t>
      </w:r>
      <w:bookmarkEnd w:id="154"/>
    </w:p>
    <w:p w:rsidR="00DF15C3" w:rsidRPr="002B1610" w:rsidRDefault="00DF15C3" w:rsidP="003F26FD">
      <w:pPr>
        <w:pStyle w:val="Prrafodelista"/>
        <w:spacing w:after="0" w:line="216" w:lineRule="auto"/>
        <w:ind w:left="-142" w:right="-174" w:hanging="11"/>
        <w:jc w:val="both"/>
        <w:rPr>
          <w:rFonts w:ascii="Verdana" w:hAnsi="Verdana"/>
          <w:w w:val="95"/>
          <w:sz w:val="20"/>
          <w:szCs w:val="20"/>
          <w:lang w:val="es-EC"/>
        </w:rPr>
      </w:pPr>
    </w:p>
    <w:p w:rsidR="00DF15C3" w:rsidRPr="002B1610" w:rsidRDefault="00DF15C3" w:rsidP="003F26FD">
      <w:pPr>
        <w:numPr>
          <w:ilvl w:val="0"/>
          <w:numId w:val="17"/>
        </w:numPr>
        <w:spacing w:after="0" w:line="216" w:lineRule="auto"/>
        <w:ind w:left="-142" w:right="-174" w:hanging="11"/>
        <w:jc w:val="both"/>
        <w:rPr>
          <w:rFonts w:ascii="Verdana" w:hAnsi="Verdana"/>
          <w:b/>
          <w:w w:val="95"/>
          <w:sz w:val="20"/>
          <w:szCs w:val="20"/>
          <w:lang w:val="es-EC"/>
        </w:rPr>
      </w:pPr>
      <w:r w:rsidRPr="002B1610">
        <w:rPr>
          <w:rFonts w:ascii="Verdana" w:hAnsi="Verdana"/>
          <w:w w:val="95"/>
          <w:sz w:val="20"/>
          <w:szCs w:val="20"/>
          <w:lang w:val="es-EC"/>
        </w:rPr>
        <w:t>Ahora</w:t>
      </w:r>
      <w:r w:rsidRPr="002B1610">
        <w:rPr>
          <w:rFonts w:ascii="Verdana" w:hAnsi="Verdana"/>
          <w:b/>
          <w:w w:val="95"/>
          <w:sz w:val="20"/>
          <w:szCs w:val="20"/>
          <w:lang w:val="es-EC"/>
        </w:rPr>
        <w:t xml:space="preserve"> </w:t>
      </w:r>
      <w:r w:rsidRPr="002B1610">
        <w:rPr>
          <w:rFonts w:ascii="Verdana" w:hAnsi="Verdana"/>
          <w:w w:val="95"/>
          <w:sz w:val="20"/>
          <w:szCs w:val="20"/>
          <w:lang w:val="es-EC"/>
        </w:rPr>
        <w:t>bien,</w:t>
      </w:r>
      <w:r w:rsidRPr="002B1610">
        <w:rPr>
          <w:rFonts w:ascii="Verdana" w:hAnsi="Verdana"/>
          <w:b/>
          <w:w w:val="95"/>
          <w:sz w:val="20"/>
          <w:szCs w:val="20"/>
          <w:lang w:val="es-EC"/>
        </w:rPr>
        <w:t xml:space="preserve"> </w:t>
      </w:r>
      <w:r w:rsidRPr="002B1610">
        <w:rPr>
          <w:rFonts w:ascii="Verdana" w:hAnsi="Verdana"/>
          <w:w w:val="95"/>
          <w:sz w:val="20"/>
          <w:szCs w:val="20"/>
          <w:lang w:val="es-EC"/>
        </w:rPr>
        <w:t xml:space="preserve">el Estado </w:t>
      </w:r>
      <w:r w:rsidRPr="002B1610">
        <w:rPr>
          <w:rFonts w:ascii="Verdana" w:hAnsi="Verdana"/>
          <w:w w:val="95"/>
          <w:sz w:val="20"/>
          <w:szCs w:val="20"/>
          <w:lang w:val="es-CR"/>
        </w:rPr>
        <w:t xml:space="preserve">se opone a reembolsar los montos al Fondo de Víctimas porque “hubo un aumento innecesario en el costo” en relación con los </w:t>
      </w:r>
      <w:r w:rsidRPr="002B1610">
        <w:rPr>
          <w:rFonts w:ascii="Verdana" w:hAnsi="Verdana"/>
          <w:i/>
          <w:w w:val="95"/>
          <w:sz w:val="20"/>
          <w:szCs w:val="20"/>
          <w:lang w:val="es-CR"/>
        </w:rPr>
        <w:t>affidávits</w:t>
      </w:r>
      <w:r w:rsidRPr="002B1610">
        <w:rPr>
          <w:rFonts w:ascii="Verdana" w:hAnsi="Verdana"/>
          <w:w w:val="95"/>
          <w:sz w:val="20"/>
          <w:szCs w:val="20"/>
          <w:lang w:val="es-CR"/>
        </w:rPr>
        <w:t xml:space="preserve"> rendidos, porque según el Estado iba hacer cubierto por éste. La Corte advierte que el Estado no ha cuestionado la autenticidad o veracidad de los comprobantes de gastos, sino que ha aseverado que el costo de los </w:t>
      </w:r>
      <w:r w:rsidRPr="002B1610">
        <w:rPr>
          <w:rFonts w:ascii="Verdana" w:hAnsi="Verdana"/>
          <w:i/>
          <w:w w:val="95"/>
          <w:sz w:val="20"/>
          <w:szCs w:val="20"/>
          <w:lang w:val="es-CR"/>
        </w:rPr>
        <w:t>affidávits</w:t>
      </w:r>
      <w:r w:rsidRPr="002B1610">
        <w:rPr>
          <w:rFonts w:ascii="Verdana" w:hAnsi="Verdana"/>
          <w:w w:val="95"/>
          <w:sz w:val="20"/>
          <w:szCs w:val="20"/>
          <w:lang w:val="es-CR"/>
        </w:rPr>
        <w:t xml:space="preserve"> podría haber sido menor. </w:t>
      </w:r>
    </w:p>
    <w:p w:rsidR="00DF15C3" w:rsidRPr="002B1610" w:rsidRDefault="00DF15C3" w:rsidP="003F26FD">
      <w:pPr>
        <w:pStyle w:val="Prrafodelista"/>
        <w:spacing w:after="0" w:line="216" w:lineRule="auto"/>
        <w:ind w:left="-142" w:right="-174" w:hanging="11"/>
        <w:jc w:val="both"/>
        <w:rPr>
          <w:rFonts w:ascii="Verdana" w:hAnsi="Verdana"/>
          <w:w w:val="95"/>
          <w:sz w:val="20"/>
          <w:szCs w:val="20"/>
          <w:lang w:val="es-CR"/>
        </w:rPr>
      </w:pPr>
    </w:p>
    <w:p w:rsidR="00DF15C3" w:rsidRPr="002B1610" w:rsidRDefault="00DF15C3" w:rsidP="003F26FD">
      <w:pPr>
        <w:numPr>
          <w:ilvl w:val="0"/>
          <w:numId w:val="17"/>
        </w:numPr>
        <w:spacing w:after="0" w:line="216" w:lineRule="auto"/>
        <w:ind w:left="-142" w:right="-174" w:hanging="11"/>
        <w:jc w:val="both"/>
        <w:rPr>
          <w:rFonts w:ascii="Verdana" w:hAnsi="Verdana"/>
          <w:b/>
          <w:w w:val="95"/>
          <w:sz w:val="20"/>
          <w:szCs w:val="20"/>
          <w:lang w:val="es-EC"/>
        </w:rPr>
      </w:pPr>
      <w:r w:rsidRPr="002B1610">
        <w:rPr>
          <w:rFonts w:ascii="Verdana" w:hAnsi="Verdana"/>
          <w:w w:val="95"/>
          <w:sz w:val="20"/>
          <w:szCs w:val="20"/>
          <w:lang w:val="es-CR"/>
        </w:rPr>
        <w:t>La representante, en sus observaciones a los alegatos finales del Estado, señal</w:t>
      </w:r>
      <w:r>
        <w:rPr>
          <w:rFonts w:ascii="Verdana" w:hAnsi="Verdana"/>
          <w:w w:val="95"/>
          <w:sz w:val="20"/>
          <w:szCs w:val="20"/>
          <w:lang w:val="es-CR"/>
        </w:rPr>
        <w:t>ó</w:t>
      </w:r>
      <w:r w:rsidRPr="002B1610">
        <w:rPr>
          <w:rFonts w:ascii="Verdana" w:hAnsi="Verdana"/>
          <w:w w:val="95"/>
          <w:sz w:val="20"/>
          <w:szCs w:val="20"/>
          <w:lang w:val="es-CR"/>
        </w:rPr>
        <w:t xml:space="preserve"> que “CONAPREVI en el momento que se realizó la cotización tenía aproximadamente un año de haber paralizado sus acciones”, y que</w:t>
      </w:r>
      <w:r w:rsidRPr="002B1610">
        <w:rPr>
          <w:rFonts w:ascii="Verdana" w:hAnsi="Verdana"/>
          <w:w w:val="95"/>
          <w:sz w:val="20"/>
          <w:szCs w:val="20"/>
          <w:lang w:val="es-EC"/>
        </w:rPr>
        <w:t xml:space="preserve"> </w:t>
      </w:r>
      <w:r w:rsidRPr="002B1610">
        <w:rPr>
          <w:rFonts w:ascii="Verdana" w:hAnsi="Verdana"/>
          <w:w w:val="95"/>
          <w:sz w:val="20"/>
          <w:szCs w:val="20"/>
          <w:lang w:val="es-CR"/>
        </w:rPr>
        <w:t xml:space="preserve">“se desconocen las razones por las cuales el [a]bogado ha establecido un cobro diferenciado a la cotización realizada por la [a]bogada Irini Villavicencio (en nombre de CONAPREVI) situación que no es responsabilidad de esta representación”.  </w:t>
      </w:r>
    </w:p>
    <w:p w:rsidR="00DF15C3" w:rsidRPr="002B1610" w:rsidRDefault="00DF15C3" w:rsidP="003F26FD">
      <w:pPr>
        <w:spacing w:after="0" w:line="216" w:lineRule="auto"/>
        <w:ind w:right="-174"/>
        <w:jc w:val="both"/>
        <w:rPr>
          <w:rFonts w:ascii="Verdana" w:hAnsi="Verdana"/>
          <w:b/>
          <w:w w:val="95"/>
          <w:sz w:val="20"/>
          <w:szCs w:val="20"/>
          <w:lang w:val="es-EC"/>
        </w:rPr>
      </w:pPr>
    </w:p>
    <w:p w:rsidR="00DF15C3" w:rsidRPr="002B1610" w:rsidRDefault="00DF15C3" w:rsidP="003F26FD">
      <w:pPr>
        <w:numPr>
          <w:ilvl w:val="0"/>
          <w:numId w:val="17"/>
        </w:numPr>
        <w:spacing w:after="0" w:line="216" w:lineRule="auto"/>
        <w:ind w:left="-142" w:right="-174" w:hanging="11"/>
        <w:jc w:val="both"/>
        <w:rPr>
          <w:rFonts w:ascii="Verdana" w:hAnsi="Verdana"/>
          <w:b/>
          <w:w w:val="95"/>
          <w:sz w:val="20"/>
          <w:szCs w:val="20"/>
          <w:lang w:val="es-EC"/>
        </w:rPr>
      </w:pPr>
      <w:r w:rsidRPr="002B1610">
        <w:rPr>
          <w:rFonts w:ascii="Verdana" w:hAnsi="Verdana"/>
          <w:w w:val="95"/>
          <w:sz w:val="20"/>
          <w:szCs w:val="20"/>
          <w:lang w:val="es-CR"/>
        </w:rPr>
        <w:t>Al respecto, esta Corte constató que los comprobantes de pago presentados por la representante sobre el costo de las declaraciones rendidas mediante fedatario público, frente los comprobantes presentados por el Estado, p</w:t>
      </w:r>
      <w:r w:rsidR="00FA4467">
        <w:rPr>
          <w:rFonts w:ascii="Verdana" w:hAnsi="Verdana"/>
          <w:w w:val="95"/>
          <w:sz w:val="20"/>
          <w:szCs w:val="20"/>
          <w:lang w:val="es-CR"/>
        </w:rPr>
        <w:t xml:space="preserve">resentan una diferencia de Q800.00 </w:t>
      </w:r>
      <w:r w:rsidRPr="002B1610">
        <w:rPr>
          <w:rFonts w:ascii="Verdana" w:hAnsi="Verdana"/>
          <w:w w:val="95"/>
          <w:sz w:val="20"/>
          <w:szCs w:val="20"/>
          <w:lang w:val="es-CR"/>
        </w:rPr>
        <w:t xml:space="preserve">(ochocientos quetzales). No obstante, esta circunstancia no afecta el hecho del gasto efectivamente realizado, por lo que no considera pertinente profundizar sobre este punto ni sobre las demás erogaciones relacionadas con los gastos de viaje y estadía para comparecer ante este Tribunal. En cuanto a otros argumentos estatales, en lo que se refiere a los montos reclamados por concepto de gastos funerarios, ello ya fue resuelto en la presente Sentencia y, en todo caso, no es un rubro comprendido dentro del Fondo de Víctimas. Por otra parte, en cuanto a la oposición de Guatemala de que se le condene al pago por considerar que no es responsable de violación alguna, esta es una cuestión ya resuelta, relacionada con el fondo del caso. </w:t>
      </w:r>
    </w:p>
    <w:p w:rsidR="00DF15C3" w:rsidRPr="002B1610" w:rsidRDefault="00DF15C3" w:rsidP="003F26FD">
      <w:pPr>
        <w:pStyle w:val="Prrafodelista"/>
        <w:spacing w:after="0" w:line="216" w:lineRule="auto"/>
        <w:ind w:left="-142" w:right="-174" w:hanging="11"/>
        <w:rPr>
          <w:rFonts w:ascii="Verdana" w:hAnsi="Verdana"/>
          <w:w w:val="95"/>
          <w:sz w:val="20"/>
          <w:szCs w:val="20"/>
          <w:lang w:val="es-EC"/>
        </w:rPr>
      </w:pPr>
    </w:p>
    <w:p w:rsidR="00DF15C3" w:rsidRPr="002E29FD" w:rsidRDefault="00DF15C3" w:rsidP="003F26FD">
      <w:pPr>
        <w:numPr>
          <w:ilvl w:val="0"/>
          <w:numId w:val="17"/>
        </w:numPr>
        <w:spacing w:after="0" w:line="216" w:lineRule="auto"/>
        <w:ind w:left="-142" w:right="-174" w:hanging="11"/>
        <w:jc w:val="both"/>
        <w:rPr>
          <w:rFonts w:ascii="Verdana" w:hAnsi="Verdana"/>
          <w:b/>
          <w:w w:val="95"/>
          <w:sz w:val="20"/>
          <w:szCs w:val="20"/>
          <w:lang w:val="es-EC"/>
        </w:rPr>
      </w:pPr>
      <w:r w:rsidRPr="002B1610">
        <w:rPr>
          <w:rFonts w:ascii="Verdana" w:hAnsi="Verdana"/>
          <w:w w:val="95"/>
          <w:sz w:val="20"/>
          <w:szCs w:val="20"/>
          <w:lang w:val="es-EC"/>
        </w:rPr>
        <w:t xml:space="preserve">En razón de las violaciones declaradas en la presente Sentencia, la Corte ordena al Estado el reintegro a dicho Fondo por la </w:t>
      </w:r>
      <w:r w:rsidR="00B42B4D">
        <w:rPr>
          <w:rFonts w:ascii="Verdana" w:hAnsi="Verdana"/>
          <w:w w:val="95"/>
          <w:sz w:val="20"/>
          <w:szCs w:val="20"/>
          <w:lang w:val="es-EC"/>
        </w:rPr>
        <w:t>cantidad de US$2,117.99 (</w:t>
      </w:r>
      <w:r w:rsidR="00B42B4D" w:rsidRPr="002B1610">
        <w:rPr>
          <w:rFonts w:ascii="Verdana" w:hAnsi="Verdana"/>
          <w:w w:val="95"/>
          <w:sz w:val="20"/>
          <w:szCs w:val="20"/>
          <w:lang w:val="es-EC"/>
        </w:rPr>
        <w:t xml:space="preserve">dos mil ciento diecisiete y </w:t>
      </w:r>
      <w:r w:rsidR="00B42B4D">
        <w:rPr>
          <w:rFonts w:ascii="Verdana" w:hAnsi="Verdana"/>
          <w:w w:val="95"/>
          <w:sz w:val="20"/>
          <w:szCs w:val="20"/>
          <w:lang w:val="es-EC"/>
        </w:rPr>
        <w:t xml:space="preserve">dólares </w:t>
      </w:r>
      <w:r w:rsidR="00B42B4D" w:rsidRPr="002B1610">
        <w:rPr>
          <w:rFonts w:ascii="Verdana" w:hAnsi="Verdana"/>
          <w:w w:val="95"/>
          <w:sz w:val="20"/>
          <w:szCs w:val="20"/>
          <w:lang w:val="es-EC"/>
        </w:rPr>
        <w:t>de los Estados Unidos de América</w:t>
      </w:r>
      <w:r w:rsidR="00B42B4D" w:rsidRPr="00B42B4D">
        <w:rPr>
          <w:rFonts w:ascii="Verdana" w:hAnsi="Verdana"/>
          <w:w w:val="95"/>
          <w:sz w:val="20"/>
          <w:szCs w:val="20"/>
          <w:lang w:val="es-EC"/>
        </w:rPr>
        <w:t xml:space="preserve"> </w:t>
      </w:r>
      <w:r w:rsidR="00B42B4D">
        <w:rPr>
          <w:rFonts w:ascii="Verdana" w:hAnsi="Verdana"/>
          <w:w w:val="95"/>
          <w:sz w:val="20"/>
          <w:szCs w:val="20"/>
          <w:lang w:val="es-EC"/>
        </w:rPr>
        <w:t>con</w:t>
      </w:r>
      <w:r w:rsidR="00B42B4D" w:rsidRPr="002B1610">
        <w:rPr>
          <w:rFonts w:ascii="Verdana" w:hAnsi="Verdana"/>
          <w:w w:val="95"/>
          <w:sz w:val="20"/>
          <w:szCs w:val="20"/>
          <w:lang w:val="es-EC"/>
        </w:rPr>
        <w:t xml:space="preserve"> noventa nueve céntimos</w:t>
      </w:r>
      <w:r w:rsidRPr="0060474A">
        <w:rPr>
          <w:rFonts w:ascii="Verdana" w:hAnsi="Verdana"/>
          <w:w w:val="95"/>
          <w:sz w:val="20"/>
          <w:szCs w:val="20"/>
          <w:lang w:val="es-EC"/>
        </w:rPr>
        <w:t>) por los gastos</w:t>
      </w:r>
      <w:r w:rsidRPr="002B1610">
        <w:rPr>
          <w:rFonts w:ascii="Verdana" w:hAnsi="Verdana"/>
          <w:w w:val="95"/>
          <w:sz w:val="20"/>
          <w:szCs w:val="20"/>
          <w:lang w:val="es-EC"/>
        </w:rPr>
        <w:t xml:space="preserve"> incurridos. Este monto deberá ser reintegrado a la Corte Interamericana en el plazo de noventa días, contados a partir de la notificación del presente Fallo.</w:t>
      </w:r>
    </w:p>
    <w:p w:rsidR="002E29FD" w:rsidRPr="002B1610" w:rsidRDefault="002E29FD" w:rsidP="002E29FD">
      <w:pPr>
        <w:spacing w:after="0" w:line="216" w:lineRule="auto"/>
        <w:ind w:right="-174"/>
        <w:jc w:val="both"/>
        <w:rPr>
          <w:rFonts w:ascii="Verdana" w:hAnsi="Verdana"/>
          <w:b/>
          <w:w w:val="95"/>
          <w:sz w:val="20"/>
          <w:szCs w:val="20"/>
          <w:lang w:val="es-EC"/>
        </w:rPr>
      </w:pPr>
    </w:p>
    <w:p w:rsidR="00DF15C3" w:rsidRPr="002B1610" w:rsidRDefault="00DF15C3" w:rsidP="003F26FD">
      <w:pPr>
        <w:spacing w:after="0" w:line="216" w:lineRule="auto"/>
        <w:ind w:right="-174"/>
        <w:rPr>
          <w:rFonts w:ascii="Verdana" w:hAnsi="Verdana"/>
          <w:b/>
          <w:w w:val="95"/>
          <w:sz w:val="20"/>
          <w:szCs w:val="20"/>
          <w:lang w:val="es-EC"/>
        </w:rPr>
      </w:pPr>
    </w:p>
    <w:p w:rsidR="002E29FD" w:rsidRDefault="00DF15C3" w:rsidP="002E29FD">
      <w:pPr>
        <w:pStyle w:val="Ttulo2"/>
        <w:spacing w:before="0" w:line="216" w:lineRule="auto"/>
        <w:ind w:left="284" w:right="-174"/>
        <w:jc w:val="both"/>
        <w:rPr>
          <w:rFonts w:ascii="Verdana" w:hAnsi="Verdana"/>
          <w:color w:val="auto"/>
          <w:w w:val="95"/>
          <w:sz w:val="20"/>
          <w:szCs w:val="20"/>
          <w:lang w:val="es-EC"/>
        </w:rPr>
      </w:pPr>
      <w:bookmarkStart w:id="168" w:name="_Toc394313720"/>
      <w:r w:rsidRPr="002B1610">
        <w:rPr>
          <w:rFonts w:ascii="Verdana" w:hAnsi="Verdana"/>
          <w:color w:val="auto"/>
          <w:w w:val="95"/>
          <w:sz w:val="20"/>
          <w:szCs w:val="20"/>
          <w:lang w:val="es-EC"/>
        </w:rPr>
        <w:t>I. Modalidad de cumplimiento de los pagos ordenados</w:t>
      </w:r>
      <w:bookmarkEnd w:id="168"/>
    </w:p>
    <w:p w:rsidR="00DF15C3" w:rsidRDefault="00DF15C3" w:rsidP="003F26FD">
      <w:pPr>
        <w:pStyle w:val="Prrafodelista"/>
        <w:spacing w:after="0" w:line="216" w:lineRule="auto"/>
        <w:ind w:right="-174"/>
        <w:rPr>
          <w:lang w:val="es-EC"/>
        </w:rPr>
      </w:pPr>
    </w:p>
    <w:p w:rsidR="002E29FD" w:rsidRPr="002B1610" w:rsidRDefault="002E29FD" w:rsidP="003F26FD">
      <w:pPr>
        <w:pStyle w:val="Prrafodelista"/>
        <w:spacing w:after="0" w:line="216" w:lineRule="auto"/>
        <w:ind w:right="-174"/>
        <w:rPr>
          <w:rFonts w:ascii="Verdana" w:hAnsi="Verdana"/>
          <w:w w:val="95"/>
          <w:sz w:val="20"/>
          <w:szCs w:val="20"/>
          <w:lang w:val="es-EC"/>
        </w:rPr>
      </w:pPr>
    </w:p>
    <w:p w:rsidR="00DF15C3" w:rsidRPr="002B1610" w:rsidRDefault="00DF15C3" w:rsidP="003F26FD">
      <w:pPr>
        <w:numPr>
          <w:ilvl w:val="0"/>
          <w:numId w:val="17"/>
        </w:numPr>
        <w:spacing w:after="0" w:line="216" w:lineRule="auto"/>
        <w:ind w:left="-142" w:right="-174" w:hanging="11"/>
        <w:jc w:val="both"/>
        <w:rPr>
          <w:rFonts w:ascii="Verdana" w:hAnsi="Verdana"/>
          <w:b/>
          <w:w w:val="95"/>
          <w:sz w:val="20"/>
          <w:szCs w:val="20"/>
          <w:lang w:val="es-EC"/>
        </w:rPr>
      </w:pPr>
      <w:r w:rsidRPr="002B1610">
        <w:rPr>
          <w:rFonts w:ascii="Verdana" w:hAnsi="Verdana"/>
          <w:w w:val="95"/>
          <w:sz w:val="20"/>
          <w:szCs w:val="20"/>
          <w:lang w:val="es-EC"/>
        </w:rPr>
        <w:t>El Estado deberá efectuar el pago de las indemnizaciones por concepto de daño material e inmaterial y el reintegro de costas y gastos establecidos en la presente Sentencia directamente a las personas indicadas en la misma, dentro del plazo de un año, contado a partir de la notificación del presente Fallo, en los términos de los siguientes párrafos.</w:t>
      </w:r>
    </w:p>
    <w:p w:rsidR="00DF15C3" w:rsidRPr="002B1610" w:rsidRDefault="00DF15C3" w:rsidP="003F26FD">
      <w:pPr>
        <w:spacing w:after="0" w:line="216" w:lineRule="auto"/>
        <w:ind w:left="-142" w:right="-174"/>
        <w:jc w:val="both"/>
        <w:rPr>
          <w:rFonts w:ascii="Verdana" w:hAnsi="Verdana"/>
          <w:b/>
          <w:w w:val="95"/>
          <w:sz w:val="20"/>
          <w:szCs w:val="20"/>
          <w:lang w:val="es-EC"/>
        </w:rPr>
      </w:pPr>
    </w:p>
    <w:p w:rsidR="00DF15C3" w:rsidRPr="002B1610" w:rsidRDefault="00DF15C3" w:rsidP="003F26FD">
      <w:pPr>
        <w:numPr>
          <w:ilvl w:val="0"/>
          <w:numId w:val="17"/>
        </w:numPr>
        <w:spacing w:after="0" w:line="216" w:lineRule="auto"/>
        <w:ind w:left="-142" w:right="-174" w:hanging="11"/>
        <w:jc w:val="both"/>
        <w:rPr>
          <w:rFonts w:ascii="Verdana" w:hAnsi="Verdana"/>
          <w:b/>
          <w:w w:val="95"/>
          <w:sz w:val="20"/>
          <w:szCs w:val="20"/>
          <w:lang w:val="es-EC"/>
        </w:rPr>
      </w:pPr>
      <w:r w:rsidRPr="002B1610">
        <w:rPr>
          <w:rFonts w:ascii="Verdana" w:hAnsi="Verdana"/>
          <w:w w:val="95"/>
          <w:sz w:val="20"/>
          <w:szCs w:val="20"/>
          <w:lang w:val="es-ES"/>
        </w:rPr>
        <w:t>En caso de que los beneficiarios fallezcan antes de que les sean entregadas las indemnizaciones respectivas, éstas se efectuarán directamente a sus derechohabientes, conforme al derecho interno aplicable.</w:t>
      </w:r>
    </w:p>
    <w:p w:rsidR="00DF15C3" w:rsidRPr="002B1610" w:rsidRDefault="00DF15C3" w:rsidP="003F26FD">
      <w:pPr>
        <w:spacing w:after="0" w:line="216" w:lineRule="auto"/>
        <w:ind w:left="-142" w:right="-174" w:hanging="11"/>
        <w:jc w:val="both"/>
        <w:rPr>
          <w:rFonts w:ascii="Verdana" w:hAnsi="Verdana"/>
          <w:b/>
          <w:w w:val="95"/>
          <w:sz w:val="20"/>
          <w:szCs w:val="20"/>
          <w:lang w:val="es-EC"/>
        </w:rPr>
      </w:pPr>
    </w:p>
    <w:p w:rsidR="0063373E" w:rsidRDefault="0032179A" w:rsidP="003F26FD">
      <w:pPr>
        <w:numPr>
          <w:ilvl w:val="0"/>
          <w:numId w:val="17"/>
        </w:numPr>
        <w:spacing w:after="0" w:line="216" w:lineRule="auto"/>
        <w:ind w:left="-142" w:right="-174" w:hanging="11"/>
        <w:jc w:val="both"/>
        <w:rPr>
          <w:rFonts w:ascii="Verdana" w:hAnsi="Verdana"/>
          <w:b/>
          <w:w w:val="95"/>
          <w:sz w:val="20"/>
          <w:szCs w:val="20"/>
          <w:lang w:val="es-EC"/>
        </w:rPr>
      </w:pPr>
      <w:r w:rsidRPr="002857CA">
        <w:rPr>
          <w:rFonts w:ascii="Verdana" w:eastAsia="Calibri" w:hAnsi="Verdana"/>
          <w:w w:val="95"/>
          <w:sz w:val="20"/>
          <w:szCs w:val="20"/>
          <w:lang w:val="es-ES"/>
        </w:rPr>
        <w:t xml:space="preserve">El Estado deberá cumplir con </w:t>
      </w:r>
      <w:r w:rsidR="00526CA7" w:rsidRPr="002857CA">
        <w:rPr>
          <w:rFonts w:ascii="Verdana" w:eastAsia="Calibri" w:hAnsi="Verdana"/>
          <w:w w:val="95"/>
          <w:sz w:val="20"/>
          <w:szCs w:val="20"/>
          <w:lang w:val="es-ES"/>
        </w:rPr>
        <w:t>sus</w:t>
      </w:r>
      <w:r w:rsidRPr="002857CA">
        <w:rPr>
          <w:rFonts w:ascii="Verdana" w:eastAsia="Calibri" w:hAnsi="Verdana"/>
          <w:w w:val="95"/>
          <w:sz w:val="20"/>
          <w:szCs w:val="20"/>
          <w:lang w:val="es-ES"/>
        </w:rPr>
        <w:t xml:space="preserve"> obligaciones monetarias mediante el pago en quetzales o en su equivalente en dólares de los Estados Unidos de América, utilizando para el cálculo respectivo el tipo de cambio que esté vigente en la bolsa de Nueva York,</w:t>
      </w:r>
      <w:r w:rsidR="00526CA7" w:rsidRPr="002857CA">
        <w:rPr>
          <w:rFonts w:ascii="Verdana" w:eastAsia="Calibri" w:hAnsi="Verdana"/>
          <w:w w:val="95"/>
          <w:sz w:val="20"/>
          <w:szCs w:val="20"/>
          <w:lang w:val="es-ES"/>
        </w:rPr>
        <w:t xml:space="preserve"> Estados Unidos de América,</w:t>
      </w:r>
      <w:r w:rsidRPr="002857CA">
        <w:rPr>
          <w:rFonts w:ascii="Verdana" w:eastAsia="Calibri" w:hAnsi="Verdana"/>
          <w:w w:val="95"/>
          <w:sz w:val="20"/>
          <w:szCs w:val="20"/>
          <w:lang w:val="es-ES"/>
        </w:rPr>
        <w:t xml:space="preserve"> el día anterior al pago</w:t>
      </w:r>
      <w:r w:rsidRPr="002857CA">
        <w:rPr>
          <w:rFonts w:ascii="Verdana" w:hAnsi="Verdana"/>
          <w:w w:val="95"/>
          <w:sz w:val="20"/>
          <w:szCs w:val="20"/>
          <w:lang w:val="es-EC"/>
        </w:rPr>
        <w:t>. Si</w:t>
      </w:r>
      <w:r>
        <w:rPr>
          <w:rFonts w:ascii="Verdana" w:hAnsi="Verdana"/>
          <w:w w:val="95"/>
          <w:sz w:val="20"/>
          <w:szCs w:val="20"/>
          <w:lang w:val="es-EC"/>
        </w:rPr>
        <w:t xml:space="preserve"> por causas atribuibles a los beneficiarios de las indemnizaciones o a sus derechohabientes no fuese posible el pago de las cantidades determinadas dentro del plazo indicado, el Estado consignará dichos montos a su favor en una cuenta o certificado de depósito en una institución financiera guatemalteca solvente, en dólares estadounidenses, y en las condiciones financieras más favorables que permitan la legislación y la práctica bancaria. Si no se reclama la indemnización correspondiente una vez transcurridos diez años, las cantidades serán devueltas el Estado con los intereses devengados.</w:t>
      </w:r>
    </w:p>
    <w:p w:rsidR="00DF15C3" w:rsidRPr="002B1610" w:rsidRDefault="00DF15C3" w:rsidP="003F26FD">
      <w:pPr>
        <w:pStyle w:val="Prrafodelista"/>
        <w:spacing w:after="0" w:line="216" w:lineRule="auto"/>
        <w:ind w:left="-142" w:right="-174" w:hanging="11"/>
        <w:jc w:val="both"/>
        <w:rPr>
          <w:rFonts w:ascii="Verdana" w:hAnsi="Verdana"/>
          <w:w w:val="95"/>
          <w:sz w:val="20"/>
          <w:szCs w:val="20"/>
          <w:lang w:val="es-EC"/>
        </w:rPr>
      </w:pPr>
    </w:p>
    <w:p w:rsidR="00DF15C3" w:rsidRPr="002B1610" w:rsidRDefault="00DF15C3" w:rsidP="003F26FD">
      <w:pPr>
        <w:numPr>
          <w:ilvl w:val="0"/>
          <w:numId w:val="17"/>
        </w:numPr>
        <w:spacing w:after="0" w:line="216" w:lineRule="auto"/>
        <w:ind w:left="-142" w:right="-174" w:hanging="11"/>
        <w:jc w:val="both"/>
        <w:rPr>
          <w:rFonts w:ascii="Verdana" w:hAnsi="Verdana"/>
          <w:b/>
          <w:w w:val="95"/>
          <w:sz w:val="20"/>
          <w:szCs w:val="20"/>
          <w:lang w:val="es-EC"/>
        </w:rPr>
      </w:pPr>
      <w:r w:rsidRPr="002B1610">
        <w:rPr>
          <w:rFonts w:ascii="Verdana" w:hAnsi="Verdana"/>
          <w:w w:val="95"/>
          <w:sz w:val="20"/>
          <w:szCs w:val="20"/>
          <w:lang w:val="es-EC"/>
        </w:rPr>
        <w:t>Las cantidades asignadas en la presente Sentencia como indemnización y como reintegro de costas y gastos deberán ser entregadas a las personas indicadas en forma íntegra, conforme a lo establecido en esta Sentencia, sin reducciones derivadas de eventuales cargas fiscales.</w:t>
      </w:r>
    </w:p>
    <w:p w:rsidR="00DF15C3" w:rsidRPr="002B1610" w:rsidRDefault="00DF15C3" w:rsidP="003F26FD">
      <w:pPr>
        <w:pStyle w:val="Prrafodelista"/>
        <w:spacing w:after="0" w:line="216" w:lineRule="auto"/>
        <w:ind w:left="-142" w:right="-174" w:hanging="11"/>
        <w:jc w:val="both"/>
        <w:rPr>
          <w:rFonts w:ascii="Verdana" w:hAnsi="Verdana"/>
          <w:w w:val="95"/>
          <w:sz w:val="20"/>
          <w:szCs w:val="20"/>
          <w:lang w:val="es-EC"/>
        </w:rPr>
      </w:pPr>
    </w:p>
    <w:p w:rsidR="001E0DBB" w:rsidRPr="001E0DBB" w:rsidRDefault="00DF15C3" w:rsidP="001E0DBB">
      <w:pPr>
        <w:numPr>
          <w:ilvl w:val="0"/>
          <w:numId w:val="17"/>
        </w:numPr>
        <w:spacing w:after="0" w:line="216" w:lineRule="auto"/>
        <w:ind w:left="-142" w:right="-174" w:hanging="11"/>
        <w:jc w:val="both"/>
        <w:rPr>
          <w:rFonts w:ascii="Verdana" w:hAnsi="Verdana"/>
          <w:w w:val="95"/>
          <w:lang w:val="es-CR"/>
        </w:rPr>
      </w:pPr>
      <w:r w:rsidRPr="002B1610">
        <w:rPr>
          <w:rFonts w:ascii="Verdana" w:hAnsi="Verdana"/>
          <w:w w:val="95"/>
          <w:sz w:val="20"/>
          <w:szCs w:val="20"/>
          <w:lang w:val="es-EC"/>
        </w:rPr>
        <w:t>En caso de que el Estado incurriera en mora, deberá pagar un interés sobre la cantidad adecuada correspondiente al interés bancario moratorio en la República de Guatemala.</w:t>
      </w:r>
    </w:p>
    <w:p w:rsidR="001E0DBB" w:rsidRPr="001E0DBB" w:rsidRDefault="001E0DBB" w:rsidP="001E0DBB">
      <w:pPr>
        <w:spacing w:after="0" w:line="216" w:lineRule="auto"/>
        <w:ind w:left="-180" w:right="-174"/>
        <w:jc w:val="both"/>
        <w:rPr>
          <w:rFonts w:ascii="Verdana" w:hAnsi="Verdana"/>
          <w:w w:val="95"/>
          <w:lang w:val="es-CR"/>
        </w:rPr>
      </w:pPr>
    </w:p>
    <w:p w:rsidR="002E29FD" w:rsidRDefault="001E0DBB" w:rsidP="002E29FD">
      <w:pPr>
        <w:pStyle w:val="Estilo2"/>
        <w:numPr>
          <w:ilvl w:val="0"/>
          <w:numId w:val="17"/>
        </w:numPr>
        <w:tabs>
          <w:tab w:val="clear" w:pos="567"/>
          <w:tab w:val="clear" w:pos="1134"/>
        </w:tabs>
        <w:ind w:left="-180" w:right="-142" w:firstLine="0"/>
        <w:rPr>
          <w:rFonts w:eastAsia="Times New Roman"/>
          <w:w w:val="95"/>
          <w:lang w:val="es-EC"/>
        </w:rPr>
      </w:pPr>
      <w:r w:rsidRPr="002E29FD">
        <w:rPr>
          <w:rFonts w:eastAsia="Times New Roman"/>
          <w:w w:val="95"/>
          <w:lang w:val="es-EC"/>
        </w:rPr>
        <w:t xml:space="preserve">Conforme a su práctica constante, la Corte se reserva la facultad inherente a sus atribuciones y derivada, asimismo, del artículo 65 de la Convención Americana, de supervisar el cumplimiento íntegro de la presente Sentencia. El caso se dará por concluido una vez que el Estado haya dado cabal cumplimiento a lo dispuesto en la presente Sentencia. </w:t>
      </w:r>
    </w:p>
    <w:p w:rsidR="004315B7" w:rsidRPr="004315B7" w:rsidRDefault="004315B7" w:rsidP="004315B7">
      <w:pPr>
        <w:pStyle w:val="Estilo2"/>
        <w:tabs>
          <w:tab w:val="clear" w:pos="567"/>
          <w:tab w:val="clear" w:pos="1134"/>
        </w:tabs>
        <w:ind w:left="-180" w:right="-142" w:firstLine="0"/>
        <w:rPr>
          <w:rFonts w:eastAsia="Times New Roman"/>
          <w:w w:val="95"/>
          <w:lang w:val="es-EC"/>
        </w:rPr>
      </w:pPr>
    </w:p>
    <w:p w:rsidR="001E0DBB" w:rsidRPr="004315B7" w:rsidRDefault="001E0DBB" w:rsidP="004315B7">
      <w:pPr>
        <w:pStyle w:val="Estilo2"/>
        <w:numPr>
          <w:ilvl w:val="0"/>
          <w:numId w:val="17"/>
        </w:numPr>
        <w:tabs>
          <w:tab w:val="clear" w:pos="567"/>
          <w:tab w:val="clear" w:pos="1134"/>
        </w:tabs>
        <w:ind w:left="-180" w:right="-142" w:firstLine="0"/>
        <w:rPr>
          <w:rFonts w:eastAsia="Times New Roman"/>
          <w:w w:val="95"/>
          <w:lang w:val="es-EC"/>
        </w:rPr>
      </w:pPr>
      <w:r w:rsidRPr="002E29FD">
        <w:rPr>
          <w:rFonts w:eastAsia="Times New Roman"/>
          <w:w w:val="95"/>
          <w:lang w:val="es-EC"/>
        </w:rPr>
        <w:t>Dentro del plazo de un año, contado a partir de la notificación de la presente Sentencia, el Estado deberá rendir a la Corte un informe sobre las medidas adoptadas para cumplirla.</w:t>
      </w:r>
    </w:p>
    <w:p w:rsidR="00DF15C3" w:rsidRPr="00B403FA" w:rsidRDefault="00DF15C3" w:rsidP="003F26FD">
      <w:pPr>
        <w:pStyle w:val="Ttulo1"/>
        <w:spacing w:before="0" w:after="0" w:line="216" w:lineRule="auto"/>
        <w:ind w:right="-174"/>
        <w:rPr>
          <w:w w:val="95"/>
          <w:szCs w:val="20"/>
        </w:rPr>
      </w:pPr>
      <w:bookmarkStart w:id="169" w:name="_Toc394313721"/>
      <w:r w:rsidRPr="00B403FA">
        <w:rPr>
          <w:w w:val="95"/>
          <w:szCs w:val="20"/>
        </w:rPr>
        <w:t>XII</w:t>
      </w:r>
      <w:bookmarkEnd w:id="169"/>
    </w:p>
    <w:p w:rsidR="00DF15C3" w:rsidRPr="00B403FA" w:rsidRDefault="00DF15C3" w:rsidP="003F26FD">
      <w:pPr>
        <w:pStyle w:val="Ttulo1"/>
        <w:spacing w:before="0" w:after="0" w:line="216" w:lineRule="auto"/>
        <w:ind w:right="-174"/>
        <w:rPr>
          <w:w w:val="95"/>
          <w:szCs w:val="20"/>
        </w:rPr>
      </w:pPr>
      <w:bookmarkStart w:id="170" w:name="_Toc375062804"/>
      <w:bookmarkStart w:id="171" w:name="_Toc375140956"/>
      <w:bookmarkStart w:id="172" w:name="_Toc375504915"/>
      <w:bookmarkStart w:id="173" w:name="_Toc375560989"/>
      <w:bookmarkStart w:id="174" w:name="_Toc394313722"/>
      <w:r w:rsidRPr="00B403FA">
        <w:rPr>
          <w:w w:val="95"/>
          <w:szCs w:val="20"/>
        </w:rPr>
        <w:t>PUNTOS RESOLUTIVOS</w:t>
      </w:r>
      <w:bookmarkEnd w:id="170"/>
      <w:bookmarkEnd w:id="171"/>
      <w:bookmarkEnd w:id="172"/>
      <w:bookmarkEnd w:id="173"/>
      <w:bookmarkEnd w:id="174"/>
      <w:r w:rsidRPr="00B403FA">
        <w:rPr>
          <w:w w:val="95"/>
          <w:szCs w:val="20"/>
        </w:rPr>
        <w:t xml:space="preserve"> </w:t>
      </w:r>
    </w:p>
    <w:p w:rsidR="00DF15C3" w:rsidRDefault="00DF15C3" w:rsidP="003F26FD">
      <w:pPr>
        <w:spacing w:after="0" w:line="216" w:lineRule="auto"/>
        <w:ind w:left="-142" w:right="-174"/>
        <w:jc w:val="both"/>
        <w:rPr>
          <w:rFonts w:ascii="Verdana" w:hAnsi="Verdana"/>
          <w:strike/>
          <w:w w:val="95"/>
          <w:lang w:val="es-CR"/>
        </w:rPr>
      </w:pPr>
    </w:p>
    <w:p w:rsidR="00DF15C3" w:rsidRPr="00B403FA" w:rsidRDefault="00DF15C3" w:rsidP="003F26FD">
      <w:pPr>
        <w:numPr>
          <w:ilvl w:val="0"/>
          <w:numId w:val="17"/>
        </w:numPr>
        <w:spacing w:after="0" w:line="216" w:lineRule="auto"/>
        <w:ind w:left="-142" w:right="-174" w:hanging="11"/>
        <w:jc w:val="both"/>
        <w:rPr>
          <w:rFonts w:ascii="Verdana" w:hAnsi="Verdana"/>
          <w:strike/>
          <w:w w:val="95"/>
          <w:lang w:val="es-CR"/>
        </w:rPr>
      </w:pPr>
      <w:r w:rsidRPr="00B403FA">
        <w:rPr>
          <w:rFonts w:ascii="Verdana" w:eastAsia="MS Mincho" w:hAnsi="Verdana" w:cs="Verdana"/>
          <w:w w:val="95"/>
          <w:sz w:val="20"/>
          <w:szCs w:val="20"/>
        </w:rPr>
        <w:t xml:space="preserve">Por tanto, </w:t>
      </w:r>
    </w:p>
    <w:p w:rsidR="00DF15C3" w:rsidRPr="00B403FA" w:rsidRDefault="00DF15C3" w:rsidP="003F26FD">
      <w:pPr>
        <w:tabs>
          <w:tab w:val="num" w:pos="0"/>
          <w:tab w:val="left" w:pos="567"/>
          <w:tab w:val="num" w:pos="1427"/>
          <w:tab w:val="num" w:pos="11028"/>
        </w:tabs>
        <w:autoSpaceDE w:val="0"/>
        <w:autoSpaceDN w:val="0"/>
        <w:adjustRightInd w:val="0"/>
        <w:spacing w:after="0" w:line="216" w:lineRule="auto"/>
        <w:ind w:right="-174"/>
        <w:contextualSpacing/>
        <w:jc w:val="both"/>
        <w:rPr>
          <w:rFonts w:ascii="Verdana" w:hAnsi="Verdana" w:cs="Verdana"/>
          <w:w w:val="95"/>
          <w:sz w:val="20"/>
          <w:szCs w:val="20"/>
          <w:lang w:val="es-ES"/>
        </w:rPr>
      </w:pPr>
    </w:p>
    <w:p w:rsidR="00DF15C3" w:rsidRPr="00B403FA" w:rsidRDefault="00DF15C3" w:rsidP="003F26FD">
      <w:pPr>
        <w:tabs>
          <w:tab w:val="left" w:pos="720"/>
        </w:tabs>
        <w:spacing w:after="0" w:line="216" w:lineRule="auto"/>
        <w:ind w:right="-174"/>
        <w:rPr>
          <w:rFonts w:ascii="Verdana" w:hAnsi="Verdana" w:cs="Verdana"/>
          <w:b/>
          <w:w w:val="95"/>
          <w:sz w:val="20"/>
          <w:szCs w:val="20"/>
          <w:lang w:val="es-CR"/>
        </w:rPr>
      </w:pPr>
      <w:r w:rsidRPr="00B403FA">
        <w:rPr>
          <w:rFonts w:ascii="Verdana" w:hAnsi="Verdana" w:cs="Verdana"/>
          <w:b/>
          <w:w w:val="95"/>
          <w:sz w:val="20"/>
          <w:szCs w:val="20"/>
          <w:lang w:val="es-CR"/>
        </w:rPr>
        <w:t xml:space="preserve">LA CORTE </w:t>
      </w:r>
    </w:p>
    <w:p w:rsidR="00DF15C3" w:rsidRPr="00B403FA" w:rsidRDefault="00DF15C3" w:rsidP="003F26FD">
      <w:pPr>
        <w:tabs>
          <w:tab w:val="left" w:pos="720"/>
        </w:tabs>
        <w:spacing w:after="0" w:line="216" w:lineRule="auto"/>
        <w:ind w:right="-174"/>
        <w:rPr>
          <w:rFonts w:ascii="Verdana" w:hAnsi="Verdana" w:cs="Verdana"/>
          <w:b/>
          <w:w w:val="95"/>
          <w:sz w:val="20"/>
          <w:szCs w:val="20"/>
          <w:lang w:val="es-CR"/>
        </w:rPr>
      </w:pPr>
    </w:p>
    <w:p w:rsidR="00DF15C3" w:rsidRPr="00B403FA" w:rsidRDefault="00DF15C3" w:rsidP="003F26FD">
      <w:pPr>
        <w:tabs>
          <w:tab w:val="left" w:pos="720"/>
        </w:tabs>
        <w:spacing w:after="0" w:line="216" w:lineRule="auto"/>
        <w:ind w:right="-174"/>
        <w:rPr>
          <w:rFonts w:ascii="Verdana" w:hAnsi="Verdana" w:cs="Verdana"/>
          <w:b/>
          <w:w w:val="95"/>
          <w:sz w:val="20"/>
          <w:szCs w:val="20"/>
          <w:lang w:val="es-CR"/>
        </w:rPr>
      </w:pPr>
      <w:r w:rsidRPr="00B403FA">
        <w:rPr>
          <w:rFonts w:ascii="Verdana" w:hAnsi="Verdana" w:cs="Verdana"/>
          <w:b/>
          <w:w w:val="95"/>
          <w:sz w:val="20"/>
          <w:szCs w:val="20"/>
          <w:lang w:val="es-CR"/>
        </w:rPr>
        <w:t xml:space="preserve">DECIDE, </w:t>
      </w:r>
    </w:p>
    <w:p w:rsidR="00DF15C3" w:rsidRPr="00B403FA" w:rsidRDefault="00DF15C3" w:rsidP="003F26FD">
      <w:pPr>
        <w:tabs>
          <w:tab w:val="left" w:pos="720"/>
        </w:tabs>
        <w:spacing w:after="0" w:line="216" w:lineRule="auto"/>
        <w:ind w:right="-174"/>
        <w:rPr>
          <w:rFonts w:ascii="Verdana" w:hAnsi="Verdana" w:cs="Verdana"/>
          <w:b/>
          <w:w w:val="95"/>
          <w:sz w:val="20"/>
          <w:szCs w:val="20"/>
          <w:lang w:val="es-CR"/>
        </w:rPr>
      </w:pPr>
    </w:p>
    <w:p w:rsidR="00DF15C3" w:rsidRPr="00B403FA" w:rsidRDefault="00DF15C3" w:rsidP="003F26FD">
      <w:pPr>
        <w:tabs>
          <w:tab w:val="left" w:pos="720"/>
        </w:tabs>
        <w:spacing w:after="0" w:line="216" w:lineRule="auto"/>
        <w:ind w:right="-174"/>
        <w:rPr>
          <w:rFonts w:ascii="Verdana" w:hAnsi="Verdana" w:cs="Verdana"/>
          <w:w w:val="95"/>
          <w:sz w:val="20"/>
          <w:szCs w:val="20"/>
          <w:lang w:val="es-CR"/>
        </w:rPr>
      </w:pPr>
      <w:r w:rsidRPr="00B403FA">
        <w:rPr>
          <w:rFonts w:ascii="Verdana" w:hAnsi="Verdana" w:cs="Verdana"/>
          <w:w w:val="95"/>
          <w:sz w:val="20"/>
          <w:szCs w:val="20"/>
          <w:lang w:val="es-CR"/>
        </w:rPr>
        <w:t>por unanimidad,</w:t>
      </w:r>
    </w:p>
    <w:p w:rsidR="00DF15C3" w:rsidRPr="00B403FA" w:rsidRDefault="00DF15C3" w:rsidP="003F26FD">
      <w:pPr>
        <w:tabs>
          <w:tab w:val="left" w:pos="720"/>
        </w:tabs>
        <w:spacing w:after="0" w:line="216" w:lineRule="auto"/>
        <w:ind w:right="-174"/>
        <w:rPr>
          <w:rFonts w:ascii="Verdana" w:hAnsi="Verdana" w:cs="Verdana"/>
          <w:w w:val="95"/>
          <w:sz w:val="20"/>
          <w:szCs w:val="20"/>
          <w:lang w:val="es-CR"/>
        </w:rPr>
      </w:pPr>
    </w:p>
    <w:p w:rsidR="00DF15C3" w:rsidRPr="00B42B4D" w:rsidRDefault="00DF15C3" w:rsidP="003F26FD">
      <w:pPr>
        <w:numPr>
          <w:ilvl w:val="0"/>
          <w:numId w:val="15"/>
        </w:numPr>
        <w:tabs>
          <w:tab w:val="left" w:pos="567"/>
        </w:tabs>
        <w:autoSpaceDE w:val="0"/>
        <w:autoSpaceDN w:val="0"/>
        <w:spacing w:after="0" w:line="216" w:lineRule="auto"/>
        <w:ind w:left="0" w:right="-174" w:firstLine="0"/>
        <w:jc w:val="both"/>
        <w:rPr>
          <w:rFonts w:ascii="Verdana" w:eastAsia="Calibri" w:hAnsi="Verdana" w:cs="Arial"/>
          <w:color w:val="000000"/>
          <w:w w:val="95"/>
          <w:sz w:val="20"/>
          <w:szCs w:val="20"/>
        </w:rPr>
      </w:pPr>
      <w:r w:rsidRPr="00B403FA">
        <w:rPr>
          <w:rFonts w:ascii="Verdana" w:eastAsia="Times" w:hAnsi="Verdana" w:cs="Arial"/>
          <w:color w:val="000000"/>
          <w:w w:val="95"/>
          <w:sz w:val="20"/>
          <w:szCs w:val="20"/>
          <w:lang w:val="es-ES_tradnl"/>
        </w:rPr>
        <w:t xml:space="preserve">Desestimar la excepción preliminar interpuesta por el Estado relativa a la </w:t>
      </w:r>
      <w:r w:rsidR="00216B2B">
        <w:rPr>
          <w:rFonts w:ascii="Verdana" w:eastAsia="Times" w:hAnsi="Verdana" w:cs="Arial"/>
          <w:color w:val="000000"/>
          <w:w w:val="95"/>
          <w:sz w:val="20"/>
          <w:szCs w:val="20"/>
          <w:lang w:val="es-ES_tradnl"/>
        </w:rPr>
        <w:t xml:space="preserve">falta de </w:t>
      </w:r>
      <w:r w:rsidRPr="00B403FA">
        <w:rPr>
          <w:rFonts w:ascii="Verdana" w:eastAsia="Times" w:hAnsi="Verdana" w:cs="Arial"/>
          <w:color w:val="000000"/>
          <w:w w:val="95"/>
          <w:sz w:val="20"/>
          <w:szCs w:val="20"/>
          <w:lang w:val="es-ES_tradnl"/>
        </w:rPr>
        <w:t xml:space="preserve">competencia material de la Corte </w:t>
      </w:r>
      <w:r w:rsidR="002B64EB">
        <w:rPr>
          <w:rFonts w:ascii="Verdana" w:eastAsia="Times" w:hAnsi="Verdana" w:cs="Arial"/>
          <w:color w:val="000000"/>
          <w:w w:val="95"/>
          <w:sz w:val="20"/>
          <w:szCs w:val="20"/>
          <w:lang w:val="es-ES_tradnl"/>
        </w:rPr>
        <w:t xml:space="preserve">Interamericana de Derechos Humanos </w:t>
      </w:r>
      <w:r w:rsidRPr="00B403FA">
        <w:rPr>
          <w:rFonts w:ascii="Verdana" w:eastAsia="Times" w:hAnsi="Verdana" w:cs="Arial"/>
          <w:color w:val="000000"/>
          <w:w w:val="95"/>
          <w:sz w:val="20"/>
          <w:szCs w:val="20"/>
          <w:lang w:val="es-ES_tradnl"/>
        </w:rPr>
        <w:t xml:space="preserve">para </w:t>
      </w:r>
      <w:r w:rsidRPr="002857CA">
        <w:rPr>
          <w:rFonts w:ascii="Verdana" w:eastAsia="Times" w:hAnsi="Verdana" w:cs="Arial"/>
          <w:color w:val="000000"/>
          <w:w w:val="95"/>
          <w:sz w:val="20"/>
          <w:szCs w:val="20"/>
          <w:lang w:val="es-ES_tradnl"/>
        </w:rPr>
        <w:t>conocer sobre el artículo 7 de la</w:t>
      </w:r>
      <w:r>
        <w:rPr>
          <w:rFonts w:ascii="Verdana" w:eastAsia="Times" w:hAnsi="Verdana" w:cs="Arial"/>
          <w:color w:val="000000"/>
          <w:w w:val="95"/>
          <w:sz w:val="20"/>
          <w:szCs w:val="20"/>
          <w:lang w:val="es-ES_tradnl"/>
        </w:rPr>
        <w:t xml:space="preserve"> </w:t>
      </w:r>
      <w:r w:rsidRPr="00B403FA">
        <w:rPr>
          <w:rFonts w:ascii="Verdana" w:eastAsia="Times" w:hAnsi="Verdana" w:cs="Arial"/>
          <w:color w:val="000000"/>
          <w:w w:val="95"/>
          <w:sz w:val="20"/>
          <w:szCs w:val="20"/>
          <w:lang w:val="es-ES_tradnl"/>
        </w:rPr>
        <w:t xml:space="preserve">Convención Interamericana </w:t>
      </w:r>
      <w:r w:rsidRPr="00B403FA">
        <w:rPr>
          <w:rFonts w:ascii="Verdana" w:eastAsia="Calibri" w:hAnsi="Verdana" w:cs="Verdana"/>
          <w:w w:val="95"/>
          <w:sz w:val="20"/>
          <w:szCs w:val="20"/>
          <w:lang w:val="es-ES_tradnl"/>
        </w:rPr>
        <w:t>para Prevenir, Sancionar y Erradicar la Violencia contra la Mujer</w:t>
      </w:r>
      <w:r w:rsidRPr="00B403FA">
        <w:rPr>
          <w:rFonts w:ascii="Verdana" w:eastAsia="Times" w:hAnsi="Verdana" w:cs="Arial"/>
          <w:color w:val="000000"/>
          <w:w w:val="95"/>
          <w:sz w:val="20"/>
          <w:szCs w:val="20"/>
          <w:lang w:val="es-ES_tradnl"/>
        </w:rPr>
        <w:t xml:space="preserve">, </w:t>
      </w:r>
      <w:r w:rsidRPr="00B403FA">
        <w:rPr>
          <w:rFonts w:ascii="Verdana" w:eastAsia="Calibri" w:hAnsi="Verdana" w:cs="Arial"/>
          <w:color w:val="000000"/>
          <w:w w:val="95"/>
          <w:sz w:val="20"/>
          <w:szCs w:val="20"/>
        </w:rPr>
        <w:t xml:space="preserve">en los términos de los </w:t>
      </w:r>
      <w:r w:rsidRPr="00B42B4D">
        <w:rPr>
          <w:rFonts w:ascii="Verdana" w:eastAsia="Calibri" w:hAnsi="Verdana" w:cs="Arial"/>
          <w:color w:val="000000"/>
          <w:w w:val="95"/>
          <w:sz w:val="20"/>
          <w:szCs w:val="20"/>
        </w:rPr>
        <w:t xml:space="preserve">párrafos </w:t>
      </w:r>
      <w:r w:rsidR="008438D1" w:rsidRPr="00B42B4D">
        <w:rPr>
          <w:rFonts w:ascii="Verdana" w:hAnsi="Verdana"/>
          <w:w w:val="95"/>
          <w:sz w:val="20"/>
          <w:szCs w:val="20"/>
        </w:rPr>
        <w:t>36 a 38</w:t>
      </w:r>
      <w:r w:rsidRPr="00B42B4D">
        <w:rPr>
          <w:rFonts w:ascii="Verdana" w:hAnsi="Verdana"/>
          <w:w w:val="95"/>
          <w:sz w:val="20"/>
          <w:szCs w:val="20"/>
        </w:rPr>
        <w:t xml:space="preserve"> </w:t>
      </w:r>
      <w:r w:rsidRPr="00B42B4D">
        <w:rPr>
          <w:rFonts w:ascii="Verdana" w:hAnsi="Verdana" w:cs="Verdana"/>
          <w:w w:val="95"/>
          <w:sz w:val="20"/>
          <w:szCs w:val="20"/>
          <w:lang w:val="es-ES_tradnl"/>
        </w:rPr>
        <w:t xml:space="preserve">de la presente Sentencia. </w:t>
      </w:r>
    </w:p>
    <w:p w:rsidR="00DF15C3" w:rsidRPr="00B42B4D" w:rsidRDefault="00DF15C3" w:rsidP="003F26FD">
      <w:pPr>
        <w:tabs>
          <w:tab w:val="left" w:pos="567"/>
        </w:tabs>
        <w:autoSpaceDE w:val="0"/>
        <w:autoSpaceDN w:val="0"/>
        <w:spacing w:after="0" w:line="216" w:lineRule="auto"/>
        <w:ind w:right="-174"/>
        <w:jc w:val="both"/>
        <w:rPr>
          <w:rFonts w:ascii="Verdana" w:eastAsia="Calibri" w:hAnsi="Verdana" w:cs="Arial"/>
          <w:color w:val="000000"/>
          <w:w w:val="95"/>
          <w:sz w:val="20"/>
          <w:szCs w:val="20"/>
        </w:rPr>
      </w:pPr>
    </w:p>
    <w:p w:rsidR="00DF15C3" w:rsidRPr="00B42B4D" w:rsidRDefault="00DF15C3" w:rsidP="003F26FD">
      <w:pPr>
        <w:numPr>
          <w:ilvl w:val="0"/>
          <w:numId w:val="15"/>
        </w:numPr>
        <w:tabs>
          <w:tab w:val="left" w:pos="567"/>
        </w:tabs>
        <w:autoSpaceDE w:val="0"/>
        <w:autoSpaceDN w:val="0"/>
        <w:spacing w:after="0" w:line="216" w:lineRule="auto"/>
        <w:ind w:left="0" w:right="-174" w:firstLine="0"/>
        <w:jc w:val="both"/>
        <w:rPr>
          <w:rFonts w:ascii="Verdana" w:eastAsia="Calibri" w:hAnsi="Verdana" w:cs="Arial"/>
          <w:color w:val="000000"/>
          <w:w w:val="95"/>
          <w:sz w:val="20"/>
          <w:szCs w:val="20"/>
        </w:rPr>
      </w:pPr>
      <w:r w:rsidRPr="00B42B4D">
        <w:rPr>
          <w:rFonts w:ascii="Verdana" w:hAnsi="Verdana"/>
          <w:w w:val="95"/>
          <w:sz w:val="20"/>
          <w:szCs w:val="20"/>
        </w:rPr>
        <w:t xml:space="preserve">Desestimar la excepción preliminar interpuesta por el Estado </w:t>
      </w:r>
      <w:r w:rsidR="00AA5FAE">
        <w:rPr>
          <w:rFonts w:ascii="Verdana" w:hAnsi="Verdana"/>
          <w:w w:val="95"/>
          <w:sz w:val="20"/>
          <w:szCs w:val="20"/>
        </w:rPr>
        <w:t>sobre</w:t>
      </w:r>
      <w:r w:rsidR="00216B2B">
        <w:rPr>
          <w:rFonts w:ascii="Verdana" w:hAnsi="Verdana"/>
          <w:w w:val="95"/>
          <w:sz w:val="20"/>
          <w:szCs w:val="20"/>
        </w:rPr>
        <w:t xml:space="preserve"> </w:t>
      </w:r>
      <w:r w:rsidR="001C6989" w:rsidRPr="002857CA">
        <w:rPr>
          <w:rFonts w:ascii="Verdana" w:hAnsi="Verdana"/>
          <w:w w:val="95"/>
          <w:sz w:val="20"/>
          <w:szCs w:val="20"/>
        </w:rPr>
        <w:t xml:space="preserve">la </w:t>
      </w:r>
      <w:r w:rsidRPr="002857CA">
        <w:rPr>
          <w:rFonts w:ascii="Verdana" w:hAnsi="Verdana"/>
          <w:w w:val="95"/>
          <w:sz w:val="20"/>
          <w:szCs w:val="20"/>
        </w:rPr>
        <w:t>falta de</w:t>
      </w:r>
      <w:r w:rsidRPr="00B42B4D">
        <w:rPr>
          <w:rFonts w:ascii="Verdana" w:hAnsi="Verdana"/>
          <w:w w:val="95"/>
          <w:sz w:val="20"/>
          <w:szCs w:val="20"/>
        </w:rPr>
        <w:t xml:space="preserve"> agotamiento de recursos internos, en los términos de los párrafos </w:t>
      </w:r>
      <w:r w:rsidR="008438D1" w:rsidRPr="00B42B4D">
        <w:rPr>
          <w:rFonts w:ascii="Verdana" w:hAnsi="Verdana"/>
          <w:w w:val="95"/>
          <w:sz w:val="20"/>
          <w:szCs w:val="20"/>
        </w:rPr>
        <w:t>42 a 4</w:t>
      </w:r>
      <w:r w:rsidR="00B42B4D">
        <w:rPr>
          <w:rFonts w:ascii="Verdana" w:hAnsi="Verdana"/>
          <w:w w:val="95"/>
          <w:sz w:val="20"/>
          <w:szCs w:val="20"/>
        </w:rPr>
        <w:t>5</w:t>
      </w:r>
      <w:r w:rsidRPr="00B42B4D">
        <w:rPr>
          <w:rFonts w:ascii="Verdana" w:hAnsi="Verdana"/>
          <w:w w:val="95"/>
          <w:sz w:val="20"/>
          <w:szCs w:val="20"/>
        </w:rPr>
        <w:t xml:space="preserve"> de la presente Sentencia.</w:t>
      </w:r>
    </w:p>
    <w:p w:rsidR="00DF15C3" w:rsidRPr="00B42B4D" w:rsidRDefault="00DF15C3" w:rsidP="003F26FD">
      <w:pPr>
        <w:tabs>
          <w:tab w:val="left" w:pos="567"/>
        </w:tabs>
        <w:autoSpaceDE w:val="0"/>
        <w:autoSpaceDN w:val="0"/>
        <w:spacing w:after="0" w:line="216" w:lineRule="auto"/>
        <w:ind w:right="-174"/>
        <w:jc w:val="both"/>
        <w:rPr>
          <w:rFonts w:ascii="Verdana" w:eastAsia="Calibri" w:hAnsi="Verdana" w:cs="Arial"/>
          <w:color w:val="000000"/>
          <w:w w:val="95"/>
          <w:sz w:val="20"/>
          <w:szCs w:val="20"/>
        </w:rPr>
      </w:pPr>
    </w:p>
    <w:p w:rsidR="00DF15C3" w:rsidRPr="00B42B4D" w:rsidRDefault="00DF15C3" w:rsidP="003F26FD">
      <w:pPr>
        <w:tabs>
          <w:tab w:val="num" w:pos="630"/>
          <w:tab w:val="left" w:pos="720"/>
        </w:tabs>
        <w:spacing w:after="0" w:line="216" w:lineRule="auto"/>
        <w:ind w:right="-174"/>
        <w:rPr>
          <w:rFonts w:ascii="Verdana" w:hAnsi="Verdana" w:cs="Verdana"/>
          <w:b/>
          <w:w w:val="95"/>
          <w:sz w:val="20"/>
          <w:szCs w:val="20"/>
          <w:lang w:val="es-EC"/>
        </w:rPr>
      </w:pPr>
      <w:r w:rsidRPr="00B42B4D">
        <w:rPr>
          <w:rFonts w:ascii="Verdana" w:hAnsi="Verdana" w:cs="Verdana"/>
          <w:b/>
          <w:w w:val="95"/>
          <w:sz w:val="20"/>
          <w:szCs w:val="20"/>
          <w:lang w:val="es-EC"/>
        </w:rPr>
        <w:t>DECLARA,</w:t>
      </w:r>
    </w:p>
    <w:p w:rsidR="00DF15C3" w:rsidRPr="00B42B4D" w:rsidRDefault="00DF15C3" w:rsidP="003F26FD">
      <w:pPr>
        <w:tabs>
          <w:tab w:val="num" w:pos="630"/>
          <w:tab w:val="left" w:pos="720"/>
        </w:tabs>
        <w:spacing w:after="0" w:line="216" w:lineRule="auto"/>
        <w:ind w:right="-174"/>
        <w:rPr>
          <w:rFonts w:ascii="Verdana" w:hAnsi="Verdana" w:cs="Verdana"/>
          <w:b/>
          <w:w w:val="95"/>
          <w:sz w:val="20"/>
          <w:szCs w:val="20"/>
          <w:lang w:val="es-EC"/>
        </w:rPr>
      </w:pPr>
    </w:p>
    <w:p w:rsidR="00DF15C3" w:rsidRPr="00B42B4D" w:rsidRDefault="00DF15C3" w:rsidP="003F26FD">
      <w:pPr>
        <w:tabs>
          <w:tab w:val="left" w:pos="720"/>
        </w:tabs>
        <w:spacing w:after="0" w:line="216" w:lineRule="auto"/>
        <w:ind w:right="-174"/>
        <w:rPr>
          <w:rFonts w:ascii="Verdana" w:hAnsi="Verdana" w:cs="Verdana"/>
          <w:w w:val="95"/>
          <w:sz w:val="20"/>
          <w:szCs w:val="20"/>
          <w:lang w:val="es-EC"/>
        </w:rPr>
      </w:pPr>
      <w:r w:rsidRPr="00B42B4D">
        <w:rPr>
          <w:rFonts w:ascii="Verdana" w:hAnsi="Verdana" w:cs="Verdana"/>
          <w:w w:val="95"/>
          <w:sz w:val="20"/>
          <w:szCs w:val="20"/>
          <w:lang w:val="es-EC"/>
        </w:rPr>
        <w:t>Por unanimidad</w:t>
      </w:r>
      <w:r w:rsidRPr="00B42B4D">
        <w:rPr>
          <w:rFonts w:ascii="Verdana" w:hAnsi="Verdana" w:cs="Verdana"/>
          <w:w w:val="95"/>
          <w:sz w:val="20"/>
          <w:szCs w:val="20"/>
        </w:rPr>
        <w:t xml:space="preserve">, </w:t>
      </w:r>
      <w:r w:rsidRPr="00B42B4D">
        <w:rPr>
          <w:rFonts w:ascii="Verdana" w:hAnsi="Verdana" w:cs="Verdana"/>
          <w:w w:val="95"/>
          <w:sz w:val="20"/>
          <w:szCs w:val="20"/>
          <w:lang w:val="es-EC"/>
        </w:rPr>
        <w:t>que:</w:t>
      </w:r>
    </w:p>
    <w:p w:rsidR="00DF15C3" w:rsidRPr="00B42B4D" w:rsidRDefault="00DF15C3" w:rsidP="003F26FD">
      <w:pPr>
        <w:tabs>
          <w:tab w:val="left" w:pos="720"/>
        </w:tabs>
        <w:spacing w:after="0" w:line="216" w:lineRule="auto"/>
        <w:ind w:right="-174"/>
        <w:rPr>
          <w:rFonts w:ascii="Verdana" w:hAnsi="Verdana" w:cs="Verdana"/>
          <w:w w:val="95"/>
          <w:sz w:val="20"/>
          <w:szCs w:val="20"/>
          <w:lang w:val="es-EC"/>
        </w:rPr>
      </w:pPr>
    </w:p>
    <w:p w:rsidR="00DF15C3" w:rsidRPr="00B42B4D" w:rsidRDefault="00DF15C3" w:rsidP="003F26FD">
      <w:pPr>
        <w:pStyle w:val="Prrafodelista"/>
        <w:numPr>
          <w:ilvl w:val="0"/>
          <w:numId w:val="26"/>
        </w:numPr>
        <w:tabs>
          <w:tab w:val="left" w:pos="0"/>
        </w:tabs>
        <w:autoSpaceDE w:val="0"/>
        <w:autoSpaceDN w:val="0"/>
        <w:adjustRightInd w:val="0"/>
        <w:spacing w:after="0" w:line="19" w:lineRule="atLeast"/>
        <w:ind w:left="0" w:right="-174" w:firstLine="0"/>
        <w:jc w:val="both"/>
        <w:rPr>
          <w:rFonts w:ascii="Verdana" w:hAnsi="Verdana" w:cs="Verdana"/>
          <w:w w:val="90"/>
          <w:sz w:val="20"/>
          <w:szCs w:val="20"/>
          <w:lang w:val="es-CR"/>
        </w:rPr>
      </w:pPr>
      <w:r w:rsidRPr="00B42B4D">
        <w:rPr>
          <w:rFonts w:ascii="Verdana" w:eastAsia="Batang" w:hAnsi="Verdana" w:cs="Times"/>
          <w:w w:val="95"/>
          <w:sz w:val="20"/>
          <w:szCs w:val="20"/>
        </w:rPr>
        <w:t xml:space="preserve">El Estado </w:t>
      </w:r>
      <w:r w:rsidRPr="002857CA">
        <w:rPr>
          <w:rFonts w:ascii="Verdana" w:eastAsia="Batang" w:hAnsi="Verdana" w:cs="Times"/>
          <w:w w:val="95"/>
          <w:sz w:val="20"/>
          <w:szCs w:val="20"/>
        </w:rPr>
        <w:t>violó</w:t>
      </w:r>
      <w:r w:rsidRPr="00B42B4D">
        <w:rPr>
          <w:rFonts w:ascii="Verdana" w:eastAsia="Batang" w:hAnsi="Verdana" w:cs="Times"/>
          <w:b/>
          <w:w w:val="95"/>
          <w:sz w:val="20"/>
          <w:szCs w:val="20"/>
        </w:rPr>
        <w:t xml:space="preserve"> </w:t>
      </w:r>
      <w:r w:rsidRPr="00B42B4D">
        <w:rPr>
          <w:rFonts w:ascii="Verdana" w:eastAsia="Batang" w:hAnsi="Verdana" w:cs="Times"/>
          <w:w w:val="95"/>
          <w:sz w:val="20"/>
          <w:szCs w:val="20"/>
        </w:rPr>
        <w:t xml:space="preserve">su deber de garantizar el libre y pleno ejercicio de los derechos a la vida e integridad personal, </w:t>
      </w:r>
      <w:r w:rsidR="000D09C7">
        <w:rPr>
          <w:rFonts w:ascii="Verdana" w:eastAsia="Batang" w:hAnsi="Verdana" w:cs="Times"/>
          <w:w w:val="95"/>
          <w:sz w:val="20"/>
          <w:szCs w:val="20"/>
        </w:rPr>
        <w:t xml:space="preserve">consagrados </w:t>
      </w:r>
      <w:r w:rsidRPr="00B42B4D">
        <w:rPr>
          <w:rFonts w:ascii="Verdana" w:eastAsia="Batang" w:hAnsi="Verdana" w:cs="Times"/>
          <w:w w:val="95"/>
          <w:sz w:val="20"/>
          <w:szCs w:val="20"/>
        </w:rPr>
        <w:t>en los artículos 4.1 y 5.1 de la Convención Americana</w:t>
      </w:r>
      <w:r w:rsidR="00E546B6">
        <w:rPr>
          <w:rFonts w:ascii="Verdana" w:eastAsia="Batang" w:hAnsi="Verdana" w:cs="Times"/>
          <w:w w:val="95"/>
          <w:sz w:val="20"/>
          <w:szCs w:val="20"/>
        </w:rPr>
        <w:t xml:space="preserve"> </w:t>
      </w:r>
      <w:r w:rsidR="00E546B6" w:rsidRPr="00AA5FAE">
        <w:rPr>
          <w:rFonts w:ascii="Verdana" w:eastAsia="Batang" w:hAnsi="Verdana" w:cs="Times"/>
          <w:w w:val="95"/>
          <w:sz w:val="20"/>
          <w:szCs w:val="20"/>
        </w:rPr>
        <w:t>sobre Derechos Humanos</w:t>
      </w:r>
      <w:r w:rsidR="00E77FA8" w:rsidRPr="00AA5FAE">
        <w:rPr>
          <w:rFonts w:ascii="Verdana" w:eastAsia="Batang" w:hAnsi="Verdana" w:cs="Times"/>
          <w:w w:val="95"/>
          <w:sz w:val="20"/>
          <w:szCs w:val="20"/>
        </w:rPr>
        <w:t>,</w:t>
      </w:r>
      <w:r w:rsidR="00AA5FAE">
        <w:rPr>
          <w:rFonts w:ascii="Verdana" w:eastAsia="Batang" w:hAnsi="Verdana" w:cs="Times"/>
          <w:w w:val="95"/>
          <w:sz w:val="20"/>
          <w:szCs w:val="20"/>
        </w:rPr>
        <w:t xml:space="preserve"> en relación con </w:t>
      </w:r>
      <w:r w:rsidRPr="00AA5FAE">
        <w:rPr>
          <w:rFonts w:ascii="Verdana" w:eastAsia="Batang" w:hAnsi="Verdana" w:cs="Times"/>
          <w:w w:val="95"/>
          <w:sz w:val="20"/>
          <w:szCs w:val="20"/>
        </w:rPr>
        <w:t xml:space="preserve">los derechos del niño consagrados en </w:t>
      </w:r>
      <w:r w:rsidR="00E546B6" w:rsidRPr="00AA5FAE">
        <w:rPr>
          <w:rFonts w:ascii="Verdana" w:eastAsia="Batang" w:hAnsi="Verdana" w:cs="Times"/>
          <w:w w:val="95"/>
          <w:sz w:val="20"/>
          <w:szCs w:val="20"/>
        </w:rPr>
        <w:t xml:space="preserve">el artículo 19 de la Convención, </w:t>
      </w:r>
      <w:r w:rsidR="00AA5FAE">
        <w:rPr>
          <w:rFonts w:ascii="Verdana" w:eastAsia="Batang" w:hAnsi="Verdana" w:cs="Times"/>
          <w:w w:val="95"/>
          <w:sz w:val="20"/>
          <w:szCs w:val="20"/>
        </w:rPr>
        <w:t xml:space="preserve">y </w:t>
      </w:r>
      <w:r w:rsidR="00E546B6" w:rsidRPr="00AA5FAE">
        <w:rPr>
          <w:rFonts w:ascii="Verdana" w:eastAsia="Batang" w:hAnsi="Verdana" w:cs="Times"/>
          <w:w w:val="95"/>
          <w:sz w:val="20"/>
          <w:szCs w:val="20"/>
        </w:rPr>
        <w:t>con</w:t>
      </w:r>
      <w:r w:rsidRPr="00AA5FAE">
        <w:rPr>
          <w:rFonts w:ascii="Verdana" w:eastAsia="Batang" w:hAnsi="Verdana" w:cs="Times"/>
          <w:w w:val="95"/>
          <w:sz w:val="20"/>
          <w:szCs w:val="20"/>
        </w:rPr>
        <w:t xml:space="preserve"> la obligación general</w:t>
      </w:r>
      <w:r w:rsidRPr="00B42B4D">
        <w:rPr>
          <w:rFonts w:ascii="Verdana" w:eastAsia="Batang" w:hAnsi="Verdana" w:cs="Times"/>
          <w:w w:val="95"/>
          <w:sz w:val="20"/>
          <w:szCs w:val="20"/>
        </w:rPr>
        <w:t xml:space="preserve"> de garantizar los derechos sin discriminación, contemplado en el artículo 1.1 del mismo tratado,</w:t>
      </w:r>
      <w:r w:rsidRPr="00B42B4D">
        <w:rPr>
          <w:rFonts w:ascii="Verdana" w:eastAsia="Batang" w:hAnsi="Verdana" w:cs="Times"/>
          <w:b/>
          <w:w w:val="95"/>
          <w:sz w:val="20"/>
          <w:szCs w:val="20"/>
        </w:rPr>
        <w:t xml:space="preserve"> </w:t>
      </w:r>
      <w:r w:rsidRPr="00B42B4D">
        <w:rPr>
          <w:rFonts w:ascii="Verdana" w:eastAsia="Batang" w:hAnsi="Verdana" w:cs="Times"/>
          <w:w w:val="95"/>
          <w:sz w:val="20"/>
          <w:szCs w:val="20"/>
        </w:rPr>
        <w:t>así como las obligaciones contempladas en el artículo 7.b</w:t>
      </w:r>
      <w:r w:rsidR="001C6989">
        <w:rPr>
          <w:rFonts w:ascii="Verdana" w:eastAsia="Batang" w:hAnsi="Verdana" w:cs="Times"/>
          <w:w w:val="95"/>
          <w:sz w:val="20"/>
          <w:szCs w:val="20"/>
        </w:rPr>
        <w:t>)</w:t>
      </w:r>
      <w:r w:rsidRPr="00B42B4D">
        <w:rPr>
          <w:rFonts w:ascii="Verdana" w:eastAsia="Batang" w:hAnsi="Verdana" w:cs="Times"/>
          <w:w w:val="95"/>
          <w:sz w:val="20"/>
          <w:szCs w:val="20"/>
        </w:rPr>
        <w:t xml:space="preserve"> </w:t>
      </w:r>
      <w:r w:rsidRPr="00B42B4D">
        <w:rPr>
          <w:rFonts w:ascii="Verdana" w:hAnsi="Verdana"/>
          <w:bCs/>
          <w:w w:val="90"/>
          <w:sz w:val="20"/>
          <w:szCs w:val="20"/>
          <w:lang w:val="es-CR"/>
        </w:rPr>
        <w:t xml:space="preserve">de la </w:t>
      </w:r>
      <w:r w:rsidR="00C45C05">
        <w:rPr>
          <w:rFonts w:ascii="Verdana" w:eastAsia="Batang" w:hAnsi="Verdana" w:cs="Times"/>
          <w:w w:val="95"/>
          <w:sz w:val="20"/>
          <w:szCs w:val="20"/>
        </w:rPr>
        <w:t>Convención Interamericana para Prevenir, Sancionar y Erradicar la Violencia contra la Mujer</w:t>
      </w:r>
      <w:r w:rsidRPr="00B42B4D">
        <w:rPr>
          <w:rFonts w:ascii="Verdana" w:hAnsi="Verdana"/>
          <w:bCs/>
          <w:w w:val="90"/>
          <w:sz w:val="20"/>
          <w:szCs w:val="20"/>
          <w:lang w:val="es-CR"/>
        </w:rPr>
        <w:t xml:space="preserve">, en perjuicio de María Isabel Veliz Franco, </w:t>
      </w:r>
      <w:r w:rsidRPr="00B42B4D">
        <w:rPr>
          <w:rFonts w:ascii="Verdana" w:eastAsia="Batang" w:hAnsi="Verdana" w:cs="Times"/>
          <w:w w:val="95"/>
          <w:sz w:val="20"/>
          <w:szCs w:val="20"/>
        </w:rPr>
        <w:t xml:space="preserve">en los términos de los párrafos </w:t>
      </w:r>
      <w:r w:rsidR="000E19C7" w:rsidRPr="00B42B4D">
        <w:rPr>
          <w:rFonts w:ascii="Verdana" w:eastAsia="Batang" w:hAnsi="Verdana" w:cs="Times"/>
          <w:w w:val="95"/>
          <w:sz w:val="20"/>
          <w:szCs w:val="20"/>
        </w:rPr>
        <w:t>13</w:t>
      </w:r>
      <w:r w:rsidR="008438D1" w:rsidRPr="00B42B4D">
        <w:rPr>
          <w:rFonts w:ascii="Verdana" w:eastAsia="Batang" w:hAnsi="Verdana" w:cs="Times"/>
          <w:w w:val="95"/>
          <w:sz w:val="20"/>
          <w:szCs w:val="20"/>
        </w:rPr>
        <w:t>2</w:t>
      </w:r>
      <w:r w:rsidR="000E19C7" w:rsidRPr="00B42B4D">
        <w:rPr>
          <w:rFonts w:ascii="Verdana" w:eastAsia="Batang" w:hAnsi="Verdana" w:cs="Times"/>
          <w:w w:val="95"/>
          <w:sz w:val="20"/>
          <w:szCs w:val="20"/>
        </w:rPr>
        <w:t xml:space="preserve"> </w:t>
      </w:r>
      <w:r w:rsidR="008438D1" w:rsidRPr="00B42B4D">
        <w:rPr>
          <w:rFonts w:ascii="Verdana" w:eastAsia="Batang" w:hAnsi="Verdana" w:cs="Times"/>
          <w:w w:val="95"/>
          <w:sz w:val="20"/>
          <w:szCs w:val="20"/>
        </w:rPr>
        <w:t>a 158</w:t>
      </w:r>
      <w:r w:rsidR="000E19C7" w:rsidRPr="00B42B4D">
        <w:rPr>
          <w:rFonts w:ascii="Verdana" w:eastAsia="Batang" w:hAnsi="Verdana" w:cs="Times"/>
          <w:w w:val="95"/>
          <w:sz w:val="20"/>
          <w:szCs w:val="20"/>
        </w:rPr>
        <w:t xml:space="preserve"> </w:t>
      </w:r>
      <w:r w:rsidRPr="00B42B4D">
        <w:rPr>
          <w:rFonts w:ascii="Verdana" w:eastAsia="Batang" w:hAnsi="Verdana" w:cs="Times"/>
          <w:w w:val="95"/>
          <w:sz w:val="20"/>
          <w:szCs w:val="20"/>
        </w:rPr>
        <w:t>de la presente Sentencia.</w:t>
      </w:r>
    </w:p>
    <w:p w:rsidR="00DF15C3" w:rsidRPr="00B42B4D" w:rsidRDefault="00DF15C3" w:rsidP="003F26FD">
      <w:pPr>
        <w:tabs>
          <w:tab w:val="left" w:pos="567"/>
        </w:tabs>
        <w:spacing w:after="0" w:line="216" w:lineRule="auto"/>
        <w:ind w:right="-174"/>
        <w:jc w:val="both"/>
        <w:rPr>
          <w:rFonts w:ascii="Verdana" w:eastAsia="Batang" w:hAnsi="Verdana" w:cs="Times"/>
          <w:w w:val="95"/>
          <w:sz w:val="20"/>
          <w:szCs w:val="20"/>
          <w:lang w:val="es-CR"/>
        </w:rPr>
      </w:pPr>
    </w:p>
    <w:p w:rsidR="00DF15C3" w:rsidRPr="00B42B4D" w:rsidRDefault="00DF15C3" w:rsidP="003F26FD">
      <w:pPr>
        <w:numPr>
          <w:ilvl w:val="0"/>
          <w:numId w:val="26"/>
        </w:numPr>
        <w:tabs>
          <w:tab w:val="left" w:pos="567"/>
        </w:tabs>
        <w:spacing w:after="0" w:line="216" w:lineRule="auto"/>
        <w:ind w:left="0" w:right="-174" w:firstLine="0"/>
        <w:jc w:val="both"/>
        <w:rPr>
          <w:rFonts w:ascii="Verdana" w:eastAsia="Batang" w:hAnsi="Verdana" w:cs="Times"/>
          <w:w w:val="95"/>
          <w:sz w:val="20"/>
          <w:szCs w:val="20"/>
        </w:rPr>
      </w:pPr>
      <w:r w:rsidRPr="00B42B4D">
        <w:rPr>
          <w:rFonts w:ascii="Verdana" w:eastAsia="Batang" w:hAnsi="Verdana" w:cs="Times"/>
          <w:w w:val="95"/>
          <w:sz w:val="20"/>
          <w:szCs w:val="20"/>
        </w:rPr>
        <w:t>El Estado violó los derechos a</w:t>
      </w:r>
      <w:r w:rsidRPr="00B42B4D">
        <w:rPr>
          <w:rFonts w:ascii="Verdana" w:eastAsia="Batang" w:hAnsi="Verdana" w:cs="Times"/>
          <w:b/>
          <w:w w:val="95"/>
          <w:sz w:val="20"/>
          <w:szCs w:val="20"/>
        </w:rPr>
        <w:t xml:space="preserve"> </w:t>
      </w:r>
      <w:r w:rsidR="004315B7">
        <w:rPr>
          <w:rFonts w:ascii="Verdana" w:eastAsia="Batang" w:hAnsi="Verdana" w:cs="Times"/>
          <w:w w:val="95"/>
          <w:sz w:val="20"/>
          <w:szCs w:val="20"/>
        </w:rPr>
        <w:t>las garantías judiciales</w:t>
      </w:r>
      <w:r w:rsidR="000D09C7">
        <w:rPr>
          <w:rFonts w:ascii="Verdana" w:eastAsia="Batang" w:hAnsi="Verdana" w:cs="Times"/>
          <w:w w:val="95"/>
          <w:sz w:val="20"/>
          <w:szCs w:val="20"/>
        </w:rPr>
        <w:t xml:space="preserve"> </w:t>
      </w:r>
      <w:r w:rsidR="00E06A52">
        <w:rPr>
          <w:rFonts w:ascii="Verdana" w:eastAsia="Batang" w:hAnsi="Verdana" w:cs="Times"/>
          <w:w w:val="95"/>
          <w:sz w:val="20"/>
          <w:szCs w:val="20"/>
        </w:rPr>
        <w:t>y</w:t>
      </w:r>
      <w:r w:rsidR="00E06A52" w:rsidRPr="00B42B4D">
        <w:rPr>
          <w:rFonts w:ascii="Verdana" w:eastAsia="Batang" w:hAnsi="Verdana" w:cs="Times"/>
          <w:w w:val="95"/>
          <w:sz w:val="20"/>
          <w:szCs w:val="20"/>
        </w:rPr>
        <w:t xml:space="preserve"> </w:t>
      </w:r>
      <w:r w:rsidR="00E06A52">
        <w:rPr>
          <w:rFonts w:ascii="Verdana" w:eastAsia="Batang" w:hAnsi="Verdana" w:cs="Times"/>
          <w:w w:val="95"/>
          <w:sz w:val="20"/>
          <w:szCs w:val="20"/>
        </w:rPr>
        <w:t xml:space="preserve">a la protección judicial, </w:t>
      </w:r>
      <w:r w:rsidRPr="00B42B4D">
        <w:rPr>
          <w:rFonts w:ascii="Verdana" w:eastAsia="Batang" w:hAnsi="Verdana" w:cs="Times"/>
          <w:w w:val="95"/>
          <w:sz w:val="20"/>
          <w:szCs w:val="20"/>
        </w:rPr>
        <w:t>co</w:t>
      </w:r>
      <w:r w:rsidR="004315B7">
        <w:rPr>
          <w:rFonts w:ascii="Verdana" w:eastAsia="Batang" w:hAnsi="Verdana" w:cs="Times"/>
          <w:w w:val="95"/>
          <w:sz w:val="20"/>
          <w:szCs w:val="20"/>
        </w:rPr>
        <w:t>nsagrados en los artículos 8.1</w:t>
      </w:r>
      <w:r w:rsidR="00E06A52">
        <w:rPr>
          <w:rFonts w:ascii="Verdana" w:eastAsia="Batang" w:hAnsi="Verdana" w:cs="Times"/>
          <w:w w:val="95"/>
          <w:sz w:val="20"/>
          <w:szCs w:val="20"/>
        </w:rPr>
        <w:t xml:space="preserve"> y </w:t>
      </w:r>
      <w:r w:rsidRPr="00B42B4D">
        <w:rPr>
          <w:rFonts w:ascii="Verdana" w:eastAsia="Batang" w:hAnsi="Verdana" w:cs="Times"/>
          <w:w w:val="95"/>
          <w:sz w:val="20"/>
          <w:szCs w:val="20"/>
        </w:rPr>
        <w:t>25.1 de la Convención Americana</w:t>
      </w:r>
      <w:r w:rsidR="002B64EB">
        <w:rPr>
          <w:rFonts w:ascii="Verdana" w:eastAsia="Batang" w:hAnsi="Verdana" w:cs="Times"/>
          <w:w w:val="95"/>
          <w:sz w:val="20"/>
          <w:szCs w:val="20"/>
        </w:rPr>
        <w:t xml:space="preserve"> sobre Derechos H</w:t>
      </w:r>
      <w:r w:rsidR="00CC0F98">
        <w:rPr>
          <w:rFonts w:ascii="Verdana" w:eastAsia="Batang" w:hAnsi="Verdana" w:cs="Times"/>
          <w:w w:val="95"/>
          <w:sz w:val="20"/>
          <w:szCs w:val="20"/>
        </w:rPr>
        <w:t>umanos</w:t>
      </w:r>
      <w:r w:rsidRPr="002857CA">
        <w:rPr>
          <w:rFonts w:ascii="Verdana" w:eastAsia="Batang" w:hAnsi="Verdana" w:cs="Times"/>
          <w:w w:val="95"/>
          <w:sz w:val="20"/>
          <w:szCs w:val="20"/>
        </w:rPr>
        <w:t xml:space="preserve">, </w:t>
      </w:r>
      <w:r w:rsidR="004315B7">
        <w:rPr>
          <w:rFonts w:ascii="Verdana" w:eastAsia="Batang" w:hAnsi="Verdana" w:cs="Times"/>
          <w:w w:val="95"/>
          <w:sz w:val="20"/>
          <w:szCs w:val="20"/>
        </w:rPr>
        <w:t xml:space="preserve">y el derecho a </w:t>
      </w:r>
      <w:r w:rsidR="004315B7" w:rsidRPr="00B42B4D">
        <w:rPr>
          <w:rFonts w:ascii="Verdana" w:eastAsia="Batang" w:hAnsi="Verdana" w:cs="Times"/>
          <w:w w:val="95"/>
          <w:sz w:val="20"/>
          <w:szCs w:val="20"/>
        </w:rPr>
        <w:t>la igualdad ante la ley</w:t>
      </w:r>
      <w:r w:rsidR="004315B7">
        <w:rPr>
          <w:rFonts w:ascii="Verdana" w:eastAsia="Batang" w:hAnsi="Verdana" w:cs="Times"/>
          <w:w w:val="95"/>
          <w:sz w:val="20"/>
          <w:szCs w:val="20"/>
        </w:rPr>
        <w:t xml:space="preserve"> consagrado en el artículo 24 de la Convención, </w:t>
      </w:r>
      <w:r w:rsidRPr="002857CA">
        <w:rPr>
          <w:rFonts w:ascii="Verdana" w:eastAsia="Batang" w:hAnsi="Verdana" w:cs="Times"/>
          <w:w w:val="95"/>
          <w:sz w:val="20"/>
          <w:szCs w:val="20"/>
        </w:rPr>
        <w:t>en</w:t>
      </w:r>
      <w:r w:rsidRPr="00B42B4D">
        <w:rPr>
          <w:rFonts w:ascii="Verdana" w:eastAsia="Batang" w:hAnsi="Verdana" w:cs="Times"/>
          <w:b/>
          <w:w w:val="95"/>
          <w:sz w:val="20"/>
          <w:szCs w:val="20"/>
        </w:rPr>
        <w:t xml:space="preserve"> </w:t>
      </w:r>
      <w:r w:rsidRPr="002857CA">
        <w:rPr>
          <w:rFonts w:ascii="Verdana" w:eastAsia="Batang" w:hAnsi="Verdana" w:cs="Times"/>
          <w:w w:val="95"/>
          <w:sz w:val="20"/>
          <w:szCs w:val="20"/>
        </w:rPr>
        <w:t>relación con las obligaciones generales contenidas en los artículos 1.1 y 2 de la misma</w:t>
      </w:r>
      <w:r w:rsidR="001C6989" w:rsidRPr="002857CA">
        <w:rPr>
          <w:rFonts w:ascii="Verdana" w:eastAsia="Batang" w:hAnsi="Verdana" w:cs="Times"/>
          <w:w w:val="95"/>
          <w:sz w:val="20"/>
          <w:szCs w:val="20"/>
        </w:rPr>
        <w:t>,</w:t>
      </w:r>
      <w:r w:rsidRPr="002857CA">
        <w:rPr>
          <w:rFonts w:ascii="Verdana" w:eastAsia="Batang" w:hAnsi="Verdana" w:cs="Times"/>
          <w:w w:val="95"/>
          <w:sz w:val="20"/>
          <w:szCs w:val="20"/>
        </w:rPr>
        <w:t xml:space="preserve"> y con los artículos 7.b</w:t>
      </w:r>
      <w:r w:rsidR="001C6989" w:rsidRPr="002857CA">
        <w:rPr>
          <w:rFonts w:ascii="Verdana" w:eastAsia="Batang" w:hAnsi="Verdana" w:cs="Times"/>
          <w:w w:val="95"/>
          <w:sz w:val="20"/>
          <w:szCs w:val="20"/>
        </w:rPr>
        <w:t>)</w:t>
      </w:r>
      <w:r w:rsidRPr="002857CA">
        <w:rPr>
          <w:rFonts w:ascii="Verdana" w:eastAsia="Batang" w:hAnsi="Verdana" w:cs="Times"/>
          <w:w w:val="95"/>
          <w:sz w:val="20"/>
          <w:szCs w:val="20"/>
        </w:rPr>
        <w:t xml:space="preserve"> y 7.c</w:t>
      </w:r>
      <w:r w:rsidR="001C6989" w:rsidRPr="002857CA">
        <w:rPr>
          <w:rFonts w:ascii="Verdana" w:eastAsia="Batang" w:hAnsi="Verdana" w:cs="Times"/>
          <w:w w:val="95"/>
          <w:sz w:val="20"/>
          <w:szCs w:val="20"/>
        </w:rPr>
        <w:t>)</w:t>
      </w:r>
      <w:r w:rsidRPr="002857CA">
        <w:rPr>
          <w:rFonts w:ascii="Verdana" w:eastAsia="Batang" w:hAnsi="Verdana" w:cs="Times"/>
          <w:w w:val="95"/>
          <w:sz w:val="20"/>
          <w:szCs w:val="20"/>
        </w:rPr>
        <w:t xml:space="preserve"> d</w:t>
      </w:r>
      <w:r w:rsidR="00C45C05">
        <w:rPr>
          <w:rFonts w:ascii="Verdana" w:eastAsia="Batang" w:hAnsi="Verdana" w:cs="Times"/>
          <w:w w:val="95"/>
          <w:sz w:val="20"/>
          <w:szCs w:val="20"/>
        </w:rPr>
        <w:t>e la Convención Interamericana para Prevenir, Sancionar y Erradicar la Violencia contra la Mujer</w:t>
      </w:r>
      <w:r w:rsidRPr="002857CA">
        <w:rPr>
          <w:rFonts w:ascii="Verdana" w:eastAsia="Batang" w:hAnsi="Verdana" w:cs="Times"/>
          <w:w w:val="95"/>
          <w:sz w:val="20"/>
          <w:szCs w:val="20"/>
        </w:rPr>
        <w:t>, en perjuicio de Rosa Elvira Franco Sandoval</w:t>
      </w:r>
      <w:r w:rsidRPr="00B42B4D">
        <w:rPr>
          <w:rFonts w:ascii="Verdana" w:eastAsia="Batang" w:hAnsi="Verdana" w:cs="Times"/>
          <w:w w:val="95"/>
          <w:sz w:val="20"/>
          <w:szCs w:val="20"/>
        </w:rPr>
        <w:t xml:space="preserve">, Leonel Enrique Veliz Franco, José Roberto Franco, Cruz Elvira Sandoval Polanco y Roberto Pérez, en los términos de los párrafos </w:t>
      </w:r>
      <w:r w:rsidR="008438D1" w:rsidRPr="00B42B4D">
        <w:rPr>
          <w:rFonts w:ascii="Verdana" w:eastAsia="Batang" w:hAnsi="Verdana" w:cs="Times"/>
          <w:w w:val="95"/>
          <w:sz w:val="20"/>
          <w:szCs w:val="20"/>
        </w:rPr>
        <w:t>178 a 225</w:t>
      </w:r>
      <w:r w:rsidRPr="00B42B4D">
        <w:rPr>
          <w:rFonts w:ascii="Verdana" w:eastAsia="Batang" w:hAnsi="Verdana" w:cs="Times"/>
          <w:w w:val="95"/>
          <w:sz w:val="20"/>
          <w:szCs w:val="20"/>
        </w:rPr>
        <w:t xml:space="preserve"> de la presente Sentencia.</w:t>
      </w:r>
    </w:p>
    <w:p w:rsidR="00DF15C3" w:rsidRPr="00B42B4D" w:rsidRDefault="00DF15C3" w:rsidP="003F26FD">
      <w:pPr>
        <w:tabs>
          <w:tab w:val="left" w:pos="567"/>
        </w:tabs>
        <w:spacing w:after="0" w:line="216" w:lineRule="auto"/>
        <w:ind w:right="-174"/>
        <w:jc w:val="both"/>
        <w:rPr>
          <w:rFonts w:ascii="Verdana" w:eastAsia="Batang" w:hAnsi="Verdana" w:cs="Times"/>
          <w:w w:val="95"/>
          <w:sz w:val="20"/>
          <w:szCs w:val="20"/>
        </w:rPr>
      </w:pPr>
    </w:p>
    <w:p w:rsidR="00DF15C3" w:rsidRPr="00B42B4D" w:rsidRDefault="00DF15C3" w:rsidP="003F26FD">
      <w:pPr>
        <w:numPr>
          <w:ilvl w:val="0"/>
          <w:numId w:val="26"/>
        </w:numPr>
        <w:tabs>
          <w:tab w:val="left" w:pos="567"/>
        </w:tabs>
        <w:spacing w:after="0" w:line="216" w:lineRule="auto"/>
        <w:ind w:left="0" w:right="-174" w:firstLine="0"/>
        <w:jc w:val="both"/>
        <w:rPr>
          <w:rFonts w:ascii="Verdana" w:eastAsia="Batang" w:hAnsi="Verdana" w:cs="Times"/>
          <w:w w:val="95"/>
          <w:sz w:val="20"/>
          <w:szCs w:val="20"/>
        </w:rPr>
      </w:pPr>
      <w:r w:rsidRPr="00B42B4D">
        <w:rPr>
          <w:rFonts w:ascii="Verdana" w:eastAsia="Batang" w:hAnsi="Verdana" w:cs="Times"/>
          <w:w w:val="95"/>
          <w:sz w:val="20"/>
          <w:szCs w:val="20"/>
        </w:rPr>
        <w:t>El Estado violó el derecho a la integridad personal, consagrado en el artículo 5.1 de la Convención Americana</w:t>
      </w:r>
      <w:r w:rsidR="00CC0F98">
        <w:rPr>
          <w:rFonts w:ascii="Verdana" w:eastAsia="Batang" w:hAnsi="Verdana" w:cs="Times"/>
          <w:w w:val="95"/>
          <w:sz w:val="20"/>
          <w:szCs w:val="20"/>
        </w:rPr>
        <w:t xml:space="preserve"> sobre Derechos Humanos</w:t>
      </w:r>
      <w:r w:rsidRPr="00B42B4D">
        <w:rPr>
          <w:rFonts w:ascii="Verdana" w:eastAsia="Batang" w:hAnsi="Verdana" w:cs="Times"/>
          <w:w w:val="95"/>
          <w:sz w:val="20"/>
          <w:szCs w:val="20"/>
        </w:rPr>
        <w:t xml:space="preserve">, en relación con el artículo 1.1 de la misma, en perjuicio de Rosa Elvira Franco Sandoval, en los términos de los párrafos </w:t>
      </w:r>
      <w:r w:rsidR="008438D1" w:rsidRPr="00B42B4D">
        <w:rPr>
          <w:rFonts w:ascii="Verdana" w:eastAsia="Batang" w:hAnsi="Verdana" w:cs="Times"/>
          <w:w w:val="95"/>
          <w:sz w:val="20"/>
          <w:szCs w:val="20"/>
        </w:rPr>
        <w:t>233 a 242</w:t>
      </w:r>
      <w:r w:rsidRPr="00B42B4D">
        <w:rPr>
          <w:rFonts w:ascii="Verdana" w:eastAsia="Batang" w:hAnsi="Verdana" w:cs="Times"/>
          <w:b/>
          <w:w w:val="95"/>
          <w:sz w:val="20"/>
          <w:szCs w:val="20"/>
        </w:rPr>
        <w:t xml:space="preserve"> </w:t>
      </w:r>
      <w:r w:rsidRPr="00B42B4D">
        <w:rPr>
          <w:rFonts w:ascii="Verdana" w:eastAsia="Batang" w:hAnsi="Verdana" w:cs="Times"/>
          <w:w w:val="95"/>
          <w:sz w:val="20"/>
          <w:szCs w:val="20"/>
        </w:rPr>
        <w:t xml:space="preserve">de la presente Sentencia. </w:t>
      </w:r>
    </w:p>
    <w:p w:rsidR="00DF15C3" w:rsidRPr="00B42B4D" w:rsidRDefault="00DF15C3" w:rsidP="003F26FD">
      <w:pPr>
        <w:tabs>
          <w:tab w:val="left" w:pos="567"/>
        </w:tabs>
        <w:spacing w:after="0" w:line="216" w:lineRule="auto"/>
        <w:ind w:right="-174"/>
        <w:jc w:val="both"/>
        <w:rPr>
          <w:rFonts w:ascii="Verdana" w:eastAsia="Batang" w:hAnsi="Verdana" w:cs="Times"/>
          <w:w w:val="95"/>
          <w:sz w:val="20"/>
          <w:szCs w:val="20"/>
        </w:rPr>
      </w:pPr>
    </w:p>
    <w:p w:rsidR="00DF15C3" w:rsidRPr="00B42B4D" w:rsidRDefault="00DF15C3" w:rsidP="003F26FD">
      <w:pPr>
        <w:numPr>
          <w:ilvl w:val="0"/>
          <w:numId w:val="26"/>
        </w:numPr>
        <w:tabs>
          <w:tab w:val="left" w:pos="567"/>
        </w:tabs>
        <w:spacing w:after="0" w:line="216" w:lineRule="auto"/>
        <w:ind w:left="0" w:right="-174" w:firstLine="0"/>
        <w:jc w:val="both"/>
        <w:rPr>
          <w:rFonts w:ascii="Verdana" w:eastAsia="Batang" w:hAnsi="Verdana" w:cs="Times"/>
          <w:w w:val="95"/>
          <w:sz w:val="20"/>
          <w:szCs w:val="20"/>
        </w:rPr>
      </w:pPr>
      <w:r w:rsidRPr="00B42B4D">
        <w:rPr>
          <w:rFonts w:ascii="Verdana" w:hAnsi="Verdana"/>
          <w:color w:val="000000"/>
          <w:w w:val="95"/>
          <w:sz w:val="20"/>
          <w:szCs w:val="20"/>
        </w:rPr>
        <w:t>No procede pronunciarse sobre la alegada violación del derecho a la libertad personal, reconocido en el artículo 7 de la Convención Americana</w:t>
      </w:r>
      <w:r w:rsidR="00CC0F98">
        <w:rPr>
          <w:rFonts w:ascii="Verdana" w:hAnsi="Verdana"/>
          <w:color w:val="000000"/>
          <w:w w:val="95"/>
          <w:sz w:val="20"/>
          <w:szCs w:val="20"/>
        </w:rPr>
        <w:t xml:space="preserve"> sobre Derechos Humanos</w:t>
      </w:r>
      <w:r w:rsidRPr="00B42B4D">
        <w:rPr>
          <w:rFonts w:ascii="Verdana" w:hAnsi="Verdana"/>
          <w:color w:val="000000"/>
          <w:w w:val="95"/>
          <w:sz w:val="20"/>
          <w:szCs w:val="20"/>
        </w:rPr>
        <w:t xml:space="preserve">, </w:t>
      </w:r>
      <w:r w:rsidRPr="00B42B4D">
        <w:rPr>
          <w:rFonts w:ascii="Verdana" w:eastAsia="Batang" w:hAnsi="Verdana" w:cs="Times"/>
          <w:w w:val="95"/>
          <w:sz w:val="20"/>
          <w:szCs w:val="20"/>
        </w:rPr>
        <w:t xml:space="preserve">en los términos del párrafo </w:t>
      </w:r>
      <w:r w:rsidR="008438D1" w:rsidRPr="00B42B4D">
        <w:rPr>
          <w:rFonts w:ascii="Verdana" w:eastAsia="Batang" w:hAnsi="Verdana" w:cs="Times"/>
          <w:w w:val="95"/>
          <w:sz w:val="20"/>
          <w:szCs w:val="20"/>
        </w:rPr>
        <w:t>145</w:t>
      </w:r>
      <w:r w:rsidRPr="00B42B4D">
        <w:rPr>
          <w:rFonts w:ascii="Verdana" w:eastAsia="Batang" w:hAnsi="Verdana" w:cs="Times"/>
          <w:w w:val="95"/>
          <w:sz w:val="20"/>
          <w:szCs w:val="20"/>
        </w:rPr>
        <w:t xml:space="preserve"> de la presente Sentencia. </w:t>
      </w:r>
    </w:p>
    <w:p w:rsidR="00DF15C3" w:rsidRPr="00B42B4D" w:rsidRDefault="00DF15C3" w:rsidP="003F26FD">
      <w:pPr>
        <w:spacing w:after="0" w:line="216" w:lineRule="auto"/>
        <w:ind w:right="-174"/>
        <w:jc w:val="both"/>
        <w:rPr>
          <w:rFonts w:ascii="Verdana" w:hAnsi="Verdana"/>
          <w:w w:val="95"/>
          <w:sz w:val="20"/>
          <w:szCs w:val="20"/>
          <w:lang w:val="es-ES"/>
        </w:rPr>
      </w:pPr>
    </w:p>
    <w:p w:rsidR="00DF15C3" w:rsidRPr="00B42B4D" w:rsidRDefault="00DF15C3" w:rsidP="003F26FD">
      <w:pPr>
        <w:numPr>
          <w:ilvl w:val="0"/>
          <w:numId w:val="26"/>
        </w:numPr>
        <w:tabs>
          <w:tab w:val="left" w:pos="567"/>
        </w:tabs>
        <w:spacing w:after="0" w:line="216" w:lineRule="auto"/>
        <w:ind w:left="0" w:right="-174" w:firstLine="0"/>
        <w:jc w:val="both"/>
        <w:rPr>
          <w:rFonts w:ascii="Verdana" w:eastAsia="Batang" w:hAnsi="Verdana" w:cs="Times"/>
          <w:w w:val="95"/>
          <w:sz w:val="20"/>
          <w:szCs w:val="20"/>
        </w:rPr>
      </w:pPr>
      <w:r w:rsidRPr="00B42B4D">
        <w:rPr>
          <w:rFonts w:ascii="Verdana" w:eastAsia="Batang" w:hAnsi="Verdana" w:cs="Times"/>
          <w:w w:val="95"/>
          <w:sz w:val="20"/>
          <w:szCs w:val="20"/>
        </w:rPr>
        <w:t>No</w:t>
      </w:r>
      <w:r w:rsidRPr="00B42B4D">
        <w:rPr>
          <w:rFonts w:ascii="Verdana" w:eastAsia="Batang" w:hAnsi="Verdana" w:cs="Times"/>
          <w:b/>
          <w:w w:val="95"/>
          <w:sz w:val="20"/>
          <w:szCs w:val="20"/>
        </w:rPr>
        <w:t xml:space="preserve"> </w:t>
      </w:r>
      <w:r w:rsidRPr="00B42B4D">
        <w:rPr>
          <w:rFonts w:ascii="Verdana" w:eastAsia="Batang" w:hAnsi="Verdana" w:cs="Times"/>
          <w:w w:val="95"/>
          <w:sz w:val="20"/>
          <w:szCs w:val="20"/>
        </w:rPr>
        <w:t>procede pronunciarse sobre la alegada violación de los derechos del niño, consagrado en el artículo 19 de la Convención Americana</w:t>
      </w:r>
      <w:r w:rsidR="00CC0F98">
        <w:rPr>
          <w:rFonts w:ascii="Verdana" w:eastAsia="Batang" w:hAnsi="Verdana" w:cs="Times"/>
          <w:w w:val="95"/>
          <w:sz w:val="20"/>
          <w:szCs w:val="20"/>
        </w:rPr>
        <w:t xml:space="preserve"> sobre Derechos Humanos</w:t>
      </w:r>
      <w:r w:rsidRPr="00B42B4D">
        <w:rPr>
          <w:rFonts w:ascii="Verdana" w:eastAsia="Batang" w:hAnsi="Verdana" w:cs="Times"/>
          <w:w w:val="95"/>
          <w:sz w:val="20"/>
          <w:szCs w:val="20"/>
        </w:rPr>
        <w:t>, en relación con el desarrollo de la investigación posterior al hallazgo del cadáver de María</w:t>
      </w:r>
      <w:r w:rsidRPr="00B42B4D">
        <w:rPr>
          <w:rFonts w:ascii="Verdana" w:eastAsia="Batang" w:hAnsi="Verdana" w:cs="Times"/>
          <w:b/>
          <w:w w:val="95"/>
          <w:sz w:val="20"/>
          <w:szCs w:val="20"/>
        </w:rPr>
        <w:t xml:space="preserve"> </w:t>
      </w:r>
      <w:r w:rsidRPr="00B42B4D">
        <w:rPr>
          <w:rFonts w:ascii="Verdana" w:eastAsia="Batang" w:hAnsi="Verdana" w:cs="Times"/>
          <w:w w:val="95"/>
          <w:sz w:val="20"/>
          <w:szCs w:val="20"/>
        </w:rPr>
        <w:t xml:space="preserve">Isabel Veliz Franco, en los términos del párrafo </w:t>
      </w:r>
      <w:r w:rsidR="008438D1" w:rsidRPr="00B42B4D">
        <w:rPr>
          <w:rFonts w:ascii="Verdana" w:eastAsia="Batang" w:hAnsi="Verdana" w:cs="Times"/>
          <w:w w:val="95"/>
          <w:sz w:val="20"/>
          <w:szCs w:val="20"/>
        </w:rPr>
        <w:t>226</w:t>
      </w:r>
      <w:r w:rsidRPr="00B42B4D">
        <w:rPr>
          <w:rFonts w:ascii="Verdana" w:eastAsia="Batang" w:hAnsi="Verdana" w:cs="Times"/>
          <w:w w:val="95"/>
          <w:sz w:val="20"/>
          <w:szCs w:val="20"/>
        </w:rPr>
        <w:t xml:space="preserve"> de la presente Sentencia. </w:t>
      </w:r>
    </w:p>
    <w:p w:rsidR="00DF15C3" w:rsidRPr="00B42B4D" w:rsidRDefault="00DF15C3" w:rsidP="003F26FD">
      <w:pPr>
        <w:tabs>
          <w:tab w:val="left" w:pos="567"/>
          <w:tab w:val="left" w:pos="720"/>
        </w:tabs>
        <w:spacing w:after="0" w:line="216" w:lineRule="auto"/>
        <w:ind w:right="-174"/>
        <w:rPr>
          <w:rFonts w:ascii="Verdana" w:eastAsia="MS Mincho" w:hAnsi="Verdana" w:cs="Verdana"/>
          <w:w w:val="95"/>
          <w:sz w:val="20"/>
          <w:szCs w:val="20"/>
        </w:rPr>
      </w:pPr>
    </w:p>
    <w:p w:rsidR="002B64EB" w:rsidRDefault="002B64EB" w:rsidP="003F26FD">
      <w:pPr>
        <w:tabs>
          <w:tab w:val="left" w:pos="567"/>
          <w:tab w:val="left" w:pos="720"/>
        </w:tabs>
        <w:spacing w:after="0" w:line="216" w:lineRule="auto"/>
        <w:ind w:right="-174"/>
        <w:rPr>
          <w:rFonts w:ascii="Verdana" w:hAnsi="Verdana" w:cs="Verdana"/>
          <w:b/>
          <w:w w:val="95"/>
          <w:sz w:val="20"/>
          <w:szCs w:val="20"/>
          <w:lang w:val="es-CR"/>
        </w:rPr>
      </w:pPr>
    </w:p>
    <w:p w:rsidR="002B64EB" w:rsidRDefault="002B64EB" w:rsidP="003F26FD">
      <w:pPr>
        <w:tabs>
          <w:tab w:val="left" w:pos="567"/>
          <w:tab w:val="left" w:pos="720"/>
        </w:tabs>
        <w:spacing w:after="0" w:line="216" w:lineRule="auto"/>
        <w:ind w:right="-174"/>
        <w:rPr>
          <w:rFonts w:ascii="Verdana" w:hAnsi="Verdana" w:cs="Verdana"/>
          <w:b/>
          <w:w w:val="95"/>
          <w:sz w:val="20"/>
          <w:szCs w:val="20"/>
          <w:lang w:val="es-CR"/>
        </w:rPr>
      </w:pPr>
    </w:p>
    <w:p w:rsidR="00DF15C3" w:rsidRPr="00B42B4D" w:rsidRDefault="00DF15C3" w:rsidP="003F26FD">
      <w:pPr>
        <w:tabs>
          <w:tab w:val="left" w:pos="567"/>
          <w:tab w:val="left" w:pos="720"/>
        </w:tabs>
        <w:spacing w:after="0" w:line="216" w:lineRule="auto"/>
        <w:ind w:right="-174"/>
        <w:rPr>
          <w:rFonts w:ascii="Verdana" w:hAnsi="Verdana" w:cs="Verdana"/>
          <w:b/>
          <w:w w:val="95"/>
          <w:sz w:val="20"/>
          <w:szCs w:val="20"/>
          <w:lang w:val="es-CR"/>
        </w:rPr>
      </w:pPr>
      <w:r w:rsidRPr="00B42B4D">
        <w:rPr>
          <w:rFonts w:ascii="Verdana" w:hAnsi="Verdana" w:cs="Verdana"/>
          <w:b/>
          <w:w w:val="95"/>
          <w:sz w:val="20"/>
          <w:szCs w:val="20"/>
          <w:lang w:val="es-CR"/>
        </w:rPr>
        <w:t>Y DISPONE</w:t>
      </w:r>
    </w:p>
    <w:p w:rsidR="00DF15C3" w:rsidRPr="00B42B4D" w:rsidRDefault="00DF15C3" w:rsidP="003F26FD">
      <w:pPr>
        <w:tabs>
          <w:tab w:val="left" w:pos="567"/>
          <w:tab w:val="left" w:pos="720"/>
        </w:tabs>
        <w:spacing w:after="0" w:line="216" w:lineRule="auto"/>
        <w:ind w:right="-174"/>
        <w:rPr>
          <w:rFonts w:ascii="Verdana" w:hAnsi="Verdana" w:cs="Verdana"/>
          <w:b/>
          <w:w w:val="95"/>
          <w:sz w:val="20"/>
          <w:szCs w:val="20"/>
          <w:lang w:val="es-CR"/>
        </w:rPr>
      </w:pPr>
    </w:p>
    <w:p w:rsidR="00DF15C3" w:rsidRPr="00B42B4D" w:rsidRDefault="00DF15C3" w:rsidP="003F26FD">
      <w:pPr>
        <w:tabs>
          <w:tab w:val="left" w:pos="567"/>
          <w:tab w:val="left" w:pos="720"/>
        </w:tabs>
        <w:spacing w:after="0" w:line="216" w:lineRule="auto"/>
        <w:ind w:right="-174"/>
        <w:rPr>
          <w:rFonts w:ascii="Verdana" w:hAnsi="Verdana" w:cs="Verdana"/>
          <w:w w:val="95"/>
          <w:sz w:val="20"/>
          <w:szCs w:val="20"/>
          <w:lang w:val="es-CR"/>
        </w:rPr>
      </w:pPr>
      <w:r w:rsidRPr="00B42B4D">
        <w:rPr>
          <w:rFonts w:ascii="Verdana" w:hAnsi="Verdana" w:cs="Verdana"/>
          <w:w w:val="95"/>
          <w:sz w:val="20"/>
          <w:szCs w:val="20"/>
          <w:lang w:val="es-CR"/>
        </w:rPr>
        <w:t>por unanimidad, que:</w:t>
      </w:r>
    </w:p>
    <w:p w:rsidR="00DF15C3" w:rsidRPr="00B42B4D" w:rsidRDefault="00DF15C3" w:rsidP="003F26FD">
      <w:pPr>
        <w:tabs>
          <w:tab w:val="left" w:pos="567"/>
          <w:tab w:val="left" w:pos="720"/>
        </w:tabs>
        <w:spacing w:after="0" w:line="216" w:lineRule="auto"/>
        <w:ind w:right="-174"/>
        <w:rPr>
          <w:rFonts w:ascii="Verdana" w:hAnsi="Verdana" w:cs="Verdana"/>
          <w:w w:val="95"/>
          <w:sz w:val="20"/>
          <w:szCs w:val="20"/>
          <w:lang w:val="es-CR"/>
        </w:rPr>
      </w:pPr>
      <w:r w:rsidRPr="00B42B4D">
        <w:rPr>
          <w:rFonts w:ascii="Verdana" w:hAnsi="Verdana" w:cs="Verdana"/>
          <w:w w:val="95"/>
          <w:sz w:val="20"/>
          <w:szCs w:val="20"/>
          <w:lang w:val="es-CR"/>
        </w:rPr>
        <w:t xml:space="preserve"> </w:t>
      </w:r>
    </w:p>
    <w:p w:rsidR="00DF15C3" w:rsidRPr="00B42B4D" w:rsidRDefault="00DF15C3" w:rsidP="003F26FD">
      <w:pPr>
        <w:numPr>
          <w:ilvl w:val="0"/>
          <w:numId w:val="26"/>
        </w:numPr>
        <w:tabs>
          <w:tab w:val="left" w:pos="567"/>
          <w:tab w:val="left" w:pos="720"/>
        </w:tabs>
        <w:spacing w:after="0" w:line="216" w:lineRule="auto"/>
        <w:ind w:left="0" w:right="-174" w:firstLine="0"/>
        <w:jc w:val="both"/>
        <w:rPr>
          <w:rFonts w:ascii="Verdana" w:hAnsi="Verdana" w:cs="Verdana"/>
          <w:w w:val="95"/>
          <w:sz w:val="20"/>
          <w:szCs w:val="20"/>
        </w:rPr>
      </w:pPr>
      <w:r w:rsidRPr="00B42B4D">
        <w:rPr>
          <w:rFonts w:ascii="Verdana" w:hAnsi="Verdana" w:cs="Verdana"/>
          <w:w w:val="95"/>
          <w:sz w:val="20"/>
          <w:szCs w:val="20"/>
        </w:rPr>
        <w:t xml:space="preserve">Esta Sentencia constituye </w:t>
      </w:r>
      <w:r w:rsidRPr="00B42B4D">
        <w:rPr>
          <w:rFonts w:ascii="Verdana" w:hAnsi="Verdana" w:cs="Verdana"/>
          <w:i/>
          <w:w w:val="95"/>
          <w:sz w:val="20"/>
          <w:szCs w:val="20"/>
        </w:rPr>
        <w:t>per se</w:t>
      </w:r>
      <w:r w:rsidRPr="00B42B4D">
        <w:rPr>
          <w:rFonts w:ascii="Verdana" w:hAnsi="Verdana" w:cs="Verdana"/>
          <w:w w:val="95"/>
          <w:sz w:val="20"/>
          <w:szCs w:val="20"/>
        </w:rPr>
        <w:t xml:space="preserve"> una forma de reparación. </w:t>
      </w:r>
    </w:p>
    <w:p w:rsidR="00DF15C3" w:rsidRPr="00B42B4D" w:rsidRDefault="00DF15C3" w:rsidP="003F26FD">
      <w:pPr>
        <w:tabs>
          <w:tab w:val="left" w:pos="567"/>
          <w:tab w:val="left" w:pos="720"/>
        </w:tabs>
        <w:spacing w:after="0" w:line="216" w:lineRule="auto"/>
        <w:ind w:right="-174"/>
        <w:jc w:val="both"/>
        <w:rPr>
          <w:rFonts w:ascii="Verdana" w:hAnsi="Verdana" w:cs="Verdana"/>
          <w:w w:val="95"/>
          <w:sz w:val="20"/>
          <w:szCs w:val="20"/>
        </w:rPr>
      </w:pPr>
    </w:p>
    <w:p w:rsidR="00DF15C3" w:rsidRPr="00B42B4D" w:rsidRDefault="00DF15C3" w:rsidP="003F26FD">
      <w:pPr>
        <w:numPr>
          <w:ilvl w:val="0"/>
          <w:numId w:val="26"/>
        </w:numPr>
        <w:tabs>
          <w:tab w:val="left" w:pos="567"/>
          <w:tab w:val="left" w:pos="720"/>
        </w:tabs>
        <w:spacing w:after="0" w:line="216" w:lineRule="auto"/>
        <w:ind w:left="0" w:right="-174" w:firstLine="0"/>
        <w:jc w:val="both"/>
        <w:rPr>
          <w:rFonts w:ascii="Verdana" w:hAnsi="Verdana" w:cs="Verdana"/>
          <w:w w:val="95"/>
          <w:sz w:val="20"/>
          <w:szCs w:val="20"/>
        </w:rPr>
      </w:pPr>
      <w:r w:rsidRPr="00B42B4D">
        <w:rPr>
          <w:rFonts w:ascii="Verdana" w:hAnsi="Verdana" w:cs="Verdana"/>
          <w:w w:val="95"/>
          <w:sz w:val="20"/>
          <w:szCs w:val="20"/>
        </w:rPr>
        <w:t xml:space="preserve">El Estado deberá conducir eficazmente la investigación y, en su caso, abrir el proceso penal correspondiente, y de ser pertinente, otros que correspondieren para identificar, procesar y, en su caso, sancionar a los responsables de los vejámenes y privación de la vida de la niña María Isabel Veliz Franco, en los términos del párrafo </w:t>
      </w:r>
      <w:r w:rsidR="008438D1" w:rsidRPr="00B42B4D">
        <w:rPr>
          <w:rFonts w:ascii="Verdana" w:hAnsi="Verdana" w:cs="Verdana"/>
          <w:w w:val="95"/>
          <w:sz w:val="20"/>
          <w:szCs w:val="20"/>
        </w:rPr>
        <w:t>251</w:t>
      </w:r>
      <w:r w:rsidRPr="00B42B4D">
        <w:rPr>
          <w:rFonts w:ascii="Verdana" w:hAnsi="Verdana" w:cs="Verdana"/>
          <w:w w:val="95"/>
          <w:sz w:val="20"/>
          <w:szCs w:val="20"/>
        </w:rPr>
        <w:t xml:space="preserve"> de presente Sentencia.</w:t>
      </w:r>
    </w:p>
    <w:p w:rsidR="00DF15C3" w:rsidRPr="00B42B4D" w:rsidRDefault="00DF15C3" w:rsidP="003F26FD">
      <w:pPr>
        <w:tabs>
          <w:tab w:val="left" w:pos="567"/>
          <w:tab w:val="left" w:pos="720"/>
        </w:tabs>
        <w:spacing w:after="0" w:line="216" w:lineRule="auto"/>
        <w:ind w:right="-174"/>
        <w:jc w:val="both"/>
        <w:rPr>
          <w:rFonts w:ascii="Verdana" w:hAnsi="Verdana" w:cs="Verdana"/>
          <w:w w:val="95"/>
          <w:sz w:val="20"/>
          <w:szCs w:val="20"/>
        </w:rPr>
      </w:pPr>
      <w:r w:rsidRPr="00B42B4D">
        <w:rPr>
          <w:rFonts w:ascii="Verdana" w:hAnsi="Verdana" w:cs="Verdana"/>
          <w:w w:val="95"/>
          <w:sz w:val="20"/>
          <w:szCs w:val="20"/>
        </w:rPr>
        <w:t xml:space="preserve"> </w:t>
      </w:r>
    </w:p>
    <w:p w:rsidR="00DF15C3" w:rsidRPr="00B42B4D" w:rsidRDefault="00DF15C3" w:rsidP="003F26FD">
      <w:pPr>
        <w:numPr>
          <w:ilvl w:val="0"/>
          <w:numId w:val="26"/>
        </w:numPr>
        <w:tabs>
          <w:tab w:val="left" w:pos="567"/>
          <w:tab w:val="left" w:pos="720"/>
        </w:tabs>
        <w:spacing w:after="0" w:line="216" w:lineRule="auto"/>
        <w:ind w:left="0" w:right="-174" w:firstLine="0"/>
        <w:jc w:val="both"/>
        <w:rPr>
          <w:rFonts w:ascii="Verdana" w:hAnsi="Verdana" w:cs="Verdana"/>
          <w:w w:val="95"/>
          <w:sz w:val="20"/>
          <w:szCs w:val="20"/>
        </w:rPr>
      </w:pPr>
      <w:r w:rsidRPr="00B42B4D">
        <w:rPr>
          <w:rFonts w:ascii="Verdana" w:hAnsi="Verdana" w:cs="Verdana"/>
          <w:w w:val="95"/>
          <w:sz w:val="20"/>
          <w:szCs w:val="20"/>
        </w:rPr>
        <w:t xml:space="preserve"> </w:t>
      </w:r>
      <w:r w:rsidRPr="00B42B4D">
        <w:rPr>
          <w:rFonts w:ascii="Verdana" w:eastAsia="MS Mincho" w:hAnsi="Verdana" w:cs="Verdana"/>
          <w:w w:val="95"/>
          <w:sz w:val="20"/>
          <w:szCs w:val="20"/>
          <w:lang w:val="es-ES_tradnl"/>
        </w:rPr>
        <w:t>El Estado deberá, en el plazo de seis meses a partir de la notificación de la presente Sentencia, publicar en el Diario Oficial de Guatemala y en un diario de amplia circulación nacional</w:t>
      </w:r>
      <w:r w:rsidRPr="00B42B4D">
        <w:rPr>
          <w:rFonts w:ascii="Verdana" w:hAnsi="Verdana" w:cs="Verdana"/>
          <w:w w:val="95"/>
          <w:sz w:val="20"/>
          <w:szCs w:val="20"/>
        </w:rPr>
        <w:t xml:space="preserve">, por una sola vez el resumen oficial de la presente Sentencia. Adicionalmente, el Estado deberá, dentro del mismo plazo, publicar la presente Sentencia íntegramente </w:t>
      </w:r>
      <w:r w:rsidR="009A4D7F" w:rsidRPr="002857CA">
        <w:rPr>
          <w:rFonts w:ascii="Verdana" w:hAnsi="Verdana" w:cs="Verdana"/>
          <w:w w:val="95"/>
          <w:sz w:val="20"/>
          <w:szCs w:val="20"/>
        </w:rPr>
        <w:t>en sit</w:t>
      </w:r>
      <w:r w:rsidRPr="002857CA">
        <w:rPr>
          <w:rFonts w:ascii="Verdana" w:hAnsi="Verdana" w:cs="Verdana"/>
          <w:w w:val="95"/>
          <w:sz w:val="20"/>
          <w:szCs w:val="20"/>
        </w:rPr>
        <w:t xml:space="preserve">ios </w:t>
      </w:r>
      <w:r w:rsidRPr="002857CA">
        <w:rPr>
          <w:rFonts w:ascii="Verdana" w:hAnsi="Verdana" w:cs="Verdana"/>
          <w:i/>
          <w:w w:val="95"/>
          <w:sz w:val="20"/>
          <w:szCs w:val="20"/>
        </w:rPr>
        <w:t>web</w:t>
      </w:r>
      <w:r w:rsidR="002857CA" w:rsidRPr="002857CA">
        <w:rPr>
          <w:rFonts w:ascii="Verdana" w:hAnsi="Verdana" w:cs="Verdana"/>
          <w:w w:val="95"/>
          <w:sz w:val="20"/>
          <w:szCs w:val="20"/>
        </w:rPr>
        <w:t xml:space="preserve"> </w:t>
      </w:r>
      <w:r w:rsidR="001C6989" w:rsidRPr="002857CA">
        <w:rPr>
          <w:rFonts w:ascii="Verdana" w:hAnsi="Verdana" w:cs="Verdana"/>
          <w:w w:val="95"/>
          <w:sz w:val="20"/>
          <w:szCs w:val="20"/>
        </w:rPr>
        <w:t>oficiales del Poder J</w:t>
      </w:r>
      <w:r w:rsidRPr="002857CA">
        <w:rPr>
          <w:rFonts w:ascii="Verdana" w:hAnsi="Verdana" w:cs="Verdana"/>
          <w:w w:val="95"/>
          <w:sz w:val="20"/>
          <w:szCs w:val="20"/>
        </w:rPr>
        <w:t>udicial, del Ministerio Público y de la Policía Nacion</w:t>
      </w:r>
      <w:r w:rsidR="001C6989" w:rsidRPr="002857CA">
        <w:rPr>
          <w:rFonts w:ascii="Verdana" w:hAnsi="Verdana" w:cs="Verdana"/>
          <w:w w:val="95"/>
          <w:sz w:val="20"/>
          <w:szCs w:val="20"/>
        </w:rPr>
        <w:t>al Civil del Estado durante el período de</w:t>
      </w:r>
      <w:r w:rsidRPr="002857CA">
        <w:rPr>
          <w:rFonts w:ascii="Verdana" w:hAnsi="Verdana" w:cs="Verdana"/>
          <w:w w:val="95"/>
          <w:sz w:val="20"/>
          <w:szCs w:val="20"/>
        </w:rPr>
        <w:t xml:space="preserve"> un año. Todo ello</w:t>
      </w:r>
      <w:r w:rsidR="001C6989" w:rsidRPr="002857CA">
        <w:rPr>
          <w:rFonts w:ascii="Verdana" w:hAnsi="Verdana" w:cs="Verdana"/>
          <w:w w:val="95"/>
          <w:sz w:val="20"/>
          <w:szCs w:val="20"/>
        </w:rPr>
        <w:t>,</w:t>
      </w:r>
      <w:r w:rsidRPr="002857CA">
        <w:rPr>
          <w:rFonts w:ascii="Verdana" w:hAnsi="Verdana" w:cs="Verdana"/>
          <w:w w:val="95"/>
          <w:sz w:val="20"/>
          <w:szCs w:val="20"/>
        </w:rPr>
        <w:t xml:space="preserve"> </w:t>
      </w:r>
      <w:r w:rsidR="001C6989" w:rsidRPr="002857CA">
        <w:rPr>
          <w:rFonts w:ascii="Verdana" w:hAnsi="Verdana" w:cs="Verdana"/>
          <w:w w:val="95"/>
          <w:sz w:val="20"/>
          <w:szCs w:val="20"/>
        </w:rPr>
        <w:t>en los términos d</w:t>
      </w:r>
      <w:r w:rsidRPr="002857CA">
        <w:rPr>
          <w:rFonts w:ascii="Verdana" w:hAnsi="Verdana" w:cs="Verdana"/>
          <w:w w:val="95"/>
          <w:sz w:val="20"/>
          <w:szCs w:val="20"/>
        </w:rPr>
        <w:t xml:space="preserve">el párrafo </w:t>
      </w:r>
      <w:r w:rsidR="008438D1" w:rsidRPr="002857CA">
        <w:rPr>
          <w:rFonts w:ascii="Verdana" w:hAnsi="Verdana" w:cs="Verdana"/>
          <w:w w:val="95"/>
          <w:sz w:val="20"/>
          <w:szCs w:val="20"/>
        </w:rPr>
        <w:t>256</w:t>
      </w:r>
      <w:r w:rsidRPr="002857CA">
        <w:rPr>
          <w:rFonts w:ascii="Verdana" w:hAnsi="Verdana" w:cs="Verdana"/>
          <w:w w:val="95"/>
          <w:sz w:val="20"/>
          <w:szCs w:val="20"/>
        </w:rPr>
        <w:t xml:space="preserve"> de la presente Sentencia.</w:t>
      </w:r>
      <w:r w:rsidRPr="00B42B4D">
        <w:rPr>
          <w:rFonts w:ascii="Verdana" w:hAnsi="Verdana" w:cs="Verdana"/>
          <w:w w:val="95"/>
          <w:sz w:val="20"/>
          <w:szCs w:val="20"/>
        </w:rPr>
        <w:t xml:space="preserve"> </w:t>
      </w:r>
    </w:p>
    <w:p w:rsidR="00DF15C3" w:rsidRPr="00B42B4D" w:rsidRDefault="00DF15C3" w:rsidP="003F26FD">
      <w:pPr>
        <w:tabs>
          <w:tab w:val="left" w:pos="567"/>
          <w:tab w:val="left" w:pos="720"/>
        </w:tabs>
        <w:spacing w:after="0" w:line="216" w:lineRule="auto"/>
        <w:ind w:right="-174"/>
        <w:jc w:val="both"/>
        <w:rPr>
          <w:rFonts w:ascii="Verdana" w:hAnsi="Verdana" w:cs="Verdana"/>
          <w:w w:val="95"/>
          <w:sz w:val="20"/>
          <w:szCs w:val="20"/>
        </w:rPr>
      </w:pPr>
    </w:p>
    <w:p w:rsidR="00DF15C3" w:rsidRPr="00B42B4D" w:rsidRDefault="00DF15C3" w:rsidP="003F26FD">
      <w:pPr>
        <w:numPr>
          <w:ilvl w:val="0"/>
          <w:numId w:val="26"/>
        </w:numPr>
        <w:tabs>
          <w:tab w:val="left" w:pos="567"/>
          <w:tab w:val="left" w:pos="720"/>
        </w:tabs>
        <w:spacing w:after="0" w:line="216" w:lineRule="auto"/>
        <w:ind w:left="0" w:right="-174" w:firstLine="0"/>
        <w:jc w:val="both"/>
        <w:rPr>
          <w:rFonts w:ascii="Verdana" w:hAnsi="Verdana" w:cs="Verdana"/>
          <w:w w:val="95"/>
          <w:sz w:val="20"/>
          <w:szCs w:val="20"/>
        </w:rPr>
      </w:pPr>
      <w:r w:rsidRPr="00B42B4D">
        <w:rPr>
          <w:rFonts w:ascii="Verdana" w:hAnsi="Verdana" w:cs="Verdana"/>
          <w:w w:val="95"/>
          <w:sz w:val="20"/>
          <w:szCs w:val="20"/>
        </w:rPr>
        <w:t xml:space="preserve">El Estado deberá, en el plazo de un año a partir de la notificación de esta Sentencia, realizar un acto de disculpas públicas, en los términos de los párrafos </w:t>
      </w:r>
      <w:r w:rsidR="006E66F5" w:rsidRPr="00B42B4D">
        <w:rPr>
          <w:rFonts w:ascii="Verdana" w:hAnsi="Verdana" w:cs="Verdana"/>
          <w:w w:val="95"/>
          <w:sz w:val="20"/>
          <w:szCs w:val="20"/>
        </w:rPr>
        <w:t>257 y 258</w:t>
      </w:r>
      <w:r w:rsidRPr="00B42B4D">
        <w:rPr>
          <w:rFonts w:ascii="Verdana" w:hAnsi="Verdana" w:cs="Verdana"/>
          <w:w w:val="95"/>
          <w:sz w:val="20"/>
          <w:szCs w:val="20"/>
        </w:rPr>
        <w:t xml:space="preserve"> de la presente Sentencia.</w:t>
      </w:r>
    </w:p>
    <w:p w:rsidR="00DF15C3" w:rsidRPr="00B42B4D" w:rsidRDefault="00DF15C3" w:rsidP="003F26FD">
      <w:pPr>
        <w:tabs>
          <w:tab w:val="left" w:pos="567"/>
          <w:tab w:val="left" w:pos="720"/>
        </w:tabs>
        <w:spacing w:after="0" w:line="216" w:lineRule="auto"/>
        <w:ind w:right="-174"/>
        <w:jc w:val="both"/>
        <w:rPr>
          <w:rFonts w:ascii="Verdana" w:hAnsi="Verdana" w:cs="Verdana"/>
          <w:w w:val="95"/>
          <w:sz w:val="20"/>
          <w:szCs w:val="20"/>
        </w:rPr>
      </w:pPr>
    </w:p>
    <w:p w:rsidR="00DF15C3" w:rsidRPr="00B42B4D" w:rsidRDefault="00DF15C3" w:rsidP="003F26FD">
      <w:pPr>
        <w:numPr>
          <w:ilvl w:val="0"/>
          <w:numId w:val="26"/>
        </w:numPr>
        <w:tabs>
          <w:tab w:val="left" w:pos="567"/>
          <w:tab w:val="left" w:pos="720"/>
        </w:tabs>
        <w:spacing w:after="0" w:line="216" w:lineRule="auto"/>
        <w:ind w:left="0" w:right="-174" w:firstLine="0"/>
        <w:jc w:val="both"/>
        <w:rPr>
          <w:rFonts w:ascii="Verdana" w:hAnsi="Verdana" w:cs="Verdana"/>
          <w:w w:val="95"/>
          <w:sz w:val="20"/>
          <w:szCs w:val="20"/>
        </w:rPr>
      </w:pPr>
      <w:r w:rsidRPr="00B42B4D">
        <w:rPr>
          <w:rFonts w:ascii="Verdana" w:hAnsi="Verdana" w:cs="Verdana"/>
          <w:w w:val="95"/>
          <w:sz w:val="20"/>
          <w:szCs w:val="20"/>
        </w:rPr>
        <w:t xml:space="preserve">El Estado deberá, en un plazo razonable, </w:t>
      </w:r>
      <w:r w:rsidRPr="00B42B4D">
        <w:rPr>
          <w:rFonts w:ascii="Verdana" w:hAnsi="Verdana" w:cs="Calibri"/>
          <w:w w:val="95"/>
          <w:sz w:val="20"/>
          <w:szCs w:val="20"/>
          <w:lang w:val="es-CR"/>
        </w:rPr>
        <w:t>elaborar un plan de fortalecimiento calendarizado del INACIF, que incluya una asignación adecuada de recursos para ampliar sus actividades en el territorio nacional y el cumplimiento de sus funciones</w:t>
      </w:r>
      <w:r w:rsidRPr="00B42B4D">
        <w:rPr>
          <w:rFonts w:ascii="Verdana" w:hAnsi="Verdana" w:cs="Verdana"/>
          <w:w w:val="95"/>
          <w:sz w:val="20"/>
          <w:szCs w:val="20"/>
        </w:rPr>
        <w:t xml:space="preserve">, en los términos del párrafo </w:t>
      </w:r>
      <w:r w:rsidR="006E66F5" w:rsidRPr="00B42B4D">
        <w:rPr>
          <w:rFonts w:ascii="Verdana" w:hAnsi="Verdana" w:cs="Verdana"/>
          <w:w w:val="95"/>
          <w:sz w:val="20"/>
          <w:szCs w:val="20"/>
        </w:rPr>
        <w:t>268</w:t>
      </w:r>
      <w:r w:rsidRPr="00B42B4D">
        <w:rPr>
          <w:rFonts w:ascii="Verdana" w:hAnsi="Verdana" w:cs="Verdana"/>
          <w:w w:val="95"/>
          <w:sz w:val="20"/>
          <w:szCs w:val="20"/>
        </w:rPr>
        <w:t xml:space="preserve"> de la presente Sentencia.</w:t>
      </w:r>
      <w:r w:rsidRPr="00B42B4D">
        <w:rPr>
          <w:rFonts w:ascii="Verdana" w:eastAsia="Calibri" w:hAnsi="Verdana"/>
          <w:w w:val="95"/>
          <w:sz w:val="20"/>
          <w:szCs w:val="20"/>
          <w:lang w:val="es-EC"/>
        </w:rPr>
        <w:t xml:space="preserve"> </w:t>
      </w:r>
    </w:p>
    <w:p w:rsidR="00DF15C3" w:rsidRPr="00B42B4D" w:rsidRDefault="00DF15C3" w:rsidP="003F26FD">
      <w:pPr>
        <w:tabs>
          <w:tab w:val="left" w:pos="567"/>
          <w:tab w:val="left" w:pos="720"/>
        </w:tabs>
        <w:spacing w:after="0" w:line="216" w:lineRule="auto"/>
        <w:ind w:right="-174"/>
        <w:jc w:val="both"/>
        <w:rPr>
          <w:rFonts w:ascii="Verdana" w:hAnsi="Verdana" w:cs="Verdana"/>
          <w:w w:val="95"/>
          <w:sz w:val="20"/>
          <w:szCs w:val="20"/>
        </w:rPr>
      </w:pPr>
    </w:p>
    <w:p w:rsidR="00DF15C3" w:rsidRPr="002857CA" w:rsidRDefault="00DF15C3" w:rsidP="003F26FD">
      <w:pPr>
        <w:numPr>
          <w:ilvl w:val="0"/>
          <w:numId w:val="31"/>
        </w:numPr>
        <w:tabs>
          <w:tab w:val="left" w:pos="567"/>
          <w:tab w:val="left" w:pos="720"/>
        </w:tabs>
        <w:spacing w:after="0" w:line="216" w:lineRule="auto"/>
        <w:ind w:left="0" w:right="-174" w:firstLine="0"/>
        <w:jc w:val="both"/>
        <w:rPr>
          <w:rFonts w:ascii="Verdana" w:hAnsi="Verdana" w:cs="Verdana"/>
          <w:w w:val="95"/>
          <w:sz w:val="20"/>
          <w:szCs w:val="20"/>
        </w:rPr>
      </w:pPr>
      <w:r w:rsidRPr="00B42B4D">
        <w:rPr>
          <w:rFonts w:ascii="Verdana" w:hAnsi="Verdana" w:cs="Verdana"/>
          <w:w w:val="95"/>
          <w:sz w:val="20"/>
          <w:szCs w:val="20"/>
        </w:rPr>
        <w:t xml:space="preserve">El Estado deberá, en un plazo razonable, </w:t>
      </w:r>
      <w:r w:rsidRPr="00B42B4D">
        <w:rPr>
          <w:rFonts w:ascii="Verdana" w:hAnsi="Verdana"/>
          <w:bCs/>
          <w:w w:val="95"/>
          <w:sz w:val="20"/>
          <w:szCs w:val="20"/>
          <w:lang w:val="es-CR"/>
        </w:rPr>
        <w:t>implementar el funcionamiento</w:t>
      </w:r>
      <w:r w:rsidRPr="00B42B4D">
        <w:rPr>
          <w:rFonts w:ascii="Verdana" w:hAnsi="Verdana"/>
          <w:b/>
          <w:bCs/>
          <w:w w:val="95"/>
          <w:sz w:val="20"/>
          <w:szCs w:val="20"/>
          <w:lang w:val="es-CR"/>
        </w:rPr>
        <w:t xml:space="preserve"> </w:t>
      </w:r>
      <w:r w:rsidRPr="00B42B4D">
        <w:rPr>
          <w:rFonts w:ascii="Verdana" w:hAnsi="Verdana"/>
          <w:bCs/>
          <w:w w:val="95"/>
          <w:sz w:val="20"/>
          <w:szCs w:val="20"/>
          <w:lang w:val="es-CR"/>
        </w:rPr>
        <w:t>de los “órganos jurisdiccionales especializados</w:t>
      </w:r>
      <w:r w:rsidRPr="002857CA">
        <w:rPr>
          <w:rFonts w:ascii="Verdana" w:hAnsi="Verdana"/>
          <w:bCs/>
          <w:w w:val="95"/>
          <w:sz w:val="20"/>
          <w:szCs w:val="20"/>
          <w:lang w:val="es-CR"/>
        </w:rPr>
        <w:t>” y de la fiscalía especializada</w:t>
      </w:r>
      <w:r w:rsidRPr="002857CA">
        <w:rPr>
          <w:rFonts w:ascii="Verdana" w:hAnsi="Verdana" w:cs="Verdana"/>
          <w:w w:val="95"/>
          <w:sz w:val="20"/>
          <w:szCs w:val="20"/>
        </w:rPr>
        <w:t xml:space="preserve">, en los términos del párrafo </w:t>
      </w:r>
      <w:r w:rsidR="006E66F5" w:rsidRPr="002857CA">
        <w:rPr>
          <w:rFonts w:ascii="Verdana" w:hAnsi="Verdana" w:cs="Verdana"/>
          <w:w w:val="95"/>
          <w:sz w:val="20"/>
          <w:szCs w:val="20"/>
        </w:rPr>
        <w:t>270</w:t>
      </w:r>
      <w:r w:rsidRPr="002857CA">
        <w:rPr>
          <w:rFonts w:ascii="Verdana" w:hAnsi="Verdana" w:cs="Verdana"/>
          <w:w w:val="95"/>
          <w:sz w:val="20"/>
          <w:szCs w:val="20"/>
        </w:rPr>
        <w:t xml:space="preserve"> de la presente Sentencia.</w:t>
      </w:r>
      <w:r w:rsidRPr="002857CA">
        <w:rPr>
          <w:rFonts w:ascii="Verdana" w:hAnsi="Verdana"/>
          <w:bCs/>
          <w:w w:val="95"/>
          <w:sz w:val="20"/>
          <w:szCs w:val="20"/>
          <w:lang w:val="es-CR"/>
        </w:rPr>
        <w:t xml:space="preserve"> </w:t>
      </w:r>
    </w:p>
    <w:p w:rsidR="00DF15C3" w:rsidRPr="00B42B4D" w:rsidRDefault="00DF15C3" w:rsidP="003F26FD">
      <w:pPr>
        <w:tabs>
          <w:tab w:val="left" w:pos="567"/>
          <w:tab w:val="left" w:pos="720"/>
        </w:tabs>
        <w:spacing w:after="0" w:line="216" w:lineRule="auto"/>
        <w:ind w:right="-174"/>
        <w:jc w:val="both"/>
        <w:rPr>
          <w:rFonts w:ascii="Verdana" w:hAnsi="Verdana" w:cs="Verdana"/>
          <w:w w:val="95"/>
          <w:sz w:val="20"/>
          <w:szCs w:val="20"/>
        </w:rPr>
      </w:pPr>
    </w:p>
    <w:p w:rsidR="00DF15C3" w:rsidRPr="00B42B4D" w:rsidRDefault="00DF15C3" w:rsidP="003F26FD">
      <w:pPr>
        <w:numPr>
          <w:ilvl w:val="0"/>
          <w:numId w:val="31"/>
        </w:numPr>
        <w:tabs>
          <w:tab w:val="left" w:pos="567"/>
          <w:tab w:val="left" w:pos="720"/>
        </w:tabs>
        <w:spacing w:after="0" w:line="216" w:lineRule="auto"/>
        <w:ind w:left="0" w:right="-174" w:firstLine="0"/>
        <w:jc w:val="both"/>
        <w:rPr>
          <w:rFonts w:ascii="Verdana" w:hAnsi="Verdana" w:cs="Verdana"/>
          <w:w w:val="95"/>
          <w:sz w:val="20"/>
          <w:szCs w:val="20"/>
        </w:rPr>
      </w:pPr>
      <w:r w:rsidRPr="00B42B4D">
        <w:rPr>
          <w:rFonts w:ascii="Verdana" w:hAnsi="Verdana" w:cs="Verdana"/>
          <w:w w:val="95"/>
          <w:sz w:val="20"/>
          <w:szCs w:val="20"/>
        </w:rPr>
        <w:t xml:space="preserve">El Estado deberá, en un plazo razonable, </w:t>
      </w:r>
      <w:r w:rsidRPr="00B42B4D">
        <w:rPr>
          <w:rFonts w:ascii="Verdana" w:hAnsi="Verdana"/>
          <w:w w:val="95"/>
          <w:sz w:val="20"/>
          <w:szCs w:val="20"/>
          <w:lang w:val="es-CR"/>
        </w:rPr>
        <w:t>implementar programas y cursos para funcionarios públicos pertenecientes al Poder Judicial, Ministerio Público y Policía Nacional Civil que estén vinculados a la investigación de actos de homicidio de mujeres</w:t>
      </w:r>
      <w:r w:rsidRPr="00B42B4D">
        <w:rPr>
          <w:rFonts w:ascii="Verdana" w:hAnsi="Verdana"/>
          <w:w w:val="95"/>
          <w:sz w:val="20"/>
          <w:szCs w:val="20"/>
          <w:lang w:val="es-EC"/>
        </w:rPr>
        <w:t xml:space="preserve"> sobre estándares en materia de prevención, eventual sanción y erradicación de </w:t>
      </w:r>
      <w:r w:rsidRPr="00B42B4D">
        <w:rPr>
          <w:rFonts w:ascii="Verdana" w:hAnsi="Verdana"/>
          <w:w w:val="95"/>
          <w:sz w:val="20"/>
          <w:szCs w:val="20"/>
          <w:lang w:val="es-CR"/>
        </w:rPr>
        <w:t>homicidios de mujeres y capacitarlos sobre la debida</w:t>
      </w:r>
      <w:r w:rsidRPr="00B42B4D">
        <w:rPr>
          <w:rFonts w:ascii="Verdana" w:hAnsi="Verdana"/>
          <w:b/>
          <w:w w:val="95"/>
          <w:sz w:val="20"/>
          <w:szCs w:val="20"/>
          <w:lang w:val="es-CR"/>
        </w:rPr>
        <w:t xml:space="preserve"> </w:t>
      </w:r>
      <w:r w:rsidRPr="00B42B4D">
        <w:rPr>
          <w:rFonts w:ascii="Verdana" w:hAnsi="Verdana"/>
          <w:w w:val="95"/>
          <w:sz w:val="20"/>
          <w:szCs w:val="20"/>
          <w:lang w:val="es-CR"/>
        </w:rPr>
        <w:t>aplicación</w:t>
      </w:r>
      <w:r w:rsidRPr="00B42B4D">
        <w:rPr>
          <w:rFonts w:ascii="Verdana" w:hAnsi="Verdana"/>
          <w:b/>
          <w:w w:val="95"/>
          <w:sz w:val="20"/>
          <w:szCs w:val="20"/>
          <w:lang w:val="es-CR"/>
        </w:rPr>
        <w:t xml:space="preserve"> </w:t>
      </w:r>
      <w:r w:rsidRPr="00B42B4D">
        <w:rPr>
          <w:rFonts w:ascii="Verdana" w:hAnsi="Verdana"/>
          <w:w w:val="95"/>
          <w:sz w:val="20"/>
          <w:szCs w:val="20"/>
          <w:lang w:val="es-CR"/>
        </w:rPr>
        <w:t>de la normativa pertinente en la materia</w:t>
      </w:r>
      <w:r w:rsidRPr="00B42B4D">
        <w:rPr>
          <w:rFonts w:ascii="Verdana" w:hAnsi="Verdana" w:cs="Verdana"/>
          <w:w w:val="95"/>
          <w:sz w:val="20"/>
          <w:szCs w:val="20"/>
        </w:rPr>
        <w:t xml:space="preserve">, en los términos del párrafo </w:t>
      </w:r>
      <w:r w:rsidR="006E66F5" w:rsidRPr="00B42B4D">
        <w:rPr>
          <w:rFonts w:ascii="Verdana" w:hAnsi="Verdana" w:cs="Verdana"/>
          <w:w w:val="95"/>
          <w:sz w:val="20"/>
          <w:szCs w:val="20"/>
        </w:rPr>
        <w:t>275</w:t>
      </w:r>
      <w:r w:rsidRPr="00B42B4D">
        <w:rPr>
          <w:rFonts w:ascii="Verdana" w:hAnsi="Verdana" w:cs="Verdana"/>
          <w:w w:val="95"/>
          <w:sz w:val="20"/>
          <w:szCs w:val="20"/>
        </w:rPr>
        <w:t xml:space="preserve"> de la presente Sentencia.</w:t>
      </w:r>
      <w:r w:rsidRPr="00B42B4D">
        <w:rPr>
          <w:rFonts w:ascii="Verdana" w:hAnsi="Verdana"/>
          <w:w w:val="95"/>
          <w:sz w:val="20"/>
          <w:szCs w:val="20"/>
          <w:lang w:val="es-CR"/>
        </w:rPr>
        <w:t xml:space="preserve"> </w:t>
      </w:r>
    </w:p>
    <w:p w:rsidR="00DF15C3" w:rsidRPr="00B42B4D" w:rsidRDefault="00DF15C3" w:rsidP="003F26FD">
      <w:pPr>
        <w:tabs>
          <w:tab w:val="left" w:pos="567"/>
          <w:tab w:val="left" w:pos="720"/>
        </w:tabs>
        <w:spacing w:after="0" w:line="216" w:lineRule="auto"/>
        <w:ind w:right="-174"/>
        <w:jc w:val="both"/>
        <w:rPr>
          <w:rFonts w:ascii="Verdana" w:hAnsi="Verdana" w:cs="Verdana"/>
          <w:w w:val="95"/>
          <w:sz w:val="20"/>
          <w:szCs w:val="20"/>
        </w:rPr>
      </w:pPr>
    </w:p>
    <w:p w:rsidR="00DF15C3" w:rsidRPr="00B42B4D" w:rsidRDefault="00DF15C3" w:rsidP="003F26FD">
      <w:pPr>
        <w:numPr>
          <w:ilvl w:val="0"/>
          <w:numId w:val="31"/>
        </w:numPr>
        <w:tabs>
          <w:tab w:val="left" w:pos="567"/>
          <w:tab w:val="left" w:pos="720"/>
        </w:tabs>
        <w:spacing w:after="0" w:line="216" w:lineRule="auto"/>
        <w:ind w:left="0" w:right="-174" w:firstLine="0"/>
        <w:jc w:val="both"/>
        <w:rPr>
          <w:rFonts w:ascii="Verdana" w:hAnsi="Verdana" w:cs="Verdana"/>
          <w:w w:val="95"/>
          <w:sz w:val="20"/>
          <w:szCs w:val="20"/>
        </w:rPr>
      </w:pPr>
      <w:r w:rsidRPr="00B42B4D">
        <w:rPr>
          <w:rFonts w:ascii="Verdana" w:hAnsi="Verdana" w:cs="Verdana"/>
          <w:w w:val="95"/>
          <w:sz w:val="20"/>
          <w:szCs w:val="20"/>
        </w:rPr>
        <w:t xml:space="preserve">El Estado debe brindar atención médica o psicológica gratuita, de forma inmediata, adecuada y efectiva, a través de instituciones estatales de salud especializadas, a </w:t>
      </w:r>
      <w:r w:rsidRPr="00B42B4D">
        <w:rPr>
          <w:rFonts w:ascii="Verdana" w:eastAsia="Batang" w:hAnsi="Verdana" w:cs="Times"/>
          <w:w w:val="95"/>
          <w:sz w:val="20"/>
          <w:szCs w:val="20"/>
        </w:rPr>
        <w:t xml:space="preserve">Rosa Elvira Franco Sandoval, si ella así lo desea, en los términos del párrafo </w:t>
      </w:r>
      <w:r w:rsidR="006E66F5" w:rsidRPr="00B42B4D">
        <w:rPr>
          <w:rFonts w:ascii="Verdana" w:hAnsi="Verdana" w:cs="Verdana"/>
          <w:w w:val="95"/>
          <w:sz w:val="20"/>
          <w:szCs w:val="20"/>
        </w:rPr>
        <w:t>280</w:t>
      </w:r>
      <w:r w:rsidR="000E19C7" w:rsidRPr="00B42B4D">
        <w:rPr>
          <w:rFonts w:ascii="Verdana" w:eastAsia="Batang" w:hAnsi="Verdana" w:cs="Times"/>
          <w:w w:val="95"/>
          <w:sz w:val="20"/>
          <w:szCs w:val="20"/>
        </w:rPr>
        <w:t xml:space="preserve"> </w:t>
      </w:r>
      <w:r w:rsidRPr="00B42B4D">
        <w:rPr>
          <w:rFonts w:ascii="Verdana" w:eastAsia="Batang" w:hAnsi="Verdana" w:cs="Times"/>
          <w:w w:val="95"/>
          <w:sz w:val="20"/>
          <w:szCs w:val="20"/>
        </w:rPr>
        <w:t>de la presente Sentencia.</w:t>
      </w:r>
    </w:p>
    <w:p w:rsidR="00DF15C3" w:rsidRPr="00B42B4D" w:rsidRDefault="00DF15C3" w:rsidP="003F26FD">
      <w:pPr>
        <w:tabs>
          <w:tab w:val="left" w:pos="567"/>
          <w:tab w:val="left" w:pos="720"/>
        </w:tabs>
        <w:spacing w:after="0" w:line="216" w:lineRule="auto"/>
        <w:ind w:right="-174"/>
        <w:jc w:val="both"/>
        <w:rPr>
          <w:rFonts w:ascii="Verdana" w:hAnsi="Verdana" w:cs="Verdana"/>
          <w:w w:val="95"/>
          <w:sz w:val="20"/>
          <w:szCs w:val="20"/>
        </w:rPr>
      </w:pPr>
    </w:p>
    <w:p w:rsidR="00DF15C3" w:rsidRPr="00B42B4D" w:rsidRDefault="00DF15C3" w:rsidP="003F26FD">
      <w:pPr>
        <w:numPr>
          <w:ilvl w:val="0"/>
          <w:numId w:val="31"/>
        </w:numPr>
        <w:tabs>
          <w:tab w:val="left" w:pos="567"/>
          <w:tab w:val="left" w:pos="720"/>
        </w:tabs>
        <w:spacing w:after="0" w:line="216" w:lineRule="auto"/>
        <w:ind w:left="0" w:right="-174" w:firstLine="0"/>
        <w:jc w:val="both"/>
        <w:rPr>
          <w:rFonts w:ascii="Verdana" w:hAnsi="Verdana" w:cs="Verdana"/>
          <w:w w:val="95"/>
          <w:sz w:val="20"/>
          <w:szCs w:val="20"/>
        </w:rPr>
      </w:pPr>
      <w:r w:rsidRPr="00B42B4D">
        <w:rPr>
          <w:rFonts w:ascii="Verdana" w:hAnsi="Verdana" w:cs="Verdana"/>
          <w:w w:val="95"/>
          <w:sz w:val="20"/>
          <w:szCs w:val="20"/>
        </w:rPr>
        <w:t xml:space="preserve">El Estado deberá, dentro del plazo de un año a partir de la notificación de esta Sentencia, pagar las cantidades fijadas en </w:t>
      </w:r>
      <w:r w:rsidR="00B42B4D">
        <w:rPr>
          <w:rFonts w:ascii="Verdana" w:hAnsi="Verdana" w:cs="Verdana"/>
          <w:w w:val="95"/>
          <w:sz w:val="20"/>
          <w:szCs w:val="20"/>
        </w:rPr>
        <w:t xml:space="preserve">el párrafo </w:t>
      </w:r>
      <w:r w:rsidR="006E66F5" w:rsidRPr="00B42B4D">
        <w:rPr>
          <w:rFonts w:ascii="Verdana" w:hAnsi="Verdana" w:cs="Verdana"/>
          <w:w w:val="95"/>
          <w:sz w:val="20"/>
          <w:szCs w:val="20"/>
        </w:rPr>
        <w:t>300</w:t>
      </w:r>
      <w:r w:rsidR="00B42B4D">
        <w:rPr>
          <w:rFonts w:ascii="Verdana" w:hAnsi="Verdana" w:cs="Verdana"/>
          <w:w w:val="95"/>
          <w:sz w:val="20"/>
          <w:szCs w:val="20"/>
        </w:rPr>
        <w:t xml:space="preserve"> </w:t>
      </w:r>
      <w:r w:rsidRPr="00B42B4D">
        <w:rPr>
          <w:rFonts w:ascii="Verdana" w:hAnsi="Verdana" w:cs="Verdana"/>
          <w:w w:val="95"/>
          <w:sz w:val="20"/>
          <w:szCs w:val="20"/>
        </w:rPr>
        <w:t>de la presente Sentencia por concepto de indemnizaciones por daños materiales e inmateriales, el reintegro de costas y gastos</w:t>
      </w:r>
      <w:r w:rsidRPr="00B9597F">
        <w:rPr>
          <w:rFonts w:ascii="Verdana" w:hAnsi="Verdana" w:cs="Verdana"/>
          <w:w w:val="95"/>
          <w:sz w:val="20"/>
          <w:szCs w:val="20"/>
        </w:rPr>
        <w:t xml:space="preserve">, en los términos del párrafo </w:t>
      </w:r>
      <w:r w:rsidR="006E66F5" w:rsidRPr="00B42B4D">
        <w:rPr>
          <w:rFonts w:ascii="Verdana" w:hAnsi="Verdana" w:cs="Verdana"/>
          <w:w w:val="95"/>
          <w:sz w:val="20"/>
          <w:szCs w:val="20"/>
        </w:rPr>
        <w:t>307</w:t>
      </w:r>
      <w:r w:rsidRPr="00B42B4D">
        <w:rPr>
          <w:rFonts w:ascii="Verdana" w:hAnsi="Verdana" w:cs="Verdana"/>
          <w:w w:val="95"/>
          <w:sz w:val="20"/>
          <w:szCs w:val="20"/>
        </w:rPr>
        <w:t xml:space="preserve">, así como reintegrar al Fondo de Asistencia Legal de Víctimas la cantidad establecida en el párrafo </w:t>
      </w:r>
      <w:r w:rsidR="006E66F5" w:rsidRPr="00B42B4D">
        <w:rPr>
          <w:rFonts w:ascii="Verdana" w:hAnsi="Verdana" w:cs="Verdana"/>
          <w:w w:val="95"/>
          <w:sz w:val="20"/>
          <w:szCs w:val="20"/>
        </w:rPr>
        <w:t>315</w:t>
      </w:r>
      <w:r w:rsidRPr="00B42B4D">
        <w:rPr>
          <w:rFonts w:ascii="Verdana" w:hAnsi="Verdana" w:cs="Verdana"/>
          <w:w w:val="95"/>
          <w:sz w:val="20"/>
          <w:szCs w:val="20"/>
        </w:rPr>
        <w:t xml:space="preserve"> de la presente Sentencia. </w:t>
      </w:r>
    </w:p>
    <w:p w:rsidR="00DF15C3" w:rsidRPr="00B42B4D" w:rsidRDefault="00DF15C3" w:rsidP="003F26FD">
      <w:pPr>
        <w:tabs>
          <w:tab w:val="left" w:pos="567"/>
          <w:tab w:val="left" w:pos="720"/>
        </w:tabs>
        <w:spacing w:after="0" w:line="216" w:lineRule="auto"/>
        <w:ind w:right="-174"/>
        <w:jc w:val="both"/>
        <w:rPr>
          <w:rFonts w:ascii="Verdana" w:hAnsi="Verdana" w:cs="Verdana"/>
          <w:w w:val="95"/>
          <w:sz w:val="20"/>
          <w:szCs w:val="20"/>
        </w:rPr>
      </w:pPr>
    </w:p>
    <w:p w:rsidR="00DF15C3" w:rsidRPr="00B403FA" w:rsidRDefault="00DF15C3" w:rsidP="003F26FD">
      <w:pPr>
        <w:numPr>
          <w:ilvl w:val="0"/>
          <w:numId w:val="31"/>
        </w:numPr>
        <w:tabs>
          <w:tab w:val="left" w:pos="567"/>
          <w:tab w:val="left" w:pos="720"/>
        </w:tabs>
        <w:spacing w:after="0" w:line="216" w:lineRule="auto"/>
        <w:ind w:left="0" w:right="-174" w:firstLine="0"/>
        <w:jc w:val="both"/>
        <w:rPr>
          <w:rFonts w:ascii="Verdana" w:hAnsi="Verdana" w:cs="Verdana"/>
          <w:w w:val="95"/>
          <w:sz w:val="20"/>
          <w:szCs w:val="20"/>
        </w:rPr>
      </w:pPr>
      <w:r w:rsidRPr="00B42B4D">
        <w:rPr>
          <w:rFonts w:ascii="Verdana" w:hAnsi="Verdana" w:cs="Verdana"/>
          <w:w w:val="95"/>
          <w:sz w:val="20"/>
          <w:szCs w:val="20"/>
        </w:rPr>
        <w:t>El Estado debe, dentro del plazo de un año conta</w:t>
      </w:r>
      <w:r w:rsidRPr="00B403FA">
        <w:rPr>
          <w:rFonts w:ascii="Verdana" w:hAnsi="Verdana" w:cs="Verdana"/>
          <w:w w:val="95"/>
          <w:sz w:val="20"/>
          <w:szCs w:val="20"/>
        </w:rPr>
        <w:t>do a partir de la notificación de la presente Sentencia, rendir al Tribunal un informe sobre las medidas adoptadas para cumplir con la misma.</w:t>
      </w:r>
    </w:p>
    <w:p w:rsidR="00DF15C3" w:rsidRPr="00B403FA" w:rsidRDefault="00DF15C3" w:rsidP="003F26FD">
      <w:pPr>
        <w:tabs>
          <w:tab w:val="left" w:pos="567"/>
          <w:tab w:val="left" w:pos="720"/>
        </w:tabs>
        <w:spacing w:after="0" w:line="216" w:lineRule="auto"/>
        <w:ind w:right="-174"/>
        <w:jc w:val="both"/>
        <w:rPr>
          <w:rFonts w:ascii="Verdana" w:hAnsi="Verdana" w:cs="Verdana"/>
          <w:w w:val="95"/>
          <w:sz w:val="20"/>
          <w:szCs w:val="20"/>
        </w:rPr>
      </w:pPr>
    </w:p>
    <w:p w:rsidR="00DF15C3" w:rsidRPr="00B403FA" w:rsidRDefault="00DF15C3" w:rsidP="003F26FD">
      <w:pPr>
        <w:numPr>
          <w:ilvl w:val="0"/>
          <w:numId w:val="31"/>
        </w:numPr>
        <w:tabs>
          <w:tab w:val="left" w:pos="567"/>
          <w:tab w:val="left" w:pos="720"/>
        </w:tabs>
        <w:spacing w:after="0" w:line="216" w:lineRule="auto"/>
        <w:ind w:left="0" w:right="-174" w:firstLine="0"/>
        <w:jc w:val="both"/>
        <w:rPr>
          <w:rFonts w:ascii="Verdana" w:hAnsi="Verdana" w:cs="Verdana"/>
          <w:w w:val="95"/>
          <w:sz w:val="20"/>
          <w:szCs w:val="20"/>
        </w:rPr>
      </w:pPr>
      <w:r w:rsidRPr="00B403FA">
        <w:rPr>
          <w:rFonts w:ascii="Verdana" w:hAnsi="Verdana" w:cs="Verdana"/>
          <w:w w:val="95"/>
          <w:sz w:val="20"/>
          <w:szCs w:val="20"/>
        </w:rPr>
        <w:t>La Corte supervisará el cumplimiento íntegro de esta Sentencia, en ejercicio de sus atribuciones y en cumplimiento de sus deberes conforme a la Convención Americana sobre Derechos Humanos, y dará por concluido el presente caso una vez que el Estado haya dado cabal cumplimiento a lo dispuesto en la misma.</w:t>
      </w:r>
    </w:p>
    <w:p w:rsidR="00DF15C3" w:rsidRPr="00B403FA" w:rsidRDefault="00DF15C3" w:rsidP="003F26FD">
      <w:pPr>
        <w:tabs>
          <w:tab w:val="left" w:pos="567"/>
          <w:tab w:val="left" w:pos="720"/>
        </w:tabs>
        <w:spacing w:after="0" w:line="216" w:lineRule="auto"/>
        <w:ind w:right="-174"/>
        <w:jc w:val="both"/>
        <w:rPr>
          <w:rFonts w:ascii="Verdana" w:hAnsi="Verdana" w:cs="Verdana"/>
          <w:w w:val="95"/>
          <w:sz w:val="20"/>
          <w:szCs w:val="20"/>
        </w:rPr>
      </w:pPr>
    </w:p>
    <w:p w:rsidR="00045490" w:rsidRDefault="00DF15C3" w:rsidP="00ED75A1">
      <w:pPr>
        <w:spacing w:after="0" w:line="216" w:lineRule="auto"/>
        <w:ind w:right="-174"/>
        <w:rPr>
          <w:rFonts w:ascii="Verdana" w:hAnsi="Verdana"/>
          <w:w w:val="95"/>
          <w:sz w:val="20"/>
          <w:szCs w:val="20"/>
          <w:lang w:val="es-ES_tradnl"/>
        </w:rPr>
      </w:pPr>
      <w:r w:rsidRPr="005D5890">
        <w:rPr>
          <w:rFonts w:ascii="Verdana" w:hAnsi="Verdana"/>
          <w:w w:val="95"/>
          <w:sz w:val="20"/>
          <w:szCs w:val="20"/>
          <w:lang w:val="es-ES_tradnl"/>
        </w:rPr>
        <w:t>Redactada en español en San José, Costa Rica, el 19 de mayo de 2014.</w:t>
      </w:r>
    </w:p>
    <w:p w:rsidR="002A523D" w:rsidRDefault="002A523D" w:rsidP="002A523D">
      <w:pPr>
        <w:jc w:val="both"/>
        <w:rPr>
          <w:rFonts w:ascii="Verdana" w:hAnsi="Verdana"/>
          <w:sz w:val="20"/>
          <w:lang w:val="es-CR"/>
        </w:rPr>
      </w:pPr>
    </w:p>
    <w:p w:rsidR="002A523D" w:rsidRPr="007C7838" w:rsidRDefault="002A523D" w:rsidP="002A523D">
      <w:pPr>
        <w:jc w:val="both"/>
        <w:rPr>
          <w:rFonts w:ascii="Verdana" w:hAnsi="Verdana"/>
          <w:sz w:val="20"/>
          <w:lang w:val="es-CR"/>
        </w:rPr>
      </w:pPr>
    </w:p>
    <w:p w:rsidR="002A523D" w:rsidRDefault="002A523D" w:rsidP="002A523D">
      <w:pPr>
        <w:spacing w:after="0"/>
        <w:jc w:val="center"/>
        <w:rPr>
          <w:rFonts w:ascii="Verdana" w:hAnsi="Verdana"/>
          <w:sz w:val="20"/>
          <w:lang w:val="es-ES"/>
        </w:rPr>
      </w:pPr>
      <w:r>
        <w:rPr>
          <w:rFonts w:ascii="Verdana" w:hAnsi="Verdana"/>
          <w:sz w:val="20"/>
          <w:lang w:val="es-ES"/>
        </w:rPr>
        <w:t>Humberto Antonio Sierra Porto</w:t>
      </w:r>
    </w:p>
    <w:p w:rsidR="002A523D" w:rsidRPr="00370276" w:rsidRDefault="002A523D" w:rsidP="002A523D">
      <w:pPr>
        <w:spacing w:after="0"/>
        <w:jc w:val="center"/>
        <w:rPr>
          <w:rFonts w:ascii="Verdana" w:hAnsi="Verdana"/>
          <w:sz w:val="20"/>
          <w:lang w:val="es-ES"/>
        </w:rPr>
      </w:pPr>
      <w:r>
        <w:rPr>
          <w:rFonts w:ascii="Verdana" w:hAnsi="Verdana"/>
          <w:sz w:val="20"/>
          <w:lang w:val="es-ES"/>
        </w:rPr>
        <w:t xml:space="preserve">Presidente </w:t>
      </w:r>
    </w:p>
    <w:p w:rsidR="002A523D" w:rsidRPr="00370276" w:rsidRDefault="002A523D" w:rsidP="002A523D">
      <w:pPr>
        <w:spacing w:after="0"/>
        <w:jc w:val="both"/>
        <w:rPr>
          <w:rFonts w:ascii="Verdana" w:hAnsi="Verdana"/>
          <w:sz w:val="20"/>
          <w:lang w:val="es-ES"/>
        </w:rPr>
      </w:pPr>
    </w:p>
    <w:p w:rsidR="002A523D" w:rsidRPr="00370276" w:rsidRDefault="002A523D" w:rsidP="002A523D">
      <w:pPr>
        <w:spacing w:after="0"/>
        <w:jc w:val="both"/>
        <w:rPr>
          <w:rFonts w:ascii="Verdana" w:hAnsi="Verdana"/>
          <w:sz w:val="20"/>
          <w:lang w:val="es-ES"/>
        </w:rPr>
      </w:pPr>
    </w:p>
    <w:p w:rsidR="002A523D" w:rsidRPr="00370276" w:rsidRDefault="002A523D" w:rsidP="002A523D">
      <w:pPr>
        <w:spacing w:after="0"/>
        <w:jc w:val="both"/>
        <w:rPr>
          <w:rFonts w:ascii="Verdana" w:hAnsi="Verdana"/>
          <w:sz w:val="20"/>
          <w:lang w:val="es-ES"/>
        </w:rPr>
      </w:pPr>
    </w:p>
    <w:p w:rsidR="002A523D" w:rsidRDefault="002A523D" w:rsidP="002A523D">
      <w:pPr>
        <w:spacing w:after="0"/>
        <w:jc w:val="both"/>
        <w:rPr>
          <w:rFonts w:ascii="Verdana" w:hAnsi="Verdana"/>
          <w:sz w:val="20"/>
          <w:lang w:val="es-ES"/>
        </w:rPr>
      </w:pPr>
    </w:p>
    <w:p w:rsidR="002A523D" w:rsidRPr="00370276" w:rsidRDefault="002A523D" w:rsidP="002A523D">
      <w:pPr>
        <w:spacing w:after="0"/>
        <w:jc w:val="both"/>
        <w:rPr>
          <w:rFonts w:ascii="Verdana" w:hAnsi="Verdana"/>
          <w:sz w:val="20"/>
          <w:lang w:val="es-ES"/>
        </w:rPr>
      </w:pPr>
    </w:p>
    <w:p w:rsidR="002A523D" w:rsidRPr="00370276" w:rsidRDefault="002A523D" w:rsidP="002A523D">
      <w:pPr>
        <w:spacing w:after="0"/>
        <w:jc w:val="both"/>
        <w:rPr>
          <w:rFonts w:ascii="Verdana" w:hAnsi="Verdana"/>
          <w:sz w:val="20"/>
          <w:lang w:val="es-ES"/>
        </w:rPr>
      </w:pPr>
      <w:r>
        <w:rPr>
          <w:rFonts w:ascii="Verdana" w:hAnsi="Verdana"/>
          <w:sz w:val="20"/>
          <w:lang w:val="es-ES"/>
        </w:rPr>
        <w:t>Roberto F. Caldas</w:t>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t xml:space="preserve">    Manuel E. Ventura Robles</w:t>
      </w:r>
    </w:p>
    <w:p w:rsidR="002A523D" w:rsidRPr="00370276" w:rsidRDefault="002A523D" w:rsidP="002A523D">
      <w:pPr>
        <w:spacing w:after="0"/>
        <w:jc w:val="both"/>
        <w:rPr>
          <w:rFonts w:ascii="Verdana" w:hAnsi="Verdana"/>
          <w:sz w:val="20"/>
          <w:lang w:val="es-ES"/>
        </w:rPr>
      </w:pPr>
    </w:p>
    <w:p w:rsidR="002A523D" w:rsidRDefault="002A523D" w:rsidP="002A523D">
      <w:pPr>
        <w:spacing w:after="0"/>
        <w:jc w:val="both"/>
        <w:rPr>
          <w:rFonts w:ascii="Verdana" w:hAnsi="Verdana"/>
          <w:sz w:val="20"/>
          <w:lang w:val="es-ES"/>
        </w:rPr>
      </w:pPr>
    </w:p>
    <w:p w:rsidR="002A523D" w:rsidRDefault="002A523D" w:rsidP="002A523D">
      <w:pPr>
        <w:spacing w:after="0"/>
        <w:jc w:val="both"/>
        <w:rPr>
          <w:rFonts w:ascii="Verdana" w:hAnsi="Verdana"/>
          <w:sz w:val="20"/>
          <w:lang w:val="es-ES"/>
        </w:rPr>
      </w:pPr>
    </w:p>
    <w:p w:rsidR="002A523D" w:rsidRDefault="002A523D" w:rsidP="002A523D">
      <w:pPr>
        <w:spacing w:after="0"/>
        <w:jc w:val="both"/>
        <w:rPr>
          <w:rFonts w:ascii="Verdana" w:hAnsi="Verdana"/>
          <w:sz w:val="20"/>
          <w:lang w:val="es-ES"/>
        </w:rPr>
      </w:pPr>
    </w:p>
    <w:p w:rsidR="002A523D" w:rsidRDefault="002A523D" w:rsidP="002A523D">
      <w:pPr>
        <w:spacing w:after="0"/>
        <w:jc w:val="both"/>
        <w:rPr>
          <w:rFonts w:ascii="Verdana" w:hAnsi="Verdana"/>
          <w:sz w:val="20"/>
          <w:lang w:val="es-ES"/>
        </w:rPr>
      </w:pPr>
      <w:r>
        <w:rPr>
          <w:rFonts w:ascii="Verdana" w:hAnsi="Verdana"/>
          <w:sz w:val="20"/>
          <w:lang w:val="es-ES"/>
        </w:rPr>
        <w:t>Diego García Sayán</w:t>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t xml:space="preserve">                       Alberto Pérez </w:t>
      </w:r>
      <w:proofErr w:type="spellStart"/>
      <w:r>
        <w:rPr>
          <w:rFonts w:ascii="Verdana" w:hAnsi="Verdana"/>
          <w:sz w:val="20"/>
          <w:lang w:val="es-ES"/>
        </w:rPr>
        <w:t>Pérez</w:t>
      </w:r>
      <w:proofErr w:type="spellEnd"/>
    </w:p>
    <w:p w:rsidR="002A523D" w:rsidRDefault="002A523D" w:rsidP="002A523D">
      <w:pPr>
        <w:spacing w:after="0"/>
        <w:jc w:val="both"/>
        <w:rPr>
          <w:rFonts w:ascii="Verdana" w:hAnsi="Verdana"/>
          <w:sz w:val="20"/>
          <w:lang w:val="es-ES"/>
        </w:rPr>
      </w:pPr>
    </w:p>
    <w:p w:rsidR="002A523D" w:rsidRDefault="002A523D" w:rsidP="002A523D">
      <w:pPr>
        <w:spacing w:after="0"/>
        <w:jc w:val="both"/>
        <w:rPr>
          <w:rFonts w:ascii="Verdana" w:hAnsi="Verdana"/>
          <w:sz w:val="20"/>
          <w:lang w:val="es-ES"/>
        </w:rPr>
      </w:pPr>
    </w:p>
    <w:p w:rsidR="002A523D" w:rsidRDefault="002A523D" w:rsidP="002A523D">
      <w:pPr>
        <w:spacing w:after="0"/>
        <w:jc w:val="both"/>
        <w:rPr>
          <w:rFonts w:ascii="Verdana" w:hAnsi="Verdana"/>
          <w:sz w:val="20"/>
          <w:lang w:val="es-ES"/>
        </w:rPr>
      </w:pPr>
    </w:p>
    <w:p w:rsidR="002A523D" w:rsidRDefault="002A523D" w:rsidP="002A523D">
      <w:pPr>
        <w:spacing w:after="0"/>
        <w:jc w:val="both"/>
        <w:rPr>
          <w:rFonts w:ascii="Verdana" w:hAnsi="Verdana"/>
          <w:sz w:val="20"/>
          <w:lang w:val="es-ES"/>
        </w:rPr>
      </w:pPr>
    </w:p>
    <w:p w:rsidR="002A523D" w:rsidRPr="00370276" w:rsidRDefault="002A523D" w:rsidP="002A523D">
      <w:pPr>
        <w:spacing w:after="0"/>
        <w:jc w:val="center"/>
        <w:rPr>
          <w:rFonts w:ascii="Verdana" w:hAnsi="Verdana"/>
          <w:sz w:val="20"/>
          <w:lang w:val="es-ES"/>
        </w:rPr>
      </w:pPr>
      <w:r>
        <w:rPr>
          <w:rFonts w:ascii="Verdana" w:hAnsi="Verdana"/>
          <w:sz w:val="20"/>
          <w:lang w:val="es-ES"/>
        </w:rPr>
        <w:t>Eduardo Vio Grossi                                               Eduardo Ferrer Mac-</w:t>
      </w:r>
      <w:proofErr w:type="spellStart"/>
      <w:r>
        <w:rPr>
          <w:rFonts w:ascii="Verdana" w:hAnsi="Verdana"/>
          <w:sz w:val="20"/>
          <w:lang w:val="es-ES"/>
        </w:rPr>
        <w:t>Gregor</w:t>
      </w:r>
      <w:proofErr w:type="spellEnd"/>
      <w:r>
        <w:rPr>
          <w:rFonts w:ascii="Verdana" w:hAnsi="Verdana"/>
          <w:sz w:val="20"/>
          <w:lang w:val="es-ES"/>
        </w:rPr>
        <w:t xml:space="preserve"> </w:t>
      </w:r>
      <w:proofErr w:type="spellStart"/>
      <w:r>
        <w:rPr>
          <w:rFonts w:ascii="Verdana" w:hAnsi="Verdana"/>
          <w:sz w:val="20"/>
          <w:lang w:val="es-ES"/>
        </w:rPr>
        <w:t>Poisot</w:t>
      </w:r>
      <w:proofErr w:type="spellEnd"/>
    </w:p>
    <w:p w:rsidR="002A523D" w:rsidRPr="007C06A1" w:rsidRDefault="002A523D" w:rsidP="002A523D">
      <w:pPr>
        <w:spacing w:after="0"/>
        <w:rPr>
          <w:rFonts w:ascii="Verdana" w:hAnsi="Verdana"/>
          <w:sz w:val="20"/>
          <w:lang w:val="es-ES"/>
        </w:rPr>
      </w:pPr>
    </w:p>
    <w:p w:rsidR="002A523D" w:rsidRDefault="002A523D" w:rsidP="002A523D">
      <w:pPr>
        <w:spacing w:after="0"/>
        <w:jc w:val="both"/>
        <w:rPr>
          <w:rFonts w:ascii="Verdana" w:hAnsi="Verdana"/>
          <w:sz w:val="20"/>
          <w:lang w:val="es-CR"/>
        </w:rPr>
      </w:pPr>
    </w:p>
    <w:p w:rsidR="002A523D" w:rsidRDefault="002A523D" w:rsidP="002A523D">
      <w:pPr>
        <w:spacing w:after="0"/>
        <w:jc w:val="both"/>
        <w:rPr>
          <w:rFonts w:ascii="Verdana" w:hAnsi="Verdana"/>
          <w:sz w:val="20"/>
          <w:lang w:val="es-CR"/>
        </w:rPr>
      </w:pPr>
    </w:p>
    <w:p w:rsidR="002A523D" w:rsidRPr="00370276" w:rsidRDefault="002A523D" w:rsidP="002A523D">
      <w:pPr>
        <w:spacing w:after="0"/>
        <w:jc w:val="both"/>
        <w:rPr>
          <w:rFonts w:ascii="Verdana" w:hAnsi="Verdana"/>
          <w:sz w:val="20"/>
          <w:lang w:val="es-ES"/>
        </w:rPr>
      </w:pPr>
    </w:p>
    <w:p w:rsidR="002A523D" w:rsidRPr="00370276" w:rsidRDefault="002A523D" w:rsidP="002A523D">
      <w:pPr>
        <w:spacing w:after="0"/>
        <w:jc w:val="center"/>
        <w:rPr>
          <w:rFonts w:ascii="Verdana" w:hAnsi="Verdana"/>
          <w:sz w:val="20"/>
          <w:lang w:val="es-ES"/>
        </w:rPr>
      </w:pPr>
      <w:r w:rsidRPr="00370276">
        <w:rPr>
          <w:rFonts w:ascii="Verdana" w:hAnsi="Verdana"/>
          <w:sz w:val="20"/>
          <w:lang w:val="es-ES"/>
        </w:rPr>
        <w:t>Pablo Saavedra Ales</w:t>
      </w:r>
      <w:r>
        <w:rPr>
          <w:rFonts w:ascii="Verdana" w:hAnsi="Verdana"/>
          <w:sz w:val="20"/>
          <w:lang w:val="es-ES"/>
        </w:rPr>
        <w:t>s</w:t>
      </w:r>
      <w:r w:rsidRPr="00370276">
        <w:rPr>
          <w:rFonts w:ascii="Verdana" w:hAnsi="Verdana"/>
          <w:sz w:val="20"/>
          <w:lang w:val="es-ES"/>
        </w:rPr>
        <w:t>andri</w:t>
      </w:r>
    </w:p>
    <w:p w:rsidR="002A523D" w:rsidRPr="00370276" w:rsidRDefault="002A523D" w:rsidP="002A523D">
      <w:pPr>
        <w:spacing w:after="0"/>
        <w:jc w:val="center"/>
        <w:rPr>
          <w:rFonts w:ascii="Verdana" w:hAnsi="Verdana"/>
          <w:sz w:val="20"/>
          <w:lang w:val="es-ES"/>
        </w:rPr>
      </w:pPr>
      <w:r w:rsidRPr="00370276">
        <w:rPr>
          <w:rFonts w:ascii="Verdana" w:hAnsi="Verdana"/>
          <w:sz w:val="20"/>
          <w:lang w:val="es-ES"/>
        </w:rPr>
        <w:t>Secretario</w:t>
      </w:r>
    </w:p>
    <w:p w:rsidR="002A523D" w:rsidRPr="00370276" w:rsidRDefault="002A523D" w:rsidP="002A523D">
      <w:pPr>
        <w:spacing w:after="0"/>
        <w:rPr>
          <w:rFonts w:ascii="Verdana" w:hAnsi="Verdana"/>
          <w:sz w:val="20"/>
          <w:lang w:val="es-ES"/>
        </w:rPr>
      </w:pPr>
    </w:p>
    <w:p w:rsidR="002A523D" w:rsidRDefault="002A523D" w:rsidP="002A523D">
      <w:pPr>
        <w:pStyle w:val="Textonotapie"/>
        <w:rPr>
          <w:rFonts w:ascii="Verdana" w:hAnsi="Verdana"/>
          <w:lang w:val="es-ES"/>
        </w:rPr>
      </w:pPr>
    </w:p>
    <w:p w:rsidR="002A523D" w:rsidRDefault="002A523D" w:rsidP="002A523D">
      <w:pPr>
        <w:pStyle w:val="Textonotapie"/>
        <w:rPr>
          <w:rFonts w:ascii="Verdana" w:hAnsi="Verdana"/>
          <w:lang w:val="es-ES"/>
        </w:rPr>
      </w:pPr>
    </w:p>
    <w:p w:rsidR="002A523D" w:rsidRPr="00370276" w:rsidRDefault="002A523D" w:rsidP="002A523D">
      <w:pPr>
        <w:pStyle w:val="Textonotapie"/>
        <w:rPr>
          <w:rFonts w:ascii="Verdana" w:hAnsi="Verdana"/>
          <w:lang w:val="es-ES"/>
        </w:rPr>
      </w:pPr>
    </w:p>
    <w:p w:rsidR="002A523D" w:rsidRPr="00370276" w:rsidRDefault="002A523D" w:rsidP="002A523D">
      <w:pPr>
        <w:spacing w:after="0"/>
        <w:jc w:val="both"/>
        <w:rPr>
          <w:rFonts w:ascii="Verdana" w:hAnsi="Verdana"/>
          <w:sz w:val="20"/>
          <w:lang w:val="es-ES"/>
        </w:rPr>
      </w:pPr>
      <w:r w:rsidRPr="00370276">
        <w:rPr>
          <w:rFonts w:ascii="Verdana" w:hAnsi="Verdana"/>
          <w:sz w:val="20"/>
          <w:lang w:val="es-ES"/>
        </w:rPr>
        <w:t>Comuníquese y ejecútese,</w:t>
      </w:r>
    </w:p>
    <w:p w:rsidR="002A523D" w:rsidRPr="00370276" w:rsidRDefault="002A523D" w:rsidP="002A523D">
      <w:pPr>
        <w:spacing w:after="0"/>
        <w:jc w:val="both"/>
        <w:rPr>
          <w:rFonts w:ascii="Verdana" w:hAnsi="Verdana"/>
          <w:sz w:val="20"/>
          <w:lang w:val="es-ES"/>
        </w:rPr>
      </w:pPr>
    </w:p>
    <w:p w:rsidR="002A523D" w:rsidRPr="00370276" w:rsidRDefault="002A523D" w:rsidP="002A523D">
      <w:pPr>
        <w:spacing w:after="0"/>
        <w:jc w:val="both"/>
        <w:rPr>
          <w:rFonts w:ascii="Verdana" w:hAnsi="Verdana"/>
          <w:sz w:val="20"/>
          <w:lang w:val="es-ES"/>
        </w:rPr>
      </w:pPr>
    </w:p>
    <w:p w:rsidR="002A523D" w:rsidRPr="00370276" w:rsidRDefault="002A523D" w:rsidP="002A523D">
      <w:pPr>
        <w:spacing w:after="0"/>
        <w:jc w:val="both"/>
        <w:rPr>
          <w:rFonts w:ascii="Verdana" w:hAnsi="Verdana"/>
          <w:sz w:val="20"/>
          <w:lang w:val="es-ES"/>
        </w:rPr>
      </w:pPr>
    </w:p>
    <w:p w:rsidR="002A523D" w:rsidRPr="001510B7" w:rsidRDefault="002A523D" w:rsidP="002A523D">
      <w:pPr>
        <w:spacing w:after="0"/>
        <w:jc w:val="both"/>
        <w:rPr>
          <w:rFonts w:ascii="Verdana" w:hAnsi="Verdana"/>
          <w:sz w:val="20"/>
          <w:lang w:val="es-CR"/>
        </w:rPr>
      </w:pPr>
    </w:p>
    <w:p w:rsidR="002A523D" w:rsidRDefault="002A523D" w:rsidP="002A523D">
      <w:pPr>
        <w:spacing w:after="0"/>
        <w:ind w:left="5040"/>
        <w:rPr>
          <w:rFonts w:ascii="Verdana" w:hAnsi="Verdana"/>
          <w:sz w:val="20"/>
          <w:lang w:val="es-ES"/>
        </w:rPr>
      </w:pPr>
      <w:r>
        <w:rPr>
          <w:rFonts w:ascii="Verdana" w:hAnsi="Verdana"/>
          <w:sz w:val="20"/>
          <w:lang w:val="es-ES"/>
        </w:rPr>
        <w:t xml:space="preserve">       Humberto Antonio Sierra Porto</w:t>
      </w:r>
    </w:p>
    <w:p w:rsidR="002A523D" w:rsidRPr="00370276" w:rsidRDefault="002A523D" w:rsidP="002A523D">
      <w:pPr>
        <w:spacing w:after="0"/>
        <w:ind w:left="5760"/>
        <w:jc w:val="center"/>
        <w:rPr>
          <w:rFonts w:ascii="Verdana" w:hAnsi="Verdana"/>
          <w:sz w:val="20"/>
          <w:lang w:val="es-ES"/>
        </w:rPr>
      </w:pPr>
      <w:r>
        <w:rPr>
          <w:rFonts w:ascii="Verdana" w:hAnsi="Verdana"/>
          <w:sz w:val="20"/>
          <w:lang w:val="es-ES"/>
        </w:rPr>
        <w:t>Presidente</w:t>
      </w:r>
    </w:p>
    <w:p w:rsidR="002A523D" w:rsidRPr="00370276" w:rsidRDefault="002A523D" w:rsidP="002A523D">
      <w:pPr>
        <w:spacing w:after="0"/>
        <w:jc w:val="both"/>
        <w:rPr>
          <w:rFonts w:ascii="Verdana" w:hAnsi="Verdana"/>
          <w:sz w:val="20"/>
          <w:lang w:val="es-ES"/>
        </w:rPr>
      </w:pPr>
    </w:p>
    <w:p w:rsidR="002A523D" w:rsidRDefault="002A523D" w:rsidP="002A523D">
      <w:pPr>
        <w:spacing w:after="0"/>
        <w:jc w:val="both"/>
        <w:rPr>
          <w:rFonts w:ascii="Verdana" w:hAnsi="Verdana"/>
          <w:sz w:val="20"/>
          <w:lang w:val="es-ES"/>
        </w:rPr>
      </w:pPr>
    </w:p>
    <w:p w:rsidR="002A523D" w:rsidRPr="00370276" w:rsidRDefault="002A523D" w:rsidP="002A523D">
      <w:pPr>
        <w:spacing w:after="0"/>
        <w:jc w:val="both"/>
        <w:rPr>
          <w:rFonts w:ascii="Verdana" w:hAnsi="Verdana"/>
          <w:sz w:val="20"/>
          <w:lang w:val="es-ES"/>
        </w:rPr>
      </w:pPr>
    </w:p>
    <w:p w:rsidR="002A523D" w:rsidRPr="00370276" w:rsidRDefault="002A523D" w:rsidP="002A523D">
      <w:pPr>
        <w:spacing w:after="0"/>
        <w:jc w:val="both"/>
        <w:rPr>
          <w:rFonts w:ascii="Verdana" w:hAnsi="Verdana"/>
          <w:sz w:val="20"/>
          <w:lang w:val="es-ES"/>
        </w:rPr>
      </w:pPr>
    </w:p>
    <w:p w:rsidR="002A523D" w:rsidRPr="00370276" w:rsidRDefault="002A523D" w:rsidP="002A523D">
      <w:pPr>
        <w:spacing w:after="0"/>
        <w:jc w:val="both"/>
        <w:rPr>
          <w:rFonts w:ascii="Verdana" w:hAnsi="Verdana"/>
          <w:sz w:val="20"/>
          <w:lang w:val="es-ES"/>
        </w:rPr>
      </w:pPr>
    </w:p>
    <w:p w:rsidR="002A523D" w:rsidRDefault="002A523D" w:rsidP="002A523D">
      <w:pPr>
        <w:spacing w:after="0"/>
        <w:jc w:val="both"/>
        <w:rPr>
          <w:rFonts w:ascii="Verdana" w:hAnsi="Verdana"/>
          <w:sz w:val="20"/>
          <w:lang w:val="es-ES"/>
        </w:rPr>
      </w:pPr>
      <w:r w:rsidRPr="00370276">
        <w:rPr>
          <w:rFonts w:ascii="Verdana" w:hAnsi="Verdana"/>
          <w:sz w:val="20"/>
          <w:lang w:val="es-ES"/>
        </w:rPr>
        <w:t>Pablo Saavedra Alessandri</w:t>
      </w:r>
    </w:p>
    <w:p w:rsidR="002A523D" w:rsidRPr="00DF15C3" w:rsidRDefault="002A523D" w:rsidP="002A523D">
      <w:pPr>
        <w:spacing w:after="0"/>
        <w:rPr>
          <w:lang w:val="es-CR"/>
        </w:rPr>
      </w:pPr>
      <w:r w:rsidRPr="00370276">
        <w:rPr>
          <w:rFonts w:ascii="Verdana" w:hAnsi="Verdana"/>
          <w:sz w:val="20"/>
          <w:lang w:val="es-ES"/>
        </w:rPr>
        <w:tab/>
      </w:r>
      <w:r>
        <w:rPr>
          <w:rFonts w:ascii="Verdana" w:hAnsi="Verdana"/>
          <w:sz w:val="20"/>
        </w:rPr>
        <w:t>Secretario</w:t>
      </w:r>
    </w:p>
    <w:sectPr w:rsidR="002A523D" w:rsidRPr="00DF15C3" w:rsidSect="008A13E3">
      <w:headerReference w:type="default" r:id="rId9"/>
      <w:footerReference w:type="default" r:id="rId10"/>
      <w:headerReference w:type="first" r:id="rId11"/>
      <w:pgSz w:w="12240" w:h="15840" w:code="1"/>
      <w:pgMar w:top="1418" w:right="1710" w:bottom="1418"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7AAE" w:rsidRDefault="00747AAE" w:rsidP="00DF15C3">
      <w:pPr>
        <w:spacing w:after="0" w:line="240" w:lineRule="auto"/>
      </w:pPr>
      <w:r>
        <w:separator/>
      </w:r>
    </w:p>
  </w:endnote>
  <w:endnote w:type="continuationSeparator" w:id="0">
    <w:p w:rsidR="00747AAE" w:rsidRDefault="00747AAE" w:rsidP="00DF15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charset w:val="00"/>
    <w:family w:val="roman"/>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Times-Roman">
    <w:panose1 w:val="00000000000000000000"/>
    <w:charset w:val="00"/>
    <w:family w:val="auto"/>
    <w:notTrueType/>
    <w:pitch w:val="default"/>
    <w:sig w:usb0="00000003" w:usb1="00000000" w:usb2="00000000" w:usb3="00000000" w:csb0="00000001" w:csb1="00000000"/>
  </w:font>
  <w:font w:name="GillSansMT">
    <w:panose1 w:val="00000000000000000000"/>
    <w:charset w:val="00"/>
    <w:family w:val="swiss"/>
    <w:notTrueType/>
    <w:pitch w:val="default"/>
    <w:sig w:usb0="00000003" w:usb1="00000000" w:usb2="00000000" w:usb3="00000000" w:csb0="00000001" w:csb1="00000000"/>
  </w:font>
  <w:font w:name="TimesNewRoman">
    <w:altName w:val="Times New Roman"/>
    <w:panose1 w:val="00000000000000000000"/>
    <w:charset w:val="4D"/>
    <w:family w:val="roman"/>
    <w:notTrueType/>
    <w:pitch w:val="default"/>
    <w:sig w:usb0="03000003" w:usb1="00000000" w:usb2="00000000" w:usb3="00000000" w:csb0="00000001" w:csb1="00000000"/>
  </w:font>
  <w:font w:name="HiddenHorzOCR">
    <w:altName w:val="MS Mincho"/>
    <w:panose1 w:val="00000000000000000000"/>
    <w:charset w:val="80"/>
    <w:family w:val="auto"/>
    <w:notTrueType/>
    <w:pitch w:val="default"/>
    <w:sig w:usb0="00000000" w:usb1="08070000" w:usb2="00000010" w:usb3="00000000" w:csb0="00020000" w:csb1="00000000"/>
  </w:font>
  <w:font w:name="Arabic Typesetting">
    <w:panose1 w:val="03020402040406030203"/>
    <w:charset w:val="00"/>
    <w:family w:val="script"/>
    <w:pitch w:val="variable"/>
    <w:sig w:usb0="A000206F" w:usb1="C0000000" w:usb2="00000008" w:usb3="00000000" w:csb0="000000D3" w:csb1="00000000"/>
  </w:font>
  <w:font w:name="TimesNewRoman,Bold">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35F" w:rsidRDefault="0081535F" w:rsidP="00045490">
    <w:pPr>
      <w:pStyle w:val="Piedepgina"/>
    </w:pPr>
  </w:p>
  <w:p w:rsidR="0081535F" w:rsidRDefault="0081535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7AAE" w:rsidRDefault="00747AAE" w:rsidP="00DF15C3">
      <w:pPr>
        <w:spacing w:after="0" w:line="240" w:lineRule="auto"/>
      </w:pPr>
      <w:r>
        <w:separator/>
      </w:r>
    </w:p>
  </w:footnote>
  <w:footnote w:type="continuationSeparator" w:id="0">
    <w:p w:rsidR="00747AAE" w:rsidRDefault="00747AAE" w:rsidP="00DF15C3">
      <w:pPr>
        <w:spacing w:after="0" w:line="240" w:lineRule="auto"/>
      </w:pPr>
      <w:r>
        <w:continuationSeparator/>
      </w:r>
    </w:p>
  </w:footnote>
  <w:footnote w:id="1">
    <w:p w:rsidR="0081535F" w:rsidRPr="00353432" w:rsidRDefault="0081535F" w:rsidP="00422232">
      <w:pPr>
        <w:pStyle w:val="Prrafodelista"/>
        <w:spacing w:after="0" w:line="19" w:lineRule="atLeast"/>
        <w:ind w:left="-180" w:right="-174"/>
        <w:jc w:val="both"/>
        <w:rPr>
          <w:rFonts w:ascii="Verdana" w:hAnsi="Verdana" w:cs="Arial"/>
          <w:sz w:val="16"/>
          <w:szCs w:val="16"/>
        </w:rPr>
      </w:pPr>
      <w:r w:rsidRPr="00353432">
        <w:rPr>
          <w:rStyle w:val="Refdenotaalpie"/>
          <w:rFonts w:ascii="Verdana" w:hAnsi="Verdana"/>
          <w:sz w:val="16"/>
          <w:szCs w:val="16"/>
        </w:rPr>
        <w:footnoteRef/>
      </w:r>
      <w:r w:rsidRPr="00353432">
        <w:rPr>
          <w:rFonts w:ascii="Verdana" w:hAnsi="Verdana"/>
          <w:sz w:val="16"/>
          <w:szCs w:val="16"/>
        </w:rPr>
        <w:t xml:space="preserve"> En el escrito de sometimiento del caso y en el Informe de Fondo, la Comisión para ref</w:t>
      </w:r>
      <w:r>
        <w:rPr>
          <w:rFonts w:ascii="Verdana" w:hAnsi="Verdana"/>
          <w:sz w:val="16"/>
          <w:szCs w:val="16"/>
        </w:rPr>
        <w:t xml:space="preserve">erirse a los hechos ocurridos a </w:t>
      </w:r>
      <w:r w:rsidRPr="00353432">
        <w:rPr>
          <w:rFonts w:ascii="Verdana" w:hAnsi="Verdana"/>
          <w:sz w:val="16"/>
          <w:szCs w:val="16"/>
        </w:rPr>
        <w:t>María Isabel usa indistintamente las expresiones “</w:t>
      </w:r>
      <w:r w:rsidRPr="00353432">
        <w:rPr>
          <w:rFonts w:ascii="Verdana" w:hAnsi="Verdana" w:cs="Arial"/>
          <w:i/>
          <w:sz w:val="16"/>
          <w:szCs w:val="16"/>
        </w:rPr>
        <w:t>muerte</w:t>
      </w:r>
      <w:r w:rsidRPr="00353432">
        <w:rPr>
          <w:rFonts w:ascii="Verdana" w:hAnsi="Verdana" w:cs="Arial"/>
          <w:sz w:val="16"/>
          <w:szCs w:val="16"/>
        </w:rPr>
        <w:t>”, “</w:t>
      </w:r>
      <w:r w:rsidRPr="00353432">
        <w:rPr>
          <w:rFonts w:ascii="Verdana" w:hAnsi="Verdana" w:cs="Arial"/>
          <w:i/>
          <w:sz w:val="16"/>
          <w:szCs w:val="16"/>
        </w:rPr>
        <w:t>homicidio</w:t>
      </w:r>
      <w:r w:rsidRPr="00353432">
        <w:rPr>
          <w:rFonts w:ascii="Verdana" w:hAnsi="Verdana" w:cs="Arial"/>
          <w:sz w:val="16"/>
          <w:szCs w:val="16"/>
        </w:rPr>
        <w:t>” y “</w:t>
      </w:r>
      <w:r w:rsidRPr="00353432">
        <w:rPr>
          <w:rFonts w:ascii="Verdana" w:hAnsi="Verdana" w:cs="Arial"/>
          <w:i/>
          <w:sz w:val="16"/>
          <w:szCs w:val="16"/>
        </w:rPr>
        <w:t>asesinato</w:t>
      </w:r>
      <w:r w:rsidRPr="00353432">
        <w:rPr>
          <w:rFonts w:ascii="Verdana" w:hAnsi="Verdana" w:cs="Arial"/>
          <w:sz w:val="16"/>
          <w:szCs w:val="16"/>
        </w:rPr>
        <w:t xml:space="preserve">”. Específicamente en el apartado de Recomendaciones del Informe de Fondo, la Comisión recomendó al Estado “esclarecer el </w:t>
      </w:r>
      <w:r w:rsidRPr="00353432">
        <w:rPr>
          <w:rFonts w:ascii="Verdana" w:hAnsi="Verdana" w:cs="Arial"/>
          <w:i/>
          <w:sz w:val="16"/>
          <w:szCs w:val="16"/>
        </w:rPr>
        <w:t>asesinato</w:t>
      </w:r>
      <w:r>
        <w:rPr>
          <w:rFonts w:ascii="Verdana" w:hAnsi="Verdana" w:cs="Arial"/>
          <w:sz w:val="16"/>
          <w:szCs w:val="16"/>
        </w:rPr>
        <w:t xml:space="preserve"> de María Isabel Veliz Franco”. </w:t>
      </w:r>
      <w:r>
        <w:rPr>
          <w:rFonts w:ascii="Verdana" w:hAnsi="Verdana" w:cs="Arial"/>
          <w:i/>
          <w:sz w:val="16"/>
          <w:szCs w:val="16"/>
        </w:rPr>
        <w:t xml:space="preserve">Cfr. </w:t>
      </w:r>
      <w:r w:rsidRPr="00B47773">
        <w:rPr>
          <w:rFonts w:ascii="Verdana" w:hAnsi="Verdana" w:cs="Arial"/>
          <w:sz w:val="16"/>
          <w:szCs w:val="16"/>
        </w:rPr>
        <w:t>Escrito de sometimiento del</w:t>
      </w:r>
      <w:r>
        <w:rPr>
          <w:rFonts w:ascii="Verdana" w:hAnsi="Verdana" w:cs="Arial"/>
          <w:i/>
          <w:sz w:val="16"/>
          <w:szCs w:val="16"/>
        </w:rPr>
        <w:t xml:space="preserve"> </w:t>
      </w:r>
      <w:r w:rsidRPr="00B47773">
        <w:rPr>
          <w:rFonts w:ascii="Verdana" w:hAnsi="Verdana" w:cs="Arial"/>
          <w:sz w:val="16"/>
          <w:szCs w:val="16"/>
        </w:rPr>
        <w:t>caso</w:t>
      </w:r>
      <w:r w:rsidRPr="00353432">
        <w:rPr>
          <w:rFonts w:ascii="Verdana" w:hAnsi="Verdana" w:cs="Arial"/>
          <w:sz w:val="16"/>
          <w:szCs w:val="16"/>
        </w:rPr>
        <w:t xml:space="preserve"> </w:t>
      </w:r>
      <w:r>
        <w:rPr>
          <w:rFonts w:ascii="Verdana" w:hAnsi="Verdana" w:cs="Arial"/>
          <w:sz w:val="16"/>
          <w:szCs w:val="16"/>
        </w:rPr>
        <w:t xml:space="preserve">de 3 de mayo de 2012 </w:t>
      </w:r>
      <w:r w:rsidRPr="00353432">
        <w:rPr>
          <w:rFonts w:ascii="Verdana" w:hAnsi="Verdana" w:cs="Arial"/>
          <w:sz w:val="16"/>
          <w:szCs w:val="16"/>
        </w:rPr>
        <w:t>(</w:t>
      </w:r>
      <w:r>
        <w:rPr>
          <w:rFonts w:ascii="Verdana" w:hAnsi="Verdana"/>
          <w:sz w:val="16"/>
          <w:szCs w:val="16"/>
        </w:rPr>
        <w:t>e</w:t>
      </w:r>
      <w:r w:rsidRPr="00353432">
        <w:rPr>
          <w:rFonts w:ascii="Verdana" w:hAnsi="Verdana"/>
          <w:sz w:val="16"/>
          <w:szCs w:val="16"/>
        </w:rPr>
        <w:t xml:space="preserve">xpediente de </w:t>
      </w:r>
      <w:r>
        <w:rPr>
          <w:rFonts w:ascii="Verdana" w:hAnsi="Verdana"/>
          <w:sz w:val="16"/>
          <w:szCs w:val="16"/>
        </w:rPr>
        <w:t xml:space="preserve">excepciones preliminares, </w:t>
      </w:r>
      <w:r w:rsidRPr="00353432">
        <w:rPr>
          <w:rFonts w:ascii="Verdana" w:hAnsi="Verdana"/>
          <w:sz w:val="16"/>
          <w:szCs w:val="16"/>
        </w:rPr>
        <w:t>fondo</w:t>
      </w:r>
      <w:r>
        <w:rPr>
          <w:rFonts w:ascii="Verdana" w:hAnsi="Verdana"/>
          <w:sz w:val="16"/>
          <w:szCs w:val="16"/>
        </w:rPr>
        <w:t xml:space="preserve"> y reparaciones y costas</w:t>
      </w:r>
      <w:r w:rsidRPr="00353432">
        <w:rPr>
          <w:rFonts w:ascii="Verdana" w:hAnsi="Verdana"/>
          <w:sz w:val="16"/>
          <w:szCs w:val="16"/>
        </w:rPr>
        <w:t xml:space="preserve">, fs. </w:t>
      </w:r>
      <w:r>
        <w:rPr>
          <w:rFonts w:ascii="Verdana" w:hAnsi="Verdana"/>
          <w:sz w:val="16"/>
          <w:szCs w:val="16"/>
        </w:rPr>
        <w:t>2 a 6),</w:t>
      </w:r>
      <w:r w:rsidRPr="00353432">
        <w:rPr>
          <w:rFonts w:ascii="Verdana" w:hAnsi="Verdana"/>
          <w:sz w:val="16"/>
          <w:szCs w:val="16"/>
        </w:rPr>
        <w:t xml:space="preserve"> e Informe de Fondo</w:t>
      </w:r>
      <w:r>
        <w:rPr>
          <w:rFonts w:ascii="Verdana" w:hAnsi="Verdana"/>
          <w:sz w:val="16"/>
          <w:szCs w:val="16"/>
        </w:rPr>
        <w:t xml:space="preserve"> No. 170/11, Caso 12.578, María Isabel Veliz Franco y Otros, Guatemala, 3 de noviembre de 2011 (expediente </w:t>
      </w:r>
      <w:r w:rsidRPr="00353432">
        <w:rPr>
          <w:rFonts w:ascii="Verdana" w:hAnsi="Verdana"/>
          <w:sz w:val="16"/>
          <w:szCs w:val="16"/>
        </w:rPr>
        <w:t xml:space="preserve">de </w:t>
      </w:r>
      <w:r>
        <w:rPr>
          <w:rFonts w:ascii="Verdana" w:hAnsi="Verdana"/>
          <w:sz w:val="16"/>
          <w:szCs w:val="16"/>
        </w:rPr>
        <w:t xml:space="preserve">excepciones preliminares, </w:t>
      </w:r>
      <w:r w:rsidRPr="00353432">
        <w:rPr>
          <w:rFonts w:ascii="Verdana" w:hAnsi="Verdana"/>
          <w:sz w:val="16"/>
          <w:szCs w:val="16"/>
        </w:rPr>
        <w:t>fondo</w:t>
      </w:r>
      <w:r>
        <w:rPr>
          <w:rFonts w:ascii="Verdana" w:hAnsi="Verdana"/>
          <w:sz w:val="16"/>
          <w:szCs w:val="16"/>
        </w:rPr>
        <w:t xml:space="preserve"> y reparaciones y costas,</w:t>
      </w:r>
      <w:r w:rsidRPr="00353432">
        <w:rPr>
          <w:rFonts w:ascii="Verdana" w:hAnsi="Verdana"/>
          <w:sz w:val="16"/>
          <w:szCs w:val="16"/>
        </w:rPr>
        <w:t xml:space="preserve"> </w:t>
      </w:r>
      <w:r w:rsidRPr="00B47773">
        <w:rPr>
          <w:rFonts w:ascii="Verdana" w:hAnsi="Verdana"/>
          <w:sz w:val="16"/>
          <w:szCs w:val="16"/>
        </w:rPr>
        <w:t xml:space="preserve">fs. 7 a </w:t>
      </w:r>
      <w:r>
        <w:rPr>
          <w:rFonts w:ascii="Verdana" w:hAnsi="Verdana"/>
          <w:sz w:val="16"/>
          <w:szCs w:val="16"/>
        </w:rPr>
        <w:t>51</w:t>
      </w:r>
      <w:r w:rsidRPr="00611EF6">
        <w:rPr>
          <w:rFonts w:ascii="Verdana" w:hAnsi="Verdana"/>
          <w:sz w:val="16"/>
          <w:szCs w:val="16"/>
        </w:rPr>
        <w:t>).</w:t>
      </w:r>
    </w:p>
  </w:footnote>
  <w:footnote w:id="2">
    <w:p w:rsidR="0081535F" w:rsidRPr="00353432" w:rsidRDefault="0081535F" w:rsidP="00422232">
      <w:pPr>
        <w:pStyle w:val="Textonotapie"/>
        <w:spacing w:line="19" w:lineRule="atLeast"/>
        <w:ind w:left="-180" w:right="-174"/>
        <w:jc w:val="both"/>
        <w:rPr>
          <w:rFonts w:ascii="Verdana" w:hAnsi="Verdana"/>
          <w:sz w:val="16"/>
          <w:szCs w:val="16"/>
          <w:lang w:val="es-MX"/>
        </w:rPr>
      </w:pPr>
      <w:r w:rsidRPr="00353432">
        <w:rPr>
          <w:rStyle w:val="Refdenotaalpie"/>
          <w:rFonts w:ascii="Verdana" w:hAnsi="Verdana"/>
          <w:sz w:val="16"/>
          <w:szCs w:val="16"/>
        </w:rPr>
        <w:footnoteRef/>
      </w:r>
      <w:r>
        <w:rPr>
          <w:rFonts w:ascii="Verdana" w:hAnsi="Verdana"/>
          <w:sz w:val="16"/>
          <w:szCs w:val="16"/>
        </w:rPr>
        <w:t xml:space="preserve"> </w:t>
      </w:r>
      <w:r w:rsidRPr="00353432">
        <w:rPr>
          <w:rFonts w:ascii="Verdana" w:hAnsi="Verdana"/>
          <w:sz w:val="16"/>
          <w:szCs w:val="16"/>
          <w:lang w:val="es-ES"/>
        </w:rPr>
        <w:t xml:space="preserve">En el cual admitió la denuncia por la presunta violación de los derechos consagrados en los artículos 4, 8.1, 11, 19, 24 y 25 de la Convención Americana, en relación con el artículo 1.1 de la misma, en perjuicio de María Isabel </w:t>
      </w:r>
      <w:r>
        <w:rPr>
          <w:rFonts w:ascii="Verdana" w:hAnsi="Verdana"/>
          <w:sz w:val="16"/>
          <w:szCs w:val="16"/>
          <w:lang w:val="es-ES"/>
        </w:rPr>
        <w:t>Veliz</w:t>
      </w:r>
      <w:r w:rsidRPr="00353432">
        <w:rPr>
          <w:rFonts w:ascii="Verdana" w:hAnsi="Verdana"/>
          <w:sz w:val="16"/>
          <w:szCs w:val="16"/>
          <w:lang w:val="es-ES"/>
        </w:rPr>
        <w:t xml:space="preserve"> Franco, así como el deber consagrado en el artícu</w:t>
      </w:r>
      <w:r>
        <w:rPr>
          <w:rFonts w:ascii="Verdana" w:hAnsi="Verdana"/>
          <w:sz w:val="16"/>
          <w:szCs w:val="16"/>
          <w:lang w:val="es-ES"/>
        </w:rPr>
        <w:t>lo 7 de la Convención de Belém d</w:t>
      </w:r>
      <w:r w:rsidRPr="00353432">
        <w:rPr>
          <w:rFonts w:ascii="Verdana" w:hAnsi="Verdana"/>
          <w:sz w:val="16"/>
          <w:szCs w:val="16"/>
          <w:lang w:val="es-ES"/>
        </w:rPr>
        <w:t>o Pará. Asimismo, concluyó que la petición era admisible en relación a los artículos 5.1, 8.1, 11 y 25 de la Convención Americana, en relación con el artículo 1.1 del mismo texto, en perjuicio de Rosa Elvira Franco Sandoval.</w:t>
      </w:r>
      <w:r w:rsidRPr="00353432">
        <w:rPr>
          <w:rFonts w:ascii="Verdana" w:hAnsi="Verdana"/>
          <w:b/>
          <w:sz w:val="16"/>
          <w:szCs w:val="16"/>
          <w:lang w:val="es-MX"/>
        </w:rPr>
        <w:t xml:space="preserve"> </w:t>
      </w:r>
      <w:r w:rsidRPr="00353432">
        <w:rPr>
          <w:rFonts w:ascii="Verdana" w:hAnsi="Verdana"/>
          <w:sz w:val="16"/>
          <w:szCs w:val="16"/>
          <w:lang w:val="es-MX"/>
        </w:rPr>
        <w:t>Declaró inadmisible la petición respecto a los derechos consagrados en los artículos 5 y 7 de la Convención Americana, en relación con María Isabel</w:t>
      </w:r>
      <w:r>
        <w:rPr>
          <w:rFonts w:ascii="Verdana" w:hAnsi="Verdana"/>
          <w:sz w:val="16"/>
          <w:szCs w:val="16"/>
          <w:lang w:val="es-MX"/>
        </w:rPr>
        <w:t xml:space="preserve">. </w:t>
      </w:r>
      <w:r>
        <w:rPr>
          <w:rFonts w:ascii="Verdana" w:hAnsi="Verdana"/>
          <w:i/>
          <w:sz w:val="16"/>
          <w:szCs w:val="16"/>
          <w:lang w:val="es-MX"/>
        </w:rPr>
        <w:t>Cfr.</w:t>
      </w:r>
      <w:r w:rsidRPr="00353432">
        <w:rPr>
          <w:rFonts w:ascii="Verdana" w:hAnsi="Verdana"/>
          <w:sz w:val="16"/>
          <w:szCs w:val="16"/>
          <w:lang w:val="es-MX"/>
        </w:rPr>
        <w:t xml:space="preserve"> </w:t>
      </w:r>
      <w:r w:rsidRPr="00FA2A1E">
        <w:rPr>
          <w:rFonts w:ascii="Verdana" w:hAnsi="Verdana"/>
          <w:sz w:val="16"/>
          <w:szCs w:val="16"/>
          <w:lang w:val="es-MX"/>
        </w:rPr>
        <w:t>Informe de Admisibilidad No. 92/06, Petición</w:t>
      </w:r>
      <w:r>
        <w:rPr>
          <w:rFonts w:ascii="Verdana" w:hAnsi="Verdana"/>
          <w:sz w:val="16"/>
          <w:szCs w:val="16"/>
          <w:lang w:val="es-MX"/>
        </w:rPr>
        <w:t xml:space="preserve"> 95-04, María Isabel Veliz Franco, Guatemala, 21 de octubre de 2006 (expediente ante la Comisión, fs. 804 a 818).</w:t>
      </w:r>
    </w:p>
    <w:p w:rsidR="0081535F" w:rsidRPr="00353432" w:rsidRDefault="0081535F" w:rsidP="00422232">
      <w:pPr>
        <w:pStyle w:val="Textonotapie"/>
        <w:spacing w:line="19" w:lineRule="atLeast"/>
        <w:ind w:left="-180" w:right="-174"/>
        <w:jc w:val="both"/>
        <w:rPr>
          <w:rFonts w:ascii="Verdana" w:hAnsi="Verdana"/>
          <w:sz w:val="16"/>
          <w:szCs w:val="16"/>
          <w:lang w:val="es-ES"/>
        </w:rPr>
      </w:pPr>
    </w:p>
  </w:footnote>
  <w:footnote w:id="3">
    <w:p w:rsidR="0081535F" w:rsidRPr="00353432" w:rsidRDefault="0081535F" w:rsidP="00422232">
      <w:pPr>
        <w:pStyle w:val="Textonotapie"/>
        <w:spacing w:line="19" w:lineRule="atLeast"/>
        <w:ind w:left="-180" w:right="-174"/>
        <w:jc w:val="both"/>
        <w:rPr>
          <w:rFonts w:ascii="Verdana" w:hAnsi="Verdana"/>
          <w:sz w:val="16"/>
          <w:szCs w:val="16"/>
        </w:rPr>
      </w:pPr>
      <w:r w:rsidRPr="00353432">
        <w:rPr>
          <w:rStyle w:val="Refdenotaalpie"/>
          <w:rFonts w:ascii="Verdana" w:hAnsi="Verdana"/>
          <w:sz w:val="16"/>
          <w:szCs w:val="16"/>
        </w:rPr>
        <w:footnoteRef/>
      </w:r>
      <w:r>
        <w:rPr>
          <w:rFonts w:ascii="Verdana" w:hAnsi="Verdana"/>
          <w:b/>
          <w:sz w:val="16"/>
          <w:szCs w:val="16"/>
        </w:rPr>
        <w:t xml:space="preserve"> </w:t>
      </w:r>
      <w:r w:rsidRPr="00353432">
        <w:rPr>
          <w:rFonts w:ascii="Verdana" w:hAnsi="Verdana"/>
          <w:sz w:val="16"/>
          <w:szCs w:val="16"/>
        </w:rPr>
        <w:t xml:space="preserve">El escrito de sometimiento y los anexos de la Comisión fue enviado vía </w:t>
      </w:r>
      <w:proofErr w:type="spellStart"/>
      <w:r w:rsidRPr="000F27B3">
        <w:rPr>
          <w:rFonts w:ascii="Verdana" w:hAnsi="Verdana"/>
          <w:i/>
          <w:sz w:val="16"/>
          <w:szCs w:val="16"/>
        </w:rPr>
        <w:t>courier</w:t>
      </w:r>
      <w:proofErr w:type="spellEnd"/>
      <w:r w:rsidRPr="000F27B3">
        <w:rPr>
          <w:rFonts w:ascii="Verdana" w:hAnsi="Verdana"/>
          <w:i/>
          <w:sz w:val="16"/>
          <w:szCs w:val="16"/>
        </w:rPr>
        <w:t xml:space="preserve"> </w:t>
      </w:r>
      <w:r w:rsidRPr="00353432">
        <w:rPr>
          <w:rFonts w:ascii="Verdana" w:hAnsi="Verdana"/>
          <w:sz w:val="16"/>
          <w:szCs w:val="16"/>
        </w:rPr>
        <w:t xml:space="preserve">a las partes. Las representantes lo recibieron el 4 de julio de 2012 </w:t>
      </w:r>
      <w:r w:rsidRPr="00353432">
        <w:rPr>
          <w:rFonts w:ascii="Verdana" w:hAnsi="Verdana"/>
          <w:sz w:val="16"/>
          <w:szCs w:val="16"/>
          <w:lang w:val="es-MX"/>
        </w:rPr>
        <w:t xml:space="preserve">y </w:t>
      </w:r>
      <w:r w:rsidRPr="00353432">
        <w:rPr>
          <w:rFonts w:ascii="Verdana" w:hAnsi="Verdana"/>
          <w:sz w:val="16"/>
          <w:szCs w:val="16"/>
        </w:rPr>
        <w:t xml:space="preserve">el </w:t>
      </w:r>
      <w:r w:rsidRPr="00353432">
        <w:rPr>
          <w:rFonts w:ascii="Verdana" w:hAnsi="Verdana"/>
          <w:sz w:val="16"/>
          <w:szCs w:val="16"/>
          <w:lang w:val="es-ES" w:eastAsia="es-ES"/>
        </w:rPr>
        <w:t>Estado lo recibió el 11 de julio de 2012</w:t>
      </w:r>
      <w:r>
        <w:rPr>
          <w:rFonts w:ascii="Verdana" w:hAnsi="Verdana"/>
          <w:sz w:val="16"/>
          <w:szCs w:val="16"/>
          <w:lang w:val="es-ES" w:eastAsia="es-ES"/>
        </w:rPr>
        <w:t>.</w:t>
      </w:r>
      <w:r w:rsidRPr="00353432">
        <w:rPr>
          <w:rFonts w:ascii="Verdana" w:hAnsi="Verdana"/>
          <w:sz w:val="16"/>
          <w:szCs w:val="16"/>
          <w:lang w:val="es-ES" w:eastAsia="es-ES"/>
        </w:rPr>
        <w:t xml:space="preserve"> </w:t>
      </w:r>
    </w:p>
  </w:footnote>
  <w:footnote w:id="4">
    <w:p w:rsidR="0081535F" w:rsidRPr="00353432" w:rsidRDefault="0081535F" w:rsidP="00422232">
      <w:pPr>
        <w:pStyle w:val="Textonotapie"/>
        <w:spacing w:line="19" w:lineRule="atLeast"/>
        <w:ind w:left="-180" w:right="-174"/>
        <w:jc w:val="both"/>
        <w:rPr>
          <w:rFonts w:ascii="Verdana" w:hAnsi="Verdana"/>
          <w:b/>
          <w:sz w:val="16"/>
          <w:szCs w:val="16"/>
          <w:lang w:val="es-ES" w:eastAsia="es-ES"/>
        </w:rPr>
      </w:pPr>
      <w:r w:rsidRPr="00353432">
        <w:rPr>
          <w:rStyle w:val="Refdenotaalpie"/>
          <w:rFonts w:ascii="Verdana" w:hAnsi="Verdana"/>
          <w:sz w:val="16"/>
          <w:szCs w:val="16"/>
        </w:rPr>
        <w:footnoteRef/>
      </w:r>
      <w:r w:rsidRPr="00353432">
        <w:rPr>
          <w:rFonts w:ascii="Verdana" w:hAnsi="Verdana"/>
          <w:sz w:val="16"/>
          <w:szCs w:val="16"/>
        </w:rPr>
        <w:t xml:space="preserve"> En dicha fecha </w:t>
      </w:r>
      <w:r w:rsidRPr="00353432">
        <w:rPr>
          <w:rFonts w:ascii="Verdana" w:hAnsi="Verdana"/>
          <w:sz w:val="16"/>
          <w:szCs w:val="16"/>
          <w:lang w:val="es-ES"/>
        </w:rPr>
        <w:t>CEJIL representado por Viviana Krsticevic, Alejandra Nuño, Marcela Martino y Adeline Neau y RE</w:t>
      </w:r>
      <w:r>
        <w:rPr>
          <w:rFonts w:ascii="Verdana" w:hAnsi="Verdana"/>
          <w:sz w:val="16"/>
          <w:szCs w:val="16"/>
          <w:lang w:val="es-ES"/>
        </w:rPr>
        <w:t>D</w:t>
      </w:r>
      <w:r w:rsidRPr="00353432">
        <w:rPr>
          <w:rFonts w:ascii="Verdana" w:hAnsi="Verdana"/>
          <w:sz w:val="16"/>
          <w:szCs w:val="16"/>
          <w:lang w:val="es-ES"/>
        </w:rPr>
        <w:t xml:space="preserve">NOVI representada por Giovana Lemus y Sonia Acabal, eran las representantes de las presuntas víctimas. </w:t>
      </w:r>
    </w:p>
  </w:footnote>
  <w:footnote w:id="5">
    <w:p w:rsidR="0081535F" w:rsidRPr="00353432" w:rsidRDefault="0081535F" w:rsidP="00422232">
      <w:pPr>
        <w:spacing w:after="0" w:line="19" w:lineRule="atLeast"/>
        <w:ind w:left="-180" w:right="-174"/>
        <w:jc w:val="both"/>
        <w:rPr>
          <w:rFonts w:ascii="Verdana" w:hAnsi="Verdana"/>
          <w:color w:val="1F497D"/>
          <w:sz w:val="16"/>
          <w:szCs w:val="16"/>
        </w:rPr>
      </w:pPr>
      <w:r w:rsidRPr="00353432">
        <w:rPr>
          <w:rStyle w:val="Refdenotaalpie"/>
          <w:rFonts w:ascii="Verdana" w:hAnsi="Verdana"/>
          <w:sz w:val="16"/>
          <w:szCs w:val="16"/>
        </w:rPr>
        <w:footnoteRef/>
      </w:r>
      <w:r w:rsidRPr="00353432">
        <w:rPr>
          <w:rFonts w:ascii="Verdana" w:hAnsi="Verdana"/>
          <w:sz w:val="16"/>
          <w:szCs w:val="16"/>
          <w:lang w:val="es-CR"/>
        </w:rPr>
        <w:t xml:space="preserve"> </w:t>
      </w:r>
      <w:r w:rsidRPr="00353432">
        <w:rPr>
          <w:rFonts w:ascii="Verdana" w:eastAsia="Times" w:hAnsi="Verdana"/>
          <w:sz w:val="16"/>
          <w:szCs w:val="16"/>
          <w:lang w:val="es-ES"/>
        </w:rPr>
        <w:t xml:space="preserve">El 2 de octubre de 2012 la Corte remitió </w:t>
      </w:r>
      <w:r w:rsidRPr="00B47773">
        <w:rPr>
          <w:rFonts w:ascii="Verdana" w:eastAsia="Times" w:hAnsi="Verdana"/>
          <w:sz w:val="16"/>
          <w:szCs w:val="16"/>
          <w:lang w:val="es-ES"/>
        </w:rPr>
        <w:t>vía</w:t>
      </w:r>
      <w:r w:rsidRPr="00353432">
        <w:rPr>
          <w:rFonts w:ascii="Verdana" w:eastAsia="Times" w:hAnsi="Verdana"/>
          <w:i/>
          <w:sz w:val="16"/>
          <w:szCs w:val="16"/>
          <w:lang w:val="es-ES"/>
        </w:rPr>
        <w:t xml:space="preserve"> courier</w:t>
      </w:r>
      <w:r w:rsidRPr="00353432">
        <w:rPr>
          <w:rFonts w:ascii="Verdana" w:eastAsia="Times" w:hAnsi="Verdana"/>
          <w:sz w:val="16"/>
          <w:szCs w:val="16"/>
          <w:lang w:val="es-ES"/>
        </w:rPr>
        <w:t xml:space="preserve"> al Estado el escrito de solicitudes</w:t>
      </w:r>
      <w:r>
        <w:rPr>
          <w:rFonts w:ascii="Verdana" w:eastAsia="Times" w:hAnsi="Verdana"/>
          <w:sz w:val="16"/>
          <w:szCs w:val="16"/>
          <w:lang w:val="es-ES"/>
        </w:rPr>
        <w:t>,</w:t>
      </w:r>
      <w:r w:rsidRPr="00353432">
        <w:rPr>
          <w:rFonts w:ascii="Verdana" w:eastAsia="Times" w:hAnsi="Verdana"/>
          <w:sz w:val="16"/>
          <w:szCs w:val="16"/>
          <w:lang w:val="es-ES"/>
        </w:rPr>
        <w:t xml:space="preserve"> argumentos</w:t>
      </w:r>
      <w:r>
        <w:rPr>
          <w:rFonts w:ascii="Verdana" w:eastAsia="Times" w:hAnsi="Verdana"/>
          <w:sz w:val="16"/>
          <w:szCs w:val="16"/>
          <w:lang w:val="es-ES"/>
        </w:rPr>
        <w:t xml:space="preserve"> y pruebas, así como</w:t>
      </w:r>
      <w:r w:rsidRPr="00353432">
        <w:rPr>
          <w:rFonts w:ascii="Verdana" w:eastAsia="Times" w:hAnsi="Verdana"/>
          <w:sz w:val="16"/>
          <w:szCs w:val="16"/>
          <w:lang w:val="es-ES"/>
        </w:rPr>
        <w:t xml:space="preserve"> los anexos al mismo</w:t>
      </w:r>
      <w:r>
        <w:rPr>
          <w:rFonts w:ascii="Verdana" w:eastAsia="Times" w:hAnsi="Verdana"/>
          <w:sz w:val="16"/>
          <w:szCs w:val="16"/>
          <w:lang w:val="es-ES"/>
        </w:rPr>
        <w:t>,</w:t>
      </w:r>
      <w:r w:rsidRPr="00353432">
        <w:rPr>
          <w:rFonts w:ascii="Verdana" w:eastAsia="Times" w:hAnsi="Verdana"/>
          <w:sz w:val="16"/>
          <w:szCs w:val="16"/>
          <w:lang w:val="es-ES"/>
        </w:rPr>
        <w:t xml:space="preserve"> y un dispositivo USB y dos discos compactos con los documentos presentados por l</w:t>
      </w:r>
      <w:r>
        <w:rPr>
          <w:rFonts w:ascii="Verdana" w:eastAsia="Times" w:hAnsi="Verdana"/>
          <w:sz w:val="16"/>
          <w:szCs w:val="16"/>
          <w:lang w:val="es-ES"/>
        </w:rPr>
        <w:t>a</w:t>
      </w:r>
      <w:r w:rsidRPr="00353432">
        <w:rPr>
          <w:rFonts w:ascii="Verdana" w:eastAsia="Times" w:hAnsi="Verdana"/>
          <w:sz w:val="16"/>
          <w:szCs w:val="16"/>
          <w:lang w:val="es-ES"/>
        </w:rPr>
        <w:t>s representantes y concedió al Estado el plazo improrrogable de dos meses para que presentara su contestación. El 17 de octubre de 2012 el Estado informó a la Corte que el dispositivo USB no había sido recibido. El 18 de octubre de 2012 la Corte envió nuevamente al Estado un disco compacto con la documentación que faltaba, la cual estaba contenida en el USB</w:t>
      </w:r>
      <w:r>
        <w:rPr>
          <w:rFonts w:ascii="Verdana" w:eastAsia="Times" w:hAnsi="Verdana"/>
          <w:sz w:val="16"/>
          <w:szCs w:val="16"/>
          <w:lang w:val="es-ES"/>
        </w:rPr>
        <w:t>,</w:t>
      </w:r>
      <w:r w:rsidRPr="00353432">
        <w:rPr>
          <w:rFonts w:ascii="Verdana" w:eastAsia="Times" w:hAnsi="Verdana"/>
          <w:sz w:val="16"/>
          <w:szCs w:val="16"/>
          <w:lang w:val="es-ES"/>
        </w:rPr>
        <w:t xml:space="preserve"> y concedió al Estado de nuevo el plazo para presentar la contestación contado a partir de la recepción de dicho disco compacto. </w:t>
      </w:r>
    </w:p>
  </w:footnote>
  <w:footnote w:id="6">
    <w:p w:rsidR="0081535F" w:rsidRPr="00353432" w:rsidRDefault="0081535F" w:rsidP="00422232">
      <w:pPr>
        <w:pStyle w:val="Textonotapie"/>
        <w:spacing w:line="19" w:lineRule="atLeast"/>
        <w:ind w:left="-180" w:right="-174"/>
        <w:jc w:val="both"/>
        <w:rPr>
          <w:rFonts w:ascii="Verdana" w:hAnsi="Verdana"/>
          <w:sz w:val="16"/>
          <w:szCs w:val="16"/>
        </w:rPr>
      </w:pPr>
      <w:r w:rsidRPr="00353432">
        <w:rPr>
          <w:rStyle w:val="Refdenotaalpie"/>
          <w:rFonts w:ascii="Verdana" w:hAnsi="Verdana"/>
          <w:sz w:val="16"/>
          <w:szCs w:val="16"/>
        </w:rPr>
        <w:footnoteRef/>
      </w:r>
      <w:r w:rsidRPr="00353432">
        <w:rPr>
          <w:rFonts w:ascii="Verdana" w:hAnsi="Verdana"/>
          <w:sz w:val="16"/>
          <w:szCs w:val="16"/>
        </w:rPr>
        <w:t xml:space="preserve"> El 15 de marzo de 2013 el Estado informó que se designó al señor Rodrigo Villagrán Sandoval como Agente del Estado en sustitución de la señora María Elena de Jesús Rodríguez López. </w:t>
      </w:r>
    </w:p>
  </w:footnote>
  <w:footnote w:id="7">
    <w:p w:rsidR="0081535F" w:rsidRPr="00353432" w:rsidRDefault="0081535F" w:rsidP="00422232">
      <w:pPr>
        <w:pStyle w:val="Textonotapie"/>
        <w:spacing w:line="19" w:lineRule="atLeast"/>
        <w:ind w:left="-180" w:right="-174"/>
        <w:jc w:val="both"/>
        <w:rPr>
          <w:rFonts w:ascii="Verdana" w:hAnsi="Verdana"/>
          <w:b/>
          <w:sz w:val="16"/>
          <w:szCs w:val="16"/>
        </w:rPr>
      </w:pPr>
      <w:r w:rsidRPr="00353432">
        <w:rPr>
          <w:rStyle w:val="Refdenotaalpie"/>
          <w:rFonts w:ascii="Verdana" w:hAnsi="Verdana"/>
          <w:sz w:val="16"/>
          <w:szCs w:val="16"/>
        </w:rPr>
        <w:footnoteRef/>
      </w:r>
      <w:r w:rsidRPr="00353432">
        <w:rPr>
          <w:rFonts w:ascii="Verdana" w:hAnsi="Verdana"/>
          <w:sz w:val="16"/>
          <w:szCs w:val="16"/>
        </w:rPr>
        <w:t xml:space="preserve"> El Juez Diego García-Sayán terminó su mandato como Presidente el</w:t>
      </w:r>
      <w:r w:rsidRPr="005A057A">
        <w:rPr>
          <w:rFonts w:ascii="Verdana" w:hAnsi="Verdana"/>
          <w:sz w:val="16"/>
          <w:szCs w:val="16"/>
        </w:rPr>
        <w:t xml:space="preserve"> 31</w:t>
      </w:r>
      <w:r w:rsidRPr="00353432">
        <w:rPr>
          <w:rFonts w:ascii="Verdana" w:hAnsi="Verdana"/>
          <w:sz w:val="16"/>
          <w:szCs w:val="16"/>
        </w:rPr>
        <w:t xml:space="preserve"> de diciembre de 2013.</w:t>
      </w:r>
    </w:p>
  </w:footnote>
  <w:footnote w:id="8">
    <w:p w:rsidR="0081535F" w:rsidRPr="00353432" w:rsidRDefault="0081535F" w:rsidP="00422232">
      <w:pPr>
        <w:pStyle w:val="Textonotapie"/>
        <w:spacing w:line="19" w:lineRule="atLeast"/>
        <w:ind w:left="-180" w:right="-174"/>
        <w:jc w:val="both"/>
        <w:rPr>
          <w:rFonts w:ascii="Verdana" w:hAnsi="Verdana"/>
          <w:sz w:val="16"/>
          <w:szCs w:val="16"/>
          <w:lang w:val="es-CR"/>
        </w:rPr>
      </w:pPr>
      <w:r w:rsidRPr="00353432">
        <w:rPr>
          <w:rStyle w:val="Refdenotaalpie"/>
          <w:rFonts w:ascii="Verdana" w:hAnsi="Verdana"/>
          <w:sz w:val="16"/>
          <w:szCs w:val="16"/>
        </w:rPr>
        <w:footnoteRef/>
      </w:r>
      <w:r w:rsidRPr="00353432">
        <w:rPr>
          <w:rFonts w:ascii="Verdana" w:hAnsi="Verdana"/>
          <w:sz w:val="16"/>
          <w:szCs w:val="16"/>
        </w:rPr>
        <w:t xml:space="preserve"> </w:t>
      </w:r>
      <w:r w:rsidRPr="00353432">
        <w:rPr>
          <w:rFonts w:ascii="Verdana" w:hAnsi="Verdana"/>
          <w:sz w:val="16"/>
          <w:szCs w:val="16"/>
        </w:rPr>
        <w:tab/>
        <w:t>A esta audiencia comparecieron: a) por la Comisión Interamericana:</w:t>
      </w:r>
      <w:r w:rsidRPr="00353432">
        <w:rPr>
          <w:rFonts w:ascii="Verdana" w:hAnsi="Verdana"/>
          <w:sz w:val="16"/>
          <w:szCs w:val="16"/>
          <w:lang w:val="es-CR" w:eastAsia="es-ES"/>
        </w:rPr>
        <w:t xml:space="preserve"> Dinah Shelton, Comisionada, </w:t>
      </w:r>
      <w:r w:rsidRPr="00353432">
        <w:rPr>
          <w:rFonts w:ascii="Verdana" w:hAnsi="Verdana"/>
          <w:sz w:val="16"/>
          <w:szCs w:val="16"/>
          <w:lang w:val="es-CR"/>
        </w:rPr>
        <w:t xml:space="preserve">Elizabeth Abi-Mershed, Secretaria Ejecutiva Adjunta, </w:t>
      </w:r>
      <w:r w:rsidRPr="00353432">
        <w:rPr>
          <w:rFonts w:ascii="Verdana" w:hAnsi="Verdana"/>
          <w:sz w:val="16"/>
          <w:szCs w:val="16"/>
        </w:rPr>
        <w:t xml:space="preserve">y </w:t>
      </w:r>
      <w:r w:rsidRPr="00353432">
        <w:rPr>
          <w:rFonts w:ascii="Verdana" w:hAnsi="Verdana"/>
          <w:sz w:val="16"/>
          <w:szCs w:val="16"/>
          <w:lang w:val="es-CR"/>
        </w:rPr>
        <w:t>Silvia Serrano Guzmán, asesora legal</w:t>
      </w:r>
      <w:r w:rsidRPr="00353432">
        <w:rPr>
          <w:rFonts w:ascii="Verdana" w:hAnsi="Verdana"/>
          <w:sz w:val="16"/>
          <w:szCs w:val="16"/>
        </w:rPr>
        <w:t>; b) por l</w:t>
      </w:r>
      <w:r>
        <w:rPr>
          <w:rFonts w:ascii="Verdana" w:hAnsi="Verdana"/>
          <w:sz w:val="16"/>
          <w:szCs w:val="16"/>
        </w:rPr>
        <w:t>a representante</w:t>
      </w:r>
      <w:r w:rsidRPr="00353432">
        <w:rPr>
          <w:rFonts w:ascii="Verdana" w:hAnsi="Verdana"/>
          <w:sz w:val="16"/>
          <w:szCs w:val="16"/>
        </w:rPr>
        <w:t xml:space="preserve"> de las presuntas víctimas:</w:t>
      </w:r>
      <w:r w:rsidRPr="00353432">
        <w:rPr>
          <w:rFonts w:ascii="Verdana" w:hAnsi="Verdana"/>
          <w:sz w:val="16"/>
          <w:szCs w:val="16"/>
          <w:lang w:val="es-CR"/>
        </w:rPr>
        <w:t xml:space="preserve"> Giovana Lemus Pérez, Pamela González Ruiz y Sonia Acabal Del Cid de REDNOVI,</w:t>
      </w:r>
      <w:r w:rsidRPr="00353432">
        <w:rPr>
          <w:rFonts w:ascii="Verdana" w:hAnsi="Verdana"/>
          <w:sz w:val="16"/>
          <w:szCs w:val="16"/>
        </w:rPr>
        <w:t xml:space="preserve"> y c) por el Estado: Rodrigo Villagrán Sandoval e Irini Villavicencio Papahiu.</w:t>
      </w:r>
    </w:p>
    <w:p w:rsidR="0081535F" w:rsidRPr="00353432" w:rsidRDefault="0081535F" w:rsidP="00422232">
      <w:pPr>
        <w:pStyle w:val="Textonotapie"/>
        <w:spacing w:line="19" w:lineRule="atLeast"/>
        <w:ind w:left="-180" w:right="-174"/>
        <w:jc w:val="both"/>
        <w:rPr>
          <w:rFonts w:ascii="Verdana" w:hAnsi="Verdana"/>
          <w:sz w:val="16"/>
          <w:szCs w:val="16"/>
          <w:lang w:val="es-CR"/>
        </w:rPr>
      </w:pPr>
    </w:p>
  </w:footnote>
  <w:footnote w:id="9">
    <w:p w:rsidR="0081535F" w:rsidRPr="00353432" w:rsidRDefault="0081535F" w:rsidP="00422232">
      <w:pPr>
        <w:pStyle w:val="Textonotapie"/>
        <w:spacing w:line="19" w:lineRule="atLeast"/>
        <w:ind w:left="-180" w:right="-174"/>
        <w:jc w:val="both"/>
        <w:rPr>
          <w:rFonts w:ascii="Verdana" w:hAnsi="Verdana"/>
          <w:sz w:val="16"/>
          <w:szCs w:val="16"/>
        </w:rPr>
      </w:pPr>
      <w:r w:rsidRPr="00353432">
        <w:rPr>
          <w:rStyle w:val="Refdenotaalpie"/>
          <w:rFonts w:ascii="Verdana" w:hAnsi="Verdana"/>
          <w:sz w:val="16"/>
          <w:szCs w:val="16"/>
        </w:rPr>
        <w:footnoteRef/>
      </w:r>
      <w:r w:rsidRPr="00353432">
        <w:rPr>
          <w:rFonts w:ascii="Verdana" w:hAnsi="Verdana"/>
          <w:sz w:val="16"/>
          <w:szCs w:val="16"/>
        </w:rPr>
        <w:t xml:space="preserve"> </w:t>
      </w:r>
      <w:r w:rsidRPr="00353432">
        <w:rPr>
          <w:rFonts w:ascii="Verdana" w:hAnsi="Verdana"/>
          <w:i/>
          <w:sz w:val="16"/>
          <w:szCs w:val="16"/>
        </w:rPr>
        <w:t>Cfr.</w:t>
      </w:r>
      <w:r w:rsidRPr="00353432">
        <w:rPr>
          <w:rFonts w:ascii="Verdana" w:hAnsi="Verdana"/>
          <w:sz w:val="16"/>
          <w:szCs w:val="16"/>
        </w:rPr>
        <w:t xml:space="preserve"> “CIDH. Audio de audiencia pública en el Caso 12.578, María Isabel V</w:t>
      </w:r>
      <w:r>
        <w:rPr>
          <w:rFonts w:ascii="Verdana" w:hAnsi="Verdana"/>
          <w:sz w:val="16"/>
          <w:szCs w:val="16"/>
        </w:rPr>
        <w:t>e</w:t>
      </w:r>
      <w:r w:rsidRPr="00353432">
        <w:rPr>
          <w:rFonts w:ascii="Verdana" w:hAnsi="Verdana"/>
          <w:sz w:val="16"/>
          <w:szCs w:val="16"/>
        </w:rPr>
        <w:t xml:space="preserve">liz Franco, Guatemala, 20 de marzo de 2009” </w:t>
      </w:r>
      <w:r>
        <w:rPr>
          <w:rFonts w:ascii="Verdana" w:hAnsi="Verdana"/>
          <w:sz w:val="16"/>
          <w:szCs w:val="16"/>
        </w:rPr>
        <w:t>(e</w:t>
      </w:r>
      <w:r w:rsidRPr="00353432">
        <w:rPr>
          <w:rFonts w:ascii="Verdana" w:hAnsi="Verdana"/>
          <w:sz w:val="16"/>
          <w:szCs w:val="16"/>
        </w:rPr>
        <w:t xml:space="preserve">xpediente de </w:t>
      </w:r>
      <w:r>
        <w:rPr>
          <w:rFonts w:ascii="Verdana" w:hAnsi="Verdana"/>
          <w:sz w:val="16"/>
          <w:szCs w:val="16"/>
        </w:rPr>
        <w:t>anexos al Informe de Fondo</w:t>
      </w:r>
      <w:r w:rsidRPr="00353432">
        <w:rPr>
          <w:rFonts w:ascii="Verdana" w:hAnsi="Verdana"/>
          <w:sz w:val="16"/>
          <w:szCs w:val="16"/>
        </w:rPr>
        <w:t xml:space="preserve">, </w:t>
      </w:r>
      <w:r>
        <w:rPr>
          <w:rFonts w:ascii="Verdana" w:hAnsi="Verdana"/>
          <w:sz w:val="16"/>
          <w:szCs w:val="16"/>
        </w:rPr>
        <w:t>t</w:t>
      </w:r>
      <w:r w:rsidRPr="00353432">
        <w:rPr>
          <w:rFonts w:ascii="Verdana" w:hAnsi="Verdana"/>
          <w:sz w:val="16"/>
          <w:szCs w:val="16"/>
        </w:rPr>
        <w:t>omo I, anexo 32.4</w:t>
      </w:r>
      <w:r>
        <w:rPr>
          <w:rFonts w:ascii="Verdana" w:hAnsi="Verdana"/>
          <w:sz w:val="16"/>
          <w:szCs w:val="16"/>
        </w:rPr>
        <w:t xml:space="preserve">). </w:t>
      </w:r>
      <w:r w:rsidRPr="00353432">
        <w:rPr>
          <w:rFonts w:ascii="Verdana" w:hAnsi="Verdana"/>
          <w:sz w:val="16"/>
          <w:szCs w:val="16"/>
        </w:rPr>
        <w:t xml:space="preserve">Dicho anexo fue allegado a la Corte mediante una grabación auditiva de la audiencia indicada, presentada mediante la remisión a un sitio de internet: </w:t>
      </w:r>
      <w:hyperlink r:id="rId1" w:history="1">
        <w:r w:rsidRPr="00353432">
          <w:rPr>
            <w:rStyle w:val="Hipervnculo"/>
            <w:rFonts w:ascii="Verdana" w:hAnsi="Verdana"/>
            <w:color w:val="auto"/>
            <w:sz w:val="16"/>
            <w:szCs w:val="16"/>
            <w:u w:val="none"/>
          </w:rPr>
          <w:t>http://www.oas.org/es/cidh/audiencias/Hearings.aspx?Lang=En&amp;Session=8</w:t>
        </w:r>
      </w:hyperlink>
      <w:r w:rsidRPr="00353432">
        <w:rPr>
          <w:rFonts w:ascii="Verdana" w:hAnsi="Verdana"/>
          <w:sz w:val="16"/>
          <w:szCs w:val="16"/>
        </w:rPr>
        <w:t>).</w:t>
      </w:r>
    </w:p>
  </w:footnote>
  <w:footnote w:id="10">
    <w:p w:rsidR="0081535F" w:rsidRPr="00353432" w:rsidRDefault="0081535F" w:rsidP="00422232">
      <w:pPr>
        <w:pStyle w:val="Textonotapie"/>
        <w:spacing w:line="19" w:lineRule="atLeast"/>
        <w:ind w:left="-180" w:right="-174"/>
        <w:jc w:val="both"/>
        <w:rPr>
          <w:rFonts w:ascii="Verdana" w:hAnsi="Verdana"/>
          <w:sz w:val="16"/>
          <w:szCs w:val="16"/>
        </w:rPr>
      </w:pPr>
      <w:r w:rsidRPr="00353432">
        <w:rPr>
          <w:rStyle w:val="Refdenotaalpie"/>
          <w:rFonts w:ascii="Verdana" w:hAnsi="Verdana"/>
          <w:sz w:val="16"/>
          <w:szCs w:val="16"/>
        </w:rPr>
        <w:footnoteRef/>
      </w:r>
      <w:r w:rsidRPr="00353432">
        <w:rPr>
          <w:rFonts w:ascii="Verdana" w:hAnsi="Verdana"/>
          <w:sz w:val="16"/>
          <w:szCs w:val="16"/>
        </w:rPr>
        <w:t xml:space="preserve">  El documento, Ref. P 1008-09 RDVC/LZ/eh, fue transmitido a la Comisión por medio de una nota </w:t>
      </w:r>
      <w:r>
        <w:rPr>
          <w:rFonts w:ascii="Verdana" w:hAnsi="Verdana"/>
          <w:sz w:val="16"/>
          <w:szCs w:val="16"/>
        </w:rPr>
        <w:t xml:space="preserve">de </w:t>
      </w:r>
      <w:r w:rsidRPr="00353432">
        <w:rPr>
          <w:rFonts w:ascii="Verdana" w:hAnsi="Verdana"/>
          <w:sz w:val="16"/>
          <w:szCs w:val="16"/>
        </w:rPr>
        <w:t>21 de agosto de 2009, y consta que ésta</w:t>
      </w:r>
      <w:r>
        <w:rPr>
          <w:rFonts w:ascii="Verdana" w:hAnsi="Verdana"/>
          <w:sz w:val="16"/>
          <w:szCs w:val="16"/>
        </w:rPr>
        <w:t xml:space="preserve"> lo recibió el siguiente día 24 (e</w:t>
      </w:r>
      <w:r w:rsidRPr="00353432">
        <w:rPr>
          <w:rFonts w:ascii="Verdana" w:hAnsi="Verdana"/>
          <w:sz w:val="16"/>
          <w:szCs w:val="16"/>
        </w:rPr>
        <w:t>xpediente ante la Comisió</w:t>
      </w:r>
      <w:r>
        <w:rPr>
          <w:rFonts w:ascii="Verdana" w:hAnsi="Verdana"/>
          <w:sz w:val="16"/>
          <w:szCs w:val="16"/>
        </w:rPr>
        <w:t>n, tomo III, fs. 2105 y 2106</w:t>
      </w:r>
      <w:r w:rsidRPr="00353432">
        <w:rPr>
          <w:rFonts w:ascii="Verdana" w:hAnsi="Verdana"/>
          <w:sz w:val="16"/>
          <w:szCs w:val="16"/>
        </w:rPr>
        <w:t>)</w:t>
      </w:r>
      <w:r>
        <w:rPr>
          <w:rFonts w:ascii="Verdana" w:hAnsi="Verdana"/>
          <w:sz w:val="16"/>
          <w:szCs w:val="16"/>
        </w:rPr>
        <w:t>.</w:t>
      </w:r>
      <w:r w:rsidRPr="00DC2E90">
        <w:rPr>
          <w:rFonts w:ascii="Verdana" w:hAnsi="Verdana"/>
          <w:sz w:val="16"/>
          <w:szCs w:val="16"/>
        </w:rPr>
        <w:t xml:space="preserve"> </w:t>
      </w:r>
      <w:r w:rsidRPr="00250E08">
        <w:rPr>
          <w:rFonts w:ascii="Verdana" w:hAnsi="Verdana"/>
          <w:sz w:val="16"/>
          <w:szCs w:val="16"/>
        </w:rPr>
        <w:t xml:space="preserve">El escrito estatal fue enviado por la Misión Permanente de Guatemala ante la Organización de Estados Americanos y firmado por el señor Embajador </w:t>
      </w:r>
      <w:r w:rsidRPr="00622AF9">
        <w:rPr>
          <w:rFonts w:ascii="Verdana" w:hAnsi="Verdana"/>
          <w:sz w:val="16"/>
          <w:szCs w:val="16"/>
        </w:rPr>
        <w:t>Lionel</w:t>
      </w:r>
      <w:r w:rsidRPr="00250E08">
        <w:rPr>
          <w:rFonts w:ascii="Verdana" w:hAnsi="Verdana"/>
          <w:sz w:val="16"/>
          <w:szCs w:val="16"/>
        </w:rPr>
        <w:t xml:space="preserve"> Maza Luna; con el mismo</w:t>
      </w:r>
      <w:r w:rsidRPr="00353432">
        <w:rPr>
          <w:rFonts w:ascii="Verdana" w:hAnsi="Verdana"/>
          <w:sz w:val="16"/>
          <w:szCs w:val="16"/>
        </w:rPr>
        <w:t xml:space="preserve"> se trasladó a la Comisión un informe de COPREDEH, el cual se encuentra firmado por la señora del Valle C</w:t>
      </w:r>
      <w:r>
        <w:rPr>
          <w:rFonts w:ascii="Verdana" w:hAnsi="Verdana"/>
          <w:sz w:val="16"/>
          <w:szCs w:val="16"/>
        </w:rPr>
        <w:t>ó</w:t>
      </w:r>
      <w:r w:rsidRPr="00353432">
        <w:rPr>
          <w:rFonts w:ascii="Verdana" w:hAnsi="Verdana"/>
          <w:sz w:val="16"/>
          <w:szCs w:val="16"/>
        </w:rPr>
        <w:t>bar y aparece</w:t>
      </w:r>
      <w:r>
        <w:rPr>
          <w:rFonts w:ascii="Verdana" w:hAnsi="Verdana"/>
          <w:sz w:val="16"/>
          <w:szCs w:val="16"/>
        </w:rPr>
        <w:t xml:space="preserve"> al pie de dicho documento la remisión de copia </w:t>
      </w:r>
      <w:r w:rsidRPr="00353432">
        <w:rPr>
          <w:rFonts w:ascii="Verdana" w:hAnsi="Verdana"/>
          <w:sz w:val="16"/>
          <w:szCs w:val="16"/>
        </w:rPr>
        <w:t xml:space="preserve">al señor Róger </w:t>
      </w:r>
      <w:r w:rsidRPr="00622AF9">
        <w:rPr>
          <w:rFonts w:ascii="Verdana" w:hAnsi="Verdana"/>
          <w:sz w:val="16"/>
          <w:szCs w:val="16"/>
        </w:rPr>
        <w:t>Haroldo</w:t>
      </w:r>
      <w:r w:rsidRPr="00353432">
        <w:rPr>
          <w:rFonts w:ascii="Verdana" w:hAnsi="Verdana"/>
          <w:sz w:val="16"/>
          <w:szCs w:val="16"/>
        </w:rPr>
        <w:t xml:space="preserve"> Rodas Melgar, en ese entonces</w:t>
      </w:r>
      <w:r>
        <w:rPr>
          <w:rFonts w:ascii="Verdana" w:hAnsi="Verdana"/>
          <w:sz w:val="16"/>
          <w:szCs w:val="16"/>
        </w:rPr>
        <w:t>,</w:t>
      </w:r>
      <w:r w:rsidRPr="00353432">
        <w:rPr>
          <w:rFonts w:ascii="Verdana" w:hAnsi="Verdana"/>
          <w:sz w:val="16"/>
          <w:szCs w:val="16"/>
        </w:rPr>
        <w:t xml:space="preserve"> Ministro de Relaciones Exteriores</w:t>
      </w:r>
      <w:r>
        <w:rPr>
          <w:rFonts w:ascii="Verdana" w:hAnsi="Verdana"/>
          <w:sz w:val="16"/>
          <w:szCs w:val="16"/>
        </w:rPr>
        <w:t>.</w:t>
      </w:r>
    </w:p>
  </w:footnote>
  <w:footnote w:id="11">
    <w:p w:rsidR="0081535F" w:rsidRPr="001E21ED" w:rsidRDefault="0081535F" w:rsidP="00422232">
      <w:pPr>
        <w:pStyle w:val="Textonotapie"/>
        <w:spacing w:line="19" w:lineRule="atLeast"/>
        <w:ind w:left="-180" w:right="-174"/>
        <w:jc w:val="both"/>
        <w:rPr>
          <w:rFonts w:ascii="Verdana" w:hAnsi="Verdana"/>
          <w:sz w:val="16"/>
          <w:szCs w:val="16"/>
        </w:rPr>
      </w:pPr>
      <w:r w:rsidRPr="001E21ED">
        <w:rPr>
          <w:rStyle w:val="Refdenotaalpie"/>
          <w:rFonts w:ascii="Verdana" w:hAnsi="Verdana"/>
          <w:sz w:val="16"/>
          <w:szCs w:val="16"/>
        </w:rPr>
        <w:footnoteRef/>
      </w:r>
      <w:r w:rsidRPr="001E21ED">
        <w:rPr>
          <w:rFonts w:ascii="Verdana" w:hAnsi="Verdana"/>
          <w:sz w:val="16"/>
          <w:szCs w:val="16"/>
        </w:rPr>
        <w:t xml:space="preserve"> El Estado expresó que eso fue manifestado en el siguiente documento: “Informe de fecha 12 de agosto de 2009, identificado como Ref. P 1008-09 RDVC/LZ/eh enviado por COPREDEH a la C[omisión] dentro del caso 12.578, pág. 2/7”.</w:t>
      </w:r>
    </w:p>
  </w:footnote>
  <w:footnote w:id="12">
    <w:p w:rsidR="0081535F" w:rsidRPr="00353432" w:rsidRDefault="0081535F" w:rsidP="00422232">
      <w:pPr>
        <w:pStyle w:val="Textonotapie"/>
        <w:spacing w:line="19" w:lineRule="atLeast"/>
        <w:ind w:left="-180" w:right="-174"/>
        <w:jc w:val="both"/>
        <w:rPr>
          <w:rFonts w:ascii="Verdana" w:hAnsi="Verdana"/>
          <w:b/>
          <w:color w:val="FF0000"/>
          <w:sz w:val="16"/>
          <w:szCs w:val="16"/>
        </w:rPr>
      </w:pPr>
      <w:r w:rsidRPr="00353432">
        <w:rPr>
          <w:rStyle w:val="Refdenotaalpie"/>
          <w:rFonts w:ascii="Verdana" w:hAnsi="Verdana"/>
          <w:sz w:val="16"/>
          <w:szCs w:val="16"/>
        </w:rPr>
        <w:footnoteRef/>
      </w:r>
      <w:r w:rsidRPr="00353432">
        <w:rPr>
          <w:rFonts w:ascii="Verdana" w:hAnsi="Verdana"/>
          <w:sz w:val="16"/>
          <w:szCs w:val="16"/>
        </w:rPr>
        <w:t xml:space="preserve"> Como prueba de esta afirmación, la Comisión se refirió al siguiente documento: “Acta de Audiencia No. 5, Caso 12.576, María Isabel V</w:t>
      </w:r>
      <w:r>
        <w:rPr>
          <w:rFonts w:ascii="Verdana" w:hAnsi="Verdana"/>
          <w:sz w:val="16"/>
          <w:szCs w:val="16"/>
        </w:rPr>
        <w:t>e</w:t>
      </w:r>
      <w:r w:rsidRPr="00353432">
        <w:rPr>
          <w:rFonts w:ascii="Verdana" w:hAnsi="Verdana"/>
          <w:sz w:val="16"/>
          <w:szCs w:val="16"/>
        </w:rPr>
        <w:t xml:space="preserve">liz Franco, Guatemala, 20 de marzo de 2009”. </w:t>
      </w:r>
    </w:p>
  </w:footnote>
  <w:footnote w:id="13">
    <w:p w:rsidR="0081535F" w:rsidRPr="00CC5CED" w:rsidRDefault="0081535F" w:rsidP="00422232">
      <w:pPr>
        <w:pStyle w:val="Textonotapie"/>
        <w:tabs>
          <w:tab w:val="left" w:pos="3600"/>
        </w:tabs>
        <w:ind w:left="-180" w:right="-174"/>
        <w:jc w:val="both"/>
        <w:rPr>
          <w:rFonts w:ascii="Verdana" w:hAnsi="Verdana"/>
          <w:sz w:val="16"/>
          <w:szCs w:val="16"/>
        </w:rPr>
      </w:pPr>
      <w:r w:rsidRPr="00CC5CED">
        <w:rPr>
          <w:rStyle w:val="Refdenotaalpie"/>
          <w:rFonts w:ascii="Verdana" w:hAnsi="Verdana"/>
          <w:sz w:val="16"/>
          <w:szCs w:val="16"/>
        </w:rPr>
        <w:footnoteRef/>
      </w:r>
      <w:r w:rsidRPr="00CC5CED">
        <w:rPr>
          <w:rFonts w:ascii="Verdana" w:hAnsi="Verdana"/>
          <w:sz w:val="16"/>
          <w:szCs w:val="16"/>
        </w:rPr>
        <w:t xml:space="preserve"> </w:t>
      </w:r>
      <w:r>
        <w:rPr>
          <w:rFonts w:ascii="Verdana" w:hAnsi="Verdana"/>
          <w:sz w:val="16"/>
          <w:szCs w:val="16"/>
        </w:rPr>
        <w:t xml:space="preserve"> </w:t>
      </w:r>
      <w:r w:rsidRPr="00622AF9">
        <w:rPr>
          <w:rFonts w:ascii="Verdana" w:hAnsi="Verdana" w:cs="Arial"/>
          <w:i/>
          <w:sz w:val="16"/>
          <w:szCs w:val="16"/>
        </w:rPr>
        <w:t xml:space="preserve">Cfr. Caso </w:t>
      </w:r>
      <w:r>
        <w:rPr>
          <w:rFonts w:ascii="Verdana" w:hAnsi="Verdana" w:cs="Arial"/>
          <w:i/>
          <w:sz w:val="16"/>
          <w:szCs w:val="16"/>
        </w:rPr>
        <w:t>“</w:t>
      </w:r>
      <w:r w:rsidRPr="00622AF9">
        <w:rPr>
          <w:rFonts w:ascii="Verdana" w:hAnsi="Verdana" w:cs="Arial"/>
          <w:i/>
          <w:sz w:val="16"/>
          <w:szCs w:val="16"/>
        </w:rPr>
        <w:t>Cinco Pensionistas</w:t>
      </w:r>
      <w:r>
        <w:rPr>
          <w:rFonts w:ascii="Verdana" w:hAnsi="Verdana" w:cs="Arial"/>
          <w:i/>
          <w:sz w:val="16"/>
          <w:szCs w:val="16"/>
        </w:rPr>
        <w:t>”</w:t>
      </w:r>
      <w:r w:rsidRPr="00622AF9">
        <w:rPr>
          <w:rFonts w:ascii="Verdana" w:hAnsi="Verdana" w:cs="Arial"/>
          <w:i/>
          <w:sz w:val="16"/>
          <w:szCs w:val="16"/>
        </w:rPr>
        <w:t xml:space="preserve"> Vs. Perú.</w:t>
      </w:r>
      <w:r w:rsidRPr="00622AF9">
        <w:rPr>
          <w:rFonts w:ascii="Verdana" w:hAnsi="Verdana" w:cs="Arial"/>
          <w:sz w:val="16"/>
          <w:szCs w:val="16"/>
        </w:rPr>
        <w:t xml:space="preserve"> </w:t>
      </w:r>
      <w:r w:rsidRPr="00622AF9">
        <w:rPr>
          <w:rFonts w:ascii="Verdana" w:hAnsi="Verdana" w:cs="Arial"/>
          <w:i/>
          <w:sz w:val="16"/>
          <w:szCs w:val="16"/>
        </w:rPr>
        <w:t>Fondo, Reparaciones y Costas</w:t>
      </w:r>
      <w:r w:rsidRPr="00622AF9">
        <w:rPr>
          <w:rFonts w:ascii="Verdana" w:hAnsi="Verdana" w:cs="Arial"/>
          <w:sz w:val="16"/>
          <w:szCs w:val="16"/>
        </w:rPr>
        <w:t xml:space="preserve">. Sentencia de 28 de febrero de 2003. Serie C No. 98, párr. 153, y </w:t>
      </w:r>
      <w:r>
        <w:rPr>
          <w:rFonts w:ascii="Verdana" w:hAnsi="Verdana"/>
          <w:i/>
          <w:spacing w:val="-4"/>
          <w:sz w:val="16"/>
          <w:szCs w:val="16"/>
          <w:lang w:val="es-CR"/>
        </w:rPr>
        <w:t xml:space="preserve">Caso J. Vs. Perú. Excepción Preliminar, Fondo, Reparaciones y Costas. </w:t>
      </w:r>
      <w:r>
        <w:rPr>
          <w:rFonts w:ascii="Verdana" w:hAnsi="Verdana"/>
          <w:spacing w:val="-4"/>
          <w:sz w:val="16"/>
          <w:szCs w:val="16"/>
          <w:lang w:val="es-CR"/>
        </w:rPr>
        <w:t>Sentencia de 27 de noviembre de 2013. Serie C No. 275</w:t>
      </w:r>
      <w:r w:rsidRPr="00622AF9">
        <w:rPr>
          <w:rFonts w:ascii="Verdana" w:hAnsi="Verdana" w:cs="Arial"/>
          <w:sz w:val="16"/>
          <w:szCs w:val="16"/>
        </w:rPr>
        <w:t>, párr. 27.</w:t>
      </w:r>
    </w:p>
  </w:footnote>
  <w:footnote w:id="14">
    <w:p w:rsidR="0081535F" w:rsidRPr="00801EB6" w:rsidRDefault="0081535F" w:rsidP="00106C82">
      <w:pPr>
        <w:pStyle w:val="Textonotapie"/>
        <w:spacing w:line="19" w:lineRule="atLeast"/>
        <w:ind w:left="-180" w:right="-174"/>
        <w:jc w:val="both"/>
        <w:rPr>
          <w:rFonts w:ascii="Verdana" w:hAnsi="Verdana"/>
          <w:sz w:val="16"/>
          <w:szCs w:val="16"/>
          <w:lang w:val="es-CR"/>
        </w:rPr>
      </w:pPr>
      <w:r w:rsidRPr="00353432">
        <w:rPr>
          <w:rStyle w:val="Refdenotaalpie"/>
          <w:rFonts w:ascii="Verdana" w:hAnsi="Verdana"/>
          <w:sz w:val="16"/>
          <w:szCs w:val="16"/>
        </w:rPr>
        <w:footnoteRef/>
      </w:r>
      <w:r w:rsidRPr="00353432">
        <w:rPr>
          <w:rFonts w:ascii="Verdana" w:hAnsi="Verdana"/>
          <w:sz w:val="16"/>
          <w:szCs w:val="16"/>
          <w:lang w:val="es-CR"/>
        </w:rPr>
        <w:t xml:space="preserve"> </w:t>
      </w:r>
      <w:r w:rsidRPr="000A7852">
        <w:rPr>
          <w:rFonts w:ascii="Verdana" w:hAnsi="Verdana" w:cs="Arial"/>
          <w:sz w:val="16"/>
          <w:szCs w:val="16"/>
        </w:rPr>
        <w:t xml:space="preserve">En el apartado de hechos del escrito de argumentos y pruebas la representante mencionó de manera específica </w:t>
      </w:r>
      <w:r w:rsidRPr="00C11F32">
        <w:rPr>
          <w:rFonts w:ascii="Verdana" w:hAnsi="Verdana" w:cs="Arial"/>
          <w:sz w:val="16"/>
          <w:szCs w:val="16"/>
        </w:rPr>
        <w:t xml:space="preserve">actos de intimidación y hostigamientos que habría sufrido la señora Franco Sandoval, consistentes en que en </w:t>
      </w:r>
      <w:r w:rsidRPr="00C11F32">
        <w:rPr>
          <w:rFonts w:ascii="Verdana" w:hAnsi="Verdana"/>
          <w:sz w:val="16"/>
          <w:szCs w:val="16"/>
        </w:rPr>
        <w:t xml:space="preserve">febrero de 2002 </w:t>
      </w:r>
      <w:r w:rsidRPr="00C11F32">
        <w:rPr>
          <w:rFonts w:ascii="Verdana" w:hAnsi="Verdana" w:cs="Arial"/>
          <w:sz w:val="16"/>
          <w:szCs w:val="16"/>
        </w:rPr>
        <w:t>la señora Franco Sandoval denunció haber observado de forma frecuente a sujetos sospechosos en los alrededores de su casa o del camino que su hijo tomaba para ir a la escuela; en agosto de 2002 la señora Franco Sandoval denunció que estaba recibiendo llamadas telefónicas en las cuales personas desconocidas le decían que toda su familia iba a morir; en septiembre de 2004 agentes del Ministerio Público de la Ciudad de Guatemala comprobaron que en los alrededores de la residencia de la señora Franco Sandoval se encontraban personas portando armas de fuego, así como vehículos polarizados y sin placas; en abril de 2006 un sujeto que estuvo rondando anteriormente la casa estuvo intimidando y persiguiendo por la calle a la señora Franco Sandoval; en agosto de 2007 fue baleado uno de los agentes encargados de la seguridad de la señora Franco Sandoval mientras regresaba de almorzar en las cercanías del lugar de trabajo de la señora Franco Sandoval; en diciembre de 2011 la señora Franco Sandoval observó nuevamente al hombre que la había seguido en abril de 2006 caminando acompañado de otro sujeto desconocido,</w:t>
      </w:r>
      <w:r w:rsidRPr="00C11F32">
        <w:rPr>
          <w:rFonts w:ascii="Verdana" w:hAnsi="Verdana"/>
          <w:sz w:val="16"/>
          <w:szCs w:val="16"/>
        </w:rPr>
        <w:t xml:space="preserve"> </w:t>
      </w:r>
      <w:r w:rsidRPr="00C11F32">
        <w:rPr>
          <w:rFonts w:ascii="Verdana" w:hAnsi="Verdana" w:cs="Arial"/>
          <w:sz w:val="16"/>
          <w:szCs w:val="16"/>
        </w:rPr>
        <w:t>los dos hombres se quedaron por un tiempo en un carro estacionado casi enfrente de la casa de la señora Franco Sandoval desde el cual estuvieron hablando por teléfono y mirando la casa. Finalmente, Leonel Enrique Veliz Franco, hermano de María Isabel, manifestó que en varias ocasiones había sido objeto de un seguimientos por</w:t>
      </w:r>
      <w:r w:rsidRPr="000A7852">
        <w:rPr>
          <w:rFonts w:ascii="Verdana" w:hAnsi="Verdana" w:cs="Arial"/>
          <w:sz w:val="16"/>
          <w:szCs w:val="16"/>
        </w:rPr>
        <w:t xml:space="preserve"> </w:t>
      </w:r>
      <w:r>
        <w:rPr>
          <w:rFonts w:ascii="Verdana" w:hAnsi="Verdana" w:cs="Arial"/>
          <w:sz w:val="16"/>
          <w:szCs w:val="16"/>
        </w:rPr>
        <w:t xml:space="preserve">automóviles </w:t>
      </w:r>
      <w:r w:rsidRPr="000A7852">
        <w:rPr>
          <w:rFonts w:ascii="Verdana" w:hAnsi="Verdana" w:cs="Arial"/>
          <w:sz w:val="16"/>
          <w:szCs w:val="16"/>
        </w:rPr>
        <w:t>y que “[s]iempre v[io] carros raros frente a [su] casa”</w:t>
      </w:r>
      <w:r>
        <w:rPr>
          <w:rFonts w:ascii="Verdana" w:hAnsi="Verdana" w:cs="Arial"/>
          <w:sz w:val="16"/>
          <w:szCs w:val="16"/>
        </w:rPr>
        <w:t xml:space="preserve">. </w:t>
      </w:r>
      <w:r w:rsidRPr="000A7852">
        <w:rPr>
          <w:rFonts w:ascii="Verdana" w:hAnsi="Verdana"/>
          <w:i/>
          <w:sz w:val="16"/>
          <w:szCs w:val="16"/>
        </w:rPr>
        <w:t>Cfr.</w:t>
      </w:r>
      <w:r w:rsidRPr="000A7852">
        <w:rPr>
          <w:rFonts w:ascii="Verdana" w:hAnsi="Verdana"/>
          <w:sz w:val="16"/>
          <w:szCs w:val="16"/>
        </w:rPr>
        <w:t xml:space="preserve"> D</w:t>
      </w:r>
      <w:r w:rsidRPr="000A7852">
        <w:rPr>
          <w:rFonts w:ascii="Verdana" w:eastAsia="Times New Roman" w:hAnsi="Verdana"/>
          <w:sz w:val="16"/>
          <w:szCs w:val="16"/>
        </w:rPr>
        <w:t xml:space="preserve">eclaración </w:t>
      </w:r>
      <w:r>
        <w:rPr>
          <w:rFonts w:ascii="Verdana" w:eastAsia="Times New Roman" w:hAnsi="Verdana"/>
          <w:sz w:val="16"/>
          <w:szCs w:val="16"/>
        </w:rPr>
        <w:t xml:space="preserve">de </w:t>
      </w:r>
      <w:r w:rsidRPr="000A7852">
        <w:rPr>
          <w:rFonts w:ascii="Verdana" w:eastAsia="Times New Roman" w:hAnsi="Verdana"/>
          <w:sz w:val="16"/>
          <w:szCs w:val="16"/>
        </w:rPr>
        <w:t>Leonel Enrique</w:t>
      </w:r>
      <w:r w:rsidRPr="000A7852">
        <w:rPr>
          <w:rFonts w:ascii="Verdana" w:eastAsia="Times New Roman" w:hAnsi="Verdana"/>
          <w:b/>
          <w:sz w:val="16"/>
          <w:szCs w:val="16"/>
        </w:rPr>
        <w:t xml:space="preserve"> </w:t>
      </w:r>
      <w:r w:rsidRPr="000A7852">
        <w:rPr>
          <w:rFonts w:ascii="Verdana" w:eastAsia="Times New Roman" w:hAnsi="Verdana"/>
          <w:sz w:val="16"/>
          <w:szCs w:val="16"/>
        </w:rPr>
        <w:t xml:space="preserve">Veliz Franco rendida mediante </w:t>
      </w:r>
      <w:r w:rsidRPr="000A7852">
        <w:rPr>
          <w:rFonts w:ascii="Verdana" w:eastAsia="Times New Roman" w:hAnsi="Verdana"/>
          <w:i/>
          <w:sz w:val="16"/>
          <w:szCs w:val="16"/>
        </w:rPr>
        <w:t>affidávit</w:t>
      </w:r>
      <w:r w:rsidRPr="000A7852">
        <w:rPr>
          <w:rFonts w:ascii="Verdana" w:eastAsia="Times New Roman" w:hAnsi="Verdana"/>
          <w:sz w:val="16"/>
          <w:szCs w:val="16"/>
        </w:rPr>
        <w:t xml:space="preserve"> el 26 de abril de 2013 (expediente de excepciones preliminares, fondo </w:t>
      </w:r>
      <w:r>
        <w:rPr>
          <w:rFonts w:ascii="Verdana" w:eastAsia="Times New Roman" w:hAnsi="Verdana"/>
          <w:sz w:val="16"/>
          <w:szCs w:val="16"/>
        </w:rPr>
        <w:t>y reparaciones y costas, fs. 816</w:t>
      </w:r>
      <w:r w:rsidRPr="000A7852">
        <w:rPr>
          <w:rFonts w:ascii="Verdana" w:eastAsia="Times New Roman" w:hAnsi="Verdana"/>
          <w:sz w:val="16"/>
          <w:szCs w:val="16"/>
        </w:rPr>
        <w:t xml:space="preserve"> a</w:t>
      </w:r>
      <w:r>
        <w:rPr>
          <w:rFonts w:ascii="Verdana" w:eastAsia="Times New Roman" w:hAnsi="Verdana"/>
          <w:sz w:val="16"/>
          <w:szCs w:val="16"/>
        </w:rPr>
        <w:t xml:space="preserve"> 822</w:t>
      </w:r>
      <w:r w:rsidRPr="000A7852">
        <w:rPr>
          <w:rFonts w:ascii="Verdana" w:eastAsia="Times New Roman" w:hAnsi="Verdana"/>
          <w:sz w:val="16"/>
          <w:szCs w:val="16"/>
        </w:rPr>
        <w:t>)</w:t>
      </w:r>
      <w:r w:rsidRPr="000A7852">
        <w:rPr>
          <w:rFonts w:ascii="Verdana" w:hAnsi="Verdana" w:cs="Arial"/>
          <w:sz w:val="16"/>
          <w:szCs w:val="16"/>
        </w:rPr>
        <w:t>.</w:t>
      </w:r>
    </w:p>
  </w:footnote>
  <w:footnote w:id="15">
    <w:p w:rsidR="0081535F" w:rsidRPr="00353432" w:rsidRDefault="0081535F" w:rsidP="00422232">
      <w:pPr>
        <w:pStyle w:val="Textonotapie"/>
        <w:spacing w:line="19" w:lineRule="atLeast"/>
        <w:ind w:left="-180" w:right="-174"/>
        <w:jc w:val="both"/>
        <w:rPr>
          <w:rFonts w:ascii="Verdana" w:hAnsi="Verdana"/>
          <w:sz w:val="16"/>
          <w:szCs w:val="16"/>
        </w:rPr>
      </w:pPr>
      <w:r w:rsidRPr="00353432">
        <w:rPr>
          <w:rStyle w:val="Refdenotaalpie"/>
          <w:rFonts w:ascii="Verdana" w:hAnsi="Verdana"/>
          <w:sz w:val="16"/>
          <w:szCs w:val="16"/>
        </w:rPr>
        <w:footnoteRef/>
      </w:r>
      <w:r w:rsidRPr="00353432">
        <w:rPr>
          <w:rFonts w:ascii="Verdana" w:hAnsi="Verdana"/>
          <w:sz w:val="16"/>
          <w:szCs w:val="16"/>
        </w:rPr>
        <w:t xml:space="preserve"> </w:t>
      </w:r>
      <w:r w:rsidRPr="00353432">
        <w:rPr>
          <w:rFonts w:ascii="Verdana" w:hAnsi="Verdana"/>
          <w:i/>
          <w:sz w:val="16"/>
          <w:szCs w:val="16"/>
          <w:lang w:val="es-CR"/>
        </w:rPr>
        <w:t xml:space="preserve">Cfr. </w:t>
      </w:r>
      <w:r w:rsidRPr="00FA2A1E">
        <w:rPr>
          <w:rFonts w:ascii="Verdana" w:hAnsi="Verdana"/>
          <w:sz w:val="16"/>
          <w:szCs w:val="16"/>
          <w:lang w:val="es-MX"/>
        </w:rPr>
        <w:t>Informe de Fondo No. 170/11,</w:t>
      </w:r>
      <w:r>
        <w:rPr>
          <w:rFonts w:ascii="Verdana" w:hAnsi="Verdana"/>
          <w:sz w:val="16"/>
          <w:szCs w:val="16"/>
          <w:lang w:val="es-MX"/>
        </w:rPr>
        <w:t xml:space="preserve"> </w:t>
      </w:r>
      <w:r w:rsidRPr="000F27B3">
        <w:rPr>
          <w:rFonts w:ascii="Verdana" w:hAnsi="Verdana"/>
          <w:i/>
          <w:sz w:val="16"/>
          <w:szCs w:val="16"/>
          <w:lang w:val="es-MX"/>
        </w:rPr>
        <w:t>supra</w:t>
      </w:r>
      <w:r w:rsidRPr="000F27B3">
        <w:rPr>
          <w:rFonts w:ascii="Verdana" w:hAnsi="Verdana"/>
          <w:sz w:val="16"/>
          <w:szCs w:val="16"/>
          <w:lang w:val="es-MX"/>
        </w:rPr>
        <w:t>.</w:t>
      </w:r>
      <w:r w:rsidRPr="000F27B3">
        <w:rPr>
          <w:rFonts w:ascii="Verdana" w:hAnsi="Verdana"/>
          <w:i/>
          <w:sz w:val="16"/>
          <w:szCs w:val="16"/>
          <w:lang w:val="es-MX"/>
        </w:rPr>
        <w:t xml:space="preserve"> </w:t>
      </w:r>
    </w:p>
  </w:footnote>
  <w:footnote w:id="16">
    <w:p w:rsidR="0081535F" w:rsidRPr="00353432" w:rsidRDefault="0081535F" w:rsidP="00422232">
      <w:pPr>
        <w:tabs>
          <w:tab w:val="left" w:pos="426"/>
        </w:tabs>
        <w:autoSpaceDE w:val="0"/>
        <w:autoSpaceDN w:val="0"/>
        <w:spacing w:after="0" w:line="19" w:lineRule="atLeast"/>
        <w:ind w:left="-180" w:right="-174"/>
        <w:jc w:val="both"/>
        <w:rPr>
          <w:rFonts w:ascii="Verdana" w:hAnsi="Verdana"/>
          <w:spacing w:val="-4"/>
          <w:sz w:val="16"/>
          <w:szCs w:val="16"/>
          <w:lang w:val="es-CR"/>
        </w:rPr>
      </w:pPr>
      <w:r w:rsidRPr="00353432">
        <w:rPr>
          <w:rStyle w:val="Refdenotaalpie"/>
          <w:rFonts w:ascii="Verdana" w:hAnsi="Verdana"/>
          <w:spacing w:val="-4"/>
          <w:sz w:val="16"/>
          <w:szCs w:val="16"/>
        </w:rPr>
        <w:footnoteRef/>
      </w:r>
      <w:r w:rsidRPr="00353432">
        <w:rPr>
          <w:rFonts w:ascii="Verdana" w:hAnsi="Verdana"/>
          <w:spacing w:val="-4"/>
          <w:sz w:val="16"/>
          <w:szCs w:val="16"/>
          <w:lang w:val="es-CR"/>
        </w:rPr>
        <w:t xml:space="preserve"> Esta ha sido la jurisprudencia constante de este Tribunal </w:t>
      </w:r>
      <w:r w:rsidRPr="00353432">
        <w:rPr>
          <w:rFonts w:ascii="Verdana" w:eastAsia="Calibri" w:hAnsi="Verdana"/>
          <w:spacing w:val="-4"/>
          <w:sz w:val="16"/>
          <w:szCs w:val="16"/>
          <w:lang w:val="es-CR"/>
        </w:rPr>
        <w:t xml:space="preserve">desde el </w:t>
      </w:r>
      <w:r w:rsidRPr="00353432">
        <w:rPr>
          <w:rFonts w:ascii="Verdana" w:eastAsia="Calibri" w:hAnsi="Verdana"/>
          <w:i/>
          <w:iCs/>
          <w:spacing w:val="-4"/>
          <w:sz w:val="16"/>
          <w:szCs w:val="16"/>
          <w:lang w:val="es-CR"/>
        </w:rPr>
        <w:t>Caso García Prieto y otros Vs. El Salvador. Excepciones Preliminares, Fondo, Reparaciones y Costas</w:t>
      </w:r>
      <w:r w:rsidRPr="00353432">
        <w:rPr>
          <w:rFonts w:ascii="Verdana" w:eastAsia="Calibri" w:hAnsi="Verdana"/>
          <w:spacing w:val="-4"/>
          <w:sz w:val="16"/>
          <w:szCs w:val="16"/>
          <w:lang w:val="es-CR"/>
        </w:rPr>
        <w:t xml:space="preserve">. Sentencia de 20 de noviembre de 2007. Serie C No. 168, párrs. 65 a 68, y el </w:t>
      </w:r>
      <w:r w:rsidRPr="00353432">
        <w:rPr>
          <w:rFonts w:ascii="Verdana" w:eastAsia="Calibri" w:hAnsi="Verdana"/>
          <w:i/>
          <w:iCs/>
          <w:spacing w:val="-4"/>
          <w:sz w:val="16"/>
          <w:szCs w:val="16"/>
          <w:lang w:val="es-CR"/>
        </w:rPr>
        <w:t>Caso Chaparro Álvarez y Lapo Íñiguez Vs. Ecuador</w:t>
      </w:r>
      <w:r w:rsidRPr="00353432">
        <w:rPr>
          <w:rFonts w:ascii="Verdana" w:eastAsia="Calibri" w:hAnsi="Verdana"/>
          <w:spacing w:val="-4"/>
          <w:sz w:val="16"/>
          <w:szCs w:val="16"/>
          <w:lang w:val="es-CR"/>
        </w:rPr>
        <w:t xml:space="preserve">. </w:t>
      </w:r>
      <w:r w:rsidRPr="00353432">
        <w:rPr>
          <w:rFonts w:ascii="Verdana" w:eastAsia="Calibri" w:hAnsi="Verdana"/>
          <w:i/>
          <w:iCs/>
          <w:spacing w:val="-4"/>
          <w:sz w:val="16"/>
          <w:szCs w:val="16"/>
          <w:lang w:val="es-CR"/>
        </w:rPr>
        <w:t xml:space="preserve">Excepciones Preliminares, Fondo, Reparaciones y Costas. </w:t>
      </w:r>
      <w:r w:rsidRPr="00353432">
        <w:rPr>
          <w:rFonts w:ascii="Verdana" w:eastAsia="Calibri" w:hAnsi="Verdana"/>
          <w:spacing w:val="-4"/>
          <w:sz w:val="16"/>
          <w:szCs w:val="16"/>
          <w:lang w:val="es-CR"/>
        </w:rPr>
        <w:t>Sentencia de 21 de noviembr</w:t>
      </w:r>
      <w:r w:rsidRPr="00353432">
        <w:rPr>
          <w:rFonts w:ascii="Verdana" w:eastAsia="Calibri" w:hAnsi="Verdana"/>
          <w:i/>
          <w:iCs/>
          <w:spacing w:val="-4"/>
          <w:sz w:val="16"/>
          <w:szCs w:val="16"/>
          <w:lang w:val="es-CR"/>
        </w:rPr>
        <w:t xml:space="preserve">e </w:t>
      </w:r>
      <w:r w:rsidRPr="00353432">
        <w:rPr>
          <w:rFonts w:ascii="Verdana" w:eastAsia="Calibri" w:hAnsi="Verdana"/>
          <w:spacing w:val="-4"/>
          <w:sz w:val="16"/>
          <w:szCs w:val="16"/>
          <w:lang w:val="es-CR"/>
        </w:rPr>
        <w:t>de 2007. Serie C No. 170, párrs. 224 a 225. Estas sentencias fueron adoptadas por este Tribunal durante el mismo</w:t>
      </w:r>
      <w:r w:rsidRPr="00353432">
        <w:rPr>
          <w:rFonts w:ascii="Verdana" w:eastAsia="Calibri" w:hAnsi="Verdana"/>
          <w:i/>
          <w:iCs/>
          <w:spacing w:val="-4"/>
          <w:sz w:val="16"/>
          <w:szCs w:val="16"/>
          <w:lang w:val="es-CR"/>
        </w:rPr>
        <w:t xml:space="preserve"> </w:t>
      </w:r>
      <w:r w:rsidRPr="00353432">
        <w:rPr>
          <w:rFonts w:ascii="Verdana" w:eastAsia="Calibri" w:hAnsi="Verdana"/>
          <w:spacing w:val="-4"/>
          <w:sz w:val="16"/>
          <w:szCs w:val="16"/>
          <w:lang w:val="es-CR"/>
        </w:rPr>
        <w:t xml:space="preserve">período de sesiones. </w:t>
      </w:r>
      <w:r w:rsidRPr="00353432">
        <w:rPr>
          <w:rFonts w:ascii="Verdana" w:hAnsi="Verdana"/>
          <w:spacing w:val="-4"/>
          <w:sz w:val="16"/>
          <w:szCs w:val="16"/>
          <w:lang w:val="es-CR"/>
        </w:rPr>
        <w:t xml:space="preserve">En aplicación del nuevo Reglamento de la Corte, este criterio ha sido ratificado desde el caso </w:t>
      </w:r>
      <w:r w:rsidRPr="00353432">
        <w:rPr>
          <w:rFonts w:ascii="Verdana" w:hAnsi="Verdana"/>
          <w:i/>
          <w:iCs/>
          <w:spacing w:val="-4"/>
          <w:sz w:val="16"/>
          <w:szCs w:val="16"/>
          <w:lang w:val="es-CR"/>
        </w:rPr>
        <w:t>Familia Barrios Vs. Venezuela. Cfr. Caso Familia Barrios Vs. Venezuela. Fondo, Reparaciones y Costas</w:t>
      </w:r>
      <w:r w:rsidRPr="00353432">
        <w:rPr>
          <w:rFonts w:ascii="Verdana" w:hAnsi="Verdana"/>
          <w:spacing w:val="-4"/>
          <w:sz w:val="16"/>
          <w:szCs w:val="16"/>
          <w:lang w:val="es-CR"/>
        </w:rPr>
        <w:t xml:space="preserve">. Sentencia de 24 de noviembre de 2011. Serie C No. 237, nota al pie </w:t>
      </w:r>
      <w:r w:rsidRPr="00633F52">
        <w:rPr>
          <w:rFonts w:ascii="Verdana" w:hAnsi="Verdana"/>
          <w:spacing w:val="-4"/>
          <w:sz w:val="16"/>
          <w:szCs w:val="16"/>
          <w:lang w:val="es-CR"/>
        </w:rPr>
        <w:t>de página</w:t>
      </w:r>
      <w:r>
        <w:rPr>
          <w:rFonts w:ascii="Verdana" w:hAnsi="Verdana"/>
          <w:spacing w:val="-4"/>
          <w:sz w:val="16"/>
          <w:szCs w:val="16"/>
          <w:lang w:val="es-CR"/>
        </w:rPr>
        <w:t xml:space="preserve"> 215,</w:t>
      </w:r>
      <w:r w:rsidRPr="00353432">
        <w:rPr>
          <w:rFonts w:ascii="Verdana" w:hAnsi="Verdana"/>
          <w:spacing w:val="-4"/>
          <w:sz w:val="16"/>
          <w:szCs w:val="16"/>
          <w:lang w:val="es-CR"/>
        </w:rPr>
        <w:t xml:space="preserve"> </w:t>
      </w:r>
      <w:r>
        <w:rPr>
          <w:rFonts w:ascii="Verdana" w:hAnsi="Verdana"/>
          <w:spacing w:val="-4"/>
          <w:sz w:val="16"/>
          <w:szCs w:val="16"/>
          <w:lang w:val="es-CR"/>
        </w:rPr>
        <w:t>y</w:t>
      </w:r>
      <w:r w:rsidRPr="00353432">
        <w:rPr>
          <w:rFonts w:ascii="Verdana" w:hAnsi="Verdana"/>
          <w:spacing w:val="-4"/>
          <w:sz w:val="16"/>
          <w:szCs w:val="16"/>
          <w:lang w:val="es-CR"/>
        </w:rPr>
        <w:t xml:space="preserve"> </w:t>
      </w:r>
      <w:r w:rsidRPr="000C5FCB">
        <w:rPr>
          <w:rFonts w:ascii="Verdana" w:hAnsi="Verdana"/>
          <w:i/>
          <w:spacing w:val="-4"/>
          <w:sz w:val="16"/>
          <w:szCs w:val="16"/>
          <w:lang w:val="es-CR"/>
        </w:rPr>
        <w:t>Caso J.</w:t>
      </w:r>
      <w:r>
        <w:rPr>
          <w:rFonts w:ascii="Verdana" w:hAnsi="Verdana"/>
          <w:i/>
          <w:spacing w:val="-4"/>
          <w:sz w:val="16"/>
          <w:szCs w:val="16"/>
          <w:lang w:val="es-CR"/>
        </w:rPr>
        <w:t>, supra</w:t>
      </w:r>
      <w:r>
        <w:rPr>
          <w:rFonts w:ascii="Verdana" w:hAnsi="Verdana"/>
          <w:spacing w:val="-4"/>
          <w:sz w:val="16"/>
          <w:szCs w:val="16"/>
          <w:lang w:val="es-CR"/>
        </w:rPr>
        <w:t>,</w:t>
      </w:r>
      <w:r w:rsidRPr="00353432">
        <w:rPr>
          <w:rFonts w:ascii="Verdana" w:hAnsi="Verdana"/>
          <w:spacing w:val="-4"/>
          <w:sz w:val="16"/>
          <w:szCs w:val="16"/>
          <w:lang w:val="es-CR"/>
        </w:rPr>
        <w:t xml:space="preserve"> párr. 23.</w:t>
      </w:r>
    </w:p>
  </w:footnote>
  <w:footnote w:id="17">
    <w:p w:rsidR="0081535F" w:rsidRPr="00353432" w:rsidRDefault="0081535F" w:rsidP="00422232">
      <w:pPr>
        <w:tabs>
          <w:tab w:val="left" w:pos="426"/>
        </w:tabs>
        <w:spacing w:after="0" w:line="19" w:lineRule="atLeast"/>
        <w:ind w:left="-180" w:right="-174"/>
        <w:jc w:val="both"/>
        <w:rPr>
          <w:rFonts w:ascii="Verdana" w:hAnsi="Verdana"/>
          <w:spacing w:val="-4"/>
          <w:sz w:val="16"/>
          <w:szCs w:val="16"/>
          <w:lang w:val="es-CR"/>
        </w:rPr>
      </w:pPr>
      <w:r w:rsidRPr="00353432">
        <w:rPr>
          <w:rStyle w:val="Refdenotaalpie"/>
          <w:rFonts w:ascii="Verdana" w:hAnsi="Verdana"/>
          <w:spacing w:val="-4"/>
          <w:sz w:val="16"/>
          <w:szCs w:val="16"/>
        </w:rPr>
        <w:footnoteRef/>
      </w:r>
      <w:r w:rsidRPr="00353432">
        <w:rPr>
          <w:rFonts w:ascii="Verdana" w:hAnsi="Verdana"/>
          <w:spacing w:val="-4"/>
          <w:sz w:val="16"/>
          <w:szCs w:val="16"/>
          <w:lang w:val="es-CR"/>
        </w:rPr>
        <w:t xml:space="preserve"> </w:t>
      </w:r>
      <w:r w:rsidRPr="00353432">
        <w:rPr>
          <w:rFonts w:ascii="Verdana" w:hAnsi="Verdana"/>
          <w:i/>
          <w:iCs/>
          <w:spacing w:val="-4"/>
          <w:sz w:val="16"/>
          <w:szCs w:val="16"/>
          <w:lang w:val="es-CR"/>
        </w:rPr>
        <w:t xml:space="preserve">Cfr. </w:t>
      </w:r>
      <w:r w:rsidRPr="00353432">
        <w:rPr>
          <w:rFonts w:ascii="Verdana" w:hAnsi="Verdana"/>
          <w:i/>
          <w:spacing w:val="-4"/>
          <w:sz w:val="16"/>
          <w:szCs w:val="16"/>
          <w:lang w:val="es-ES_tradnl"/>
        </w:rPr>
        <w:t>Caso</w:t>
      </w:r>
      <w:r w:rsidRPr="00353432">
        <w:rPr>
          <w:rFonts w:ascii="Verdana" w:hAnsi="Verdana"/>
          <w:spacing w:val="-4"/>
          <w:sz w:val="16"/>
          <w:szCs w:val="16"/>
          <w:lang w:val="es-ES_tradnl"/>
        </w:rPr>
        <w:t xml:space="preserve"> </w:t>
      </w:r>
      <w:r w:rsidRPr="00353432">
        <w:rPr>
          <w:rFonts w:ascii="Verdana" w:hAnsi="Verdana"/>
          <w:i/>
          <w:spacing w:val="-4"/>
          <w:sz w:val="16"/>
          <w:szCs w:val="16"/>
          <w:lang w:val="es-ES_tradnl"/>
        </w:rPr>
        <w:t>de las Masacres de Ituango Vs. Colombia. Excepción Preliminar, Fondo, Reparaciones y Costas</w:t>
      </w:r>
      <w:r w:rsidRPr="00353432">
        <w:rPr>
          <w:rFonts w:ascii="Verdana" w:hAnsi="Verdana"/>
          <w:spacing w:val="-4"/>
          <w:sz w:val="16"/>
          <w:szCs w:val="16"/>
          <w:lang w:val="es-ES_tradnl"/>
        </w:rPr>
        <w:t>. Sentencia de 1 de julio de 2006. Serie C No. 148</w:t>
      </w:r>
      <w:r w:rsidRPr="00353432">
        <w:rPr>
          <w:rFonts w:ascii="Verdana" w:hAnsi="Verdana"/>
          <w:spacing w:val="-4"/>
          <w:sz w:val="16"/>
          <w:szCs w:val="16"/>
          <w:lang w:val="es-CR"/>
        </w:rPr>
        <w:t xml:space="preserve">, párr. 98, y </w:t>
      </w:r>
      <w:r w:rsidRPr="003622B1">
        <w:rPr>
          <w:rFonts w:ascii="Verdana" w:hAnsi="Verdana"/>
          <w:i/>
          <w:spacing w:val="-4"/>
          <w:sz w:val="16"/>
          <w:szCs w:val="16"/>
          <w:lang w:val="es-CR"/>
        </w:rPr>
        <w:t>Caso J.</w:t>
      </w:r>
      <w:r>
        <w:rPr>
          <w:rFonts w:ascii="Verdana" w:hAnsi="Verdana"/>
          <w:i/>
          <w:spacing w:val="-4"/>
          <w:sz w:val="16"/>
          <w:szCs w:val="16"/>
          <w:lang w:val="es-CR"/>
        </w:rPr>
        <w:t>, supra</w:t>
      </w:r>
      <w:r>
        <w:rPr>
          <w:rFonts w:ascii="Verdana" w:hAnsi="Verdana"/>
          <w:spacing w:val="-4"/>
          <w:sz w:val="16"/>
          <w:szCs w:val="16"/>
          <w:lang w:val="es-CR"/>
        </w:rPr>
        <w:t>,</w:t>
      </w:r>
      <w:r w:rsidRPr="00353432">
        <w:rPr>
          <w:rFonts w:ascii="Verdana" w:hAnsi="Verdana"/>
          <w:spacing w:val="-4"/>
          <w:sz w:val="16"/>
          <w:szCs w:val="16"/>
          <w:lang w:val="es-CR"/>
        </w:rPr>
        <w:t xml:space="preserve"> párr. 23.</w:t>
      </w:r>
    </w:p>
  </w:footnote>
  <w:footnote w:id="18">
    <w:p w:rsidR="0081535F" w:rsidRPr="00353432" w:rsidRDefault="0081535F" w:rsidP="00422232">
      <w:pPr>
        <w:pStyle w:val="Textonotapie"/>
        <w:spacing w:line="19" w:lineRule="atLeast"/>
        <w:ind w:left="-180" w:right="-174"/>
        <w:jc w:val="both"/>
        <w:rPr>
          <w:rFonts w:ascii="Verdana" w:hAnsi="Verdana"/>
          <w:i/>
          <w:sz w:val="16"/>
          <w:szCs w:val="16"/>
          <w:lang w:val="es-CR"/>
        </w:rPr>
      </w:pPr>
      <w:r w:rsidRPr="00353432">
        <w:rPr>
          <w:rStyle w:val="Refdenotaalpie"/>
          <w:rFonts w:ascii="Verdana" w:hAnsi="Verdana"/>
          <w:sz w:val="16"/>
          <w:szCs w:val="16"/>
        </w:rPr>
        <w:footnoteRef/>
      </w:r>
      <w:r w:rsidRPr="00353432">
        <w:rPr>
          <w:rFonts w:ascii="Verdana" w:hAnsi="Verdana"/>
          <w:sz w:val="16"/>
          <w:szCs w:val="16"/>
        </w:rPr>
        <w:t xml:space="preserve">  </w:t>
      </w:r>
      <w:r w:rsidRPr="00353432">
        <w:rPr>
          <w:rFonts w:ascii="Verdana" w:hAnsi="Verdana"/>
          <w:i/>
          <w:sz w:val="16"/>
          <w:szCs w:val="16"/>
        </w:rPr>
        <w:t>Cfr.</w:t>
      </w:r>
      <w:r w:rsidRPr="00353432">
        <w:rPr>
          <w:rFonts w:ascii="Verdana" w:hAnsi="Verdana"/>
          <w:sz w:val="16"/>
          <w:szCs w:val="16"/>
        </w:rPr>
        <w:t xml:space="preserve"> </w:t>
      </w:r>
      <w:r w:rsidRPr="00FA2A1E">
        <w:rPr>
          <w:rFonts w:ascii="Verdana" w:hAnsi="Verdana"/>
          <w:sz w:val="16"/>
          <w:szCs w:val="16"/>
          <w:lang w:val="es-MX"/>
        </w:rPr>
        <w:t>Informe de Admisibilidad No. 92/06,</w:t>
      </w:r>
      <w:r>
        <w:rPr>
          <w:rFonts w:ascii="Verdana" w:hAnsi="Verdana"/>
          <w:sz w:val="16"/>
          <w:szCs w:val="16"/>
          <w:lang w:val="es-MX"/>
        </w:rPr>
        <w:t xml:space="preserve"> </w:t>
      </w:r>
      <w:r w:rsidRPr="000D3634">
        <w:rPr>
          <w:rFonts w:ascii="Verdana" w:hAnsi="Verdana"/>
          <w:i/>
          <w:sz w:val="16"/>
          <w:szCs w:val="16"/>
          <w:lang w:val="es-MX"/>
        </w:rPr>
        <w:t>supra</w:t>
      </w:r>
      <w:r>
        <w:rPr>
          <w:rFonts w:ascii="Verdana" w:hAnsi="Verdana"/>
          <w:sz w:val="16"/>
          <w:szCs w:val="16"/>
          <w:lang w:val="es-MX"/>
        </w:rPr>
        <w:t>.</w:t>
      </w:r>
    </w:p>
  </w:footnote>
  <w:footnote w:id="19">
    <w:p w:rsidR="0081535F" w:rsidRPr="00C6098C" w:rsidRDefault="0081535F" w:rsidP="00422232">
      <w:pPr>
        <w:pStyle w:val="Textonotapie"/>
        <w:spacing w:line="19" w:lineRule="atLeast"/>
        <w:ind w:left="-180" w:right="-174"/>
        <w:jc w:val="both"/>
        <w:rPr>
          <w:rFonts w:ascii="Verdana" w:hAnsi="Verdana"/>
          <w:b/>
          <w:sz w:val="16"/>
          <w:szCs w:val="16"/>
        </w:rPr>
      </w:pPr>
      <w:r w:rsidRPr="00C6098C">
        <w:rPr>
          <w:rStyle w:val="Refdenotaalpie"/>
          <w:rFonts w:ascii="Verdana" w:hAnsi="Verdana"/>
          <w:sz w:val="16"/>
          <w:szCs w:val="16"/>
        </w:rPr>
        <w:footnoteRef/>
      </w:r>
      <w:r w:rsidRPr="00C6098C">
        <w:rPr>
          <w:rFonts w:ascii="Verdana" w:hAnsi="Verdana"/>
          <w:sz w:val="16"/>
          <w:szCs w:val="16"/>
        </w:rPr>
        <w:t xml:space="preserve">  Así, cabe citar, al menos, los escritos de las representantes</w:t>
      </w:r>
      <w:r>
        <w:rPr>
          <w:rFonts w:ascii="Verdana" w:hAnsi="Verdana"/>
          <w:sz w:val="16"/>
          <w:szCs w:val="16"/>
        </w:rPr>
        <w:t>, entonces peticionaria</w:t>
      </w:r>
      <w:r w:rsidRPr="00C6098C">
        <w:rPr>
          <w:rFonts w:ascii="Verdana" w:hAnsi="Verdana"/>
          <w:sz w:val="16"/>
          <w:szCs w:val="16"/>
        </w:rPr>
        <w:t>s</w:t>
      </w:r>
      <w:r>
        <w:rPr>
          <w:rFonts w:ascii="Verdana" w:hAnsi="Verdana"/>
          <w:sz w:val="16"/>
          <w:szCs w:val="16"/>
        </w:rPr>
        <w:t>,</w:t>
      </w:r>
      <w:r w:rsidRPr="00C6098C">
        <w:rPr>
          <w:rFonts w:ascii="Verdana" w:hAnsi="Verdana"/>
          <w:sz w:val="16"/>
          <w:szCs w:val="16"/>
        </w:rPr>
        <w:t xml:space="preserve"> de 31 de mayo de 2008 y</w:t>
      </w:r>
      <w:r w:rsidRPr="00C6098C">
        <w:rPr>
          <w:rFonts w:ascii="Verdana" w:hAnsi="Verdana"/>
          <w:b/>
          <w:sz w:val="16"/>
          <w:szCs w:val="16"/>
        </w:rPr>
        <w:t xml:space="preserve"> </w:t>
      </w:r>
      <w:r w:rsidRPr="00C6098C">
        <w:rPr>
          <w:rFonts w:ascii="Verdana" w:hAnsi="Verdana"/>
          <w:sz w:val="16"/>
          <w:szCs w:val="16"/>
        </w:rPr>
        <w:t>4 de junio de 2009. El Estado, además, durante el trámite ante la Comisión, conoció y presentó argumentos sobre la pretensión de las representantes de que las seis personas referidas sean consideradas víctimas. Así surge del escrito estatal recibido por la Co</w:t>
      </w:r>
      <w:r>
        <w:rPr>
          <w:rFonts w:ascii="Verdana" w:hAnsi="Verdana"/>
          <w:sz w:val="16"/>
          <w:szCs w:val="16"/>
        </w:rPr>
        <w:t xml:space="preserve">misión el 24 de agosto de 2009 </w:t>
      </w:r>
      <w:r w:rsidRPr="00C6098C">
        <w:rPr>
          <w:rFonts w:ascii="Verdana" w:hAnsi="Verdana"/>
          <w:sz w:val="16"/>
          <w:szCs w:val="16"/>
        </w:rPr>
        <w:t>(</w:t>
      </w:r>
      <w:r>
        <w:rPr>
          <w:rFonts w:ascii="Verdana" w:hAnsi="Verdana"/>
          <w:sz w:val="16"/>
          <w:szCs w:val="16"/>
        </w:rPr>
        <w:t>e</w:t>
      </w:r>
      <w:r w:rsidRPr="00C6098C">
        <w:rPr>
          <w:rFonts w:ascii="Verdana" w:hAnsi="Verdana"/>
          <w:sz w:val="16"/>
          <w:szCs w:val="16"/>
        </w:rPr>
        <w:t xml:space="preserve">xpediente ante la Comisión, </w:t>
      </w:r>
      <w:r>
        <w:rPr>
          <w:rFonts w:ascii="Verdana" w:hAnsi="Verdana"/>
          <w:sz w:val="16"/>
          <w:szCs w:val="16"/>
        </w:rPr>
        <w:t>t</w:t>
      </w:r>
      <w:r w:rsidRPr="00C6098C">
        <w:rPr>
          <w:rFonts w:ascii="Verdana" w:hAnsi="Verdana"/>
          <w:sz w:val="16"/>
          <w:szCs w:val="16"/>
        </w:rPr>
        <w:t>omo 3, fs.</w:t>
      </w:r>
      <w:r>
        <w:rPr>
          <w:rFonts w:ascii="Verdana" w:hAnsi="Verdana"/>
          <w:sz w:val="16"/>
          <w:szCs w:val="16"/>
        </w:rPr>
        <w:t xml:space="preserve"> 2109, 2110,</w:t>
      </w:r>
      <w:r w:rsidRPr="00C6098C">
        <w:rPr>
          <w:rFonts w:ascii="Verdana" w:hAnsi="Verdana"/>
          <w:sz w:val="16"/>
          <w:szCs w:val="16"/>
        </w:rPr>
        <w:t xml:space="preserve"> 2260 a 2269, 2133 a 2138, y 210</w:t>
      </w:r>
      <w:r>
        <w:rPr>
          <w:rFonts w:ascii="Verdana" w:hAnsi="Verdana"/>
          <w:sz w:val="16"/>
          <w:szCs w:val="16"/>
        </w:rPr>
        <w:t>7</w:t>
      </w:r>
      <w:r w:rsidRPr="00C6098C">
        <w:rPr>
          <w:rFonts w:ascii="Verdana" w:hAnsi="Verdana"/>
          <w:sz w:val="16"/>
          <w:szCs w:val="16"/>
        </w:rPr>
        <w:t xml:space="preserve"> a 211</w:t>
      </w:r>
      <w:r>
        <w:rPr>
          <w:rFonts w:ascii="Verdana" w:hAnsi="Verdana"/>
          <w:sz w:val="16"/>
          <w:szCs w:val="16"/>
        </w:rPr>
        <w:t>3</w:t>
      </w:r>
      <w:r w:rsidRPr="00C6098C">
        <w:rPr>
          <w:rFonts w:ascii="Verdana" w:hAnsi="Verdana"/>
          <w:sz w:val="16"/>
          <w:szCs w:val="16"/>
        </w:rPr>
        <w:t>, respectivamente)</w:t>
      </w:r>
      <w:r>
        <w:rPr>
          <w:rFonts w:ascii="Verdana" w:hAnsi="Verdana"/>
          <w:sz w:val="16"/>
          <w:szCs w:val="16"/>
        </w:rPr>
        <w:t>.</w:t>
      </w:r>
    </w:p>
  </w:footnote>
  <w:footnote w:id="20">
    <w:p w:rsidR="0081535F" w:rsidRPr="00C6098C" w:rsidRDefault="0081535F" w:rsidP="00422232">
      <w:pPr>
        <w:pStyle w:val="Textonotapie"/>
        <w:ind w:left="-180" w:right="-174"/>
        <w:jc w:val="both"/>
      </w:pPr>
      <w:r w:rsidRPr="00C6098C">
        <w:rPr>
          <w:rStyle w:val="Refdenotaalpie"/>
          <w:rFonts w:ascii="Verdana" w:hAnsi="Verdana"/>
          <w:sz w:val="16"/>
          <w:szCs w:val="16"/>
        </w:rPr>
        <w:footnoteRef/>
      </w:r>
      <w:r w:rsidRPr="00C6098C">
        <w:rPr>
          <w:rFonts w:ascii="Verdana" w:hAnsi="Verdana"/>
          <w:sz w:val="16"/>
          <w:szCs w:val="16"/>
        </w:rPr>
        <w:t xml:space="preserve"> </w:t>
      </w:r>
      <w:r w:rsidRPr="00C6098C">
        <w:rPr>
          <w:rFonts w:ascii="Verdana" w:hAnsi="Verdana"/>
          <w:sz w:val="16"/>
          <w:szCs w:val="16"/>
          <w:lang w:val="es-CR"/>
        </w:rPr>
        <w:t xml:space="preserve">Aunque el Estado no denominó expresamente su alegato sobre falta de competencia como “excepción preliminar”, el mismo tiene este carácter. Esto, en tanto que del respectivo argumento estatal surge con claridad que Guatemala busca una finalidad que, como ha señalado la Corte, se adecúa a la naturaleza de una excepción preliminar: “obtener una decisión que prevenga o impida el análisis sobre el </w:t>
      </w:r>
      <w:r>
        <w:rPr>
          <w:rFonts w:ascii="Verdana" w:hAnsi="Verdana"/>
          <w:sz w:val="16"/>
          <w:szCs w:val="16"/>
          <w:lang w:val="es-CR"/>
        </w:rPr>
        <w:t xml:space="preserve">fondo del aspecto cuestionado”. </w:t>
      </w:r>
      <w:r w:rsidRPr="00C6098C">
        <w:rPr>
          <w:rFonts w:ascii="Verdana" w:hAnsi="Verdana"/>
          <w:i/>
          <w:sz w:val="16"/>
          <w:szCs w:val="16"/>
          <w:lang w:val="es-CR"/>
        </w:rPr>
        <w:t>Caso Gomes Lund y otros ("Guerrilha do Araguaia") Vs. Brasil. Excepciones Preliminares, Fondo, Reparaciones y Costas.</w:t>
      </w:r>
      <w:r w:rsidRPr="00C6098C">
        <w:rPr>
          <w:rFonts w:ascii="Verdana" w:hAnsi="Verdana"/>
          <w:sz w:val="16"/>
          <w:szCs w:val="16"/>
          <w:lang w:val="es-CR"/>
        </w:rPr>
        <w:t xml:space="preserve"> Sentencia de 24 de noviembre de </w:t>
      </w:r>
      <w:r>
        <w:rPr>
          <w:rFonts w:ascii="Verdana" w:hAnsi="Verdana"/>
          <w:sz w:val="16"/>
          <w:szCs w:val="16"/>
          <w:lang w:val="es-CR"/>
        </w:rPr>
        <w:t>2010. Serie C No. 219, párr. 11</w:t>
      </w:r>
      <w:r w:rsidRPr="00C6098C">
        <w:rPr>
          <w:rFonts w:ascii="Verdana" w:hAnsi="Verdana"/>
          <w:sz w:val="16"/>
          <w:szCs w:val="16"/>
          <w:lang w:val="es-CR"/>
        </w:rPr>
        <w:t>. Como surge de la jurisprudencia de</w:t>
      </w:r>
      <w:r>
        <w:rPr>
          <w:rFonts w:ascii="Verdana" w:hAnsi="Verdana"/>
          <w:sz w:val="16"/>
          <w:szCs w:val="16"/>
          <w:lang w:val="es-CR"/>
        </w:rPr>
        <w:t xml:space="preserve"> este</w:t>
      </w:r>
      <w:r w:rsidRPr="00C6098C">
        <w:rPr>
          <w:rFonts w:ascii="Verdana" w:hAnsi="Verdana"/>
          <w:sz w:val="16"/>
          <w:szCs w:val="16"/>
          <w:lang w:val="es-CR"/>
        </w:rPr>
        <w:t xml:space="preserve"> Tribunal, lo relevante para considerar un alegato como exc</w:t>
      </w:r>
      <w:r>
        <w:rPr>
          <w:rFonts w:ascii="Verdana" w:hAnsi="Verdana"/>
          <w:sz w:val="16"/>
          <w:szCs w:val="16"/>
          <w:lang w:val="es-CR"/>
        </w:rPr>
        <w:t>e</w:t>
      </w:r>
      <w:r w:rsidRPr="00C6098C">
        <w:rPr>
          <w:rFonts w:ascii="Verdana" w:hAnsi="Verdana"/>
          <w:sz w:val="16"/>
          <w:szCs w:val="16"/>
          <w:lang w:val="es-CR"/>
        </w:rPr>
        <w:t>p</w:t>
      </w:r>
      <w:r>
        <w:rPr>
          <w:rFonts w:ascii="Verdana" w:hAnsi="Verdana"/>
          <w:sz w:val="16"/>
          <w:szCs w:val="16"/>
          <w:lang w:val="es-CR"/>
        </w:rPr>
        <w:t>c</w:t>
      </w:r>
      <w:r w:rsidRPr="00C6098C">
        <w:rPr>
          <w:rFonts w:ascii="Verdana" w:hAnsi="Verdana"/>
          <w:sz w:val="16"/>
          <w:szCs w:val="16"/>
          <w:lang w:val="es-CR"/>
        </w:rPr>
        <w:t>ión preliminar es que el mismo haya sido claramente interpuesto con tal carácter</w:t>
      </w:r>
      <w:r>
        <w:rPr>
          <w:rFonts w:ascii="Verdana" w:hAnsi="Verdana"/>
          <w:sz w:val="16"/>
          <w:szCs w:val="16"/>
          <w:lang w:val="es-CR"/>
        </w:rPr>
        <w:t xml:space="preserve">. </w:t>
      </w:r>
      <w:r w:rsidRPr="00C6098C">
        <w:rPr>
          <w:rFonts w:ascii="Verdana" w:hAnsi="Verdana"/>
          <w:i/>
          <w:sz w:val="16"/>
          <w:szCs w:val="16"/>
          <w:lang w:val="es-CR"/>
        </w:rPr>
        <w:t>Cfr. Caso Barbani Duarte y Otros Vs. Uruguay. Fondo</w:t>
      </w:r>
      <w:r>
        <w:rPr>
          <w:rFonts w:ascii="Verdana" w:hAnsi="Verdana"/>
          <w:i/>
          <w:sz w:val="16"/>
          <w:szCs w:val="16"/>
          <w:lang w:val="es-CR"/>
        </w:rPr>
        <w:t>,</w:t>
      </w:r>
      <w:r w:rsidRPr="00C6098C">
        <w:rPr>
          <w:rFonts w:ascii="Verdana" w:hAnsi="Verdana"/>
          <w:i/>
          <w:sz w:val="16"/>
          <w:szCs w:val="16"/>
          <w:lang w:val="es-CR"/>
        </w:rPr>
        <w:t xml:space="preserve"> Reparaciones y costas.</w:t>
      </w:r>
      <w:r w:rsidRPr="00C6098C">
        <w:rPr>
          <w:rFonts w:ascii="Verdana" w:hAnsi="Verdana"/>
          <w:sz w:val="16"/>
          <w:szCs w:val="16"/>
          <w:lang w:val="es-CR"/>
        </w:rPr>
        <w:t xml:space="preserve"> Sentencia de 13 de octubre de 2011. Serie C No. 234, párr. 56</w:t>
      </w:r>
      <w:r>
        <w:rPr>
          <w:rFonts w:ascii="Verdana" w:hAnsi="Verdana"/>
          <w:sz w:val="16"/>
          <w:szCs w:val="16"/>
          <w:lang w:val="es-CR"/>
        </w:rPr>
        <w:t>.</w:t>
      </w:r>
    </w:p>
  </w:footnote>
  <w:footnote w:id="21">
    <w:p w:rsidR="0081535F" w:rsidRPr="00353432" w:rsidRDefault="0081535F" w:rsidP="00422232">
      <w:pPr>
        <w:pStyle w:val="Textonotapie"/>
        <w:spacing w:line="19" w:lineRule="atLeast"/>
        <w:ind w:left="-180" w:right="-174"/>
        <w:jc w:val="both"/>
        <w:rPr>
          <w:rFonts w:ascii="Verdana" w:hAnsi="Verdana"/>
          <w:sz w:val="16"/>
          <w:szCs w:val="16"/>
          <w:lang w:val="es-CR"/>
        </w:rPr>
      </w:pPr>
      <w:r w:rsidRPr="001E21ED">
        <w:rPr>
          <w:rStyle w:val="Refdenotaalpie"/>
          <w:rFonts w:ascii="Verdana" w:hAnsi="Verdana"/>
          <w:sz w:val="16"/>
          <w:szCs w:val="16"/>
        </w:rPr>
        <w:footnoteRef/>
      </w:r>
      <w:r w:rsidRPr="001E21ED">
        <w:rPr>
          <w:rFonts w:ascii="Verdana" w:hAnsi="Verdana"/>
          <w:sz w:val="16"/>
          <w:szCs w:val="16"/>
        </w:rPr>
        <w:t xml:space="preserve"> </w:t>
      </w:r>
      <w:r w:rsidRPr="001E21ED">
        <w:rPr>
          <w:rFonts w:ascii="Verdana" w:hAnsi="Verdana"/>
          <w:sz w:val="16"/>
          <w:szCs w:val="16"/>
          <w:lang w:val="es-CR"/>
        </w:rPr>
        <w:t xml:space="preserve">El Estado no hizo mayor desarrollo, en su argumento, sobre cómo debería, a su entender, “considera[se] las reservas” en relación con su planteo sobre falta de competencia material. La Corte advierte que, al ratificar la Convención Americana, el Estado efectuó una reserva relativa a la pena de muerte, que fue retirada por Acuerdo Gubernativo No. 281-86, de 20 de mayo de 1986. Es evidente que lo anterior no tiene incidencia en el caso </w:t>
      </w:r>
      <w:r w:rsidRPr="001E21ED">
        <w:rPr>
          <w:rFonts w:ascii="Verdana" w:hAnsi="Verdana"/>
          <w:i/>
          <w:sz w:val="16"/>
          <w:szCs w:val="16"/>
          <w:lang w:val="es-CR"/>
        </w:rPr>
        <w:t>sub examine</w:t>
      </w:r>
      <w:r w:rsidRPr="001E21ED">
        <w:rPr>
          <w:rFonts w:ascii="Verdana" w:hAnsi="Verdana"/>
          <w:sz w:val="16"/>
          <w:szCs w:val="16"/>
          <w:lang w:val="es-CR"/>
        </w:rPr>
        <w:t xml:space="preserve">. Por otra parte, Guatemala no formuló declaraciones o reservas al ratificar la Convención de Belém do Pará. </w:t>
      </w:r>
    </w:p>
  </w:footnote>
  <w:footnote w:id="22">
    <w:p w:rsidR="0081535F" w:rsidRPr="009B1137" w:rsidRDefault="0081535F" w:rsidP="00422232">
      <w:pPr>
        <w:pStyle w:val="Textonotapie"/>
        <w:ind w:left="-180" w:right="-174"/>
        <w:jc w:val="both"/>
        <w:rPr>
          <w:rFonts w:ascii="Verdana" w:hAnsi="Verdana"/>
          <w:sz w:val="16"/>
          <w:szCs w:val="16"/>
        </w:rPr>
      </w:pPr>
      <w:r w:rsidRPr="009B1137">
        <w:rPr>
          <w:rStyle w:val="Refdenotaalpie"/>
          <w:rFonts w:ascii="Verdana" w:hAnsi="Verdana"/>
          <w:sz w:val="16"/>
          <w:szCs w:val="16"/>
        </w:rPr>
        <w:footnoteRef/>
      </w:r>
      <w:r w:rsidRPr="009B1137">
        <w:rPr>
          <w:rFonts w:ascii="Verdana" w:hAnsi="Verdana"/>
          <w:sz w:val="16"/>
          <w:szCs w:val="16"/>
        </w:rPr>
        <w:t xml:space="preserve"> </w:t>
      </w:r>
      <w:r w:rsidRPr="009B1137">
        <w:rPr>
          <w:rFonts w:ascii="Verdana" w:hAnsi="Verdana"/>
          <w:i/>
          <w:sz w:val="16"/>
          <w:szCs w:val="16"/>
        </w:rPr>
        <w:t>Caso González y otras (“Campo Algodonero”) Vs. México. Excepción Preliminar, Fondo, Reparaciones y Costas.</w:t>
      </w:r>
      <w:r w:rsidRPr="009B1137">
        <w:rPr>
          <w:rFonts w:ascii="Verdana" w:hAnsi="Verdana"/>
          <w:sz w:val="16"/>
          <w:szCs w:val="16"/>
        </w:rPr>
        <w:t xml:space="preserve"> Sentencia de 16 de noviembre de 2009. Serie C No.</w:t>
      </w:r>
      <w:r>
        <w:rPr>
          <w:rFonts w:ascii="Verdana" w:hAnsi="Verdana"/>
          <w:sz w:val="16"/>
          <w:szCs w:val="16"/>
        </w:rPr>
        <w:t xml:space="preserve"> </w:t>
      </w:r>
      <w:r w:rsidRPr="009B1137">
        <w:rPr>
          <w:rFonts w:ascii="Verdana" w:hAnsi="Verdana"/>
          <w:sz w:val="16"/>
          <w:szCs w:val="16"/>
        </w:rPr>
        <w:t>205, párr. 41.</w:t>
      </w:r>
      <w:r>
        <w:rPr>
          <w:rFonts w:ascii="Verdana" w:hAnsi="Verdana"/>
          <w:sz w:val="16"/>
          <w:szCs w:val="16"/>
        </w:rPr>
        <w:t xml:space="preserve"> En el párrafo señalado de esa s</w:t>
      </w:r>
      <w:r w:rsidRPr="009B1137">
        <w:rPr>
          <w:rFonts w:ascii="Verdana" w:hAnsi="Verdana"/>
          <w:sz w:val="16"/>
          <w:szCs w:val="16"/>
        </w:rPr>
        <w:t>entencia, la Corte explicó que en la “formulación” del artículo 12 de la Convención de Belém d</w:t>
      </w:r>
      <w:r>
        <w:rPr>
          <w:rFonts w:ascii="Verdana" w:hAnsi="Verdana"/>
          <w:sz w:val="16"/>
          <w:szCs w:val="16"/>
        </w:rPr>
        <w:t>o</w:t>
      </w:r>
      <w:r w:rsidRPr="009B1137">
        <w:rPr>
          <w:rFonts w:ascii="Verdana" w:hAnsi="Verdana"/>
          <w:sz w:val="16"/>
          <w:szCs w:val="16"/>
        </w:rPr>
        <w:t xml:space="preserve"> Pará “</w:t>
      </w:r>
      <w:r w:rsidRPr="009B1137">
        <w:rPr>
          <w:rFonts w:ascii="Verdana" w:hAnsi="Verdana" w:cs="Times-Roman"/>
          <w:sz w:val="16"/>
          <w:szCs w:val="16"/>
          <w:lang w:val="es-EC" w:bidi="en-US"/>
        </w:rPr>
        <w:t xml:space="preserve">no se excluye ninguna disposición de la Convención Americana, por lo que habrá que concluir que la </w:t>
      </w:r>
      <w:r w:rsidRPr="009B1137">
        <w:rPr>
          <w:rFonts w:ascii="Verdana" w:hAnsi="Verdana"/>
          <w:sz w:val="16"/>
          <w:szCs w:val="16"/>
          <w:lang w:val="es-EC"/>
        </w:rPr>
        <w:t xml:space="preserve">Comisión actuará en las peticiones sobre el artículo 7 de la Convención </w:t>
      </w:r>
      <w:r>
        <w:rPr>
          <w:rFonts w:ascii="Verdana" w:hAnsi="Verdana"/>
          <w:sz w:val="16"/>
          <w:szCs w:val="16"/>
          <w:lang w:val="es-EC"/>
        </w:rPr>
        <w:t xml:space="preserve">de </w:t>
      </w:r>
      <w:r w:rsidRPr="009B1137">
        <w:rPr>
          <w:rFonts w:ascii="Verdana" w:hAnsi="Verdana"/>
          <w:sz w:val="16"/>
          <w:szCs w:val="16"/>
          <w:lang w:val="es-EC"/>
        </w:rPr>
        <w:t>Bélem do Pará ‘de conformidad con lo dispuesto en los artículos 44 al 51 de [la Convención Americana]’, como lo dispone el artículo 41 de la misma Convención. El artículo 51 de la Convención […] se refiere […] expresamente al sometimiento de casos ante la Corte”.</w:t>
      </w:r>
    </w:p>
  </w:footnote>
  <w:footnote w:id="23">
    <w:p w:rsidR="0081535F" w:rsidRPr="009B1137" w:rsidRDefault="0081535F" w:rsidP="00422232">
      <w:pPr>
        <w:pStyle w:val="Textonotapie"/>
        <w:ind w:left="-180" w:right="-174"/>
        <w:jc w:val="both"/>
        <w:rPr>
          <w:rFonts w:ascii="Verdana" w:hAnsi="Verdana"/>
          <w:sz w:val="16"/>
          <w:szCs w:val="16"/>
        </w:rPr>
      </w:pPr>
      <w:r w:rsidRPr="009B1137">
        <w:rPr>
          <w:rStyle w:val="Refdenotaalpie"/>
          <w:rFonts w:ascii="Verdana" w:hAnsi="Verdana"/>
          <w:sz w:val="16"/>
          <w:szCs w:val="16"/>
        </w:rPr>
        <w:footnoteRef/>
      </w:r>
      <w:r w:rsidRPr="009B1137">
        <w:rPr>
          <w:rFonts w:ascii="Verdana" w:hAnsi="Verdana"/>
          <w:sz w:val="16"/>
          <w:szCs w:val="16"/>
        </w:rPr>
        <w:t xml:space="preserve"> </w:t>
      </w:r>
      <w:r w:rsidRPr="009B1137">
        <w:rPr>
          <w:rFonts w:ascii="Verdana" w:hAnsi="Verdana"/>
          <w:i/>
          <w:sz w:val="16"/>
          <w:szCs w:val="16"/>
        </w:rPr>
        <w:t>Cfr.</w:t>
      </w:r>
      <w:r w:rsidRPr="009B1137">
        <w:rPr>
          <w:rFonts w:ascii="Verdana" w:hAnsi="Verdana"/>
          <w:sz w:val="16"/>
          <w:szCs w:val="16"/>
        </w:rPr>
        <w:t xml:space="preserve"> </w:t>
      </w:r>
      <w:r>
        <w:rPr>
          <w:rFonts w:ascii="Verdana" w:hAnsi="Verdana"/>
          <w:i/>
          <w:sz w:val="16"/>
          <w:szCs w:val="16"/>
        </w:rPr>
        <w:t>Caso Masacres de Río N</w:t>
      </w:r>
      <w:r w:rsidRPr="009B1137">
        <w:rPr>
          <w:rFonts w:ascii="Verdana" w:hAnsi="Verdana"/>
          <w:i/>
          <w:sz w:val="16"/>
          <w:szCs w:val="16"/>
        </w:rPr>
        <w:t xml:space="preserve">egro Vs. Guatemala. Excepción Preliminar, Fondo, Reparaciones y Costas. </w:t>
      </w:r>
      <w:r w:rsidRPr="003622B1">
        <w:rPr>
          <w:rFonts w:ascii="Verdana" w:hAnsi="Verdana"/>
          <w:sz w:val="16"/>
          <w:szCs w:val="16"/>
        </w:rPr>
        <w:t>Sentencia de 4 de septiembre de 2012.</w:t>
      </w:r>
      <w:r w:rsidRPr="009B1137">
        <w:rPr>
          <w:rFonts w:ascii="Verdana" w:hAnsi="Verdana"/>
          <w:sz w:val="16"/>
          <w:szCs w:val="16"/>
        </w:rPr>
        <w:t xml:space="preserve"> Serie C No. 250, párr</w:t>
      </w:r>
      <w:r>
        <w:rPr>
          <w:rFonts w:ascii="Verdana" w:hAnsi="Verdana"/>
          <w:sz w:val="16"/>
          <w:szCs w:val="16"/>
        </w:rPr>
        <w:t>.</w:t>
      </w:r>
      <w:r w:rsidRPr="009B1137">
        <w:rPr>
          <w:rFonts w:ascii="Verdana" w:hAnsi="Verdana"/>
          <w:sz w:val="16"/>
          <w:szCs w:val="16"/>
        </w:rPr>
        <w:t xml:space="preserve"> 17, y</w:t>
      </w:r>
      <w:r w:rsidRPr="009B1137">
        <w:rPr>
          <w:rFonts w:ascii="Verdana" w:hAnsi="Verdana"/>
          <w:i/>
          <w:sz w:val="16"/>
          <w:szCs w:val="16"/>
        </w:rPr>
        <w:t xml:space="preserve"> Caso Gudiel Álvarez (Diario Militar) Vs. Guatemala. Fondo, Reparaciones y Costas. </w:t>
      </w:r>
      <w:r w:rsidRPr="003622B1">
        <w:rPr>
          <w:rFonts w:ascii="Verdana" w:hAnsi="Verdana"/>
          <w:sz w:val="16"/>
          <w:szCs w:val="16"/>
        </w:rPr>
        <w:t>Sentencia de 20 de noviembre de 2012. Serie C No. 253, párr. 17.</w:t>
      </w:r>
      <w:r w:rsidRPr="009B1137">
        <w:rPr>
          <w:rFonts w:ascii="Verdana" w:hAnsi="Verdana"/>
          <w:sz w:val="16"/>
          <w:szCs w:val="16"/>
        </w:rPr>
        <w:t xml:space="preserve"> </w:t>
      </w:r>
    </w:p>
  </w:footnote>
  <w:footnote w:id="24">
    <w:p w:rsidR="0081535F" w:rsidRPr="00F35392" w:rsidRDefault="0081535F" w:rsidP="00422232">
      <w:pPr>
        <w:pStyle w:val="Textonotapie"/>
        <w:spacing w:line="19" w:lineRule="atLeast"/>
        <w:ind w:left="-180" w:right="-174"/>
        <w:jc w:val="both"/>
        <w:rPr>
          <w:rFonts w:ascii="Verdana" w:hAnsi="Verdana"/>
          <w:b/>
          <w:sz w:val="16"/>
          <w:szCs w:val="16"/>
        </w:rPr>
      </w:pPr>
      <w:r w:rsidRPr="009B1137">
        <w:rPr>
          <w:rStyle w:val="Refdenotaalpie"/>
          <w:rFonts w:ascii="Verdana" w:hAnsi="Verdana"/>
          <w:sz w:val="16"/>
          <w:szCs w:val="16"/>
        </w:rPr>
        <w:footnoteRef/>
      </w:r>
      <w:r w:rsidRPr="009B1137">
        <w:rPr>
          <w:rFonts w:ascii="Verdana" w:hAnsi="Verdana"/>
          <w:sz w:val="16"/>
          <w:szCs w:val="16"/>
        </w:rPr>
        <w:t xml:space="preserve"> </w:t>
      </w:r>
      <w:r w:rsidRPr="003622B1">
        <w:rPr>
          <w:rFonts w:ascii="Verdana" w:hAnsi="Verdana"/>
          <w:i/>
          <w:sz w:val="16"/>
          <w:szCs w:val="16"/>
        </w:rPr>
        <w:t>Cfr.</w:t>
      </w:r>
      <w:r>
        <w:rPr>
          <w:rFonts w:ascii="Verdana" w:hAnsi="Verdana" w:cs="Arial"/>
          <w:sz w:val="16"/>
          <w:szCs w:val="16"/>
        </w:rPr>
        <w:t xml:space="preserve"> </w:t>
      </w:r>
      <w:r w:rsidRPr="003622B1">
        <w:rPr>
          <w:rFonts w:ascii="Verdana" w:hAnsi="Verdana" w:cs="Arial"/>
          <w:i/>
          <w:sz w:val="16"/>
          <w:szCs w:val="16"/>
        </w:rPr>
        <w:t>Caso Vélez Loor Vs. Panamá. Excepciones Preliminares, Fondo, Reparaciones y Costas.</w:t>
      </w:r>
      <w:r w:rsidRPr="0073721F">
        <w:rPr>
          <w:rFonts w:ascii="Verdana" w:hAnsi="Verdana" w:cs="Arial"/>
          <w:sz w:val="16"/>
          <w:szCs w:val="16"/>
        </w:rPr>
        <w:t xml:space="preserve"> Sentencia de 23 de noviembre de 2010 Serie C No. 218</w:t>
      </w:r>
      <w:r>
        <w:rPr>
          <w:rFonts w:ascii="Verdana" w:hAnsi="Verdana" w:cs="Arial"/>
          <w:sz w:val="16"/>
          <w:szCs w:val="16"/>
        </w:rPr>
        <w:t xml:space="preserve">, párr. 34; </w:t>
      </w:r>
      <w:r w:rsidRPr="003622B1">
        <w:rPr>
          <w:rFonts w:ascii="Verdana" w:hAnsi="Verdana" w:cs="Arial"/>
          <w:i/>
          <w:sz w:val="16"/>
          <w:szCs w:val="16"/>
        </w:rPr>
        <w:t>Caso González y otras (“Campo Algodonero”)</w:t>
      </w:r>
      <w:r>
        <w:rPr>
          <w:rFonts w:ascii="Verdana" w:hAnsi="Verdana" w:cs="Arial"/>
          <w:i/>
          <w:sz w:val="16"/>
          <w:szCs w:val="16"/>
        </w:rPr>
        <w:t>, supra</w:t>
      </w:r>
      <w:r w:rsidRPr="009B1137">
        <w:rPr>
          <w:rFonts w:ascii="Verdana" w:hAnsi="Verdana" w:cs="Arial"/>
          <w:sz w:val="16"/>
          <w:szCs w:val="16"/>
        </w:rPr>
        <w:t xml:space="preserve">, puntos resolutivos 4 y 5; </w:t>
      </w:r>
      <w:r>
        <w:rPr>
          <w:rFonts w:ascii="Verdana" w:hAnsi="Verdana" w:cs="Arial"/>
          <w:i/>
          <w:sz w:val="16"/>
          <w:szCs w:val="16"/>
        </w:rPr>
        <w:t>Caso Fernández Ortega y otros. Vs. México. Excepción Preliminar, Fondo, Reparaciones y Costas.</w:t>
      </w:r>
      <w:r w:rsidRPr="009B1137">
        <w:rPr>
          <w:rFonts w:ascii="Verdana" w:hAnsi="Verdana" w:cs="Arial"/>
          <w:sz w:val="16"/>
          <w:szCs w:val="16"/>
        </w:rPr>
        <w:t xml:space="preserve"> Sentencia de 30 de agosto de 2010</w:t>
      </w:r>
      <w:r>
        <w:rPr>
          <w:rFonts w:ascii="Verdana" w:hAnsi="Verdana" w:cs="Arial"/>
          <w:sz w:val="16"/>
          <w:szCs w:val="16"/>
        </w:rPr>
        <w:t>.</w:t>
      </w:r>
      <w:r w:rsidRPr="009B1137">
        <w:rPr>
          <w:rFonts w:ascii="Verdana" w:hAnsi="Verdana" w:cs="Arial"/>
          <w:sz w:val="16"/>
          <w:szCs w:val="16"/>
        </w:rPr>
        <w:t xml:space="preserve"> Serie C No. 215, puntos resolutivos </w:t>
      </w:r>
      <w:r w:rsidRPr="009B1137">
        <w:rPr>
          <w:rFonts w:ascii="Verdana" w:hAnsi="Verdana"/>
          <w:sz w:val="16"/>
          <w:szCs w:val="16"/>
          <w:lang w:val="es-CR"/>
        </w:rPr>
        <w:t xml:space="preserve">3 y 7; </w:t>
      </w:r>
      <w:r w:rsidRPr="009B1137">
        <w:rPr>
          <w:rFonts w:ascii="Verdana" w:hAnsi="Verdana" w:cs="Arial"/>
          <w:i/>
          <w:sz w:val="16"/>
          <w:szCs w:val="16"/>
        </w:rPr>
        <w:t>Caso Rosendo Cantú y otra Vs. México. Excepción Preliminar, Fondo, Reparaciones y Costas</w:t>
      </w:r>
      <w:r w:rsidRPr="009B1137">
        <w:rPr>
          <w:rFonts w:ascii="Verdana" w:hAnsi="Verdana" w:cs="Arial"/>
          <w:sz w:val="16"/>
          <w:szCs w:val="16"/>
        </w:rPr>
        <w:t>. Sentencia de 31 de agosto de 2010</w:t>
      </w:r>
      <w:r>
        <w:rPr>
          <w:rFonts w:ascii="Verdana" w:hAnsi="Verdana" w:cs="Arial"/>
          <w:sz w:val="16"/>
          <w:szCs w:val="16"/>
        </w:rPr>
        <w:t>.</w:t>
      </w:r>
      <w:r w:rsidRPr="009B1137">
        <w:rPr>
          <w:rFonts w:ascii="Verdana" w:hAnsi="Verdana" w:cs="Arial"/>
          <w:sz w:val="16"/>
          <w:szCs w:val="16"/>
        </w:rPr>
        <w:t xml:space="preserve"> Serie C No. 216, puntos resolutivos 3 y 6</w:t>
      </w:r>
      <w:r w:rsidRPr="009B1137">
        <w:rPr>
          <w:rFonts w:ascii="Verdana" w:hAnsi="Verdana"/>
          <w:sz w:val="16"/>
          <w:szCs w:val="16"/>
          <w:lang w:val="es-CR"/>
        </w:rPr>
        <w:t xml:space="preserve">; </w:t>
      </w:r>
      <w:r w:rsidRPr="009B1137">
        <w:rPr>
          <w:rFonts w:ascii="Verdana" w:hAnsi="Verdana" w:cs="Arial"/>
          <w:i/>
          <w:sz w:val="16"/>
          <w:szCs w:val="16"/>
        </w:rPr>
        <w:t>Caso Masacres de Río Negro</w:t>
      </w:r>
      <w:r>
        <w:rPr>
          <w:rFonts w:ascii="Verdana" w:hAnsi="Verdana" w:cs="Arial"/>
          <w:i/>
          <w:sz w:val="16"/>
          <w:szCs w:val="16"/>
        </w:rPr>
        <w:t>, supra</w:t>
      </w:r>
      <w:r w:rsidRPr="009B1137">
        <w:rPr>
          <w:rFonts w:ascii="Verdana" w:hAnsi="Verdana" w:cs="Arial"/>
          <w:sz w:val="16"/>
          <w:szCs w:val="16"/>
        </w:rPr>
        <w:t xml:space="preserve">, punto resolutivo </w:t>
      </w:r>
      <w:r w:rsidRPr="009B1137">
        <w:rPr>
          <w:rFonts w:ascii="Verdana" w:hAnsi="Verdana"/>
          <w:sz w:val="16"/>
          <w:szCs w:val="16"/>
          <w:lang w:val="es-CR"/>
        </w:rPr>
        <w:t xml:space="preserve">6; </w:t>
      </w:r>
      <w:r w:rsidRPr="009B1137">
        <w:rPr>
          <w:rFonts w:ascii="Verdana" w:hAnsi="Verdana" w:cs="Arial"/>
          <w:i/>
          <w:sz w:val="16"/>
          <w:szCs w:val="16"/>
        </w:rPr>
        <w:t>Caso Masacres de El Mozote y lugares aledaños Vs. El Salvador. Fondo, Reparaciones y Costas</w:t>
      </w:r>
      <w:r w:rsidRPr="009B1137">
        <w:rPr>
          <w:rFonts w:ascii="Verdana" w:hAnsi="Verdana" w:cs="Arial"/>
          <w:sz w:val="16"/>
          <w:szCs w:val="16"/>
        </w:rPr>
        <w:t>. Sentencia de 25 de octubre de 2012</w:t>
      </w:r>
      <w:r>
        <w:rPr>
          <w:rFonts w:ascii="Verdana" w:hAnsi="Verdana" w:cs="Arial"/>
          <w:sz w:val="16"/>
          <w:szCs w:val="16"/>
        </w:rPr>
        <w:t>.</w:t>
      </w:r>
      <w:r w:rsidRPr="009B1137">
        <w:rPr>
          <w:rFonts w:ascii="Verdana" w:hAnsi="Verdana" w:cs="Arial"/>
          <w:sz w:val="16"/>
          <w:szCs w:val="16"/>
        </w:rPr>
        <w:t xml:space="preserve"> Serie C No. </w:t>
      </w:r>
      <w:r w:rsidRPr="003622B1">
        <w:rPr>
          <w:rFonts w:ascii="Verdana" w:hAnsi="Verdana" w:cs="Arial"/>
          <w:sz w:val="16"/>
          <w:szCs w:val="16"/>
        </w:rPr>
        <w:t>252, punto resolutivo 7</w:t>
      </w:r>
      <w:r w:rsidRPr="009B1137">
        <w:rPr>
          <w:rFonts w:ascii="Verdana" w:hAnsi="Verdana" w:cs="Arial"/>
          <w:i/>
          <w:sz w:val="16"/>
          <w:szCs w:val="16"/>
        </w:rPr>
        <w:t xml:space="preserve">, </w:t>
      </w:r>
      <w:r w:rsidRPr="00C11F32">
        <w:rPr>
          <w:rFonts w:ascii="Verdana" w:hAnsi="Verdana" w:cs="Arial"/>
          <w:sz w:val="16"/>
          <w:szCs w:val="16"/>
        </w:rPr>
        <w:t>y</w:t>
      </w:r>
      <w:r w:rsidRPr="009B1137">
        <w:rPr>
          <w:rFonts w:ascii="Verdana" w:hAnsi="Verdana" w:cs="Arial"/>
          <w:i/>
          <w:sz w:val="16"/>
          <w:szCs w:val="16"/>
        </w:rPr>
        <w:t xml:space="preserve"> Caso Gudiel Álvarez y otros (Diario Militar)</w:t>
      </w:r>
      <w:r>
        <w:rPr>
          <w:rFonts w:ascii="Verdana" w:hAnsi="Verdana" w:cs="Arial"/>
          <w:i/>
          <w:sz w:val="16"/>
          <w:szCs w:val="16"/>
        </w:rPr>
        <w:t>, supra</w:t>
      </w:r>
      <w:r w:rsidRPr="009B1137">
        <w:rPr>
          <w:rFonts w:ascii="Verdana" w:hAnsi="Verdana" w:cs="Arial"/>
          <w:sz w:val="16"/>
          <w:szCs w:val="16"/>
        </w:rPr>
        <w:t>, punto resolutivo 5.</w:t>
      </w:r>
      <w:r w:rsidRPr="009B1137">
        <w:rPr>
          <w:rFonts w:ascii="Verdana" w:hAnsi="Verdana" w:cs="Arial"/>
          <w:i/>
          <w:sz w:val="16"/>
          <w:szCs w:val="16"/>
        </w:rPr>
        <w:t xml:space="preserve"> </w:t>
      </w:r>
      <w:r w:rsidRPr="009B1137">
        <w:rPr>
          <w:rFonts w:ascii="Verdana" w:hAnsi="Verdana" w:cs="Arial"/>
          <w:sz w:val="16"/>
          <w:szCs w:val="16"/>
        </w:rPr>
        <w:t xml:space="preserve">Inclusive en relación con Guatemala, en los citados casos </w:t>
      </w:r>
      <w:r w:rsidRPr="00415223">
        <w:rPr>
          <w:rFonts w:ascii="Verdana" w:hAnsi="Verdana" w:cs="Arial"/>
          <w:i/>
          <w:sz w:val="16"/>
          <w:szCs w:val="16"/>
        </w:rPr>
        <w:t>Masacres de Río Negro y Gudiel Álvarez (Diario Militar)</w:t>
      </w:r>
      <w:r w:rsidRPr="009B1137">
        <w:rPr>
          <w:rFonts w:ascii="Verdana" w:hAnsi="Verdana" w:cs="Arial"/>
          <w:sz w:val="16"/>
          <w:szCs w:val="16"/>
        </w:rPr>
        <w:t xml:space="preserve">, el Estado no cuestionó la competencia del Tribunal respecto al artículo 7 de la Convención de Belém do Pará. Como surge de los párrafos 17 de ambas Sentencias, </w:t>
      </w:r>
      <w:r>
        <w:rPr>
          <w:rFonts w:ascii="Verdana" w:hAnsi="Verdana" w:cs="Arial"/>
          <w:sz w:val="16"/>
          <w:szCs w:val="16"/>
        </w:rPr>
        <w:t xml:space="preserve">que </w:t>
      </w:r>
      <w:r w:rsidRPr="009B1137">
        <w:rPr>
          <w:rFonts w:ascii="Verdana" w:hAnsi="Verdana" w:cs="Arial"/>
          <w:sz w:val="16"/>
          <w:szCs w:val="16"/>
        </w:rPr>
        <w:t>en esos casos Guatemala reconoció su</w:t>
      </w:r>
      <w:r w:rsidRPr="00F35392">
        <w:rPr>
          <w:rFonts w:ascii="Verdana" w:hAnsi="Verdana" w:cs="Arial"/>
          <w:b/>
          <w:sz w:val="16"/>
          <w:szCs w:val="16"/>
        </w:rPr>
        <w:t xml:space="preserve"> </w:t>
      </w:r>
      <w:r w:rsidRPr="009B1137">
        <w:rPr>
          <w:rFonts w:ascii="Verdana" w:hAnsi="Verdana" w:cs="Arial"/>
          <w:sz w:val="16"/>
          <w:szCs w:val="16"/>
        </w:rPr>
        <w:t>responsabilidad por la violación a tal disposición de ese tratado.</w:t>
      </w:r>
      <w:r w:rsidRPr="00F35392">
        <w:rPr>
          <w:rFonts w:ascii="Verdana" w:hAnsi="Verdana" w:cs="Arial"/>
          <w:b/>
          <w:sz w:val="16"/>
          <w:szCs w:val="16"/>
        </w:rPr>
        <w:t xml:space="preserve"> </w:t>
      </w:r>
    </w:p>
  </w:footnote>
  <w:footnote w:id="25">
    <w:p w:rsidR="0081535F" w:rsidRPr="009904B0" w:rsidRDefault="0081535F" w:rsidP="00422232">
      <w:pPr>
        <w:pStyle w:val="Textonotapie"/>
        <w:spacing w:line="19" w:lineRule="atLeast"/>
        <w:ind w:left="-180" w:right="-174"/>
        <w:jc w:val="both"/>
        <w:rPr>
          <w:rFonts w:ascii="Verdana" w:hAnsi="Verdana"/>
          <w:sz w:val="16"/>
          <w:szCs w:val="16"/>
        </w:rPr>
      </w:pPr>
      <w:r w:rsidRPr="000D3634">
        <w:rPr>
          <w:rStyle w:val="Refdenotaalpie"/>
          <w:rFonts w:ascii="Verdana" w:hAnsi="Verdana"/>
          <w:sz w:val="16"/>
          <w:szCs w:val="16"/>
        </w:rPr>
        <w:footnoteRef/>
      </w:r>
      <w:r w:rsidRPr="000D3634">
        <w:rPr>
          <w:rFonts w:ascii="Verdana" w:hAnsi="Verdana"/>
          <w:sz w:val="16"/>
          <w:szCs w:val="16"/>
        </w:rPr>
        <w:t xml:space="preserve"> Al respecto, </w:t>
      </w:r>
      <w:r>
        <w:rPr>
          <w:rFonts w:ascii="Verdana" w:hAnsi="Verdana"/>
          <w:sz w:val="16"/>
          <w:szCs w:val="16"/>
        </w:rPr>
        <w:t>el Estado señaló que la Corte</w:t>
      </w:r>
      <w:r w:rsidRPr="000D3634">
        <w:rPr>
          <w:rFonts w:ascii="Verdana" w:hAnsi="Verdana"/>
          <w:sz w:val="16"/>
          <w:szCs w:val="16"/>
        </w:rPr>
        <w:t xml:space="preserve"> </w:t>
      </w:r>
      <w:r>
        <w:rPr>
          <w:rFonts w:ascii="Verdana" w:hAnsi="Verdana"/>
          <w:sz w:val="16"/>
          <w:szCs w:val="16"/>
        </w:rPr>
        <w:t xml:space="preserve">se ha referido a </w:t>
      </w:r>
      <w:r w:rsidRPr="000D3634">
        <w:rPr>
          <w:rFonts w:ascii="Verdana" w:hAnsi="Verdana"/>
          <w:sz w:val="16"/>
          <w:szCs w:val="16"/>
        </w:rPr>
        <w:t>la pertinencia de considerar “tres elementos para determinar la razonabilidad del plazo […]: “a) la complejidad del asunto, b) la actividad procesal del interesado y c) la conducta de las autoridades judiciales</w:t>
      </w:r>
      <w:r>
        <w:rPr>
          <w:rFonts w:ascii="Verdana" w:hAnsi="Verdana"/>
          <w:sz w:val="16"/>
          <w:szCs w:val="16"/>
        </w:rPr>
        <w:t>.</w:t>
      </w:r>
      <w:r w:rsidRPr="009904B0">
        <w:rPr>
          <w:rFonts w:ascii="Verdana" w:hAnsi="Verdana"/>
          <w:sz w:val="16"/>
          <w:szCs w:val="16"/>
        </w:rPr>
        <w:t xml:space="preserve"> </w:t>
      </w:r>
    </w:p>
  </w:footnote>
  <w:footnote w:id="26">
    <w:p w:rsidR="0081535F" w:rsidRPr="009904B0" w:rsidRDefault="0081535F" w:rsidP="00422232">
      <w:pPr>
        <w:pStyle w:val="Textonotapie"/>
        <w:spacing w:line="19" w:lineRule="atLeast"/>
        <w:ind w:left="-180" w:right="-174"/>
        <w:jc w:val="both"/>
        <w:rPr>
          <w:rFonts w:ascii="Verdana" w:hAnsi="Verdana"/>
          <w:i/>
          <w:sz w:val="16"/>
          <w:szCs w:val="16"/>
        </w:rPr>
      </w:pPr>
      <w:r w:rsidRPr="009904B0">
        <w:rPr>
          <w:rStyle w:val="Refdenotaalpie"/>
          <w:rFonts w:ascii="Verdana" w:hAnsi="Verdana"/>
          <w:sz w:val="16"/>
          <w:szCs w:val="16"/>
        </w:rPr>
        <w:footnoteRef/>
      </w:r>
      <w:r w:rsidRPr="009904B0">
        <w:rPr>
          <w:rFonts w:ascii="Verdana" w:hAnsi="Verdana"/>
          <w:sz w:val="16"/>
          <w:szCs w:val="16"/>
        </w:rPr>
        <w:t xml:space="preserve"> El Estado explicó que “en el Decreto 7-2011 del Congreso de la República” se establecieron reformas al “Decreto número 51-92 del Congreso de la República, Código Procesal Penal[:] ‘Artículo 5. Se adiciona un segundo párrafo al artículo 108, el cual queda así: </w:t>
      </w:r>
      <w:r w:rsidRPr="009904B0">
        <w:rPr>
          <w:rFonts w:ascii="Verdana" w:hAnsi="Verdana"/>
          <w:i/>
          <w:sz w:val="16"/>
          <w:szCs w:val="16"/>
        </w:rPr>
        <w:t xml:space="preserve">En el ejercicio de su función, y en un plazo no mayor de quince días de recibida la denuncia, el Ministerio Público debe informar a la víctima de lo actuado y sobre la posible decisión a asumir. La víctima que no sea informada en dicho plazo puede acudir al juez de paz para que éste requiera en la forma más expedita que, en cuarenta y ocho horas, el fiscal le informe sobre el avance del proceso. Si del informe o ante la falta de éste el juez de paz considera insuficiente la preparación de la acción penal, ordenará al fiscal que dentro de un plazo no mayor de treinta (30) días le informe de nuevos avances, o en su defecto sobre las circunstancias que le impiden que no pueda avanzar más en la investigación, bajo apercibimiento de certificar al régimen disciplinario del Ministerio Público el incumplimiento, constituyendo falta grave’”. </w:t>
      </w:r>
      <w:r w:rsidRPr="009904B0">
        <w:rPr>
          <w:rFonts w:ascii="Verdana" w:hAnsi="Verdana"/>
          <w:sz w:val="16"/>
          <w:szCs w:val="16"/>
        </w:rPr>
        <w:t xml:space="preserve">(La cursiva es del texto original). </w:t>
      </w:r>
    </w:p>
  </w:footnote>
  <w:footnote w:id="27">
    <w:p w:rsidR="0081535F" w:rsidRPr="00F35392" w:rsidRDefault="0081535F" w:rsidP="00422232">
      <w:pPr>
        <w:pStyle w:val="Textonotapie"/>
        <w:spacing w:line="19" w:lineRule="atLeast"/>
        <w:ind w:left="-180" w:right="-174"/>
        <w:jc w:val="both"/>
        <w:rPr>
          <w:rFonts w:ascii="Verdana" w:hAnsi="Verdana"/>
          <w:sz w:val="16"/>
          <w:szCs w:val="16"/>
        </w:rPr>
      </w:pPr>
      <w:r w:rsidRPr="00F35392">
        <w:rPr>
          <w:rStyle w:val="Refdenotaalpie"/>
          <w:rFonts w:ascii="Verdana" w:hAnsi="Verdana"/>
          <w:sz w:val="16"/>
          <w:szCs w:val="16"/>
        </w:rPr>
        <w:footnoteRef/>
      </w:r>
      <w:r w:rsidRPr="00F35392">
        <w:rPr>
          <w:rFonts w:ascii="Verdana" w:hAnsi="Verdana"/>
          <w:sz w:val="16"/>
          <w:szCs w:val="16"/>
        </w:rPr>
        <w:t xml:space="preserve"> </w:t>
      </w:r>
      <w:r w:rsidRPr="00FA2A1E">
        <w:rPr>
          <w:rFonts w:ascii="Verdana" w:hAnsi="Verdana"/>
          <w:sz w:val="16"/>
          <w:szCs w:val="16"/>
          <w:lang w:val="es-MX"/>
        </w:rPr>
        <w:t>Informe de Admisibilidad No. 92/06,</w:t>
      </w:r>
      <w:r w:rsidRPr="00FA2A1E" w:rsidDel="00660AC3">
        <w:rPr>
          <w:rFonts w:ascii="Verdana" w:hAnsi="Verdana"/>
          <w:sz w:val="16"/>
          <w:szCs w:val="16"/>
          <w:lang w:val="es-MX"/>
        </w:rPr>
        <w:t xml:space="preserve"> </w:t>
      </w:r>
      <w:r w:rsidRPr="000D3634">
        <w:rPr>
          <w:rFonts w:ascii="Verdana" w:hAnsi="Verdana"/>
          <w:i/>
          <w:sz w:val="16"/>
          <w:szCs w:val="16"/>
          <w:lang w:val="es-MX"/>
        </w:rPr>
        <w:t>supra</w:t>
      </w:r>
      <w:r>
        <w:rPr>
          <w:rFonts w:ascii="Verdana" w:hAnsi="Verdana"/>
          <w:sz w:val="16"/>
          <w:szCs w:val="16"/>
          <w:lang w:val="es-MX"/>
        </w:rPr>
        <w:t>.</w:t>
      </w:r>
    </w:p>
  </w:footnote>
  <w:footnote w:id="28">
    <w:p w:rsidR="0081535F" w:rsidRPr="00F35392" w:rsidRDefault="0081535F" w:rsidP="00422232">
      <w:pPr>
        <w:pStyle w:val="Prrafodelista"/>
        <w:spacing w:after="0" w:line="19" w:lineRule="atLeast"/>
        <w:ind w:left="-180" w:right="-174"/>
        <w:jc w:val="both"/>
        <w:rPr>
          <w:rFonts w:ascii="Verdana" w:hAnsi="Verdana"/>
          <w:sz w:val="16"/>
          <w:szCs w:val="16"/>
          <w:lang w:val="es-CR"/>
        </w:rPr>
      </w:pPr>
      <w:r w:rsidRPr="00F35392">
        <w:rPr>
          <w:rStyle w:val="Refdenotaalpie"/>
          <w:rFonts w:ascii="Verdana" w:hAnsi="Verdana"/>
          <w:sz w:val="16"/>
          <w:szCs w:val="16"/>
        </w:rPr>
        <w:footnoteRef/>
      </w:r>
      <w:r w:rsidRPr="00F35392">
        <w:rPr>
          <w:rFonts w:ascii="Verdana" w:hAnsi="Verdana"/>
          <w:sz w:val="16"/>
          <w:szCs w:val="16"/>
          <w:lang w:val="es-CR"/>
        </w:rPr>
        <w:t xml:space="preserve"> </w:t>
      </w:r>
      <w:r w:rsidRPr="00F35392">
        <w:rPr>
          <w:rFonts w:ascii="Verdana" w:hAnsi="Verdana"/>
          <w:i/>
          <w:sz w:val="16"/>
          <w:szCs w:val="16"/>
          <w:lang w:val="es-CR"/>
        </w:rPr>
        <w:t>Cfr.</w:t>
      </w:r>
      <w:r w:rsidRPr="00F35392">
        <w:rPr>
          <w:rFonts w:ascii="Verdana" w:hAnsi="Verdana"/>
          <w:sz w:val="16"/>
          <w:szCs w:val="16"/>
          <w:lang w:val="es-CR"/>
        </w:rPr>
        <w:t xml:space="preserve"> Comunicaciones estatales recibidas por la Comisión Interamericana los días 16 de diciembre de 2004</w:t>
      </w:r>
      <w:r>
        <w:rPr>
          <w:rFonts w:ascii="Verdana" w:hAnsi="Verdana"/>
          <w:sz w:val="16"/>
          <w:szCs w:val="16"/>
          <w:lang w:val="es-CR"/>
        </w:rPr>
        <w:t>;</w:t>
      </w:r>
      <w:r w:rsidRPr="00F35392">
        <w:rPr>
          <w:rFonts w:ascii="Verdana" w:hAnsi="Verdana"/>
          <w:sz w:val="16"/>
          <w:szCs w:val="16"/>
          <w:lang w:val="es-CR"/>
        </w:rPr>
        <w:t xml:space="preserve"> 12 de abril de 2005; 3 de abril de 2006, reiterada el 5 de abril de 2006; 24 de mayo de</w:t>
      </w:r>
      <w:r>
        <w:rPr>
          <w:rFonts w:ascii="Verdana" w:hAnsi="Verdana"/>
          <w:sz w:val="16"/>
          <w:szCs w:val="16"/>
          <w:lang w:val="es-CR"/>
        </w:rPr>
        <w:t xml:space="preserve"> 2006, y 13 de julio de 2006. (e</w:t>
      </w:r>
      <w:r w:rsidRPr="00F35392">
        <w:rPr>
          <w:rFonts w:ascii="Verdana" w:hAnsi="Verdana"/>
          <w:sz w:val="16"/>
          <w:szCs w:val="16"/>
          <w:lang w:val="es-CR"/>
        </w:rPr>
        <w:t>xpediente ante la Comisión, Tomo I, fs</w:t>
      </w:r>
      <w:r>
        <w:rPr>
          <w:rFonts w:ascii="Verdana" w:hAnsi="Verdana"/>
          <w:sz w:val="16"/>
          <w:szCs w:val="16"/>
          <w:lang w:val="es-CR"/>
        </w:rPr>
        <w:t>.</w:t>
      </w:r>
      <w:r w:rsidRPr="00F35392">
        <w:rPr>
          <w:rFonts w:ascii="Verdana" w:hAnsi="Verdana"/>
          <w:sz w:val="16"/>
          <w:szCs w:val="16"/>
          <w:lang w:val="es-CR"/>
        </w:rPr>
        <w:t xml:space="preserve"> 1067 a 1080; 969 a 973; 899 a 901; 891 a 893; 863 a 868, y 830 a 834, respectivamente</w:t>
      </w:r>
      <w:r>
        <w:rPr>
          <w:rFonts w:ascii="Verdana" w:hAnsi="Verdana"/>
          <w:sz w:val="16"/>
          <w:szCs w:val="16"/>
          <w:lang w:val="es-CR"/>
        </w:rPr>
        <w:t>)</w:t>
      </w:r>
      <w:r w:rsidRPr="00F35392">
        <w:rPr>
          <w:rFonts w:ascii="Verdana" w:hAnsi="Verdana"/>
          <w:sz w:val="16"/>
          <w:szCs w:val="16"/>
          <w:lang w:val="es-CR"/>
        </w:rPr>
        <w:t>.</w:t>
      </w:r>
    </w:p>
  </w:footnote>
  <w:footnote w:id="29">
    <w:p w:rsidR="0081535F" w:rsidRPr="00CA4C08" w:rsidRDefault="0081535F" w:rsidP="00422232">
      <w:pPr>
        <w:pStyle w:val="Textonotapie"/>
        <w:ind w:left="-180" w:right="-174"/>
        <w:jc w:val="both"/>
        <w:rPr>
          <w:rFonts w:ascii="Verdana" w:hAnsi="Verdana"/>
          <w:sz w:val="16"/>
          <w:szCs w:val="16"/>
          <w:lang w:val="es-CR"/>
        </w:rPr>
      </w:pPr>
      <w:r w:rsidRPr="00CA4C08">
        <w:rPr>
          <w:rStyle w:val="Refdenotaalpie"/>
          <w:rFonts w:ascii="Verdana" w:hAnsi="Verdana"/>
          <w:sz w:val="16"/>
          <w:szCs w:val="16"/>
        </w:rPr>
        <w:footnoteRef/>
      </w:r>
      <w:r w:rsidRPr="00CA4C08">
        <w:rPr>
          <w:rFonts w:ascii="Verdana" w:hAnsi="Verdana"/>
          <w:sz w:val="16"/>
          <w:szCs w:val="16"/>
        </w:rPr>
        <w:t xml:space="preserve"> </w:t>
      </w:r>
      <w:r w:rsidRPr="00CA4C08">
        <w:rPr>
          <w:rFonts w:ascii="Verdana" w:hAnsi="Verdana"/>
          <w:i/>
          <w:sz w:val="16"/>
          <w:szCs w:val="16"/>
          <w:lang w:val="es-CR"/>
        </w:rPr>
        <w:t>Cfr.</w:t>
      </w:r>
      <w:r w:rsidRPr="00CA4C08">
        <w:rPr>
          <w:rFonts w:ascii="Verdana" w:hAnsi="Verdana"/>
          <w:sz w:val="16"/>
          <w:szCs w:val="16"/>
          <w:lang w:val="es-CR"/>
        </w:rPr>
        <w:t xml:space="preserve"> </w:t>
      </w:r>
      <w:r w:rsidRPr="00FA2A1E">
        <w:rPr>
          <w:rFonts w:ascii="Verdana" w:hAnsi="Verdana"/>
          <w:sz w:val="16"/>
          <w:szCs w:val="16"/>
          <w:lang w:val="es-MX"/>
        </w:rPr>
        <w:t xml:space="preserve">Informe de Admisibilidad No. 92/06, </w:t>
      </w:r>
      <w:r w:rsidRPr="000D3634">
        <w:rPr>
          <w:rFonts w:ascii="Verdana" w:hAnsi="Verdana"/>
          <w:i/>
          <w:sz w:val="16"/>
          <w:szCs w:val="16"/>
          <w:lang w:val="es-MX"/>
        </w:rPr>
        <w:t>supra</w:t>
      </w:r>
      <w:r>
        <w:rPr>
          <w:rFonts w:ascii="Verdana" w:hAnsi="Verdana"/>
          <w:sz w:val="16"/>
          <w:szCs w:val="16"/>
          <w:lang w:val="es-MX"/>
        </w:rPr>
        <w:t>.</w:t>
      </w:r>
    </w:p>
  </w:footnote>
  <w:footnote w:id="30">
    <w:p w:rsidR="0081535F" w:rsidRPr="00293A42" w:rsidRDefault="0081535F" w:rsidP="00422232">
      <w:pPr>
        <w:pStyle w:val="Textonotapie"/>
        <w:ind w:left="-180" w:right="-174"/>
        <w:jc w:val="both"/>
        <w:rPr>
          <w:lang w:val="es-CR"/>
        </w:rPr>
      </w:pPr>
      <w:r w:rsidRPr="00CA4C08">
        <w:rPr>
          <w:rStyle w:val="Refdenotaalpie"/>
          <w:rFonts w:ascii="Verdana" w:hAnsi="Verdana"/>
          <w:sz w:val="16"/>
          <w:szCs w:val="16"/>
        </w:rPr>
        <w:footnoteRef/>
      </w:r>
      <w:r w:rsidRPr="00CA4C08">
        <w:rPr>
          <w:rFonts w:ascii="Verdana" w:hAnsi="Verdana"/>
          <w:sz w:val="16"/>
          <w:szCs w:val="16"/>
        </w:rPr>
        <w:t xml:space="preserve"> </w:t>
      </w:r>
      <w:r w:rsidRPr="00FA2A1E">
        <w:rPr>
          <w:rFonts w:ascii="Verdana" w:hAnsi="Verdana"/>
          <w:sz w:val="16"/>
          <w:szCs w:val="16"/>
          <w:lang w:val="es-MX"/>
        </w:rPr>
        <w:t xml:space="preserve">Informe de Admisibilidad No. 92/06, </w:t>
      </w:r>
      <w:r w:rsidRPr="000D3634">
        <w:rPr>
          <w:rFonts w:ascii="Verdana" w:hAnsi="Verdana"/>
          <w:i/>
          <w:sz w:val="16"/>
          <w:szCs w:val="16"/>
          <w:lang w:val="es-MX"/>
        </w:rPr>
        <w:t>supra</w:t>
      </w:r>
      <w:r>
        <w:rPr>
          <w:rFonts w:ascii="Verdana" w:hAnsi="Verdana"/>
          <w:sz w:val="16"/>
          <w:szCs w:val="16"/>
          <w:lang w:val="es-MX"/>
        </w:rPr>
        <w:t>.</w:t>
      </w:r>
    </w:p>
  </w:footnote>
  <w:footnote w:id="31">
    <w:p w:rsidR="0081535F" w:rsidRPr="00353432" w:rsidRDefault="0081535F" w:rsidP="00422232">
      <w:pPr>
        <w:pStyle w:val="Textonotapie"/>
        <w:spacing w:line="19" w:lineRule="atLeast"/>
        <w:ind w:left="-180" w:right="-174"/>
        <w:jc w:val="both"/>
        <w:rPr>
          <w:rFonts w:ascii="Verdana" w:hAnsi="Verdana"/>
          <w:sz w:val="16"/>
          <w:szCs w:val="16"/>
        </w:rPr>
      </w:pPr>
      <w:r w:rsidRPr="00353432">
        <w:rPr>
          <w:rStyle w:val="Refdenotaalpie"/>
          <w:rFonts w:ascii="Verdana" w:hAnsi="Verdana"/>
          <w:sz w:val="16"/>
          <w:szCs w:val="16"/>
        </w:rPr>
        <w:footnoteRef/>
      </w:r>
      <w:r w:rsidRPr="00353432">
        <w:rPr>
          <w:rFonts w:ascii="Verdana" w:hAnsi="Verdana"/>
          <w:sz w:val="16"/>
          <w:szCs w:val="16"/>
        </w:rPr>
        <w:t xml:space="preserve"> </w:t>
      </w:r>
      <w:r w:rsidRPr="00353432">
        <w:rPr>
          <w:rFonts w:ascii="Verdana" w:hAnsi="Verdana"/>
          <w:i/>
          <w:sz w:val="16"/>
          <w:szCs w:val="16"/>
        </w:rPr>
        <w:t>Cfr.</w:t>
      </w:r>
      <w:r w:rsidRPr="00353432">
        <w:rPr>
          <w:rFonts w:ascii="Verdana" w:hAnsi="Verdana"/>
          <w:sz w:val="16"/>
          <w:szCs w:val="16"/>
        </w:rPr>
        <w:t xml:space="preserve"> </w:t>
      </w:r>
      <w:r w:rsidRPr="001B24D9">
        <w:rPr>
          <w:rFonts w:ascii="Verdana" w:hAnsi="Verdana"/>
          <w:sz w:val="16"/>
          <w:szCs w:val="16"/>
        </w:rPr>
        <w:t>Artículos 46, 57 y 58 del</w:t>
      </w:r>
      <w:r w:rsidRPr="00353432">
        <w:rPr>
          <w:rFonts w:ascii="Verdana" w:hAnsi="Verdana"/>
          <w:sz w:val="16"/>
          <w:szCs w:val="16"/>
        </w:rPr>
        <w:t xml:space="preserve"> Reglamento.</w:t>
      </w:r>
    </w:p>
  </w:footnote>
  <w:footnote w:id="32">
    <w:p w:rsidR="0081535F" w:rsidRPr="00353432" w:rsidRDefault="0081535F" w:rsidP="00422232">
      <w:pPr>
        <w:pStyle w:val="Textonotapie"/>
        <w:spacing w:line="19" w:lineRule="atLeast"/>
        <w:ind w:left="-180" w:right="-174"/>
        <w:jc w:val="both"/>
        <w:rPr>
          <w:rFonts w:ascii="Verdana" w:hAnsi="Verdana"/>
          <w:i/>
          <w:sz w:val="16"/>
          <w:szCs w:val="16"/>
          <w:lang w:val="es-CO"/>
        </w:rPr>
      </w:pPr>
      <w:r w:rsidRPr="0037370B">
        <w:rPr>
          <w:rFonts w:ascii="Verdana" w:hAnsi="Verdana"/>
          <w:sz w:val="16"/>
          <w:szCs w:val="16"/>
          <w:vertAlign w:val="superscript"/>
          <w:lang w:val="es-CO"/>
        </w:rPr>
        <w:footnoteRef/>
      </w:r>
      <w:r w:rsidRPr="00353432">
        <w:rPr>
          <w:rFonts w:ascii="Verdana" w:hAnsi="Verdana"/>
          <w:sz w:val="16"/>
          <w:szCs w:val="16"/>
          <w:lang w:val="es-CO"/>
        </w:rPr>
        <w:t xml:space="preserve"> </w:t>
      </w:r>
      <w:r w:rsidRPr="00353432">
        <w:rPr>
          <w:rFonts w:ascii="Verdana" w:hAnsi="Verdana"/>
          <w:i/>
          <w:sz w:val="16"/>
          <w:szCs w:val="16"/>
          <w:lang w:val="es-CO"/>
        </w:rPr>
        <w:t xml:space="preserve">Cfr. Caso de la “Panel Blanca” (Paniagua Morales y otros) Vs. Guatemala. </w:t>
      </w:r>
      <w:r w:rsidRPr="000D3634">
        <w:rPr>
          <w:rFonts w:ascii="Verdana" w:hAnsi="Verdana"/>
          <w:i/>
          <w:sz w:val="16"/>
          <w:szCs w:val="16"/>
          <w:lang w:val="es-CO"/>
        </w:rPr>
        <w:t>Reparaciones y Costas</w:t>
      </w:r>
      <w:r w:rsidRPr="00353432">
        <w:rPr>
          <w:rFonts w:ascii="Verdana" w:hAnsi="Verdana"/>
          <w:sz w:val="16"/>
          <w:szCs w:val="16"/>
          <w:lang w:val="es-CO"/>
        </w:rPr>
        <w:t>. Sentencia de 25 de mayo de 2001. Serie C No. 76, párr. 51</w:t>
      </w:r>
      <w:r w:rsidRPr="00353432">
        <w:rPr>
          <w:rFonts w:ascii="Verdana" w:hAnsi="Verdana"/>
          <w:i/>
          <w:sz w:val="16"/>
          <w:szCs w:val="16"/>
          <w:lang w:val="es-CO"/>
        </w:rPr>
        <w:t xml:space="preserve">, </w:t>
      </w:r>
      <w:r w:rsidRPr="00F62505">
        <w:rPr>
          <w:rFonts w:ascii="Verdana" w:hAnsi="Verdana"/>
          <w:sz w:val="16"/>
          <w:szCs w:val="16"/>
          <w:lang w:val="es-CO"/>
        </w:rPr>
        <w:t>y</w:t>
      </w:r>
      <w:r w:rsidRPr="00F62505">
        <w:rPr>
          <w:rFonts w:ascii="Verdana" w:hAnsi="Verdana"/>
          <w:i/>
          <w:sz w:val="16"/>
          <w:szCs w:val="16"/>
          <w:lang w:val="es-CO"/>
        </w:rPr>
        <w:t xml:space="preserve"> Caso </w:t>
      </w:r>
      <w:r w:rsidRPr="003622B1">
        <w:rPr>
          <w:rFonts w:ascii="Verdana" w:hAnsi="Verdana"/>
          <w:i/>
          <w:sz w:val="16"/>
          <w:szCs w:val="16"/>
          <w:lang w:val="es-CO"/>
        </w:rPr>
        <w:t xml:space="preserve">Liakat Ali Alibux </w:t>
      </w:r>
      <w:r w:rsidRPr="00F62505">
        <w:rPr>
          <w:rFonts w:ascii="Verdana" w:hAnsi="Verdana"/>
          <w:i/>
          <w:sz w:val="16"/>
          <w:szCs w:val="16"/>
          <w:lang w:val="es-CO"/>
        </w:rPr>
        <w:t>Vs.</w:t>
      </w:r>
      <w:r>
        <w:rPr>
          <w:rFonts w:ascii="Verdana" w:hAnsi="Verdana"/>
          <w:i/>
          <w:sz w:val="16"/>
          <w:szCs w:val="16"/>
          <w:lang w:val="es-CO"/>
        </w:rPr>
        <w:t xml:space="preserve"> </w:t>
      </w:r>
      <w:r w:rsidRPr="003622B1">
        <w:rPr>
          <w:rFonts w:ascii="Verdana" w:hAnsi="Verdana"/>
          <w:i/>
          <w:sz w:val="16"/>
          <w:szCs w:val="16"/>
          <w:lang w:val="es-CO"/>
        </w:rPr>
        <w:t>Suriname.</w:t>
      </w:r>
      <w:r w:rsidRPr="00F62505">
        <w:rPr>
          <w:rFonts w:ascii="Verdana" w:hAnsi="Verdana"/>
          <w:i/>
          <w:sz w:val="16"/>
          <w:szCs w:val="16"/>
          <w:lang w:val="es-CO"/>
        </w:rPr>
        <w:t xml:space="preserve"> </w:t>
      </w:r>
      <w:r w:rsidRPr="003622B1">
        <w:rPr>
          <w:rFonts w:ascii="Verdana" w:hAnsi="Verdana"/>
          <w:i/>
          <w:sz w:val="16"/>
          <w:szCs w:val="16"/>
          <w:lang w:val="es-CO"/>
        </w:rPr>
        <w:t>Excepciones Preliminares, Fondo y Reparaciones</w:t>
      </w:r>
      <w:r w:rsidRPr="00F62505">
        <w:rPr>
          <w:rFonts w:ascii="Verdana" w:hAnsi="Verdana"/>
          <w:sz w:val="16"/>
          <w:szCs w:val="16"/>
          <w:lang w:val="es-CO"/>
        </w:rPr>
        <w:t>. Sentencia de 3</w:t>
      </w:r>
      <w:r w:rsidRPr="003622B1">
        <w:rPr>
          <w:rFonts w:ascii="Verdana" w:hAnsi="Verdana"/>
          <w:sz w:val="16"/>
          <w:szCs w:val="16"/>
          <w:lang w:val="es-CO"/>
        </w:rPr>
        <w:t>0</w:t>
      </w:r>
      <w:r w:rsidRPr="00F62505">
        <w:rPr>
          <w:rFonts w:ascii="Verdana" w:hAnsi="Verdana"/>
          <w:sz w:val="16"/>
          <w:szCs w:val="16"/>
          <w:lang w:val="es-CO"/>
        </w:rPr>
        <w:t xml:space="preserve"> de </w:t>
      </w:r>
      <w:r w:rsidRPr="003622B1">
        <w:rPr>
          <w:rFonts w:ascii="Verdana" w:hAnsi="Verdana"/>
          <w:sz w:val="16"/>
          <w:szCs w:val="16"/>
          <w:lang w:val="es-CO"/>
        </w:rPr>
        <w:t>enero</w:t>
      </w:r>
      <w:r>
        <w:rPr>
          <w:rFonts w:ascii="Verdana" w:hAnsi="Verdana"/>
          <w:sz w:val="16"/>
          <w:szCs w:val="16"/>
          <w:lang w:val="es-CO"/>
        </w:rPr>
        <w:t xml:space="preserve"> </w:t>
      </w:r>
      <w:r w:rsidRPr="00F62505">
        <w:rPr>
          <w:rFonts w:ascii="Verdana" w:hAnsi="Verdana"/>
          <w:sz w:val="16"/>
          <w:szCs w:val="16"/>
          <w:lang w:val="es-CO"/>
        </w:rPr>
        <w:t>de 201</w:t>
      </w:r>
      <w:r w:rsidRPr="003622B1">
        <w:rPr>
          <w:rFonts w:ascii="Verdana" w:hAnsi="Verdana"/>
          <w:sz w:val="16"/>
          <w:szCs w:val="16"/>
          <w:lang w:val="es-CO"/>
        </w:rPr>
        <w:t>4</w:t>
      </w:r>
      <w:r w:rsidRPr="00F62505">
        <w:rPr>
          <w:rFonts w:ascii="Verdana" w:hAnsi="Verdana"/>
          <w:sz w:val="16"/>
          <w:szCs w:val="16"/>
          <w:lang w:val="es-CO"/>
        </w:rPr>
        <w:t xml:space="preserve">. Serie C No. </w:t>
      </w:r>
      <w:r w:rsidRPr="003622B1">
        <w:rPr>
          <w:rFonts w:ascii="Verdana" w:hAnsi="Verdana"/>
          <w:sz w:val="16"/>
          <w:szCs w:val="16"/>
          <w:lang w:val="es-CO"/>
        </w:rPr>
        <w:t>277</w:t>
      </w:r>
      <w:r w:rsidRPr="00F62505">
        <w:rPr>
          <w:rFonts w:ascii="Verdana" w:hAnsi="Verdana"/>
          <w:sz w:val="16"/>
          <w:szCs w:val="16"/>
          <w:lang w:val="es-CO"/>
        </w:rPr>
        <w:t>, párr. 23</w:t>
      </w:r>
      <w:r w:rsidRPr="00F62505">
        <w:rPr>
          <w:rFonts w:ascii="Verdana" w:hAnsi="Verdana"/>
          <w:i/>
          <w:sz w:val="16"/>
          <w:szCs w:val="16"/>
          <w:lang w:val="es-CO"/>
        </w:rPr>
        <w:t>.</w:t>
      </w:r>
    </w:p>
  </w:footnote>
  <w:footnote w:id="33">
    <w:p w:rsidR="0081535F" w:rsidRPr="00011561" w:rsidRDefault="0081535F" w:rsidP="00422232">
      <w:pPr>
        <w:pStyle w:val="Textonotapie"/>
        <w:spacing w:line="19" w:lineRule="atLeast"/>
        <w:ind w:left="-180" w:right="-174"/>
        <w:jc w:val="both"/>
        <w:rPr>
          <w:rFonts w:ascii="Verdana" w:hAnsi="Verdana"/>
          <w:sz w:val="16"/>
          <w:szCs w:val="16"/>
          <w:lang w:val="es-CL"/>
        </w:rPr>
      </w:pPr>
      <w:r w:rsidRPr="00353432">
        <w:rPr>
          <w:rStyle w:val="Refdenotaalpie"/>
          <w:rFonts w:ascii="Verdana" w:hAnsi="Verdana"/>
          <w:sz w:val="16"/>
          <w:szCs w:val="16"/>
        </w:rPr>
        <w:footnoteRef/>
      </w:r>
      <w:r w:rsidRPr="00353432">
        <w:rPr>
          <w:rFonts w:ascii="Verdana" w:hAnsi="Verdana"/>
          <w:sz w:val="16"/>
          <w:szCs w:val="16"/>
        </w:rPr>
        <w:t xml:space="preserve"> </w:t>
      </w:r>
      <w:r w:rsidRPr="00353432">
        <w:rPr>
          <w:rFonts w:ascii="Verdana" w:hAnsi="Verdana"/>
          <w:i/>
          <w:sz w:val="16"/>
          <w:szCs w:val="16"/>
          <w:lang w:val="es-CO"/>
        </w:rPr>
        <w:t>Cfr. Caso Velásquez Rodríguez Vs. Honduras.</w:t>
      </w:r>
      <w:r w:rsidRPr="00353432">
        <w:rPr>
          <w:rFonts w:ascii="Verdana" w:hAnsi="Verdana"/>
          <w:sz w:val="16"/>
          <w:szCs w:val="16"/>
          <w:lang w:val="es-CO"/>
        </w:rPr>
        <w:t xml:space="preserve"> </w:t>
      </w:r>
      <w:r w:rsidRPr="00353432">
        <w:rPr>
          <w:rFonts w:ascii="Verdana" w:hAnsi="Verdana"/>
          <w:i/>
          <w:sz w:val="16"/>
          <w:szCs w:val="16"/>
          <w:lang w:val="es-ES"/>
        </w:rPr>
        <w:t>Fondo.</w:t>
      </w:r>
      <w:r w:rsidRPr="00353432">
        <w:rPr>
          <w:rFonts w:ascii="Verdana" w:hAnsi="Verdana"/>
          <w:sz w:val="16"/>
          <w:szCs w:val="16"/>
          <w:lang w:val="es-ES"/>
        </w:rPr>
        <w:t xml:space="preserve"> Sentencia de 29 de julio de 1988. Serie C No. 4, párr. 140, </w:t>
      </w:r>
      <w:r w:rsidRPr="00353432">
        <w:rPr>
          <w:rFonts w:ascii="Verdana" w:hAnsi="Verdana"/>
          <w:sz w:val="16"/>
          <w:szCs w:val="16"/>
        </w:rPr>
        <w:t xml:space="preserve">y </w:t>
      </w:r>
      <w:r w:rsidRPr="00F62505">
        <w:rPr>
          <w:rFonts w:ascii="Verdana" w:hAnsi="Verdana"/>
          <w:i/>
          <w:sz w:val="16"/>
          <w:szCs w:val="16"/>
          <w:lang w:val="es-CO"/>
        </w:rPr>
        <w:t>Caso Liakat Ali Alibux</w:t>
      </w:r>
      <w:r>
        <w:rPr>
          <w:rFonts w:ascii="Verdana" w:hAnsi="Verdana"/>
          <w:i/>
          <w:sz w:val="16"/>
          <w:szCs w:val="16"/>
          <w:lang w:val="es-CO"/>
        </w:rPr>
        <w:t>, supra</w:t>
      </w:r>
      <w:r w:rsidRPr="000D3634">
        <w:rPr>
          <w:rFonts w:ascii="Verdana" w:hAnsi="Verdana"/>
          <w:sz w:val="16"/>
          <w:szCs w:val="16"/>
          <w:lang w:val="es-CR"/>
        </w:rPr>
        <w:t xml:space="preserve">, párr. </w:t>
      </w:r>
      <w:r w:rsidRPr="00011561">
        <w:rPr>
          <w:rFonts w:ascii="Verdana" w:hAnsi="Verdana"/>
          <w:sz w:val="16"/>
          <w:szCs w:val="16"/>
          <w:lang w:val="es-CL"/>
        </w:rPr>
        <w:t>25.</w:t>
      </w:r>
    </w:p>
  </w:footnote>
  <w:footnote w:id="34">
    <w:p w:rsidR="0081535F" w:rsidRPr="00353432" w:rsidRDefault="0081535F" w:rsidP="00422232">
      <w:pPr>
        <w:pStyle w:val="Textonotapie"/>
        <w:spacing w:line="19" w:lineRule="atLeast"/>
        <w:ind w:left="-180" w:right="-174"/>
        <w:jc w:val="both"/>
        <w:rPr>
          <w:rFonts w:ascii="Verdana" w:hAnsi="Verdana"/>
          <w:sz w:val="16"/>
          <w:szCs w:val="16"/>
        </w:rPr>
      </w:pPr>
      <w:r w:rsidRPr="00353432">
        <w:rPr>
          <w:rStyle w:val="Refdenotaalpie"/>
          <w:rFonts w:ascii="Verdana" w:hAnsi="Verdana"/>
          <w:sz w:val="16"/>
          <w:szCs w:val="16"/>
        </w:rPr>
        <w:footnoteRef/>
      </w:r>
      <w:r w:rsidRPr="00011561">
        <w:rPr>
          <w:rFonts w:ascii="Verdana" w:hAnsi="Verdana"/>
          <w:sz w:val="16"/>
          <w:szCs w:val="16"/>
          <w:lang w:val="es-CL"/>
        </w:rPr>
        <w:t xml:space="preserve"> A saber: BBC News/ </w:t>
      </w:r>
      <w:proofErr w:type="spellStart"/>
      <w:r w:rsidRPr="00011561">
        <w:rPr>
          <w:rFonts w:ascii="Verdana" w:hAnsi="Verdana"/>
          <w:sz w:val="16"/>
          <w:szCs w:val="16"/>
          <w:lang w:val="es-CL"/>
        </w:rPr>
        <w:t>Americas</w:t>
      </w:r>
      <w:proofErr w:type="spellEnd"/>
      <w:r w:rsidRPr="00011561">
        <w:rPr>
          <w:rFonts w:ascii="Verdana" w:hAnsi="Verdana"/>
          <w:sz w:val="16"/>
          <w:szCs w:val="16"/>
          <w:lang w:val="es-CL"/>
        </w:rPr>
        <w:t xml:space="preserve">. </w:t>
      </w:r>
      <w:r w:rsidRPr="00D3518C">
        <w:rPr>
          <w:rFonts w:ascii="Verdana" w:hAnsi="Verdana"/>
          <w:sz w:val="16"/>
          <w:szCs w:val="16"/>
          <w:lang w:val="es-CR"/>
        </w:rPr>
        <w:t>“Murders prey on Guatemalan women”, 6 de d</w:t>
      </w:r>
      <w:r>
        <w:rPr>
          <w:rFonts w:ascii="Verdana" w:hAnsi="Verdana"/>
          <w:sz w:val="16"/>
          <w:szCs w:val="16"/>
          <w:lang w:val="es-CR"/>
        </w:rPr>
        <w:t>iciembre de</w:t>
      </w:r>
      <w:r w:rsidRPr="00D3518C">
        <w:rPr>
          <w:rFonts w:ascii="Verdana" w:hAnsi="Verdana"/>
          <w:sz w:val="16"/>
          <w:szCs w:val="16"/>
          <w:lang w:val="es-CR"/>
        </w:rPr>
        <w:t xml:space="preserve"> 2003, electrónico-inglés (expediente ante la Comisión, tomo I, fs. 1143 y 1144); </w:t>
      </w:r>
      <w:r w:rsidRPr="00D3518C">
        <w:rPr>
          <w:rFonts w:ascii="Verdana" w:hAnsi="Verdana"/>
          <w:i/>
          <w:sz w:val="16"/>
          <w:szCs w:val="16"/>
          <w:lang w:val="es-CR"/>
        </w:rPr>
        <w:t xml:space="preserve">Killing sprees terrorize Guatemalan Woman. </w:t>
      </w:r>
      <w:proofErr w:type="spellStart"/>
      <w:r w:rsidRPr="00011561">
        <w:rPr>
          <w:rFonts w:ascii="Verdana" w:hAnsi="Verdana"/>
          <w:i/>
          <w:sz w:val="16"/>
          <w:szCs w:val="16"/>
          <w:lang w:val="es-CR"/>
        </w:rPr>
        <w:t>Hundred</w:t>
      </w:r>
      <w:proofErr w:type="spellEnd"/>
      <w:r w:rsidRPr="00011561">
        <w:rPr>
          <w:rFonts w:ascii="Verdana" w:hAnsi="Verdana"/>
          <w:i/>
          <w:sz w:val="16"/>
          <w:szCs w:val="16"/>
          <w:lang w:val="es-CR"/>
        </w:rPr>
        <w:t xml:space="preserve"> </w:t>
      </w:r>
      <w:proofErr w:type="spellStart"/>
      <w:r w:rsidRPr="00011561">
        <w:rPr>
          <w:rFonts w:ascii="Verdana" w:hAnsi="Verdana"/>
          <w:i/>
          <w:sz w:val="16"/>
          <w:szCs w:val="16"/>
          <w:lang w:val="es-CR"/>
        </w:rPr>
        <w:t>slain</w:t>
      </w:r>
      <w:proofErr w:type="spellEnd"/>
      <w:r w:rsidRPr="00011561">
        <w:rPr>
          <w:rFonts w:ascii="Verdana" w:hAnsi="Verdana"/>
          <w:i/>
          <w:sz w:val="16"/>
          <w:szCs w:val="16"/>
          <w:lang w:val="es-CR"/>
        </w:rPr>
        <w:t xml:space="preserve"> in 2 </w:t>
      </w:r>
      <w:proofErr w:type="spellStart"/>
      <w:r w:rsidRPr="00011561">
        <w:rPr>
          <w:rFonts w:ascii="Verdana" w:hAnsi="Verdana"/>
          <w:i/>
          <w:sz w:val="16"/>
          <w:szCs w:val="16"/>
          <w:lang w:val="es-CR"/>
        </w:rPr>
        <w:t>years</w:t>
      </w:r>
      <w:proofErr w:type="spellEnd"/>
      <w:r w:rsidRPr="00011561">
        <w:rPr>
          <w:rFonts w:ascii="Verdana" w:hAnsi="Verdana"/>
          <w:i/>
          <w:sz w:val="16"/>
          <w:szCs w:val="16"/>
          <w:lang w:val="es-CR"/>
        </w:rPr>
        <w:t>—</w:t>
      </w:r>
      <w:proofErr w:type="spellStart"/>
      <w:r w:rsidRPr="00011561">
        <w:rPr>
          <w:rFonts w:ascii="Verdana" w:hAnsi="Verdana"/>
          <w:i/>
          <w:sz w:val="16"/>
          <w:szCs w:val="16"/>
          <w:lang w:val="es-CR"/>
        </w:rPr>
        <w:t>only</w:t>
      </w:r>
      <w:proofErr w:type="spellEnd"/>
      <w:r w:rsidRPr="00011561">
        <w:rPr>
          <w:rFonts w:ascii="Verdana" w:hAnsi="Verdana"/>
          <w:i/>
          <w:sz w:val="16"/>
          <w:szCs w:val="16"/>
          <w:lang w:val="es-CR"/>
        </w:rPr>
        <w:t xml:space="preserve"> a </w:t>
      </w:r>
      <w:proofErr w:type="spellStart"/>
      <w:r w:rsidRPr="00011561">
        <w:rPr>
          <w:rFonts w:ascii="Verdana" w:hAnsi="Verdana"/>
          <w:i/>
          <w:sz w:val="16"/>
          <w:szCs w:val="16"/>
          <w:lang w:val="es-CR"/>
        </w:rPr>
        <w:t>handful</w:t>
      </w:r>
      <w:proofErr w:type="spellEnd"/>
      <w:r w:rsidRPr="00011561">
        <w:rPr>
          <w:rFonts w:ascii="Verdana" w:hAnsi="Verdana"/>
          <w:i/>
          <w:sz w:val="16"/>
          <w:szCs w:val="16"/>
          <w:lang w:val="es-CR"/>
        </w:rPr>
        <w:t xml:space="preserve"> </w:t>
      </w:r>
      <w:proofErr w:type="spellStart"/>
      <w:r w:rsidRPr="00011561">
        <w:rPr>
          <w:rFonts w:ascii="Verdana" w:hAnsi="Verdana"/>
          <w:i/>
          <w:sz w:val="16"/>
          <w:szCs w:val="16"/>
          <w:lang w:val="es-CR"/>
        </w:rPr>
        <w:t>arrested</w:t>
      </w:r>
      <w:proofErr w:type="spellEnd"/>
      <w:r w:rsidRPr="00011561">
        <w:rPr>
          <w:rFonts w:ascii="Verdana" w:hAnsi="Verdana"/>
          <w:i/>
          <w:sz w:val="16"/>
          <w:szCs w:val="16"/>
          <w:lang w:val="es-CR"/>
        </w:rPr>
        <w:t>.</w:t>
      </w:r>
      <w:r w:rsidRPr="00011561">
        <w:rPr>
          <w:rFonts w:ascii="Verdana" w:hAnsi="Verdana"/>
          <w:sz w:val="16"/>
          <w:szCs w:val="16"/>
          <w:lang w:val="es-CR"/>
        </w:rPr>
        <w:t xml:space="preserve"> </w:t>
      </w:r>
      <w:proofErr w:type="spellStart"/>
      <w:r w:rsidRPr="00830251">
        <w:rPr>
          <w:rFonts w:ascii="Verdana" w:hAnsi="Verdana"/>
          <w:sz w:val="16"/>
          <w:szCs w:val="16"/>
          <w:lang w:val="es-CR"/>
        </w:rPr>
        <w:t>Jill</w:t>
      </w:r>
      <w:proofErr w:type="spellEnd"/>
      <w:r w:rsidRPr="00830251">
        <w:rPr>
          <w:rFonts w:ascii="Verdana" w:hAnsi="Verdana"/>
          <w:sz w:val="16"/>
          <w:szCs w:val="16"/>
          <w:lang w:val="es-CR"/>
        </w:rPr>
        <w:t xml:space="preserve"> </w:t>
      </w:r>
      <w:proofErr w:type="spellStart"/>
      <w:r w:rsidRPr="00830251">
        <w:rPr>
          <w:rFonts w:ascii="Verdana" w:hAnsi="Verdana"/>
          <w:sz w:val="16"/>
          <w:szCs w:val="16"/>
          <w:lang w:val="es-CR"/>
        </w:rPr>
        <w:t>Repto</w:t>
      </w:r>
      <w:r>
        <w:rPr>
          <w:rFonts w:ascii="Verdana" w:hAnsi="Verdana"/>
          <w:sz w:val="16"/>
          <w:szCs w:val="16"/>
          <w:lang w:val="es-CR"/>
        </w:rPr>
        <w:t>gle</w:t>
      </w:r>
      <w:proofErr w:type="spellEnd"/>
      <w:r>
        <w:rPr>
          <w:rFonts w:ascii="Verdana" w:hAnsi="Verdana"/>
          <w:sz w:val="16"/>
          <w:szCs w:val="16"/>
          <w:lang w:val="es-CR"/>
        </w:rPr>
        <w:t xml:space="preserve">, </w:t>
      </w:r>
      <w:proofErr w:type="spellStart"/>
      <w:r>
        <w:rPr>
          <w:rFonts w:ascii="Verdana" w:hAnsi="Verdana"/>
          <w:sz w:val="16"/>
          <w:szCs w:val="16"/>
          <w:lang w:val="es-CR"/>
        </w:rPr>
        <w:t>Chronicle</w:t>
      </w:r>
      <w:proofErr w:type="spellEnd"/>
      <w:r>
        <w:rPr>
          <w:rFonts w:ascii="Verdana" w:hAnsi="Verdana"/>
          <w:sz w:val="16"/>
          <w:szCs w:val="16"/>
          <w:lang w:val="es-CR"/>
        </w:rPr>
        <w:t xml:space="preserve"> </w:t>
      </w:r>
      <w:proofErr w:type="spellStart"/>
      <w:r>
        <w:rPr>
          <w:rFonts w:ascii="Verdana" w:hAnsi="Verdana"/>
          <w:sz w:val="16"/>
          <w:szCs w:val="16"/>
          <w:lang w:val="es-CR"/>
        </w:rPr>
        <w:t>Foreign</w:t>
      </w:r>
      <w:proofErr w:type="spellEnd"/>
      <w:r>
        <w:rPr>
          <w:rFonts w:ascii="Verdana" w:hAnsi="Verdana"/>
          <w:sz w:val="16"/>
          <w:szCs w:val="16"/>
          <w:lang w:val="es-CR"/>
        </w:rPr>
        <w:t xml:space="preserve"> Service, 30 de diciembre de </w:t>
      </w:r>
      <w:r w:rsidRPr="00830251">
        <w:rPr>
          <w:rFonts w:ascii="Verdana" w:hAnsi="Verdana"/>
          <w:sz w:val="16"/>
          <w:szCs w:val="16"/>
          <w:lang w:val="es-CR"/>
        </w:rPr>
        <w:t xml:space="preserve">2003 </w:t>
      </w:r>
      <w:r w:rsidRPr="00830251">
        <w:rPr>
          <w:rFonts w:ascii="Verdana" w:hAnsi="Verdana"/>
          <w:sz w:val="16"/>
          <w:szCs w:val="16"/>
        </w:rPr>
        <w:t>(expediente ante la Comisión, tomo I, fs. 1147 a 1149);</w:t>
      </w:r>
      <w:r>
        <w:rPr>
          <w:rFonts w:ascii="Verdana" w:hAnsi="Verdana"/>
          <w:sz w:val="16"/>
          <w:szCs w:val="16"/>
        </w:rPr>
        <w:t xml:space="preserve"> </w:t>
      </w:r>
      <w:r w:rsidRPr="00353432">
        <w:rPr>
          <w:rFonts w:ascii="Verdana" w:hAnsi="Verdana"/>
          <w:sz w:val="16"/>
          <w:szCs w:val="16"/>
        </w:rPr>
        <w:t>Crónicas del MP. “MP captura a implicados en crímenes contra mujeres”. Evidencia Guatemala, octubre de 2003</w:t>
      </w:r>
      <w:r>
        <w:rPr>
          <w:rFonts w:ascii="Verdana" w:hAnsi="Verdana"/>
          <w:sz w:val="16"/>
          <w:szCs w:val="16"/>
          <w:lang w:val="es-CR"/>
        </w:rPr>
        <w:t xml:space="preserve"> </w:t>
      </w:r>
      <w:r w:rsidRPr="00353432">
        <w:rPr>
          <w:rFonts w:ascii="Verdana" w:hAnsi="Verdana"/>
          <w:sz w:val="16"/>
          <w:szCs w:val="16"/>
        </w:rPr>
        <w:t>(expediente ante la Comisión, tomo I, fs.</w:t>
      </w:r>
      <w:r>
        <w:rPr>
          <w:rFonts w:ascii="Verdana" w:hAnsi="Verdana"/>
          <w:sz w:val="16"/>
          <w:szCs w:val="16"/>
        </w:rPr>
        <w:t xml:space="preserve"> </w:t>
      </w:r>
      <w:r w:rsidRPr="00353432">
        <w:rPr>
          <w:rFonts w:ascii="Verdana" w:hAnsi="Verdana"/>
          <w:sz w:val="16"/>
          <w:szCs w:val="16"/>
        </w:rPr>
        <w:t>1223)</w:t>
      </w:r>
      <w:r>
        <w:rPr>
          <w:rFonts w:ascii="Verdana" w:hAnsi="Verdana"/>
          <w:sz w:val="16"/>
          <w:szCs w:val="16"/>
        </w:rPr>
        <w:t>, y</w:t>
      </w:r>
      <w:r w:rsidRPr="00353432">
        <w:rPr>
          <w:rFonts w:ascii="Verdana" w:hAnsi="Verdana"/>
          <w:sz w:val="16"/>
          <w:szCs w:val="16"/>
        </w:rPr>
        <w:t xml:space="preserve"> Diálogo “la red de derivación creará un nuevo paradigma de asistencia a las víctimas”. Evidencia. Guatemala octu</w:t>
      </w:r>
      <w:r w:rsidRPr="004470A9">
        <w:rPr>
          <w:rFonts w:ascii="Verdana" w:hAnsi="Verdana"/>
          <w:sz w:val="16"/>
          <w:szCs w:val="16"/>
        </w:rPr>
        <w:t>bre de 2003</w:t>
      </w:r>
      <w:r w:rsidRPr="004470A9">
        <w:rPr>
          <w:rFonts w:ascii="Verdana" w:hAnsi="Verdana"/>
          <w:sz w:val="16"/>
          <w:szCs w:val="16"/>
          <w:lang w:val="es-CR"/>
        </w:rPr>
        <w:t xml:space="preserve"> </w:t>
      </w:r>
      <w:r w:rsidRPr="004470A9">
        <w:rPr>
          <w:rFonts w:ascii="Verdana" w:hAnsi="Verdana"/>
          <w:sz w:val="16"/>
          <w:szCs w:val="16"/>
        </w:rPr>
        <w:t>(expediente ante la Comi</w:t>
      </w:r>
      <w:r>
        <w:rPr>
          <w:rFonts w:ascii="Verdana" w:hAnsi="Verdana"/>
          <w:sz w:val="16"/>
          <w:szCs w:val="16"/>
        </w:rPr>
        <w:t>sión, tomo I, fs. 1224 y 1225).</w:t>
      </w:r>
    </w:p>
  </w:footnote>
  <w:footnote w:id="35">
    <w:p w:rsidR="0081535F" w:rsidRPr="00353432" w:rsidRDefault="0081535F" w:rsidP="00422232">
      <w:pPr>
        <w:spacing w:after="0" w:line="19" w:lineRule="atLeast"/>
        <w:ind w:left="-180" w:right="-174"/>
        <w:jc w:val="both"/>
        <w:rPr>
          <w:rFonts w:ascii="Verdana" w:hAnsi="Verdana"/>
          <w:bCs/>
          <w:color w:val="000000"/>
          <w:sz w:val="16"/>
          <w:szCs w:val="16"/>
          <w:lang w:val="es-CR"/>
        </w:rPr>
      </w:pPr>
      <w:r w:rsidRPr="00353432">
        <w:rPr>
          <w:rStyle w:val="Refdenotaalpie"/>
          <w:rFonts w:ascii="Verdana" w:hAnsi="Verdana"/>
          <w:sz w:val="16"/>
          <w:szCs w:val="16"/>
        </w:rPr>
        <w:footnoteRef/>
      </w:r>
      <w:r w:rsidRPr="00353432">
        <w:rPr>
          <w:rFonts w:ascii="Verdana" w:hAnsi="Verdana"/>
          <w:sz w:val="16"/>
          <w:szCs w:val="16"/>
          <w:lang w:val="es-ES"/>
        </w:rPr>
        <w:tab/>
        <w:t xml:space="preserve"> </w:t>
      </w:r>
      <w:r w:rsidRPr="00353432">
        <w:rPr>
          <w:rFonts w:ascii="Verdana" w:hAnsi="Verdana"/>
          <w:i/>
          <w:sz w:val="16"/>
          <w:szCs w:val="16"/>
          <w:lang w:val="es-ES"/>
        </w:rPr>
        <w:t>Cfr. Caso Escué Zapata Vs. Colombia</w:t>
      </w:r>
      <w:r w:rsidRPr="00353432">
        <w:rPr>
          <w:rFonts w:ascii="Verdana" w:hAnsi="Verdana"/>
          <w:sz w:val="16"/>
          <w:szCs w:val="16"/>
          <w:lang w:val="es-ES"/>
        </w:rPr>
        <w:t xml:space="preserve">. </w:t>
      </w:r>
      <w:r w:rsidRPr="00353432">
        <w:rPr>
          <w:rFonts w:ascii="Verdana" w:hAnsi="Verdana"/>
          <w:i/>
          <w:sz w:val="16"/>
          <w:szCs w:val="16"/>
          <w:lang w:val="es-ES"/>
        </w:rPr>
        <w:t>Fondo, Reparaciones y Costas.</w:t>
      </w:r>
      <w:r w:rsidRPr="00353432">
        <w:rPr>
          <w:rFonts w:ascii="Verdana" w:hAnsi="Verdana"/>
          <w:sz w:val="16"/>
          <w:szCs w:val="16"/>
          <w:lang w:val="es-ES"/>
        </w:rPr>
        <w:t xml:space="preserve"> Sentencia de 4 de julio de 2007. Serie C No. 165, párr. 26, y </w:t>
      </w:r>
      <w:r>
        <w:rPr>
          <w:rFonts w:ascii="Verdana" w:hAnsi="Verdana" w:cs="Verdana"/>
          <w:bCs/>
          <w:i/>
          <w:sz w:val="16"/>
          <w:szCs w:val="16"/>
          <w:lang w:val="es-CR"/>
        </w:rPr>
        <w:t>Caso J., supra</w:t>
      </w:r>
      <w:r>
        <w:rPr>
          <w:rFonts w:ascii="Verdana" w:hAnsi="Verdana"/>
          <w:sz w:val="16"/>
          <w:szCs w:val="16"/>
          <w:lang w:val="es-ES"/>
        </w:rPr>
        <w:t>,</w:t>
      </w:r>
      <w:r w:rsidRPr="00353432">
        <w:rPr>
          <w:rFonts w:ascii="Verdana" w:hAnsi="Verdana" w:cs="Verdana"/>
          <w:sz w:val="16"/>
          <w:szCs w:val="16"/>
          <w:lang w:val="es-CR"/>
        </w:rPr>
        <w:t xml:space="preserve"> </w:t>
      </w:r>
      <w:r w:rsidRPr="00353432">
        <w:rPr>
          <w:rFonts w:ascii="Verdana" w:hAnsi="Verdana" w:cs="Verdana"/>
          <w:sz w:val="16"/>
          <w:szCs w:val="16"/>
          <w:lang w:val="es-CR" w:bidi="en-US"/>
        </w:rPr>
        <w:t>párr. 4</w:t>
      </w:r>
      <w:r>
        <w:rPr>
          <w:rFonts w:ascii="Verdana" w:hAnsi="Verdana" w:cs="Verdana"/>
          <w:sz w:val="16"/>
          <w:szCs w:val="16"/>
          <w:lang w:val="es-CR" w:bidi="en-US"/>
        </w:rPr>
        <w:t>2</w:t>
      </w:r>
      <w:r w:rsidRPr="00353432">
        <w:rPr>
          <w:rFonts w:ascii="Verdana" w:hAnsi="Verdana" w:cs="Verdana"/>
          <w:sz w:val="16"/>
          <w:szCs w:val="16"/>
          <w:lang w:val="es-ES"/>
        </w:rPr>
        <w:t>.</w:t>
      </w:r>
    </w:p>
  </w:footnote>
  <w:footnote w:id="36">
    <w:p w:rsidR="0081535F" w:rsidRPr="0060474A" w:rsidRDefault="0081535F" w:rsidP="00422232">
      <w:pPr>
        <w:pStyle w:val="Textonotapie"/>
        <w:spacing w:line="19" w:lineRule="atLeast"/>
        <w:ind w:left="-180" w:right="-174"/>
        <w:jc w:val="both"/>
        <w:rPr>
          <w:rFonts w:ascii="Verdana" w:hAnsi="Verdana"/>
          <w:sz w:val="16"/>
          <w:szCs w:val="16"/>
        </w:rPr>
      </w:pPr>
      <w:r w:rsidRPr="00353432">
        <w:rPr>
          <w:rStyle w:val="Refdenotaalpie"/>
          <w:rFonts w:ascii="Verdana" w:hAnsi="Verdana"/>
          <w:sz w:val="16"/>
          <w:szCs w:val="16"/>
        </w:rPr>
        <w:footnoteRef/>
      </w:r>
      <w:r w:rsidRPr="00353432">
        <w:rPr>
          <w:rFonts w:ascii="Verdana" w:hAnsi="Verdana"/>
          <w:sz w:val="16"/>
          <w:szCs w:val="16"/>
        </w:rPr>
        <w:t xml:space="preserve"> A saber: Comité de Expertas del Mecanismo de Seguimiento de la Convención de Belém d</w:t>
      </w:r>
      <w:r>
        <w:rPr>
          <w:rFonts w:ascii="Verdana" w:hAnsi="Verdana"/>
          <w:sz w:val="16"/>
          <w:szCs w:val="16"/>
        </w:rPr>
        <w:t>o</w:t>
      </w:r>
      <w:r w:rsidRPr="00353432">
        <w:rPr>
          <w:rFonts w:ascii="Verdana" w:hAnsi="Verdana"/>
          <w:sz w:val="16"/>
          <w:szCs w:val="16"/>
        </w:rPr>
        <w:t xml:space="preserve"> Pará. Declaración de Femicidio. Aprobada en la Cuarta Reunión del Comité de Expertas/os (CEVI) celebrada el 15 de agosto de 2008; </w:t>
      </w:r>
      <w:r>
        <w:rPr>
          <w:rFonts w:ascii="Verdana" w:hAnsi="Verdana"/>
          <w:sz w:val="16"/>
          <w:szCs w:val="16"/>
        </w:rPr>
        <w:t>I</w:t>
      </w:r>
      <w:r w:rsidRPr="00353432">
        <w:rPr>
          <w:rFonts w:ascii="Verdana" w:hAnsi="Verdana"/>
          <w:sz w:val="16"/>
          <w:szCs w:val="16"/>
        </w:rPr>
        <w:t xml:space="preserve">nformación sobre la atención a mujeres sobrevivientes de violencia en el primer cuatrimestre año 2013, y Acuerdo Gubernativo </w:t>
      </w:r>
      <w:r>
        <w:rPr>
          <w:rFonts w:ascii="Verdana" w:hAnsi="Verdana"/>
          <w:sz w:val="16"/>
          <w:szCs w:val="16"/>
        </w:rPr>
        <w:t>46</w:t>
      </w:r>
      <w:r w:rsidRPr="00353432">
        <w:rPr>
          <w:rFonts w:ascii="Verdana" w:hAnsi="Verdana"/>
          <w:sz w:val="16"/>
          <w:szCs w:val="16"/>
        </w:rPr>
        <w:t xml:space="preserve">-2012, Creación de la Comisión presidencial para el Abordaje del Femicidio en Guatemala (COPAF) </w:t>
      </w:r>
      <w:r w:rsidRPr="00622AF9">
        <w:rPr>
          <w:rFonts w:ascii="Verdana" w:hAnsi="Verdana"/>
          <w:sz w:val="16"/>
          <w:szCs w:val="16"/>
        </w:rPr>
        <w:t>(expediente de excepciones preliminares, fondo y reparaciones y costas, f. 1702)</w:t>
      </w:r>
      <w:r w:rsidRPr="00353432">
        <w:rPr>
          <w:rFonts w:ascii="Verdana" w:hAnsi="Verdana"/>
          <w:sz w:val="16"/>
          <w:szCs w:val="16"/>
        </w:rPr>
        <w:t>, y el enlace de una página web</w:t>
      </w:r>
      <w:r w:rsidRPr="0060474A">
        <w:rPr>
          <w:rFonts w:ascii="Verdana" w:hAnsi="Verdana"/>
          <w:sz w:val="16"/>
          <w:szCs w:val="16"/>
        </w:rPr>
        <w:t xml:space="preserve">: </w:t>
      </w:r>
      <w:hyperlink r:id="rId2" w:history="1">
        <w:r w:rsidRPr="0060474A">
          <w:rPr>
            <w:rStyle w:val="Hipervnculo"/>
            <w:rFonts w:ascii="Verdana" w:hAnsi="Verdana"/>
            <w:color w:val="auto"/>
            <w:sz w:val="16"/>
            <w:szCs w:val="16"/>
            <w:u w:val="none"/>
          </w:rPr>
          <w:t>http://www.ine.gob.gt/np/snvcm/index</w:t>
        </w:r>
      </w:hyperlink>
      <w:r w:rsidRPr="0060474A">
        <w:rPr>
          <w:rFonts w:ascii="Verdana" w:hAnsi="Verdana"/>
          <w:sz w:val="16"/>
          <w:szCs w:val="16"/>
        </w:rPr>
        <w:t>.</w:t>
      </w:r>
      <w:r w:rsidRPr="0060474A">
        <w:rPr>
          <w:rFonts w:ascii="Verdana" w:hAnsi="Verdana"/>
          <w:sz w:val="16"/>
          <w:szCs w:val="16"/>
          <w:lang w:val="es-CR"/>
        </w:rPr>
        <w:t xml:space="preserve"> La Corte admite el documento remitido mediante el enlace electrónico por la representante en su escrito de alegatos finales, por ser parte de sustento, como aclararon las representantes, de la respuestas a preguntas formuladas por jueces de la Corte durante la audiencia pública, y por considerarlo útil.</w:t>
      </w:r>
    </w:p>
  </w:footnote>
  <w:footnote w:id="37">
    <w:p w:rsidR="0081535F" w:rsidRPr="00BD2723" w:rsidRDefault="0081535F" w:rsidP="00422232">
      <w:pPr>
        <w:pStyle w:val="Textonotapie"/>
        <w:spacing w:line="19" w:lineRule="atLeast"/>
        <w:ind w:left="-180" w:right="-174"/>
        <w:jc w:val="both"/>
        <w:rPr>
          <w:rFonts w:ascii="Verdana" w:hAnsi="Verdana"/>
          <w:sz w:val="16"/>
          <w:szCs w:val="16"/>
          <w:lang w:val="es-CR"/>
        </w:rPr>
      </w:pPr>
      <w:r w:rsidRPr="0060474A">
        <w:rPr>
          <w:rStyle w:val="Refdenotaalpie"/>
          <w:rFonts w:ascii="Verdana" w:hAnsi="Verdana"/>
          <w:sz w:val="16"/>
          <w:szCs w:val="16"/>
        </w:rPr>
        <w:footnoteRef/>
      </w:r>
      <w:r w:rsidRPr="0060474A">
        <w:rPr>
          <w:rFonts w:ascii="Verdana" w:hAnsi="Verdana"/>
          <w:sz w:val="16"/>
          <w:szCs w:val="16"/>
          <w:lang w:val="es-CR"/>
        </w:rPr>
        <w:t xml:space="preserve"> </w:t>
      </w:r>
      <w:r>
        <w:rPr>
          <w:rFonts w:ascii="Verdana" w:hAnsi="Verdana"/>
          <w:sz w:val="16"/>
          <w:szCs w:val="16"/>
          <w:lang w:val="es-CR"/>
        </w:rPr>
        <w:t xml:space="preserve">A saber: </w:t>
      </w:r>
      <w:r w:rsidRPr="004C6DB6">
        <w:rPr>
          <w:rFonts w:ascii="Verdana" w:hAnsi="Verdana"/>
          <w:sz w:val="16"/>
          <w:szCs w:val="16"/>
          <w:lang w:val="es-ES"/>
        </w:rPr>
        <w:t xml:space="preserve">Expediente Judicial; Expediente </w:t>
      </w:r>
      <w:r w:rsidRPr="002C2755">
        <w:rPr>
          <w:rFonts w:ascii="Verdana" w:hAnsi="Verdana"/>
          <w:sz w:val="16"/>
          <w:szCs w:val="16"/>
          <w:lang w:val="es-ES"/>
        </w:rPr>
        <w:t xml:space="preserve">del Ministerio Público (en 3 partes diferentes “Folios 1 – 170; - Folios 171 – 400, y- Folios 401 – 476”); Cotización de </w:t>
      </w:r>
      <w:r w:rsidRPr="002C2755">
        <w:rPr>
          <w:rFonts w:ascii="Verdana" w:hAnsi="Verdana"/>
          <w:i/>
          <w:sz w:val="16"/>
          <w:szCs w:val="16"/>
          <w:lang w:val="es-ES"/>
        </w:rPr>
        <w:t>Affidávits</w:t>
      </w:r>
      <w:r w:rsidRPr="002C2755">
        <w:rPr>
          <w:rFonts w:ascii="Verdana" w:hAnsi="Verdana"/>
          <w:sz w:val="16"/>
          <w:szCs w:val="16"/>
          <w:lang w:val="es-ES"/>
        </w:rPr>
        <w:t xml:space="preserve">, y señaló un enlace electrónico  </w:t>
      </w:r>
      <w:hyperlink r:id="rId3" w:history="1">
        <w:r w:rsidRPr="002C2755">
          <w:rPr>
            <w:rStyle w:val="Hipervnculo"/>
            <w:rFonts w:ascii="Verdana" w:hAnsi="Verdana"/>
            <w:color w:val="auto"/>
            <w:sz w:val="16"/>
            <w:szCs w:val="16"/>
            <w:u w:val="none"/>
            <w:lang w:val="es-CR"/>
          </w:rPr>
          <w:t>http://www.ine.gob.gt/np/snvcm/index</w:t>
        </w:r>
      </w:hyperlink>
      <w:r w:rsidRPr="002C2755">
        <w:t xml:space="preserve"> </w:t>
      </w:r>
      <w:r w:rsidRPr="002C2755">
        <w:rPr>
          <w:rFonts w:ascii="Verdana" w:hAnsi="Verdana"/>
          <w:sz w:val="16"/>
          <w:szCs w:val="16"/>
        </w:rPr>
        <w:t>(</w:t>
      </w:r>
      <w:r>
        <w:rPr>
          <w:rFonts w:ascii="Verdana" w:hAnsi="Verdana"/>
          <w:i/>
          <w:sz w:val="16"/>
          <w:szCs w:val="16"/>
        </w:rPr>
        <w:t>infra</w:t>
      </w:r>
      <w:r w:rsidRPr="002C2755">
        <w:rPr>
          <w:rFonts w:ascii="Verdana" w:hAnsi="Verdana"/>
          <w:i/>
          <w:sz w:val="16"/>
          <w:szCs w:val="16"/>
        </w:rPr>
        <w:t xml:space="preserve"> </w:t>
      </w:r>
      <w:r w:rsidRPr="002C2755">
        <w:rPr>
          <w:rFonts w:ascii="Verdana" w:hAnsi="Verdana"/>
          <w:sz w:val="16"/>
          <w:szCs w:val="16"/>
        </w:rPr>
        <w:t>párr</w:t>
      </w:r>
      <w:r>
        <w:rPr>
          <w:rFonts w:ascii="Verdana" w:hAnsi="Verdana"/>
          <w:sz w:val="16"/>
          <w:szCs w:val="16"/>
        </w:rPr>
        <w:t>.</w:t>
      </w:r>
      <w:r w:rsidRPr="002C2755">
        <w:rPr>
          <w:rFonts w:ascii="Verdana" w:hAnsi="Verdana"/>
          <w:sz w:val="16"/>
          <w:szCs w:val="16"/>
        </w:rPr>
        <w:t xml:space="preserve"> 27</w:t>
      </w:r>
      <w:r>
        <w:rPr>
          <w:rFonts w:ascii="Verdana" w:hAnsi="Verdana"/>
          <w:sz w:val="16"/>
          <w:szCs w:val="16"/>
        </w:rPr>
        <w:t>6</w:t>
      </w:r>
      <w:r w:rsidRPr="002C2755">
        <w:rPr>
          <w:rFonts w:ascii="Verdana" w:hAnsi="Verdana"/>
          <w:sz w:val="16"/>
          <w:szCs w:val="16"/>
        </w:rPr>
        <w:t>)</w:t>
      </w:r>
      <w:r w:rsidRPr="002C2755">
        <w:rPr>
          <w:rFonts w:ascii="Verdana" w:hAnsi="Verdana"/>
          <w:sz w:val="16"/>
          <w:szCs w:val="16"/>
          <w:lang w:val="es-ES"/>
        </w:rPr>
        <w:t xml:space="preserve">. En </w:t>
      </w:r>
      <w:r w:rsidRPr="0060474A">
        <w:rPr>
          <w:rFonts w:ascii="Verdana" w:hAnsi="Verdana"/>
          <w:sz w:val="16"/>
          <w:szCs w:val="16"/>
          <w:lang w:val="es-ES"/>
        </w:rPr>
        <w:t>lo que se refiere a los expedientes</w:t>
      </w:r>
      <w:r>
        <w:rPr>
          <w:rFonts w:ascii="Verdana" w:hAnsi="Verdana"/>
          <w:sz w:val="16"/>
          <w:szCs w:val="16"/>
          <w:lang w:val="es-ES"/>
        </w:rPr>
        <w:t>,</w:t>
      </w:r>
      <w:r w:rsidRPr="0060474A">
        <w:rPr>
          <w:rFonts w:ascii="Verdana" w:hAnsi="Verdana"/>
          <w:sz w:val="16"/>
          <w:szCs w:val="16"/>
          <w:lang w:val="es-ES"/>
        </w:rPr>
        <w:t xml:space="preserve"> los mismos fueron aportados con</w:t>
      </w:r>
      <w:r w:rsidRPr="00353432">
        <w:rPr>
          <w:rFonts w:ascii="Verdana" w:hAnsi="Verdana"/>
          <w:sz w:val="16"/>
          <w:szCs w:val="16"/>
          <w:lang w:val="es-ES"/>
        </w:rPr>
        <w:t xml:space="preserve"> </w:t>
      </w:r>
      <w:r w:rsidRPr="00034FBC">
        <w:rPr>
          <w:rFonts w:ascii="Verdana" w:hAnsi="Verdana"/>
          <w:sz w:val="16"/>
          <w:szCs w:val="16"/>
          <w:lang w:val="es-CR"/>
        </w:rPr>
        <w:t xml:space="preserve">anterioridad como prueba. En razón de ello se admiten solo aquellos oficios que fueron presentados por primera vez en esta oportunidad. </w:t>
      </w:r>
    </w:p>
  </w:footnote>
  <w:footnote w:id="38">
    <w:p w:rsidR="0081535F" w:rsidRPr="00BD2723" w:rsidRDefault="0081535F" w:rsidP="00422232">
      <w:pPr>
        <w:pStyle w:val="Textonotapie"/>
        <w:ind w:left="-180" w:right="-174"/>
        <w:contextualSpacing/>
        <w:jc w:val="both"/>
        <w:rPr>
          <w:rFonts w:ascii="Verdana" w:eastAsia="Times New Roman" w:hAnsi="Verdana"/>
          <w:sz w:val="16"/>
          <w:szCs w:val="16"/>
          <w:lang w:val="es-MX" w:eastAsia="es-CR"/>
        </w:rPr>
      </w:pPr>
      <w:r w:rsidRPr="00EB3F5A">
        <w:rPr>
          <w:rStyle w:val="Refdenotaalpie"/>
          <w:rFonts w:ascii="Verdana" w:hAnsi="Verdana"/>
          <w:sz w:val="16"/>
          <w:szCs w:val="16"/>
        </w:rPr>
        <w:footnoteRef/>
      </w:r>
      <w:r w:rsidRPr="00BD2723">
        <w:rPr>
          <w:rFonts w:ascii="Verdana" w:hAnsi="Verdana"/>
          <w:sz w:val="16"/>
          <w:szCs w:val="16"/>
        </w:rPr>
        <w:t xml:space="preserve"> </w:t>
      </w:r>
      <w:r w:rsidRPr="00BD2723">
        <w:rPr>
          <w:rFonts w:ascii="Verdana" w:eastAsia="Times New Roman" w:hAnsi="Verdana"/>
          <w:sz w:val="16"/>
          <w:szCs w:val="16"/>
          <w:lang w:val="es-MX" w:eastAsia="es-CR"/>
        </w:rPr>
        <w:t xml:space="preserve">Comisión para el Esclarecimiento Histórico, “Guatemala: Memoria del Silencio”, </w:t>
      </w:r>
      <w:r>
        <w:rPr>
          <w:rFonts w:ascii="Verdana" w:eastAsia="Times New Roman" w:hAnsi="Verdana"/>
          <w:sz w:val="16"/>
          <w:szCs w:val="16"/>
          <w:lang w:val="es-MX" w:eastAsia="es-CR"/>
        </w:rPr>
        <w:t>t</w:t>
      </w:r>
      <w:r w:rsidRPr="00BD2723">
        <w:rPr>
          <w:rFonts w:ascii="Verdana" w:eastAsia="Times New Roman" w:hAnsi="Verdana"/>
          <w:sz w:val="16"/>
          <w:szCs w:val="16"/>
          <w:lang w:val="es-MX" w:eastAsia="es-CR"/>
        </w:rPr>
        <w:t xml:space="preserve">omo III, junio de 1999. Disponible en: </w:t>
      </w:r>
      <w:hyperlink r:id="rId4" w:history="1">
        <w:r w:rsidRPr="00EB3F5A">
          <w:rPr>
            <w:rStyle w:val="Hipervnculo"/>
            <w:rFonts w:ascii="Verdana" w:eastAsia="Times New Roman" w:hAnsi="Verdana"/>
            <w:sz w:val="16"/>
            <w:szCs w:val="16"/>
            <w:lang w:val="es-MX" w:eastAsia="es-CR"/>
          </w:rPr>
          <w:t>http://www.iom.int/seguridad-fronteriza/lit/land/cap2_2.pdf</w:t>
        </w:r>
      </w:hyperlink>
      <w:r w:rsidRPr="00BD2723">
        <w:rPr>
          <w:rFonts w:ascii="Verdana" w:eastAsia="Times New Roman" w:hAnsi="Verdana"/>
          <w:sz w:val="16"/>
          <w:szCs w:val="16"/>
          <w:lang w:val="es-MX" w:eastAsia="es-CR"/>
        </w:rPr>
        <w:t xml:space="preserve">.  </w:t>
      </w:r>
    </w:p>
  </w:footnote>
  <w:footnote w:id="39">
    <w:p w:rsidR="0081535F" w:rsidRPr="00BD2723" w:rsidRDefault="0081535F" w:rsidP="00422232">
      <w:pPr>
        <w:pStyle w:val="Textonotapie"/>
        <w:spacing w:line="19" w:lineRule="atLeast"/>
        <w:ind w:left="-180" w:right="-174"/>
        <w:jc w:val="both"/>
        <w:rPr>
          <w:rFonts w:ascii="Verdana" w:hAnsi="Verdana"/>
          <w:b/>
          <w:sz w:val="16"/>
          <w:szCs w:val="16"/>
        </w:rPr>
      </w:pPr>
      <w:r w:rsidRPr="00BD2723">
        <w:rPr>
          <w:rFonts w:ascii="Verdana" w:hAnsi="Verdana"/>
          <w:sz w:val="16"/>
          <w:szCs w:val="16"/>
          <w:vertAlign w:val="superscript"/>
          <w:lang w:val="es-CR"/>
        </w:rPr>
        <w:footnoteRef/>
      </w:r>
      <w:r w:rsidRPr="00BD2723">
        <w:rPr>
          <w:rFonts w:ascii="Verdana" w:hAnsi="Verdana"/>
          <w:sz w:val="16"/>
          <w:szCs w:val="16"/>
          <w:lang w:val="es-CR"/>
        </w:rPr>
        <w:t xml:space="preserve"> Mecanismo de</w:t>
      </w:r>
      <w:r w:rsidRPr="00BD2723">
        <w:rPr>
          <w:rFonts w:ascii="Verdana" w:hAnsi="Verdana"/>
          <w:iCs/>
          <w:sz w:val="16"/>
          <w:szCs w:val="16"/>
          <w:lang w:val="es-UY"/>
        </w:rPr>
        <w:t xml:space="preserve"> Seguimiento de la</w:t>
      </w:r>
      <w:r w:rsidRPr="00BD2723">
        <w:rPr>
          <w:rFonts w:ascii="Verdana" w:hAnsi="Verdana" w:cs="Calibri"/>
          <w:w w:val="95"/>
          <w:sz w:val="16"/>
          <w:szCs w:val="16"/>
        </w:rPr>
        <w:t xml:space="preserve"> </w:t>
      </w:r>
      <w:r w:rsidRPr="00BD2723">
        <w:rPr>
          <w:rFonts w:ascii="Verdana" w:hAnsi="Verdana"/>
          <w:iCs/>
          <w:sz w:val="16"/>
          <w:szCs w:val="16"/>
          <w:lang w:val="es-UY"/>
        </w:rPr>
        <w:t>Convención Belém do Pará (MESECVI). Segunda Conferencia de Estados Parte. 9 y 10 de julio de 2008. OE</w:t>
      </w:r>
      <w:r w:rsidRPr="00BD2723">
        <w:rPr>
          <w:rFonts w:ascii="Verdana" w:hAnsi="Verdana"/>
          <w:iCs/>
          <w:sz w:val="16"/>
          <w:szCs w:val="16"/>
          <w:lang w:val="pt-PT"/>
        </w:rPr>
        <w:t xml:space="preserve">A/Ser.L/II.7.10, </w:t>
      </w:r>
      <w:r w:rsidRPr="00BD2723">
        <w:rPr>
          <w:rFonts w:ascii="Verdana" w:hAnsi="Verdana"/>
          <w:sz w:val="16"/>
          <w:szCs w:val="16"/>
          <w:lang w:val="es-UY"/>
        </w:rPr>
        <w:t>MESECVI-II/doc.31</w:t>
      </w:r>
      <w:r w:rsidRPr="00BD2723">
        <w:rPr>
          <w:rFonts w:ascii="Verdana" w:hAnsi="Verdana"/>
          <w:sz w:val="16"/>
          <w:szCs w:val="16"/>
          <w:lang w:val="pt-PT"/>
        </w:rPr>
        <w:t xml:space="preserve">/08, </w:t>
      </w:r>
      <w:r w:rsidRPr="00BD2723">
        <w:rPr>
          <w:rFonts w:ascii="Verdana" w:hAnsi="Verdana"/>
          <w:sz w:val="16"/>
          <w:szCs w:val="16"/>
          <w:lang w:val="es-AR"/>
        </w:rPr>
        <w:t>24 junio</w:t>
      </w:r>
      <w:r w:rsidRPr="00BD2723">
        <w:rPr>
          <w:rFonts w:ascii="Verdana" w:hAnsi="Verdana"/>
          <w:sz w:val="16"/>
          <w:szCs w:val="16"/>
          <w:lang w:val="es-UY"/>
        </w:rPr>
        <w:t xml:space="preserve"> 2008. Disponible en: </w:t>
      </w:r>
      <w:hyperlink r:id="rId5" w:history="1">
        <w:r w:rsidRPr="00EB3F5A">
          <w:rPr>
            <w:rStyle w:val="Hipervnculo"/>
            <w:rFonts w:ascii="Verdana" w:hAnsi="Verdana"/>
            <w:sz w:val="16"/>
            <w:szCs w:val="16"/>
            <w:lang w:val="es-UY"/>
          </w:rPr>
          <w:t>http://www.oas.org/es/mesecvi/docs/Questionnaire1-GuatemalaResponse.doc</w:t>
        </w:r>
      </w:hyperlink>
      <w:r w:rsidRPr="00BD2723">
        <w:rPr>
          <w:rFonts w:ascii="Verdana" w:hAnsi="Verdana"/>
          <w:sz w:val="16"/>
          <w:szCs w:val="16"/>
          <w:lang w:val="es-UY"/>
        </w:rPr>
        <w:t xml:space="preserve">. </w:t>
      </w:r>
    </w:p>
  </w:footnote>
  <w:footnote w:id="40">
    <w:p w:rsidR="0081535F" w:rsidRPr="00BD2723" w:rsidRDefault="0081535F" w:rsidP="00422232">
      <w:pPr>
        <w:pStyle w:val="NormalWeb"/>
        <w:spacing w:before="0" w:beforeAutospacing="0" w:after="0" w:afterAutospacing="0"/>
        <w:ind w:left="-180" w:right="-174"/>
        <w:jc w:val="both"/>
        <w:outlineLvl w:val="0"/>
        <w:rPr>
          <w:rFonts w:ascii="Verdana" w:hAnsi="Verdana"/>
          <w:sz w:val="16"/>
          <w:szCs w:val="16"/>
        </w:rPr>
      </w:pPr>
      <w:r w:rsidRPr="00EB3F5A">
        <w:rPr>
          <w:rStyle w:val="Refdenotaalpie"/>
          <w:rFonts w:ascii="Verdana" w:hAnsi="Verdana"/>
          <w:sz w:val="16"/>
          <w:szCs w:val="16"/>
        </w:rPr>
        <w:footnoteRef/>
      </w:r>
      <w:r w:rsidRPr="00BD2723">
        <w:rPr>
          <w:rFonts w:ascii="Verdana" w:hAnsi="Verdana"/>
          <w:sz w:val="16"/>
          <w:szCs w:val="16"/>
        </w:rPr>
        <w:t xml:space="preserve"> Programa de las Naciones Unidas para el Desarrollo (PNUD), Programa de Seguridad Ciudadana y Prevención de la Violencia del PNUD Guatemala, “Informe estadístico de la violencia en Guatemala”, Guatemala, 2007. Disponible en: </w:t>
      </w:r>
      <w:hyperlink r:id="rId6" w:history="1">
        <w:r w:rsidRPr="00EB3F5A">
          <w:rPr>
            <w:rStyle w:val="Hipervnculo"/>
            <w:rFonts w:ascii="Verdana" w:hAnsi="Verdana"/>
            <w:sz w:val="16"/>
            <w:szCs w:val="16"/>
          </w:rPr>
          <w:t>http://www.who.int/violence_injury_prevention/violence/national_activities/informe_estadistico_violencia_guatemala.pdf</w:t>
        </w:r>
      </w:hyperlink>
      <w:r w:rsidRPr="00BD2723">
        <w:rPr>
          <w:rFonts w:ascii="Verdana" w:hAnsi="Verdana"/>
          <w:sz w:val="16"/>
          <w:szCs w:val="16"/>
        </w:rPr>
        <w:t xml:space="preserve">. </w:t>
      </w:r>
    </w:p>
  </w:footnote>
  <w:footnote w:id="41">
    <w:p w:rsidR="0081535F" w:rsidRPr="00BD2723" w:rsidRDefault="0081535F" w:rsidP="00422232">
      <w:pPr>
        <w:pStyle w:val="Textonotapie"/>
        <w:ind w:left="-180" w:right="-174"/>
        <w:jc w:val="both"/>
        <w:rPr>
          <w:rFonts w:ascii="Verdana" w:hAnsi="Verdana"/>
          <w:sz w:val="16"/>
          <w:szCs w:val="16"/>
          <w:lang w:val="es-CR"/>
        </w:rPr>
      </w:pPr>
      <w:r w:rsidRPr="00EB3F5A">
        <w:rPr>
          <w:rStyle w:val="Refdenotaalpie"/>
          <w:rFonts w:ascii="Verdana" w:hAnsi="Verdana"/>
          <w:sz w:val="16"/>
          <w:szCs w:val="16"/>
        </w:rPr>
        <w:footnoteRef/>
      </w:r>
      <w:r w:rsidRPr="00BD2723">
        <w:rPr>
          <w:rFonts w:ascii="Verdana" w:hAnsi="Verdana"/>
          <w:sz w:val="16"/>
          <w:szCs w:val="16"/>
          <w:lang w:val="es-CR"/>
        </w:rPr>
        <w:t xml:space="preserve"> </w:t>
      </w:r>
      <w:r w:rsidRPr="00BD2723">
        <w:rPr>
          <w:rFonts w:ascii="Verdana" w:hAnsi="Verdana"/>
          <w:bCs/>
          <w:sz w:val="16"/>
          <w:szCs w:val="16"/>
          <w:lang w:val="es-MX"/>
        </w:rPr>
        <w:t>Misión de Verificación de las Naciones Unidas en Guatemala (MINUGUA),</w:t>
      </w:r>
      <w:r w:rsidRPr="00BD2723">
        <w:rPr>
          <w:rFonts w:ascii="Verdana" w:hAnsi="Verdana"/>
          <w:bCs/>
          <w:w w:val="95"/>
          <w:sz w:val="16"/>
          <w:szCs w:val="16"/>
          <w:lang w:val="es-MX"/>
        </w:rPr>
        <w:t xml:space="preserve"> “</w:t>
      </w:r>
      <w:r w:rsidRPr="00BD2723">
        <w:rPr>
          <w:rFonts w:ascii="Verdana" w:hAnsi="Verdana"/>
          <w:bCs/>
          <w:sz w:val="16"/>
          <w:szCs w:val="16"/>
          <w:lang w:val="es-MX"/>
        </w:rPr>
        <w:t xml:space="preserve">Informe Final: Asesoría en Derechos Humanos”, 15 de noviembre de 2004.  </w:t>
      </w:r>
      <w:r w:rsidRPr="00BD2723">
        <w:rPr>
          <w:rFonts w:ascii="Verdana" w:hAnsi="Verdana"/>
          <w:sz w:val="16"/>
          <w:szCs w:val="16"/>
          <w:lang w:val="es-CR"/>
        </w:rPr>
        <w:t xml:space="preserve">Disponible en: </w:t>
      </w:r>
      <w:hyperlink r:id="rId7" w:history="1">
        <w:r w:rsidRPr="00EB3F5A">
          <w:rPr>
            <w:rStyle w:val="Hipervnculo"/>
            <w:rFonts w:ascii="Verdana" w:hAnsi="Verdana"/>
            <w:sz w:val="16"/>
            <w:szCs w:val="16"/>
            <w:lang w:val="es-CR"/>
          </w:rPr>
          <w:t>http://www.derechoshumanos.net/lesahumanidad/informes/guatemala/Informe-Final-Minugua.pdf</w:t>
        </w:r>
      </w:hyperlink>
      <w:r w:rsidRPr="00BD2723">
        <w:rPr>
          <w:rFonts w:ascii="Verdana" w:hAnsi="Verdana"/>
          <w:sz w:val="16"/>
          <w:szCs w:val="16"/>
          <w:lang w:val="es-CR"/>
        </w:rPr>
        <w:t xml:space="preserve">. </w:t>
      </w:r>
    </w:p>
  </w:footnote>
  <w:footnote w:id="42">
    <w:p w:rsidR="0081535F" w:rsidRPr="00BD2723" w:rsidRDefault="0081535F" w:rsidP="00422232">
      <w:pPr>
        <w:pStyle w:val="Textonotapie"/>
        <w:ind w:left="-180" w:right="-174"/>
        <w:jc w:val="both"/>
        <w:rPr>
          <w:rFonts w:ascii="Verdana" w:hAnsi="Verdana"/>
          <w:sz w:val="16"/>
          <w:szCs w:val="16"/>
          <w:lang w:val="es-CR"/>
        </w:rPr>
      </w:pPr>
      <w:r w:rsidRPr="00EB3F5A">
        <w:rPr>
          <w:rStyle w:val="Refdenotaalpie"/>
          <w:rFonts w:ascii="Verdana" w:hAnsi="Verdana"/>
          <w:sz w:val="16"/>
          <w:szCs w:val="16"/>
        </w:rPr>
        <w:footnoteRef/>
      </w:r>
      <w:r w:rsidRPr="00BD2723">
        <w:rPr>
          <w:rFonts w:ascii="Verdana" w:hAnsi="Verdana"/>
          <w:sz w:val="16"/>
          <w:szCs w:val="16"/>
          <w:lang w:val="es-CR"/>
        </w:rPr>
        <w:t xml:space="preserve"> </w:t>
      </w:r>
      <w:r w:rsidRPr="00BD2723">
        <w:rPr>
          <w:rFonts w:ascii="Verdana" w:hAnsi="Verdana"/>
          <w:sz w:val="16"/>
          <w:szCs w:val="16"/>
          <w:lang w:val="es-MX"/>
        </w:rPr>
        <w:t xml:space="preserve">Comisión Internacional contra la Impunidad en Guatemala (CICIG), “Tercer año de labores”. </w:t>
      </w:r>
      <w:r w:rsidRPr="00BD2723">
        <w:rPr>
          <w:rFonts w:ascii="Verdana" w:hAnsi="Verdana"/>
          <w:sz w:val="16"/>
          <w:szCs w:val="16"/>
          <w:lang w:val="es-ES"/>
        </w:rPr>
        <w:t xml:space="preserve">Disponible en: </w:t>
      </w:r>
      <w:hyperlink r:id="rId8" w:history="1">
        <w:r w:rsidRPr="00EB3F5A">
          <w:rPr>
            <w:rStyle w:val="Hipervnculo"/>
            <w:rFonts w:ascii="Verdana" w:hAnsi="Verdana"/>
            <w:sz w:val="16"/>
            <w:szCs w:val="16"/>
            <w:lang w:val="es-ES"/>
          </w:rPr>
          <w:t>http://www.cicig.org/uploads/documents/informes/INFOR-LABO_DOC05_20100901_ES.pdf</w:t>
        </w:r>
      </w:hyperlink>
      <w:r w:rsidRPr="00BD2723">
        <w:rPr>
          <w:rFonts w:ascii="Verdana" w:hAnsi="Verdana"/>
          <w:sz w:val="16"/>
          <w:szCs w:val="16"/>
          <w:lang w:val="es-ES"/>
        </w:rPr>
        <w:t>.</w:t>
      </w:r>
    </w:p>
  </w:footnote>
  <w:footnote w:id="43">
    <w:p w:rsidR="0081535F" w:rsidRPr="00BD2723" w:rsidRDefault="0081535F" w:rsidP="00422232">
      <w:pPr>
        <w:pStyle w:val="NormalWeb"/>
        <w:spacing w:before="0" w:beforeAutospacing="0" w:after="0" w:afterAutospacing="0"/>
        <w:ind w:left="-180" w:right="-174"/>
        <w:jc w:val="both"/>
        <w:outlineLvl w:val="0"/>
        <w:rPr>
          <w:rFonts w:ascii="Verdana" w:hAnsi="Verdana"/>
          <w:sz w:val="16"/>
          <w:szCs w:val="16"/>
        </w:rPr>
      </w:pPr>
      <w:r w:rsidRPr="00EB3F5A">
        <w:rPr>
          <w:rStyle w:val="Refdenotaalpie"/>
          <w:rFonts w:ascii="Verdana" w:hAnsi="Verdana"/>
          <w:sz w:val="16"/>
          <w:szCs w:val="16"/>
        </w:rPr>
        <w:footnoteRef/>
      </w:r>
      <w:r w:rsidRPr="00BD2723">
        <w:rPr>
          <w:rFonts w:ascii="Verdana" w:hAnsi="Verdana"/>
          <w:sz w:val="16"/>
          <w:szCs w:val="16"/>
        </w:rPr>
        <w:t xml:space="preserve"> </w:t>
      </w:r>
      <w:r w:rsidRPr="00BD2723">
        <w:rPr>
          <w:rFonts w:ascii="Verdana" w:hAnsi="Verdana"/>
          <w:sz w:val="16"/>
          <w:szCs w:val="16"/>
          <w:lang w:val="es-MX"/>
        </w:rPr>
        <w:t>Comisión Internacional contra la Impunidad en Guatemala (CICIG), “Sexto Informe de labores de la Comisión Internacional contra la Impu</w:t>
      </w:r>
      <w:r>
        <w:rPr>
          <w:rFonts w:ascii="Verdana" w:hAnsi="Verdana"/>
          <w:sz w:val="16"/>
          <w:szCs w:val="16"/>
          <w:lang w:val="es-MX"/>
        </w:rPr>
        <w:t>nidad en Guatemala (CICIG). Perí</w:t>
      </w:r>
      <w:r w:rsidRPr="00BD2723">
        <w:rPr>
          <w:rFonts w:ascii="Verdana" w:hAnsi="Verdana"/>
          <w:sz w:val="16"/>
          <w:szCs w:val="16"/>
          <w:lang w:val="es-MX"/>
        </w:rPr>
        <w:t xml:space="preserve">odo septiembre 2012 – agosto 2013. </w:t>
      </w:r>
      <w:r w:rsidRPr="00BD2723">
        <w:rPr>
          <w:rFonts w:ascii="Verdana" w:hAnsi="Verdana"/>
          <w:sz w:val="16"/>
          <w:szCs w:val="16"/>
        </w:rPr>
        <w:t xml:space="preserve">Disponible en: </w:t>
      </w:r>
      <w:hyperlink r:id="rId9" w:history="1">
        <w:r w:rsidRPr="00EB3F5A">
          <w:rPr>
            <w:rStyle w:val="Hipervnculo"/>
            <w:rFonts w:ascii="Verdana" w:hAnsi="Verdana"/>
            <w:sz w:val="16"/>
            <w:szCs w:val="16"/>
          </w:rPr>
          <w:t>http://www.cicig.org/uploads/documents/2013/COM-045-20130822-DOC01-ES.pdf</w:t>
        </w:r>
      </w:hyperlink>
      <w:r w:rsidRPr="00BD2723">
        <w:rPr>
          <w:rFonts w:ascii="Verdana" w:hAnsi="Verdana"/>
          <w:sz w:val="16"/>
          <w:szCs w:val="16"/>
        </w:rPr>
        <w:t>.</w:t>
      </w:r>
    </w:p>
  </w:footnote>
  <w:footnote w:id="44">
    <w:p w:rsidR="0081535F" w:rsidRPr="00BD2723" w:rsidRDefault="0081535F" w:rsidP="00422232">
      <w:pPr>
        <w:pStyle w:val="Textonotapie"/>
        <w:ind w:left="-180" w:right="-174"/>
        <w:jc w:val="both"/>
        <w:rPr>
          <w:rFonts w:ascii="Verdana" w:hAnsi="Verdana"/>
          <w:sz w:val="16"/>
          <w:szCs w:val="16"/>
          <w:lang w:val="es-CR"/>
        </w:rPr>
      </w:pPr>
      <w:r w:rsidRPr="00EB3F5A">
        <w:rPr>
          <w:rStyle w:val="Refdenotaalpie"/>
          <w:rFonts w:ascii="Verdana" w:hAnsi="Verdana"/>
          <w:sz w:val="16"/>
          <w:szCs w:val="16"/>
        </w:rPr>
        <w:footnoteRef/>
      </w:r>
      <w:r w:rsidRPr="00BD2723">
        <w:rPr>
          <w:rFonts w:ascii="Verdana" w:hAnsi="Verdana"/>
          <w:sz w:val="16"/>
          <w:szCs w:val="16"/>
          <w:lang w:val="es-CR"/>
        </w:rPr>
        <w:t xml:space="preserve"> Brigadas Internacionales de Paz (PBI), “10 años sin guerra… esperando la paz: Estudio de implementación del Acuerdo sobre Fortalecimiento del Poder Civil y Función del Ejército en una Sociedad Democrática”, Guatemala, agosto de 2007. Disponible en: </w:t>
      </w:r>
      <w:hyperlink r:id="rId10" w:history="1">
        <w:r w:rsidRPr="00EB3F5A">
          <w:rPr>
            <w:rStyle w:val="Hipervnculo"/>
            <w:rFonts w:ascii="Verdana" w:hAnsi="Verdana"/>
            <w:sz w:val="16"/>
            <w:szCs w:val="16"/>
            <w:lang w:val="es-CR"/>
          </w:rPr>
          <w:t>http://www.pbi-guatemala.org/fileadmin/user_files/projects/guatemala/files/spanish/10anos.pdf</w:t>
        </w:r>
      </w:hyperlink>
      <w:r w:rsidRPr="00BD2723">
        <w:rPr>
          <w:rFonts w:ascii="Verdana" w:hAnsi="Verdana"/>
          <w:sz w:val="16"/>
          <w:szCs w:val="16"/>
          <w:lang w:val="es-CR"/>
        </w:rPr>
        <w:t xml:space="preserve">. </w:t>
      </w:r>
    </w:p>
  </w:footnote>
  <w:footnote w:id="45">
    <w:p w:rsidR="0081535F" w:rsidRPr="00BD2723" w:rsidRDefault="0081535F" w:rsidP="00422232">
      <w:pPr>
        <w:pStyle w:val="Textonotapie"/>
        <w:ind w:left="-180" w:right="-174"/>
        <w:jc w:val="both"/>
        <w:rPr>
          <w:rFonts w:ascii="Verdana" w:hAnsi="Verdana"/>
          <w:sz w:val="16"/>
          <w:szCs w:val="16"/>
          <w:lang w:val="es-CR"/>
        </w:rPr>
      </w:pPr>
      <w:r w:rsidRPr="00EB3F5A">
        <w:rPr>
          <w:rStyle w:val="Refdenotaalpie"/>
          <w:rFonts w:ascii="Verdana" w:hAnsi="Verdana"/>
          <w:sz w:val="16"/>
          <w:szCs w:val="16"/>
        </w:rPr>
        <w:footnoteRef/>
      </w:r>
      <w:r w:rsidRPr="00BD2723">
        <w:rPr>
          <w:rFonts w:ascii="Verdana" w:hAnsi="Verdana"/>
          <w:sz w:val="16"/>
          <w:szCs w:val="16"/>
          <w:lang w:val="es-CR"/>
        </w:rPr>
        <w:t xml:space="preserve"> </w:t>
      </w:r>
      <w:r w:rsidRPr="00BD2723">
        <w:rPr>
          <w:rFonts w:ascii="Verdana" w:hAnsi="Verdana"/>
          <w:bCs/>
          <w:i/>
          <w:sz w:val="16"/>
          <w:szCs w:val="16"/>
          <w:lang w:val="es-MX"/>
        </w:rPr>
        <w:t>Impunity Watch</w:t>
      </w:r>
      <w:r w:rsidRPr="00BD2723">
        <w:rPr>
          <w:rFonts w:ascii="Verdana" w:hAnsi="Verdana"/>
          <w:bCs/>
          <w:sz w:val="16"/>
          <w:szCs w:val="16"/>
          <w:lang w:val="es-MX"/>
        </w:rPr>
        <w:t xml:space="preserve">, “Reconociendo el pasado: desafíos para combatir la impunidad en Guatemala”, noviembre de 2008. </w:t>
      </w:r>
      <w:r w:rsidRPr="00BD2723">
        <w:rPr>
          <w:rFonts w:ascii="Verdana" w:hAnsi="Verdana"/>
          <w:sz w:val="16"/>
          <w:szCs w:val="16"/>
          <w:lang w:val="es-CR"/>
        </w:rPr>
        <w:t xml:space="preserve">Disponible en: </w:t>
      </w:r>
      <w:hyperlink r:id="rId11" w:history="1">
        <w:r w:rsidRPr="00EB3F5A">
          <w:rPr>
            <w:rStyle w:val="Hipervnculo"/>
            <w:rFonts w:ascii="Verdana" w:hAnsi="Verdana"/>
            <w:sz w:val="16"/>
            <w:szCs w:val="16"/>
            <w:lang w:val="es-CR"/>
          </w:rPr>
          <w:t>http://www.impunitywatch.org/docs/BCR_Guatemala_Spanish.pdf</w:t>
        </w:r>
      </w:hyperlink>
      <w:r w:rsidRPr="00BD2723">
        <w:rPr>
          <w:rFonts w:ascii="Verdana" w:hAnsi="Verdana"/>
          <w:sz w:val="16"/>
          <w:szCs w:val="16"/>
          <w:lang w:val="es-CR"/>
        </w:rPr>
        <w:t xml:space="preserve">. </w:t>
      </w:r>
    </w:p>
  </w:footnote>
  <w:footnote w:id="46">
    <w:p w:rsidR="0081535F" w:rsidRPr="00BD2723" w:rsidRDefault="0081535F" w:rsidP="00422232">
      <w:pPr>
        <w:pStyle w:val="Textonotapie"/>
        <w:ind w:left="-180" w:right="-174"/>
        <w:jc w:val="both"/>
        <w:rPr>
          <w:rFonts w:ascii="Verdana" w:hAnsi="Verdana"/>
          <w:sz w:val="16"/>
          <w:szCs w:val="16"/>
          <w:lang w:val="es-ES"/>
        </w:rPr>
      </w:pPr>
      <w:r w:rsidRPr="00EB3F5A">
        <w:rPr>
          <w:rStyle w:val="Refdenotaalpie"/>
          <w:rFonts w:ascii="Verdana" w:hAnsi="Verdana"/>
          <w:sz w:val="16"/>
          <w:szCs w:val="16"/>
        </w:rPr>
        <w:footnoteRef/>
      </w:r>
      <w:r w:rsidRPr="00BD2723">
        <w:rPr>
          <w:rFonts w:ascii="Verdana" w:hAnsi="Verdana"/>
          <w:sz w:val="16"/>
          <w:szCs w:val="16"/>
        </w:rPr>
        <w:t xml:space="preserve"> </w:t>
      </w:r>
      <w:r w:rsidRPr="00BD2723">
        <w:rPr>
          <w:rFonts w:ascii="Verdana" w:hAnsi="Verdana"/>
          <w:sz w:val="16"/>
          <w:szCs w:val="16"/>
          <w:lang w:val="es-ES"/>
        </w:rPr>
        <w:t>Comité para la Eliminación de la Discriminación contra la Mujer</w:t>
      </w:r>
      <w:r w:rsidRPr="00BD2723">
        <w:rPr>
          <w:rFonts w:ascii="Verdana" w:hAnsi="Verdana"/>
          <w:w w:val="95"/>
          <w:sz w:val="16"/>
          <w:szCs w:val="16"/>
          <w:lang w:val="es-CR"/>
        </w:rPr>
        <w:t xml:space="preserve">, </w:t>
      </w:r>
      <w:r w:rsidRPr="00BD2723">
        <w:rPr>
          <w:rFonts w:ascii="Verdana" w:eastAsia="Times New Roman" w:hAnsi="Verdana"/>
          <w:sz w:val="16"/>
          <w:szCs w:val="16"/>
          <w:lang w:val="es-CR"/>
        </w:rPr>
        <w:t xml:space="preserve">Observaciones finales del Comité para la Eliminación de la Discriminación contra la Mujer: Guatemala, </w:t>
      </w:r>
      <w:r w:rsidRPr="00BD2723">
        <w:rPr>
          <w:rFonts w:ascii="Verdana" w:hAnsi="Verdana"/>
          <w:sz w:val="16"/>
          <w:szCs w:val="16"/>
          <w:lang w:val="es-ES"/>
        </w:rPr>
        <w:t xml:space="preserve">35º período de sesiones, 15 de mayo a 2 de junio de 2006, UN Doc. CEDAW/CE/GUA/CO/6, 2 de junio de 2006. Disponible en: </w:t>
      </w:r>
      <w:hyperlink r:id="rId12" w:history="1">
        <w:r w:rsidRPr="00EB3F5A">
          <w:rPr>
            <w:rStyle w:val="Hipervnculo"/>
            <w:rFonts w:ascii="Verdana" w:hAnsi="Verdana"/>
            <w:sz w:val="16"/>
            <w:szCs w:val="16"/>
            <w:lang w:val="es-ES"/>
          </w:rPr>
          <w:t>http://www.un.org/womenwatch/daw/cedaw/35sess.htm</w:t>
        </w:r>
      </w:hyperlink>
      <w:r w:rsidRPr="00BD2723">
        <w:rPr>
          <w:rFonts w:ascii="Verdana" w:hAnsi="Verdana"/>
          <w:sz w:val="16"/>
          <w:szCs w:val="16"/>
          <w:lang w:val="es-ES"/>
        </w:rPr>
        <w:t xml:space="preserve">. </w:t>
      </w:r>
    </w:p>
  </w:footnote>
  <w:footnote w:id="47">
    <w:p w:rsidR="0081535F" w:rsidRPr="00122C63" w:rsidRDefault="0081535F" w:rsidP="00422232">
      <w:pPr>
        <w:pStyle w:val="NormalWeb"/>
        <w:spacing w:before="0" w:beforeAutospacing="0" w:after="0" w:afterAutospacing="0"/>
        <w:ind w:left="-180" w:right="-174"/>
        <w:jc w:val="both"/>
        <w:outlineLvl w:val="0"/>
        <w:rPr>
          <w:rFonts w:ascii="Verdana" w:hAnsi="Verdana"/>
          <w:sz w:val="16"/>
          <w:szCs w:val="16"/>
        </w:rPr>
      </w:pPr>
      <w:r w:rsidRPr="00122C63">
        <w:rPr>
          <w:rStyle w:val="Refdenotaalpie"/>
          <w:rFonts w:ascii="Verdana" w:hAnsi="Verdana"/>
          <w:sz w:val="16"/>
          <w:szCs w:val="16"/>
        </w:rPr>
        <w:footnoteRef/>
      </w:r>
      <w:r w:rsidRPr="00122C63">
        <w:rPr>
          <w:rFonts w:ascii="Verdana" w:hAnsi="Verdana"/>
          <w:sz w:val="16"/>
          <w:szCs w:val="16"/>
        </w:rPr>
        <w:t xml:space="preserve"> Congreso de la República de Guatemala. Código Procesal Penal. Decreto 51-92 y sus reformas, emitido el 18 de septiembre de 1992. Disponible en: </w:t>
      </w:r>
      <w:hyperlink r:id="rId13" w:history="1">
        <w:r w:rsidRPr="00122C63">
          <w:rPr>
            <w:rStyle w:val="Hipervnculo"/>
            <w:rFonts w:ascii="Verdana" w:hAnsi="Verdana"/>
            <w:sz w:val="16"/>
            <w:szCs w:val="16"/>
          </w:rPr>
          <w:t>http://www.lexadin.nl/wlg/legis/nofr/oeur/arch/gua/CodigoProcesalPenal.pdf</w:t>
        </w:r>
      </w:hyperlink>
      <w:r w:rsidRPr="00122C63">
        <w:rPr>
          <w:rFonts w:ascii="Verdana" w:hAnsi="Verdana"/>
          <w:sz w:val="16"/>
          <w:szCs w:val="16"/>
        </w:rPr>
        <w:t xml:space="preserve">. </w:t>
      </w:r>
    </w:p>
  </w:footnote>
  <w:footnote w:id="48">
    <w:p w:rsidR="0081535F" w:rsidRPr="00122C63" w:rsidRDefault="0081535F" w:rsidP="00422232">
      <w:pPr>
        <w:pStyle w:val="Textonotapie"/>
        <w:ind w:left="-180" w:right="-174"/>
        <w:jc w:val="both"/>
        <w:rPr>
          <w:rFonts w:ascii="Verdana" w:hAnsi="Verdana"/>
          <w:sz w:val="16"/>
          <w:szCs w:val="16"/>
          <w:lang w:val="es-CR"/>
        </w:rPr>
      </w:pPr>
      <w:r w:rsidRPr="00122C63">
        <w:rPr>
          <w:rStyle w:val="Refdenotaalpie"/>
          <w:rFonts w:ascii="Verdana" w:hAnsi="Verdana"/>
          <w:sz w:val="16"/>
          <w:szCs w:val="16"/>
        </w:rPr>
        <w:footnoteRef/>
      </w:r>
      <w:r w:rsidRPr="00122C63">
        <w:rPr>
          <w:rFonts w:ascii="Verdana" w:hAnsi="Verdana"/>
          <w:sz w:val="16"/>
          <w:szCs w:val="16"/>
        </w:rPr>
        <w:t xml:space="preserve"> </w:t>
      </w:r>
      <w:r w:rsidRPr="00122C63">
        <w:rPr>
          <w:rFonts w:ascii="Verdana" w:hAnsi="Verdana"/>
          <w:sz w:val="16"/>
          <w:szCs w:val="16"/>
          <w:lang w:val="es-CR"/>
        </w:rPr>
        <w:t xml:space="preserve">Mensaje del señor Presidente Constitucional de la República de Guatemala, Licenciado Ramiro De León Carpio a la IV Conferencia Mundial sobre la Mujer. Intervención del Embajador Julio Armando Martini Herrera. Representante Permanente ante las Naciones Unidas. </w:t>
      </w:r>
      <w:r w:rsidRPr="00122C63">
        <w:rPr>
          <w:rFonts w:ascii="Verdana" w:hAnsi="Verdana"/>
          <w:sz w:val="16"/>
          <w:szCs w:val="16"/>
        </w:rPr>
        <w:t xml:space="preserve">Beijing, 11 de septiembre de 1995. Disponible en: </w:t>
      </w:r>
      <w:hyperlink r:id="rId14" w:history="1">
        <w:r w:rsidRPr="00122C63">
          <w:rPr>
            <w:rStyle w:val="Hipervnculo"/>
            <w:rFonts w:ascii="Verdana" w:hAnsi="Verdana"/>
            <w:sz w:val="16"/>
            <w:szCs w:val="16"/>
          </w:rPr>
          <w:t>http://www.un.org/esa/gopher-data/conf/fwcw/conf/gov/950914133159.txt</w:t>
        </w:r>
      </w:hyperlink>
      <w:r w:rsidRPr="00122C63">
        <w:rPr>
          <w:rFonts w:ascii="Verdana" w:hAnsi="Verdana"/>
          <w:sz w:val="16"/>
          <w:szCs w:val="16"/>
        </w:rPr>
        <w:t xml:space="preserve">. </w:t>
      </w:r>
    </w:p>
  </w:footnote>
  <w:footnote w:id="49">
    <w:p w:rsidR="0081535F" w:rsidRPr="00122C63" w:rsidRDefault="0081535F" w:rsidP="00422232">
      <w:pPr>
        <w:pStyle w:val="Textonotapie"/>
        <w:ind w:left="-180" w:right="-174"/>
        <w:jc w:val="both"/>
        <w:rPr>
          <w:rFonts w:ascii="Verdana" w:hAnsi="Verdana"/>
          <w:sz w:val="16"/>
          <w:szCs w:val="16"/>
          <w:lang w:val="es-CR"/>
        </w:rPr>
      </w:pPr>
      <w:r w:rsidRPr="00122C63">
        <w:rPr>
          <w:rStyle w:val="Refdenotaalpie"/>
          <w:rFonts w:ascii="Verdana" w:hAnsi="Verdana"/>
          <w:sz w:val="16"/>
          <w:szCs w:val="16"/>
        </w:rPr>
        <w:footnoteRef/>
      </w:r>
      <w:r w:rsidRPr="00122C63">
        <w:rPr>
          <w:rFonts w:ascii="Verdana" w:hAnsi="Verdana"/>
          <w:sz w:val="16"/>
          <w:szCs w:val="16"/>
        </w:rPr>
        <w:t xml:space="preserve"> </w:t>
      </w:r>
      <w:r w:rsidRPr="00122C63">
        <w:rPr>
          <w:rFonts w:ascii="Verdana" w:hAnsi="Verdana"/>
          <w:sz w:val="16"/>
          <w:szCs w:val="16"/>
          <w:lang w:val="es-ES"/>
        </w:rPr>
        <w:t xml:space="preserve">Comisión Interamericana de Derechos Humanos “Quinto informe sobre la Situación de los Derechos Humanos en Guatemala”, </w:t>
      </w:r>
      <w:r w:rsidRPr="00122C63">
        <w:rPr>
          <w:rFonts w:ascii="Verdana" w:hAnsi="Verdana"/>
          <w:sz w:val="16"/>
          <w:szCs w:val="16"/>
          <w:lang w:val="es-CR"/>
        </w:rPr>
        <w:t xml:space="preserve">OEA/Ser.L/V/II. 111, Doc. Rev., </w:t>
      </w:r>
      <w:r w:rsidRPr="00122C63">
        <w:rPr>
          <w:rFonts w:ascii="Verdana" w:hAnsi="Verdana"/>
          <w:sz w:val="16"/>
          <w:szCs w:val="16"/>
          <w:lang w:val="es-ES"/>
        </w:rPr>
        <w:t xml:space="preserve">6 de abril de 2001. (expediente de anexos al Informe de Fondo, anexo 32, fs. 266 a 310). Documento completo disponible en: </w:t>
      </w:r>
      <w:hyperlink r:id="rId15" w:history="1">
        <w:r w:rsidRPr="00122C63">
          <w:rPr>
            <w:rStyle w:val="Hipervnculo"/>
            <w:rFonts w:ascii="Verdana" w:hAnsi="Verdana"/>
            <w:sz w:val="16"/>
            <w:szCs w:val="16"/>
            <w:lang w:val="es-ES"/>
          </w:rPr>
          <w:t>http://www.cidh.org/countryrep/guatemala01sp/indice.htm</w:t>
        </w:r>
      </w:hyperlink>
      <w:r w:rsidRPr="00122C63">
        <w:rPr>
          <w:rFonts w:ascii="Verdana" w:hAnsi="Verdana"/>
          <w:sz w:val="16"/>
          <w:szCs w:val="16"/>
          <w:lang w:val="es-ES"/>
        </w:rPr>
        <w:t xml:space="preserve">. </w:t>
      </w:r>
    </w:p>
  </w:footnote>
  <w:footnote w:id="50">
    <w:p w:rsidR="0081535F" w:rsidRPr="00BD2723" w:rsidRDefault="0081535F" w:rsidP="00422232">
      <w:pPr>
        <w:pStyle w:val="Textonotapie"/>
        <w:ind w:left="-180" w:right="-174"/>
        <w:jc w:val="both"/>
        <w:rPr>
          <w:rFonts w:ascii="Verdana" w:hAnsi="Verdana"/>
          <w:sz w:val="16"/>
          <w:szCs w:val="16"/>
          <w:lang w:val="es-CR"/>
        </w:rPr>
      </w:pPr>
      <w:r w:rsidRPr="00122C63">
        <w:rPr>
          <w:rStyle w:val="Refdenotaalpie"/>
          <w:rFonts w:ascii="Verdana" w:hAnsi="Verdana"/>
          <w:sz w:val="16"/>
          <w:szCs w:val="16"/>
        </w:rPr>
        <w:footnoteRef/>
      </w:r>
      <w:r w:rsidRPr="00122C63">
        <w:rPr>
          <w:rFonts w:ascii="Verdana" w:hAnsi="Verdana"/>
          <w:sz w:val="16"/>
          <w:szCs w:val="16"/>
        </w:rPr>
        <w:t xml:space="preserve"> </w:t>
      </w:r>
      <w:r w:rsidRPr="00122C63">
        <w:rPr>
          <w:rFonts w:ascii="Verdana" w:hAnsi="Verdana"/>
          <w:sz w:val="16"/>
          <w:szCs w:val="16"/>
          <w:lang w:val="es-ES"/>
        </w:rPr>
        <w:t xml:space="preserve">Comisión Interamericana de Derechos Humanos, “Justicia e inclusión social: los desafíos de la democracia en Guatemala”. OEA/Ser.L/V/II.118, 29 de diciembre de 2003 (expediente de anexos al Informe de Fondo anexo 32, fs. 266 a 310). Documento completo disponible en: </w:t>
      </w:r>
      <w:hyperlink r:id="rId16" w:history="1">
        <w:r w:rsidRPr="00122C63">
          <w:rPr>
            <w:rStyle w:val="Hipervnculo"/>
            <w:rFonts w:ascii="Verdana" w:hAnsi="Verdana"/>
            <w:sz w:val="16"/>
            <w:szCs w:val="16"/>
            <w:lang w:val="es-ES"/>
          </w:rPr>
          <w:t>http://www.cidh.org/countryrep/Guatemala2003sp/indice.htm</w:t>
        </w:r>
      </w:hyperlink>
      <w:r w:rsidRPr="00122C63">
        <w:rPr>
          <w:rFonts w:ascii="Verdana" w:hAnsi="Verdana"/>
          <w:sz w:val="16"/>
          <w:szCs w:val="16"/>
          <w:lang w:val="es-ES"/>
        </w:rPr>
        <w:t>.</w:t>
      </w:r>
      <w:r w:rsidRPr="00BD2723">
        <w:rPr>
          <w:rFonts w:ascii="Verdana" w:hAnsi="Verdana"/>
          <w:sz w:val="16"/>
          <w:szCs w:val="16"/>
          <w:lang w:val="es-ES"/>
        </w:rPr>
        <w:t xml:space="preserve"> </w:t>
      </w:r>
    </w:p>
  </w:footnote>
  <w:footnote w:id="51">
    <w:p w:rsidR="0081535F" w:rsidRPr="00353432" w:rsidRDefault="0081535F" w:rsidP="00422232">
      <w:pPr>
        <w:pStyle w:val="Textonotapie"/>
        <w:spacing w:line="19" w:lineRule="atLeast"/>
        <w:ind w:left="-180" w:right="-174"/>
        <w:jc w:val="both"/>
        <w:rPr>
          <w:rFonts w:ascii="Verdana" w:hAnsi="Verdana"/>
          <w:b/>
          <w:sz w:val="16"/>
          <w:szCs w:val="16"/>
        </w:rPr>
      </w:pPr>
      <w:r w:rsidRPr="00353432">
        <w:rPr>
          <w:rStyle w:val="Refdenotaalpie"/>
          <w:rFonts w:ascii="Verdana" w:hAnsi="Verdana"/>
          <w:sz w:val="16"/>
          <w:szCs w:val="16"/>
        </w:rPr>
        <w:footnoteRef/>
      </w:r>
      <w:r w:rsidRPr="00353432">
        <w:rPr>
          <w:rFonts w:ascii="Verdana" w:hAnsi="Verdana"/>
          <w:sz w:val="16"/>
          <w:szCs w:val="16"/>
        </w:rPr>
        <w:t xml:space="preserve"> Al respecto, de acuerdo a la comunicación de 2 de mayo de 2013 de esta Secretaría se acusó recibo de los </w:t>
      </w:r>
      <w:r w:rsidRPr="000D3634">
        <w:rPr>
          <w:rFonts w:ascii="Verdana" w:hAnsi="Verdana"/>
          <w:i/>
          <w:sz w:val="16"/>
          <w:szCs w:val="16"/>
        </w:rPr>
        <w:t xml:space="preserve">affidávits </w:t>
      </w:r>
      <w:r w:rsidRPr="00353432">
        <w:rPr>
          <w:rFonts w:ascii="Verdana" w:hAnsi="Verdana"/>
          <w:sz w:val="16"/>
          <w:szCs w:val="16"/>
        </w:rPr>
        <w:t>correspondientes a los siguientes declarantes: Leonel Enrique V</w:t>
      </w:r>
      <w:r>
        <w:rPr>
          <w:rFonts w:ascii="Verdana" w:hAnsi="Verdana"/>
          <w:sz w:val="16"/>
          <w:szCs w:val="16"/>
        </w:rPr>
        <w:t>e</w:t>
      </w:r>
      <w:r w:rsidRPr="00353432">
        <w:rPr>
          <w:rFonts w:ascii="Verdana" w:hAnsi="Verdana"/>
          <w:sz w:val="16"/>
          <w:szCs w:val="16"/>
        </w:rPr>
        <w:t>liz</w:t>
      </w:r>
      <w:r>
        <w:rPr>
          <w:rFonts w:ascii="Verdana" w:hAnsi="Verdana"/>
          <w:sz w:val="16"/>
          <w:szCs w:val="16"/>
        </w:rPr>
        <w:t xml:space="preserve"> Franco, José Roberto F</w:t>
      </w:r>
      <w:r w:rsidRPr="00353432">
        <w:rPr>
          <w:rFonts w:ascii="Verdana" w:hAnsi="Verdana"/>
          <w:sz w:val="16"/>
          <w:szCs w:val="16"/>
        </w:rPr>
        <w:t xml:space="preserve">ranco, Luisa María de León </w:t>
      </w:r>
      <w:proofErr w:type="spellStart"/>
      <w:r w:rsidRPr="00353432">
        <w:rPr>
          <w:rFonts w:ascii="Verdana" w:hAnsi="Verdana"/>
          <w:sz w:val="16"/>
          <w:szCs w:val="16"/>
        </w:rPr>
        <w:t>Santizo</w:t>
      </w:r>
      <w:proofErr w:type="spellEnd"/>
      <w:r w:rsidRPr="00353432">
        <w:rPr>
          <w:rFonts w:ascii="Verdana" w:hAnsi="Verdana"/>
          <w:sz w:val="16"/>
          <w:szCs w:val="16"/>
        </w:rPr>
        <w:t xml:space="preserve">, Ana </w:t>
      </w:r>
      <w:proofErr w:type="spellStart"/>
      <w:r w:rsidRPr="00353432">
        <w:rPr>
          <w:rFonts w:ascii="Verdana" w:hAnsi="Verdana"/>
          <w:sz w:val="16"/>
          <w:szCs w:val="16"/>
        </w:rPr>
        <w:t>Carcedo</w:t>
      </w:r>
      <w:proofErr w:type="spellEnd"/>
      <w:r w:rsidRPr="00353432">
        <w:rPr>
          <w:rFonts w:ascii="Verdana" w:hAnsi="Verdana"/>
          <w:sz w:val="16"/>
          <w:szCs w:val="16"/>
        </w:rPr>
        <w:t xml:space="preserve"> Cabañas, Rodolfo </w:t>
      </w:r>
      <w:proofErr w:type="spellStart"/>
      <w:r w:rsidRPr="00353432">
        <w:rPr>
          <w:rFonts w:ascii="Verdana" w:hAnsi="Verdana"/>
          <w:sz w:val="16"/>
          <w:szCs w:val="16"/>
        </w:rPr>
        <w:t>Kepfer</w:t>
      </w:r>
      <w:proofErr w:type="spellEnd"/>
      <w:r w:rsidRPr="00353432">
        <w:rPr>
          <w:rFonts w:ascii="Verdana" w:hAnsi="Verdana"/>
          <w:sz w:val="16"/>
          <w:szCs w:val="16"/>
        </w:rPr>
        <w:t xml:space="preserve"> Rodríguez y José Mario Nájera Ochoa, pero sólo respondieron las preguntas sobre las cuales se había efectuado precisiones sobre el modo en que debían</w:t>
      </w:r>
      <w:r>
        <w:rPr>
          <w:rFonts w:ascii="Verdana" w:hAnsi="Verdana"/>
          <w:sz w:val="16"/>
          <w:szCs w:val="16"/>
        </w:rPr>
        <w:t xml:space="preserve"> contestarse, </w:t>
      </w:r>
      <w:r w:rsidRPr="00353432">
        <w:rPr>
          <w:rFonts w:ascii="Verdana" w:hAnsi="Verdana"/>
          <w:sz w:val="16"/>
          <w:szCs w:val="16"/>
        </w:rPr>
        <w:t xml:space="preserve">pero no respondieron la totalidad de las preguntas formuladas por el Estado que debían ser contestadas. En razón de ello, siguiendo instrucciones del </w:t>
      </w:r>
      <w:r>
        <w:rPr>
          <w:rFonts w:ascii="Verdana" w:hAnsi="Verdana"/>
          <w:sz w:val="16"/>
          <w:szCs w:val="16"/>
        </w:rPr>
        <w:t>Presidente</w:t>
      </w:r>
      <w:r w:rsidRPr="00353432">
        <w:rPr>
          <w:rFonts w:ascii="Verdana" w:hAnsi="Verdana"/>
          <w:sz w:val="16"/>
          <w:szCs w:val="16"/>
        </w:rPr>
        <w:t xml:space="preserve">, se dio una ampliación de cada uno de los </w:t>
      </w:r>
      <w:r w:rsidRPr="000D3634">
        <w:rPr>
          <w:rFonts w:ascii="Verdana" w:hAnsi="Verdana"/>
          <w:i/>
          <w:sz w:val="16"/>
          <w:szCs w:val="16"/>
        </w:rPr>
        <w:t>affidávits</w:t>
      </w:r>
      <w:r w:rsidRPr="00353432">
        <w:rPr>
          <w:rFonts w:ascii="Verdana" w:hAnsi="Verdana"/>
          <w:sz w:val="16"/>
          <w:szCs w:val="16"/>
        </w:rPr>
        <w:t xml:space="preserve"> para que se incluyeran las preguntas que no habían sido respondidas. El 9 de abril de 2013 l</w:t>
      </w:r>
      <w:r>
        <w:rPr>
          <w:rFonts w:ascii="Verdana" w:hAnsi="Verdana"/>
          <w:sz w:val="16"/>
          <w:szCs w:val="16"/>
        </w:rPr>
        <w:t>a representante presentó</w:t>
      </w:r>
      <w:r w:rsidRPr="00353432">
        <w:rPr>
          <w:rFonts w:ascii="Verdana" w:hAnsi="Verdana"/>
          <w:sz w:val="16"/>
          <w:szCs w:val="16"/>
        </w:rPr>
        <w:t xml:space="preserve"> las ampliaciones de las declaraciones de las personas mencionadas anteriormente. </w:t>
      </w:r>
    </w:p>
  </w:footnote>
  <w:footnote w:id="52">
    <w:p w:rsidR="0081535F" w:rsidRPr="00353432" w:rsidRDefault="0081535F" w:rsidP="00422232">
      <w:pPr>
        <w:pStyle w:val="Textonotapie"/>
        <w:spacing w:line="19" w:lineRule="atLeast"/>
        <w:ind w:left="-180" w:right="-174"/>
        <w:jc w:val="both"/>
        <w:rPr>
          <w:rFonts w:ascii="Verdana" w:hAnsi="Verdana"/>
          <w:sz w:val="16"/>
          <w:szCs w:val="16"/>
        </w:rPr>
      </w:pPr>
      <w:r w:rsidRPr="00353432">
        <w:rPr>
          <w:rStyle w:val="Refdenotaalpie"/>
          <w:rFonts w:ascii="Verdana" w:hAnsi="Verdana"/>
          <w:sz w:val="16"/>
          <w:szCs w:val="16"/>
        </w:rPr>
        <w:footnoteRef/>
      </w:r>
      <w:r w:rsidRPr="00353432">
        <w:rPr>
          <w:rFonts w:ascii="Verdana" w:hAnsi="Verdana"/>
          <w:sz w:val="16"/>
          <w:szCs w:val="16"/>
        </w:rPr>
        <w:t xml:space="preserve"> A saber: Leonel Enri</w:t>
      </w:r>
      <w:r>
        <w:rPr>
          <w:rFonts w:ascii="Verdana" w:hAnsi="Verdana"/>
          <w:sz w:val="16"/>
          <w:szCs w:val="16"/>
        </w:rPr>
        <w:t>que Veliz Franco, José Roberto F</w:t>
      </w:r>
      <w:r w:rsidRPr="00353432">
        <w:rPr>
          <w:rFonts w:ascii="Verdana" w:hAnsi="Verdana"/>
          <w:sz w:val="16"/>
          <w:szCs w:val="16"/>
        </w:rPr>
        <w:t>ranco, Luisa María de León Santizo, Ana Carcedo Cabañas, Rodolfo Kepfer Rodríguez y José Mario Nájera Ochoa.</w:t>
      </w:r>
    </w:p>
  </w:footnote>
  <w:footnote w:id="53">
    <w:p w:rsidR="0081535F" w:rsidRPr="00CE7D7A" w:rsidRDefault="0081535F" w:rsidP="00422232">
      <w:pPr>
        <w:autoSpaceDE w:val="0"/>
        <w:autoSpaceDN w:val="0"/>
        <w:adjustRightInd w:val="0"/>
        <w:spacing w:after="0" w:line="19" w:lineRule="atLeast"/>
        <w:ind w:left="-180" w:right="-174"/>
        <w:jc w:val="both"/>
        <w:rPr>
          <w:rFonts w:ascii="Verdana" w:hAnsi="Verdana"/>
          <w:sz w:val="16"/>
          <w:szCs w:val="16"/>
          <w:lang w:val="es-CR"/>
        </w:rPr>
      </w:pPr>
      <w:r w:rsidRPr="00353432">
        <w:rPr>
          <w:rStyle w:val="Refdenotaalpie"/>
          <w:rFonts w:ascii="Verdana" w:hAnsi="Verdana"/>
          <w:sz w:val="16"/>
          <w:szCs w:val="16"/>
        </w:rPr>
        <w:footnoteRef/>
      </w:r>
      <w:r w:rsidRPr="00353432">
        <w:rPr>
          <w:rFonts w:ascii="Verdana" w:hAnsi="Verdana"/>
          <w:sz w:val="16"/>
          <w:szCs w:val="16"/>
          <w:lang w:val="es-CR"/>
        </w:rPr>
        <w:t xml:space="preserve"> </w:t>
      </w:r>
      <w:r w:rsidRPr="003622B1">
        <w:rPr>
          <w:rFonts w:ascii="Verdana" w:hAnsi="Verdana"/>
          <w:bCs/>
          <w:i/>
          <w:color w:val="000000"/>
          <w:sz w:val="16"/>
          <w:szCs w:val="16"/>
          <w:lang w:val="es-CR"/>
        </w:rPr>
        <w:t>Caso Cantoral Benavides Vs. Perú. Excepciones Preliminares</w:t>
      </w:r>
      <w:r>
        <w:rPr>
          <w:rFonts w:ascii="Verdana" w:hAnsi="Verdana"/>
          <w:bCs/>
          <w:color w:val="000000"/>
          <w:sz w:val="16"/>
          <w:szCs w:val="16"/>
          <w:lang w:val="es-CR"/>
        </w:rPr>
        <w:t xml:space="preserve">. Sentencia de 3 de septiembre de 1998. Serie C No. 40, párr. 30, y </w:t>
      </w:r>
      <w:r w:rsidRPr="003622B1">
        <w:rPr>
          <w:rFonts w:ascii="Verdana" w:hAnsi="Verdana"/>
          <w:bCs/>
          <w:i/>
          <w:color w:val="000000"/>
          <w:sz w:val="16"/>
          <w:szCs w:val="16"/>
          <w:lang w:val="es-CR"/>
        </w:rPr>
        <w:t>Caso Díaz Peña Vs. Venezuela. Excepción Preliminar, Fondo, Reparaciones y Costas</w:t>
      </w:r>
      <w:r>
        <w:rPr>
          <w:rFonts w:ascii="Verdana" w:hAnsi="Verdana"/>
          <w:bCs/>
          <w:color w:val="000000"/>
          <w:sz w:val="16"/>
          <w:szCs w:val="16"/>
          <w:lang w:val="es-CR"/>
        </w:rPr>
        <w:t>. Sentencia de 26 de junio de 2012. Serie C No. 224, párr. 33</w:t>
      </w:r>
    </w:p>
  </w:footnote>
  <w:footnote w:id="54">
    <w:p w:rsidR="0081535F" w:rsidRPr="00353432" w:rsidRDefault="0081535F" w:rsidP="00422232">
      <w:pPr>
        <w:pStyle w:val="Textonotapie"/>
        <w:spacing w:line="19" w:lineRule="atLeast"/>
        <w:ind w:left="-180" w:right="-174"/>
        <w:jc w:val="both"/>
        <w:rPr>
          <w:rFonts w:ascii="Verdana" w:hAnsi="Verdana"/>
          <w:sz w:val="16"/>
          <w:szCs w:val="16"/>
        </w:rPr>
      </w:pPr>
      <w:r w:rsidRPr="00CE7D7A">
        <w:rPr>
          <w:rStyle w:val="Refdenotaalpie"/>
          <w:rFonts w:ascii="Verdana" w:hAnsi="Verdana"/>
          <w:sz w:val="16"/>
          <w:szCs w:val="16"/>
        </w:rPr>
        <w:footnoteRef/>
      </w:r>
      <w:r w:rsidRPr="003622B1">
        <w:rPr>
          <w:rFonts w:ascii="Verdana" w:hAnsi="Verdana"/>
          <w:bCs/>
          <w:i/>
          <w:color w:val="000000"/>
          <w:sz w:val="16"/>
          <w:szCs w:val="16"/>
          <w:lang w:val="es-CR"/>
        </w:rPr>
        <w:t>Caso Díaz Peña</w:t>
      </w:r>
      <w:r>
        <w:rPr>
          <w:rFonts w:ascii="Verdana" w:hAnsi="Verdana"/>
          <w:bCs/>
          <w:i/>
          <w:color w:val="000000"/>
          <w:sz w:val="16"/>
          <w:szCs w:val="16"/>
          <w:lang w:val="es-CR"/>
        </w:rPr>
        <w:t>, supra</w:t>
      </w:r>
      <w:r>
        <w:rPr>
          <w:rFonts w:ascii="Verdana" w:hAnsi="Verdana"/>
          <w:bCs/>
          <w:color w:val="000000"/>
          <w:sz w:val="16"/>
          <w:szCs w:val="16"/>
          <w:lang w:val="es-CR"/>
        </w:rPr>
        <w:t xml:space="preserve">, párr. 33, y </w:t>
      </w:r>
      <w:r w:rsidRPr="003622B1">
        <w:rPr>
          <w:rFonts w:ascii="Verdana" w:hAnsi="Verdana"/>
          <w:bCs/>
          <w:i/>
          <w:color w:val="000000"/>
          <w:sz w:val="16"/>
          <w:szCs w:val="16"/>
          <w:lang w:val="es-CR"/>
        </w:rPr>
        <w:t xml:space="preserve">Caso Artavia Murillo y otros (“Fecundación </w:t>
      </w:r>
      <w:r>
        <w:rPr>
          <w:rFonts w:ascii="Verdana" w:hAnsi="Verdana"/>
          <w:bCs/>
          <w:i/>
          <w:color w:val="000000"/>
          <w:sz w:val="16"/>
          <w:szCs w:val="16"/>
          <w:lang w:val="es-CR"/>
        </w:rPr>
        <w:t>in vitro</w:t>
      </w:r>
      <w:r w:rsidRPr="003622B1">
        <w:rPr>
          <w:rFonts w:ascii="Verdana" w:hAnsi="Verdana"/>
          <w:bCs/>
          <w:i/>
          <w:color w:val="000000"/>
          <w:sz w:val="16"/>
          <w:szCs w:val="16"/>
          <w:lang w:val="es-CR"/>
        </w:rPr>
        <w:t>”) Vs. Costa Rica, Excepciones Preliminares, Fondo, Reparaciones y Costas</w:t>
      </w:r>
      <w:r>
        <w:rPr>
          <w:rFonts w:ascii="Verdana" w:hAnsi="Verdana"/>
          <w:bCs/>
          <w:color w:val="000000"/>
          <w:sz w:val="16"/>
          <w:szCs w:val="16"/>
          <w:lang w:val="es-CR"/>
        </w:rPr>
        <w:t>. Sentencia de 28 de noviembre de 2012 Serie C No. 257, párr. 56.</w:t>
      </w:r>
    </w:p>
  </w:footnote>
  <w:footnote w:id="55">
    <w:p w:rsidR="0081535F" w:rsidRPr="003C0A9E" w:rsidRDefault="0081535F" w:rsidP="00422232">
      <w:pPr>
        <w:ind w:left="-180" w:right="-174"/>
        <w:jc w:val="both"/>
        <w:rPr>
          <w:rFonts w:ascii="Verdana" w:hAnsi="Verdana"/>
          <w:sz w:val="16"/>
          <w:szCs w:val="16"/>
          <w:lang w:val="es-CR"/>
        </w:rPr>
      </w:pPr>
      <w:r w:rsidRPr="003C0A9E">
        <w:rPr>
          <w:rStyle w:val="Refdenotaalpie"/>
          <w:rFonts w:ascii="Verdana" w:hAnsi="Verdana"/>
          <w:sz w:val="16"/>
          <w:szCs w:val="16"/>
        </w:rPr>
        <w:footnoteRef/>
      </w:r>
      <w:r w:rsidRPr="003C0A9E">
        <w:rPr>
          <w:rFonts w:ascii="Verdana" w:hAnsi="Verdana"/>
          <w:sz w:val="16"/>
          <w:szCs w:val="16"/>
        </w:rPr>
        <w:t xml:space="preserve"> </w:t>
      </w:r>
      <w:r w:rsidRPr="003C0A9E">
        <w:rPr>
          <w:rFonts w:ascii="Verdana" w:hAnsi="Verdana"/>
          <w:i/>
          <w:sz w:val="16"/>
          <w:szCs w:val="16"/>
        </w:rPr>
        <w:t>Cfr.</w:t>
      </w:r>
      <w:r w:rsidRPr="003C0A9E">
        <w:rPr>
          <w:rFonts w:ascii="Verdana" w:hAnsi="Verdana"/>
          <w:sz w:val="16"/>
          <w:szCs w:val="16"/>
        </w:rPr>
        <w:t xml:space="preserve"> </w:t>
      </w:r>
      <w:r w:rsidRPr="003C0A9E">
        <w:rPr>
          <w:rFonts w:ascii="Verdana" w:hAnsi="Verdana"/>
          <w:i/>
          <w:sz w:val="16"/>
          <w:szCs w:val="16"/>
        </w:rPr>
        <w:t>Caso Loayza Tamayo Vs. Perú. Fondo</w:t>
      </w:r>
      <w:r w:rsidRPr="003C0A9E">
        <w:rPr>
          <w:rFonts w:ascii="Verdana" w:hAnsi="Verdana"/>
          <w:sz w:val="16"/>
          <w:szCs w:val="16"/>
        </w:rPr>
        <w:t>. Sentencia de 17 de septiembre de 1997. Serie C No. 33, párr. 43, y</w:t>
      </w:r>
      <w:r w:rsidRPr="003C0A9E">
        <w:rPr>
          <w:rFonts w:ascii="Verdana" w:hAnsi="Verdana"/>
          <w:i/>
          <w:sz w:val="16"/>
          <w:szCs w:val="16"/>
        </w:rPr>
        <w:t xml:space="preserve"> </w:t>
      </w:r>
      <w:r w:rsidRPr="00D23FEF">
        <w:rPr>
          <w:rFonts w:ascii="Verdana" w:hAnsi="Verdana"/>
          <w:i/>
          <w:sz w:val="16"/>
          <w:szCs w:val="16"/>
          <w:lang w:val="es-CO"/>
        </w:rPr>
        <w:t>Caso Liakat Ali Alibux, supra</w:t>
      </w:r>
      <w:r w:rsidRPr="00D23FEF">
        <w:rPr>
          <w:rFonts w:ascii="Verdana" w:hAnsi="Verdana"/>
          <w:sz w:val="16"/>
          <w:szCs w:val="16"/>
          <w:lang w:val="es-CR"/>
        </w:rPr>
        <w:t>, párr. 31.</w:t>
      </w:r>
    </w:p>
    <w:p w:rsidR="0081535F" w:rsidRPr="00353432" w:rsidRDefault="0081535F" w:rsidP="00422232">
      <w:pPr>
        <w:pStyle w:val="Textonotapie"/>
        <w:spacing w:line="19" w:lineRule="atLeast"/>
        <w:ind w:left="-180" w:right="-174"/>
        <w:jc w:val="both"/>
        <w:rPr>
          <w:rFonts w:ascii="Verdana" w:hAnsi="Verdana"/>
          <w:sz w:val="16"/>
          <w:szCs w:val="16"/>
        </w:rPr>
      </w:pPr>
    </w:p>
  </w:footnote>
  <w:footnote w:id="56">
    <w:p w:rsidR="0081535F" w:rsidRPr="00353432" w:rsidRDefault="0081535F" w:rsidP="00422232">
      <w:pPr>
        <w:pStyle w:val="Textonotapie"/>
        <w:spacing w:line="19" w:lineRule="atLeast"/>
        <w:ind w:left="-180" w:right="-174"/>
        <w:jc w:val="both"/>
        <w:rPr>
          <w:rFonts w:ascii="Verdana" w:hAnsi="Verdana"/>
          <w:sz w:val="16"/>
          <w:szCs w:val="16"/>
          <w:lang w:val="es-MX"/>
        </w:rPr>
      </w:pPr>
      <w:r w:rsidRPr="00353432">
        <w:rPr>
          <w:rStyle w:val="Refdenotaalpie"/>
          <w:rFonts w:ascii="Verdana" w:hAnsi="Verdana"/>
          <w:sz w:val="16"/>
          <w:szCs w:val="16"/>
        </w:rPr>
        <w:footnoteRef/>
      </w:r>
      <w:r w:rsidRPr="00353432">
        <w:rPr>
          <w:rFonts w:ascii="Verdana" w:hAnsi="Verdana"/>
          <w:sz w:val="16"/>
          <w:szCs w:val="16"/>
        </w:rPr>
        <w:t xml:space="preserve"> </w:t>
      </w:r>
      <w:r w:rsidRPr="00353432">
        <w:rPr>
          <w:rFonts w:ascii="Verdana" w:hAnsi="Verdana"/>
          <w:sz w:val="16"/>
          <w:szCs w:val="16"/>
          <w:lang w:val="es-ES"/>
        </w:rPr>
        <w:t>El Estado reite</w:t>
      </w:r>
      <w:r>
        <w:rPr>
          <w:rFonts w:ascii="Verdana" w:hAnsi="Verdana"/>
          <w:sz w:val="16"/>
          <w:szCs w:val="16"/>
          <w:lang w:val="es-ES"/>
        </w:rPr>
        <w:t>ró que no presentó el juramento</w:t>
      </w:r>
      <w:r w:rsidRPr="003622B1">
        <w:rPr>
          <w:rFonts w:ascii="Verdana" w:hAnsi="Verdana"/>
          <w:sz w:val="16"/>
          <w:szCs w:val="16"/>
          <w:lang w:val="es-ES"/>
        </w:rPr>
        <w:t>,</w:t>
      </w:r>
      <w:r w:rsidRPr="00353432">
        <w:rPr>
          <w:rFonts w:ascii="Verdana" w:hAnsi="Verdana"/>
          <w:b/>
          <w:sz w:val="16"/>
          <w:szCs w:val="16"/>
          <w:lang w:val="es-ES"/>
        </w:rPr>
        <w:t xml:space="preserve"> </w:t>
      </w:r>
      <w:r w:rsidRPr="00353432">
        <w:rPr>
          <w:rFonts w:ascii="Verdana" w:hAnsi="Verdana"/>
          <w:sz w:val="16"/>
          <w:szCs w:val="16"/>
          <w:lang w:val="es-ES"/>
        </w:rPr>
        <w:t>por lo que se remite a lo a</w:t>
      </w:r>
      <w:r>
        <w:rPr>
          <w:rFonts w:ascii="Verdana" w:hAnsi="Verdana"/>
          <w:sz w:val="16"/>
          <w:szCs w:val="16"/>
          <w:lang w:val="es-ES"/>
        </w:rPr>
        <w:t>nteriormente resuelto al respecto</w:t>
      </w:r>
      <w:r w:rsidRPr="00353432">
        <w:rPr>
          <w:rFonts w:ascii="Verdana" w:hAnsi="Verdana"/>
          <w:sz w:val="16"/>
          <w:szCs w:val="16"/>
          <w:lang w:val="es-ES"/>
        </w:rPr>
        <w:t>, y que rindió el peritaje haciendo caso omiso a lo resuelto por la Corte, ya que lo rindió como fue propuesto en</w:t>
      </w:r>
      <w:r>
        <w:rPr>
          <w:rFonts w:ascii="Verdana" w:hAnsi="Verdana"/>
          <w:sz w:val="16"/>
          <w:szCs w:val="16"/>
          <w:lang w:val="es-ES"/>
        </w:rPr>
        <w:t xml:space="preserve"> el escrito de la representante</w:t>
      </w:r>
      <w:r w:rsidRPr="00353432">
        <w:rPr>
          <w:rFonts w:ascii="Verdana" w:hAnsi="Verdana"/>
          <w:sz w:val="16"/>
          <w:szCs w:val="16"/>
          <w:lang w:val="es-ES"/>
        </w:rPr>
        <w:t xml:space="preserve"> de 8 de marzo de 2013.</w:t>
      </w:r>
      <w:r w:rsidRPr="00722BAE">
        <w:rPr>
          <w:rFonts w:ascii="Verdana" w:hAnsi="Verdana" w:cs="Calibri"/>
          <w:sz w:val="16"/>
          <w:szCs w:val="16"/>
          <w:lang w:val="es-CR"/>
        </w:rPr>
        <w:t xml:space="preserve"> </w:t>
      </w:r>
      <w:r w:rsidRPr="00353432">
        <w:rPr>
          <w:rFonts w:ascii="Verdana" w:hAnsi="Verdana" w:cs="Calibri"/>
          <w:sz w:val="16"/>
          <w:szCs w:val="16"/>
          <w:lang w:val="es-CR"/>
        </w:rPr>
        <w:t>Al respecto, el Tribunal reitera que considerará el contenido del peritaje en la medida en que se ajuste</w:t>
      </w:r>
      <w:r>
        <w:rPr>
          <w:rFonts w:ascii="Verdana" w:hAnsi="Verdana" w:cs="Calibri"/>
          <w:sz w:val="16"/>
          <w:szCs w:val="16"/>
          <w:lang w:val="es-CR"/>
        </w:rPr>
        <w:t xml:space="preserve"> al objeto fijado para el mismo</w:t>
      </w:r>
      <w:r w:rsidRPr="002440D3">
        <w:rPr>
          <w:rFonts w:ascii="Verdana" w:hAnsi="Verdana" w:cs="Calibri"/>
          <w:i/>
          <w:sz w:val="16"/>
          <w:szCs w:val="16"/>
          <w:lang w:val="es-CR"/>
        </w:rPr>
        <w:t>.</w:t>
      </w:r>
      <w:r w:rsidRPr="00353432">
        <w:rPr>
          <w:rFonts w:ascii="Verdana" w:hAnsi="Verdana" w:cs="Calibri"/>
          <w:i/>
          <w:sz w:val="16"/>
          <w:szCs w:val="16"/>
          <w:lang w:val="es-CR"/>
        </w:rPr>
        <w:t xml:space="preserve"> </w:t>
      </w:r>
      <w:r w:rsidRPr="00353432">
        <w:rPr>
          <w:rFonts w:ascii="Verdana" w:hAnsi="Verdana" w:cs="Calibri"/>
          <w:sz w:val="16"/>
          <w:szCs w:val="16"/>
          <w:lang w:val="es-CR"/>
        </w:rPr>
        <w:t xml:space="preserve">En tal sentido, tomará en cuenta señalamiento que la </w:t>
      </w:r>
      <w:r w:rsidRPr="00722BAE">
        <w:rPr>
          <w:rFonts w:ascii="Verdana" w:hAnsi="Verdana" w:cs="Calibri"/>
          <w:sz w:val="16"/>
          <w:szCs w:val="16"/>
          <w:lang w:val="es-CR"/>
        </w:rPr>
        <w:t xml:space="preserve">perita </w:t>
      </w:r>
      <w:r w:rsidRPr="00353432">
        <w:rPr>
          <w:rFonts w:ascii="Verdana" w:hAnsi="Verdana" w:cs="Calibri"/>
          <w:sz w:val="16"/>
          <w:szCs w:val="16"/>
          <w:lang w:val="es-CR"/>
        </w:rPr>
        <w:t>hizo sobre Guatemala y sólo en la medida que hubieran sido presentados en el peritaje como datos comparativos o inclusivos de la situación en ese país, las indicaciones formuladas sobre la región centroamericana.</w:t>
      </w:r>
    </w:p>
  </w:footnote>
  <w:footnote w:id="57">
    <w:p w:rsidR="0081535F" w:rsidRPr="00293A42" w:rsidRDefault="0081535F" w:rsidP="00422232">
      <w:pPr>
        <w:pStyle w:val="Textonotapie"/>
        <w:spacing w:line="19" w:lineRule="atLeast"/>
        <w:ind w:left="-180" w:right="-174"/>
        <w:jc w:val="both"/>
        <w:rPr>
          <w:rFonts w:ascii="Verdana" w:hAnsi="Verdana"/>
          <w:sz w:val="16"/>
          <w:szCs w:val="16"/>
          <w:lang w:val="es-CR"/>
        </w:rPr>
      </w:pPr>
      <w:r w:rsidRPr="00293A42">
        <w:rPr>
          <w:rStyle w:val="Refdenotaalpie"/>
          <w:rFonts w:ascii="Verdana" w:hAnsi="Verdana"/>
          <w:sz w:val="16"/>
          <w:szCs w:val="16"/>
        </w:rPr>
        <w:footnoteRef/>
      </w:r>
      <w:r w:rsidRPr="00293A42">
        <w:rPr>
          <w:rFonts w:ascii="Verdana" w:hAnsi="Verdana"/>
          <w:sz w:val="16"/>
          <w:szCs w:val="16"/>
        </w:rPr>
        <w:t xml:space="preserve"> </w:t>
      </w:r>
      <w:r w:rsidRPr="003622B1">
        <w:rPr>
          <w:rFonts w:ascii="Verdana" w:hAnsi="Verdana"/>
          <w:i/>
          <w:sz w:val="16"/>
          <w:szCs w:val="16"/>
          <w:lang w:val="es-ES"/>
        </w:rPr>
        <w:t>Caso Reverón Trujillo Vs. Venezuela. Excepción Preliminar, Fondo, Reparaciones y Costas.</w:t>
      </w:r>
      <w:r>
        <w:rPr>
          <w:rFonts w:ascii="Verdana" w:hAnsi="Verdana"/>
          <w:sz w:val="16"/>
          <w:szCs w:val="16"/>
          <w:lang w:val="es-ES"/>
        </w:rPr>
        <w:t xml:space="preserve"> Sentencia de 30 de junio de 2009. Serie C No. 197, párr. 42, </w:t>
      </w:r>
      <w:r w:rsidRPr="002440D3">
        <w:rPr>
          <w:rFonts w:ascii="Verdana" w:hAnsi="Verdana"/>
          <w:sz w:val="16"/>
          <w:szCs w:val="16"/>
          <w:lang w:val="es-ES"/>
        </w:rPr>
        <w:t>y</w:t>
      </w:r>
      <w:r w:rsidRPr="003622B1">
        <w:rPr>
          <w:rFonts w:ascii="Verdana" w:hAnsi="Verdana"/>
          <w:i/>
          <w:sz w:val="16"/>
          <w:szCs w:val="16"/>
          <w:lang w:val="es-ES"/>
        </w:rPr>
        <w:t xml:space="preserve"> </w:t>
      </w:r>
      <w:r w:rsidRPr="00ED6E18">
        <w:rPr>
          <w:rFonts w:ascii="Verdana" w:hAnsi="Verdana"/>
          <w:i/>
          <w:sz w:val="16"/>
          <w:szCs w:val="16"/>
          <w:lang w:val="es-ES"/>
        </w:rPr>
        <w:t xml:space="preserve">Caso </w:t>
      </w:r>
      <w:r w:rsidRPr="003622B1">
        <w:rPr>
          <w:rFonts w:ascii="Verdana" w:hAnsi="Verdana"/>
          <w:i/>
          <w:sz w:val="16"/>
          <w:szCs w:val="16"/>
          <w:lang w:val="es-CO"/>
        </w:rPr>
        <w:t xml:space="preserve">Liakat Ali Alibux </w:t>
      </w:r>
      <w:r w:rsidRPr="00F62505">
        <w:rPr>
          <w:rFonts w:ascii="Verdana" w:hAnsi="Verdana"/>
          <w:i/>
          <w:sz w:val="16"/>
          <w:szCs w:val="16"/>
          <w:lang w:val="es-CO"/>
        </w:rPr>
        <w:t>Vs.</w:t>
      </w:r>
      <w:r>
        <w:rPr>
          <w:rFonts w:ascii="Verdana" w:hAnsi="Verdana"/>
          <w:i/>
          <w:sz w:val="16"/>
          <w:szCs w:val="16"/>
          <w:lang w:val="es-CO"/>
        </w:rPr>
        <w:t xml:space="preserve"> </w:t>
      </w:r>
      <w:r w:rsidRPr="003622B1">
        <w:rPr>
          <w:rFonts w:ascii="Verdana" w:hAnsi="Verdana"/>
          <w:i/>
          <w:sz w:val="16"/>
          <w:szCs w:val="16"/>
          <w:lang w:val="es-CO"/>
        </w:rPr>
        <w:t>Suriname</w:t>
      </w:r>
      <w:r w:rsidRPr="00114E68">
        <w:rPr>
          <w:rFonts w:ascii="Verdana" w:hAnsi="Verdana" w:cs="Arial"/>
          <w:i/>
          <w:sz w:val="16"/>
          <w:szCs w:val="16"/>
        </w:rPr>
        <w:t>, supra</w:t>
      </w:r>
      <w:r w:rsidRPr="00114E68">
        <w:rPr>
          <w:rFonts w:ascii="Verdana" w:hAnsi="Verdana" w:cs="Arial"/>
          <w:sz w:val="16"/>
          <w:szCs w:val="16"/>
        </w:rPr>
        <w:t>, párr</w:t>
      </w:r>
      <w:r>
        <w:rPr>
          <w:rFonts w:ascii="Verdana" w:hAnsi="Verdana" w:cs="Arial"/>
          <w:sz w:val="16"/>
          <w:szCs w:val="16"/>
        </w:rPr>
        <w:t>. 31.</w:t>
      </w:r>
    </w:p>
  </w:footnote>
  <w:footnote w:id="58">
    <w:p w:rsidR="0081535F" w:rsidRPr="00CA4C08" w:rsidRDefault="0081535F" w:rsidP="00422232">
      <w:pPr>
        <w:pStyle w:val="Textonotapie"/>
        <w:ind w:left="-180" w:right="-174"/>
        <w:jc w:val="both"/>
      </w:pPr>
      <w:r w:rsidRPr="00CA4C08">
        <w:rPr>
          <w:rStyle w:val="Refdenotaalpie"/>
          <w:rFonts w:ascii="Verdana" w:hAnsi="Verdana"/>
          <w:sz w:val="16"/>
          <w:szCs w:val="16"/>
        </w:rPr>
        <w:footnoteRef/>
      </w:r>
      <w:r w:rsidRPr="00CA4C08">
        <w:rPr>
          <w:rFonts w:ascii="Verdana" w:hAnsi="Verdana"/>
          <w:sz w:val="16"/>
          <w:szCs w:val="16"/>
        </w:rPr>
        <w:t xml:space="preserve"> </w:t>
      </w:r>
      <w:r w:rsidRPr="00284375">
        <w:rPr>
          <w:rFonts w:ascii="Verdana" w:hAnsi="Verdana"/>
          <w:sz w:val="16"/>
          <w:szCs w:val="16"/>
        </w:rPr>
        <w:t>Agregó que la señora Franco Sandoval se refirió de manera “inapropiada” cuando se dirigió a las representantes del Estado, lo cual “no se justifica […] ni debe […] ser aceptad[o] por el hecho de que ella se considere ofendida”.</w:t>
      </w:r>
    </w:p>
  </w:footnote>
  <w:footnote w:id="59">
    <w:p w:rsidR="0081535F" w:rsidRDefault="0081535F" w:rsidP="00422232">
      <w:pPr>
        <w:pStyle w:val="Textonotapie"/>
        <w:ind w:left="-180" w:right="-174"/>
        <w:jc w:val="both"/>
        <w:rPr>
          <w:rFonts w:ascii="Verdana" w:hAnsi="Verdana"/>
          <w:sz w:val="16"/>
          <w:szCs w:val="16"/>
          <w:lang w:val="es-CR"/>
        </w:rPr>
      </w:pPr>
      <w:r w:rsidRPr="003622B1">
        <w:rPr>
          <w:rStyle w:val="Refdenotaalpie"/>
          <w:rFonts w:ascii="Verdana" w:hAnsi="Verdana"/>
          <w:sz w:val="16"/>
          <w:szCs w:val="16"/>
        </w:rPr>
        <w:footnoteRef/>
      </w:r>
      <w:r w:rsidRPr="003622B1">
        <w:rPr>
          <w:rFonts w:ascii="Verdana" w:hAnsi="Verdana"/>
          <w:sz w:val="16"/>
          <w:szCs w:val="16"/>
        </w:rPr>
        <w:t xml:space="preserve"> </w:t>
      </w:r>
      <w:r w:rsidRPr="003622B1">
        <w:rPr>
          <w:rFonts w:ascii="Verdana" w:hAnsi="Verdana"/>
          <w:i/>
          <w:sz w:val="16"/>
          <w:szCs w:val="16"/>
        </w:rPr>
        <w:t xml:space="preserve">Cfr. Caso Artavia y otros </w:t>
      </w:r>
      <w:r w:rsidRPr="008527AF">
        <w:rPr>
          <w:rFonts w:ascii="Verdana" w:hAnsi="Verdana"/>
          <w:i/>
          <w:sz w:val="16"/>
          <w:szCs w:val="16"/>
        </w:rPr>
        <w:t>("Fecundación in vitro")</w:t>
      </w:r>
      <w:r>
        <w:rPr>
          <w:rFonts w:ascii="Verdana" w:hAnsi="Verdana"/>
          <w:i/>
          <w:sz w:val="16"/>
          <w:szCs w:val="16"/>
        </w:rPr>
        <w:t>, supra</w:t>
      </w:r>
      <w:r>
        <w:rPr>
          <w:rFonts w:ascii="Verdana" w:hAnsi="Verdana"/>
          <w:sz w:val="16"/>
          <w:szCs w:val="16"/>
        </w:rPr>
        <w:t>, párr. 15.</w:t>
      </w:r>
    </w:p>
  </w:footnote>
  <w:footnote w:id="60">
    <w:p w:rsidR="0081535F" w:rsidRPr="00293A42" w:rsidRDefault="0081535F" w:rsidP="00422232">
      <w:pPr>
        <w:pStyle w:val="Textonotapie"/>
        <w:spacing w:line="19" w:lineRule="atLeast"/>
        <w:ind w:left="-180" w:right="-174"/>
        <w:jc w:val="both"/>
        <w:rPr>
          <w:rFonts w:ascii="Verdana" w:hAnsi="Verdana"/>
          <w:sz w:val="16"/>
          <w:szCs w:val="16"/>
        </w:rPr>
      </w:pPr>
      <w:r w:rsidRPr="00293A42">
        <w:rPr>
          <w:rStyle w:val="Refdenotaalpie"/>
          <w:rFonts w:ascii="Verdana" w:hAnsi="Verdana"/>
          <w:sz w:val="16"/>
          <w:szCs w:val="16"/>
        </w:rPr>
        <w:footnoteRef/>
      </w:r>
      <w:r w:rsidRPr="00293A42">
        <w:rPr>
          <w:rFonts w:ascii="Verdana" w:hAnsi="Verdana"/>
          <w:sz w:val="16"/>
          <w:szCs w:val="16"/>
        </w:rPr>
        <w:t xml:space="preserve"> </w:t>
      </w:r>
      <w:r w:rsidRPr="00293A42">
        <w:rPr>
          <w:rFonts w:ascii="Verdana" w:hAnsi="Verdana"/>
          <w:i/>
          <w:sz w:val="16"/>
          <w:szCs w:val="16"/>
        </w:rPr>
        <w:t>Cfr.</w:t>
      </w:r>
      <w:r w:rsidRPr="00293A42">
        <w:rPr>
          <w:rFonts w:ascii="Verdana" w:eastAsia="Calibri" w:hAnsi="Verdana" w:cs="Arial"/>
          <w:i/>
          <w:color w:val="262626"/>
          <w:sz w:val="16"/>
          <w:szCs w:val="16"/>
          <w:lang w:val="es-CR"/>
        </w:rPr>
        <w:t xml:space="preserve"> </w:t>
      </w:r>
      <w:r w:rsidRPr="00293A42">
        <w:rPr>
          <w:rFonts w:ascii="Verdana" w:hAnsi="Verdana"/>
          <w:i/>
          <w:sz w:val="16"/>
          <w:szCs w:val="16"/>
          <w:lang w:val="es-CR"/>
        </w:rPr>
        <w:t>Caso J</w:t>
      </w:r>
      <w:r>
        <w:rPr>
          <w:rFonts w:ascii="Verdana" w:hAnsi="Verdana"/>
          <w:i/>
          <w:sz w:val="16"/>
          <w:szCs w:val="16"/>
          <w:lang w:val="es-CR"/>
        </w:rPr>
        <w:t>., supra</w:t>
      </w:r>
      <w:r w:rsidRPr="00293A42">
        <w:rPr>
          <w:rFonts w:ascii="Verdana" w:hAnsi="Verdana"/>
          <w:sz w:val="16"/>
          <w:szCs w:val="16"/>
          <w:lang w:val="es-CR"/>
        </w:rPr>
        <w:t>, párr. 53.</w:t>
      </w:r>
    </w:p>
  </w:footnote>
  <w:footnote w:id="61">
    <w:p w:rsidR="0081535F" w:rsidRPr="00293A42" w:rsidRDefault="0081535F" w:rsidP="00422232">
      <w:pPr>
        <w:pStyle w:val="Textonotapie"/>
        <w:tabs>
          <w:tab w:val="left" w:pos="426"/>
          <w:tab w:val="left" w:pos="567"/>
        </w:tabs>
        <w:spacing w:line="19" w:lineRule="atLeast"/>
        <w:ind w:left="-180" w:right="-174"/>
        <w:jc w:val="both"/>
        <w:rPr>
          <w:rFonts w:ascii="Verdana" w:hAnsi="Verdana"/>
          <w:sz w:val="16"/>
          <w:szCs w:val="16"/>
        </w:rPr>
      </w:pPr>
      <w:r w:rsidRPr="00293A42">
        <w:rPr>
          <w:rStyle w:val="Refdenotaalpie"/>
          <w:rFonts w:ascii="Verdana" w:hAnsi="Verdana"/>
          <w:sz w:val="16"/>
          <w:szCs w:val="16"/>
        </w:rPr>
        <w:footnoteRef/>
      </w:r>
      <w:r w:rsidRPr="00293A42">
        <w:rPr>
          <w:rFonts w:ascii="Verdana" w:hAnsi="Verdana"/>
          <w:sz w:val="16"/>
          <w:szCs w:val="16"/>
        </w:rPr>
        <w:t xml:space="preserve"> </w:t>
      </w:r>
      <w:r w:rsidRPr="00293A42">
        <w:rPr>
          <w:rFonts w:ascii="Verdana" w:hAnsi="Verdana"/>
          <w:i/>
          <w:sz w:val="16"/>
          <w:szCs w:val="16"/>
        </w:rPr>
        <w:t>Cfr. Caso Goiburú y otros Vs. Paraguay. Fondo, Reparaciones y Costas</w:t>
      </w:r>
      <w:r w:rsidRPr="00293A42">
        <w:rPr>
          <w:rFonts w:ascii="Verdana" w:hAnsi="Verdana"/>
          <w:sz w:val="16"/>
          <w:szCs w:val="16"/>
        </w:rPr>
        <w:t xml:space="preserve">. Sentencia de 22 de septiembre de 2006. Serie C No. 153, párrs. 61 y 62, y </w:t>
      </w:r>
      <w:r w:rsidRPr="00293A42">
        <w:rPr>
          <w:rFonts w:ascii="Verdana" w:hAnsi="Verdana"/>
          <w:i/>
          <w:sz w:val="16"/>
          <w:szCs w:val="16"/>
          <w:lang w:val="es-CR"/>
        </w:rPr>
        <w:t>Caso J</w:t>
      </w:r>
      <w:r>
        <w:rPr>
          <w:rFonts w:ascii="Verdana" w:hAnsi="Verdana"/>
          <w:i/>
          <w:sz w:val="16"/>
          <w:szCs w:val="16"/>
          <w:lang w:val="es-CR"/>
        </w:rPr>
        <w:t>., supra</w:t>
      </w:r>
      <w:r w:rsidRPr="00293A42">
        <w:rPr>
          <w:rFonts w:ascii="Verdana" w:hAnsi="Verdana"/>
          <w:sz w:val="16"/>
          <w:szCs w:val="16"/>
          <w:lang w:val="es-CR"/>
        </w:rPr>
        <w:t>, párr. 53</w:t>
      </w:r>
      <w:r w:rsidRPr="00293A42">
        <w:rPr>
          <w:rFonts w:ascii="Verdana" w:hAnsi="Verdana"/>
          <w:sz w:val="16"/>
          <w:szCs w:val="16"/>
        </w:rPr>
        <w:t>.</w:t>
      </w:r>
    </w:p>
  </w:footnote>
  <w:footnote w:id="62">
    <w:p w:rsidR="0081535F" w:rsidRPr="00353432" w:rsidRDefault="0081535F" w:rsidP="00422232">
      <w:pPr>
        <w:pStyle w:val="Textonotapie"/>
        <w:spacing w:line="19" w:lineRule="atLeast"/>
        <w:ind w:left="-180" w:right="-174"/>
        <w:jc w:val="both"/>
        <w:rPr>
          <w:rFonts w:ascii="Verdana" w:hAnsi="Verdana"/>
          <w:sz w:val="16"/>
          <w:szCs w:val="16"/>
        </w:rPr>
      </w:pPr>
      <w:r w:rsidRPr="00293A42">
        <w:rPr>
          <w:rStyle w:val="Refdenotaalpie"/>
          <w:rFonts w:ascii="Verdana" w:hAnsi="Verdana"/>
          <w:sz w:val="16"/>
          <w:szCs w:val="16"/>
        </w:rPr>
        <w:footnoteRef/>
      </w:r>
      <w:r w:rsidRPr="00293A42">
        <w:rPr>
          <w:rFonts w:ascii="Verdana" w:hAnsi="Verdana"/>
          <w:sz w:val="16"/>
          <w:szCs w:val="16"/>
        </w:rPr>
        <w:t xml:space="preserve"> </w:t>
      </w:r>
      <w:r w:rsidRPr="00293A42">
        <w:rPr>
          <w:rFonts w:ascii="Verdana" w:hAnsi="Verdana"/>
          <w:i/>
          <w:sz w:val="16"/>
          <w:szCs w:val="16"/>
        </w:rPr>
        <w:t xml:space="preserve">Cfr. </w:t>
      </w:r>
      <w:r w:rsidRPr="00293A42">
        <w:rPr>
          <w:rFonts w:ascii="Verdana" w:hAnsi="Verdana"/>
          <w:i/>
          <w:spacing w:val="-4"/>
          <w:sz w:val="16"/>
          <w:szCs w:val="16"/>
        </w:rPr>
        <w:t>Caso Goiburú y otros</w:t>
      </w:r>
      <w:r>
        <w:rPr>
          <w:rFonts w:ascii="Verdana" w:hAnsi="Verdana"/>
          <w:i/>
          <w:spacing w:val="-4"/>
          <w:sz w:val="16"/>
          <w:szCs w:val="16"/>
        </w:rPr>
        <w:t xml:space="preserve">, </w:t>
      </w:r>
      <w:r>
        <w:rPr>
          <w:rFonts w:ascii="Verdana" w:hAnsi="Verdana"/>
          <w:spacing w:val="-4"/>
          <w:sz w:val="16"/>
          <w:szCs w:val="16"/>
        </w:rPr>
        <w:t>supra</w:t>
      </w:r>
      <w:r w:rsidRPr="00293A42">
        <w:rPr>
          <w:rFonts w:ascii="Verdana" w:hAnsi="Verdana"/>
          <w:i/>
          <w:spacing w:val="-4"/>
          <w:sz w:val="16"/>
          <w:szCs w:val="16"/>
        </w:rPr>
        <w:t xml:space="preserve">, </w:t>
      </w:r>
      <w:r w:rsidRPr="00293A42">
        <w:rPr>
          <w:rFonts w:ascii="Verdana" w:hAnsi="Verdana"/>
          <w:spacing w:val="-4"/>
          <w:sz w:val="16"/>
          <w:szCs w:val="16"/>
        </w:rPr>
        <w:t xml:space="preserve">párrs. 53 y 63, y </w:t>
      </w:r>
      <w:r w:rsidRPr="00293A42">
        <w:rPr>
          <w:rFonts w:ascii="Verdana" w:hAnsi="Verdana"/>
          <w:i/>
          <w:sz w:val="16"/>
          <w:szCs w:val="16"/>
          <w:lang w:val="es-CR"/>
        </w:rPr>
        <w:t>Caso J</w:t>
      </w:r>
      <w:r>
        <w:rPr>
          <w:rFonts w:ascii="Verdana" w:hAnsi="Verdana"/>
          <w:i/>
          <w:sz w:val="16"/>
          <w:szCs w:val="16"/>
          <w:lang w:val="es-CR"/>
        </w:rPr>
        <w:t>., supra</w:t>
      </w:r>
      <w:r w:rsidRPr="00293A42">
        <w:rPr>
          <w:rFonts w:ascii="Verdana" w:hAnsi="Verdana"/>
          <w:sz w:val="16"/>
          <w:szCs w:val="16"/>
          <w:lang w:val="es-CR"/>
        </w:rPr>
        <w:t>, párr. 53.</w:t>
      </w:r>
    </w:p>
  </w:footnote>
  <w:footnote w:id="63">
    <w:p w:rsidR="0081535F" w:rsidRPr="00547BA6" w:rsidRDefault="0081535F" w:rsidP="00422232">
      <w:pPr>
        <w:pStyle w:val="Textonotapie"/>
        <w:tabs>
          <w:tab w:val="left" w:pos="8280"/>
        </w:tabs>
        <w:ind w:left="-180" w:right="-174"/>
        <w:jc w:val="both"/>
        <w:rPr>
          <w:rFonts w:ascii="Verdana" w:hAnsi="Verdana"/>
          <w:sz w:val="16"/>
          <w:szCs w:val="16"/>
          <w:lang w:val="es-CR"/>
        </w:rPr>
      </w:pPr>
      <w:r w:rsidRPr="00293A42">
        <w:rPr>
          <w:rStyle w:val="Refdenotaalpie"/>
          <w:rFonts w:ascii="Verdana" w:hAnsi="Verdana"/>
          <w:sz w:val="16"/>
          <w:szCs w:val="16"/>
        </w:rPr>
        <w:footnoteRef/>
      </w:r>
      <w:r w:rsidRPr="00293A42">
        <w:rPr>
          <w:rFonts w:ascii="Verdana" w:hAnsi="Verdana"/>
          <w:sz w:val="16"/>
          <w:szCs w:val="16"/>
          <w:lang w:val="es-CR"/>
        </w:rPr>
        <w:t xml:space="preserve"> </w:t>
      </w:r>
      <w:r w:rsidRPr="00547BA6">
        <w:rPr>
          <w:rFonts w:ascii="Verdana" w:hAnsi="Verdana"/>
          <w:sz w:val="16"/>
          <w:szCs w:val="16"/>
          <w:lang w:val="es-CR"/>
        </w:rPr>
        <w:t xml:space="preserve">Comisión para el Esclarecimiento Histórico, “Guatemala: Memoria del Silencio”, </w:t>
      </w:r>
      <w:r w:rsidRPr="00547BA6">
        <w:rPr>
          <w:rFonts w:ascii="Verdana" w:hAnsi="Verdana"/>
          <w:i/>
          <w:sz w:val="16"/>
          <w:szCs w:val="16"/>
          <w:lang w:val="es-CR"/>
        </w:rPr>
        <w:t>supra</w:t>
      </w:r>
      <w:r w:rsidRPr="00547BA6">
        <w:rPr>
          <w:rFonts w:ascii="Verdana" w:hAnsi="Verdana"/>
          <w:sz w:val="16"/>
          <w:szCs w:val="16"/>
          <w:lang w:val="es-CR"/>
        </w:rPr>
        <w:t>, pág. 13.</w:t>
      </w:r>
    </w:p>
  </w:footnote>
  <w:footnote w:id="64">
    <w:p w:rsidR="0081535F" w:rsidRPr="00293A42" w:rsidRDefault="0081535F" w:rsidP="00422232">
      <w:pPr>
        <w:pStyle w:val="Textonotapie"/>
        <w:tabs>
          <w:tab w:val="left" w:pos="8280"/>
        </w:tabs>
        <w:ind w:left="-180" w:right="-174"/>
        <w:jc w:val="both"/>
        <w:rPr>
          <w:rFonts w:ascii="Verdana" w:hAnsi="Verdana"/>
          <w:sz w:val="16"/>
          <w:szCs w:val="16"/>
          <w:lang w:val="es-CR"/>
        </w:rPr>
      </w:pPr>
      <w:r w:rsidRPr="00547BA6">
        <w:rPr>
          <w:rStyle w:val="Refdenotaalpie"/>
          <w:rFonts w:ascii="Verdana" w:hAnsi="Verdana"/>
          <w:sz w:val="16"/>
          <w:szCs w:val="16"/>
        </w:rPr>
        <w:footnoteRef/>
      </w:r>
      <w:r w:rsidRPr="00547BA6">
        <w:rPr>
          <w:rFonts w:ascii="Verdana" w:hAnsi="Verdana"/>
          <w:sz w:val="16"/>
          <w:szCs w:val="16"/>
          <w:lang w:val="es-CR"/>
        </w:rPr>
        <w:t xml:space="preserve"> Comisión para el Esclarecimiento Histórico, “Guatemala: Memoria del Silencio”, </w:t>
      </w:r>
      <w:r>
        <w:rPr>
          <w:rFonts w:ascii="Verdana" w:hAnsi="Verdana"/>
          <w:i/>
          <w:sz w:val="16"/>
          <w:szCs w:val="16"/>
          <w:lang w:val="es-CR"/>
        </w:rPr>
        <w:t>supra</w:t>
      </w:r>
      <w:r w:rsidRPr="00547BA6">
        <w:rPr>
          <w:rFonts w:ascii="Verdana" w:hAnsi="Verdana"/>
          <w:sz w:val="16"/>
          <w:szCs w:val="16"/>
          <w:lang w:val="es-CR"/>
        </w:rPr>
        <w:t>, pág.</w:t>
      </w:r>
      <w:r>
        <w:rPr>
          <w:rFonts w:ascii="Verdana" w:hAnsi="Verdana"/>
          <w:sz w:val="16"/>
          <w:szCs w:val="16"/>
          <w:lang w:val="es-CR"/>
        </w:rPr>
        <w:t xml:space="preserve"> </w:t>
      </w:r>
      <w:r w:rsidRPr="00547BA6">
        <w:rPr>
          <w:rFonts w:ascii="Verdana" w:hAnsi="Verdana"/>
          <w:sz w:val="16"/>
          <w:szCs w:val="16"/>
          <w:lang w:val="es-CR"/>
        </w:rPr>
        <w:t>27.</w:t>
      </w:r>
    </w:p>
  </w:footnote>
  <w:footnote w:id="65">
    <w:p w:rsidR="0081535F" w:rsidRPr="00293A42" w:rsidRDefault="0081535F" w:rsidP="00422232">
      <w:pPr>
        <w:pStyle w:val="Textonotapie"/>
        <w:tabs>
          <w:tab w:val="left" w:pos="8280"/>
        </w:tabs>
        <w:ind w:left="-180" w:right="-174"/>
        <w:jc w:val="both"/>
        <w:rPr>
          <w:rFonts w:ascii="Verdana" w:hAnsi="Verdana"/>
          <w:sz w:val="16"/>
          <w:szCs w:val="16"/>
          <w:lang w:val="es-CR"/>
        </w:rPr>
      </w:pPr>
      <w:r w:rsidRPr="00293A42">
        <w:rPr>
          <w:rStyle w:val="Refdenotaalpie"/>
          <w:rFonts w:ascii="Verdana" w:hAnsi="Verdana"/>
          <w:sz w:val="16"/>
          <w:szCs w:val="16"/>
        </w:rPr>
        <w:footnoteRef/>
      </w:r>
      <w:r w:rsidRPr="00293A42">
        <w:rPr>
          <w:rFonts w:ascii="Verdana" w:hAnsi="Verdana"/>
          <w:sz w:val="16"/>
          <w:szCs w:val="16"/>
          <w:lang w:val="es-CR"/>
        </w:rPr>
        <w:t xml:space="preserve"> </w:t>
      </w:r>
      <w:r w:rsidRPr="00293A42">
        <w:rPr>
          <w:rFonts w:ascii="Verdana" w:hAnsi="Verdana"/>
          <w:sz w:val="16"/>
          <w:szCs w:val="16"/>
        </w:rPr>
        <w:t xml:space="preserve">Amnistía Internacional, “Guatemala. Ni protección ni justicia: Homicidios de mujeres en Guatemala”, junio de 2005, </w:t>
      </w:r>
      <w:r w:rsidRPr="00293A42">
        <w:rPr>
          <w:rFonts w:ascii="Verdana" w:hAnsi="Verdana"/>
          <w:sz w:val="16"/>
          <w:szCs w:val="16"/>
          <w:lang w:val="es-CR"/>
        </w:rPr>
        <w:t>pág. 2</w:t>
      </w:r>
      <w:r>
        <w:rPr>
          <w:rFonts w:ascii="Verdana" w:hAnsi="Verdana"/>
          <w:sz w:val="16"/>
          <w:szCs w:val="16"/>
          <w:lang w:val="es-CR"/>
        </w:rPr>
        <w:t xml:space="preserve"> </w:t>
      </w:r>
      <w:r w:rsidRPr="00293A42">
        <w:rPr>
          <w:rFonts w:ascii="Verdana" w:hAnsi="Verdana"/>
          <w:sz w:val="16"/>
          <w:szCs w:val="16"/>
          <w:lang w:val="es-CR"/>
        </w:rPr>
        <w:t xml:space="preserve">(expediente </w:t>
      </w:r>
      <w:r>
        <w:rPr>
          <w:rFonts w:ascii="Verdana" w:hAnsi="Verdana"/>
          <w:sz w:val="16"/>
          <w:szCs w:val="16"/>
          <w:lang w:val="es-CR"/>
        </w:rPr>
        <w:t xml:space="preserve">de anexos </w:t>
      </w:r>
      <w:r w:rsidRPr="00293A42">
        <w:rPr>
          <w:rFonts w:ascii="Verdana" w:hAnsi="Verdana"/>
          <w:sz w:val="16"/>
          <w:szCs w:val="16"/>
          <w:lang w:val="es-CR"/>
        </w:rPr>
        <w:t>al</w:t>
      </w:r>
      <w:r>
        <w:rPr>
          <w:rFonts w:ascii="Verdana" w:hAnsi="Verdana"/>
          <w:sz w:val="16"/>
          <w:szCs w:val="16"/>
          <w:lang w:val="es-CR"/>
        </w:rPr>
        <w:t xml:space="preserve"> Informe de Fondo</w:t>
      </w:r>
      <w:r w:rsidRPr="00293A42">
        <w:rPr>
          <w:rFonts w:ascii="Verdana" w:hAnsi="Verdana"/>
          <w:sz w:val="16"/>
          <w:szCs w:val="16"/>
          <w:lang w:val="es-CR"/>
        </w:rPr>
        <w:t xml:space="preserve">, </w:t>
      </w:r>
      <w:r>
        <w:rPr>
          <w:rFonts w:ascii="Verdana" w:hAnsi="Verdana"/>
          <w:sz w:val="16"/>
          <w:szCs w:val="16"/>
          <w:lang w:val="es-CR"/>
        </w:rPr>
        <w:t xml:space="preserve">anexo 33, </w:t>
      </w:r>
      <w:r w:rsidRPr="006B7B23">
        <w:rPr>
          <w:rFonts w:ascii="Verdana" w:hAnsi="Verdana"/>
          <w:sz w:val="16"/>
          <w:szCs w:val="16"/>
          <w:lang w:val="es-CR"/>
        </w:rPr>
        <w:t>fs. 312 a 356</w:t>
      </w:r>
      <w:r w:rsidRPr="00293A42">
        <w:rPr>
          <w:rFonts w:ascii="Verdana" w:hAnsi="Verdana"/>
          <w:sz w:val="16"/>
          <w:szCs w:val="16"/>
          <w:lang w:val="es-CR"/>
        </w:rPr>
        <w:t>)</w:t>
      </w:r>
      <w:r>
        <w:rPr>
          <w:rFonts w:ascii="Verdana" w:hAnsi="Verdana"/>
          <w:sz w:val="16"/>
          <w:szCs w:val="16"/>
        </w:rPr>
        <w:t>.</w:t>
      </w:r>
    </w:p>
  </w:footnote>
  <w:footnote w:id="66">
    <w:p w:rsidR="0081535F" w:rsidRPr="00353432" w:rsidRDefault="0081535F" w:rsidP="00422232">
      <w:pPr>
        <w:pStyle w:val="Textonotapie"/>
        <w:tabs>
          <w:tab w:val="left" w:pos="8280"/>
        </w:tabs>
        <w:spacing w:line="19" w:lineRule="atLeast"/>
        <w:ind w:left="-180" w:right="-174"/>
        <w:jc w:val="both"/>
        <w:rPr>
          <w:rFonts w:ascii="Verdana" w:hAnsi="Verdana"/>
          <w:sz w:val="16"/>
          <w:szCs w:val="16"/>
        </w:rPr>
      </w:pPr>
      <w:r w:rsidRPr="00293A42">
        <w:rPr>
          <w:rStyle w:val="Refdenotaalpie"/>
          <w:rFonts w:ascii="Verdana" w:hAnsi="Verdana"/>
          <w:sz w:val="16"/>
          <w:szCs w:val="16"/>
        </w:rPr>
        <w:footnoteRef/>
      </w:r>
      <w:r w:rsidRPr="00293A42">
        <w:rPr>
          <w:rFonts w:ascii="Verdana" w:hAnsi="Verdana"/>
          <w:sz w:val="16"/>
          <w:szCs w:val="16"/>
        </w:rPr>
        <w:t xml:space="preserve"> Tales expresiones se encuentran, respectivamente, en el Informe de Fondo en el apartado titulado “Contexto de violencia contra mujeres y niñas”, que abarca desde el pá</w:t>
      </w:r>
      <w:r>
        <w:rPr>
          <w:rFonts w:ascii="Verdana" w:hAnsi="Verdana"/>
          <w:sz w:val="16"/>
          <w:szCs w:val="16"/>
        </w:rPr>
        <w:t>rrafo 58 al 66</w:t>
      </w:r>
      <w:r w:rsidRPr="00293A42">
        <w:rPr>
          <w:rFonts w:ascii="Verdana" w:hAnsi="Verdana"/>
          <w:sz w:val="16"/>
          <w:szCs w:val="16"/>
        </w:rPr>
        <w:t xml:space="preserve"> y que se encuentra, a su vez, bajo el título “Hechos Probados”, que incluye los párrafo</w:t>
      </w:r>
      <w:r>
        <w:rPr>
          <w:rFonts w:ascii="Verdana" w:hAnsi="Verdana"/>
          <w:sz w:val="16"/>
          <w:szCs w:val="16"/>
        </w:rPr>
        <w:t>s que van desde el 37 al 72</w:t>
      </w:r>
      <w:r w:rsidRPr="00293A42">
        <w:rPr>
          <w:rFonts w:ascii="Verdana" w:hAnsi="Verdana"/>
          <w:sz w:val="16"/>
          <w:szCs w:val="16"/>
        </w:rPr>
        <w:t>; y en el escrito de solicitudes y argumentos en la sección titulada “Contexto”, que comienza en el folio 27 de dicho escrito y finaliza en el 45 (</w:t>
      </w:r>
      <w:r>
        <w:rPr>
          <w:rFonts w:ascii="Verdana" w:hAnsi="Verdana"/>
          <w:sz w:val="16"/>
          <w:szCs w:val="16"/>
        </w:rPr>
        <w:t>e</w:t>
      </w:r>
      <w:r w:rsidRPr="00293A42">
        <w:rPr>
          <w:rFonts w:ascii="Verdana" w:hAnsi="Verdana"/>
          <w:sz w:val="16"/>
          <w:szCs w:val="16"/>
        </w:rPr>
        <w:t xml:space="preserve">xpediente de </w:t>
      </w:r>
      <w:r>
        <w:rPr>
          <w:rFonts w:ascii="Verdana" w:hAnsi="Verdana"/>
          <w:sz w:val="16"/>
          <w:szCs w:val="16"/>
        </w:rPr>
        <w:t xml:space="preserve">excepciones preliminares, </w:t>
      </w:r>
      <w:r w:rsidRPr="00293A42">
        <w:rPr>
          <w:rFonts w:ascii="Verdana" w:hAnsi="Verdana"/>
          <w:sz w:val="16"/>
          <w:szCs w:val="16"/>
        </w:rPr>
        <w:t>fondo,</w:t>
      </w:r>
      <w:r>
        <w:rPr>
          <w:rFonts w:ascii="Verdana" w:hAnsi="Verdana"/>
          <w:sz w:val="16"/>
          <w:szCs w:val="16"/>
        </w:rPr>
        <w:t xml:space="preserve"> y reparaciones y costas, </w:t>
      </w:r>
      <w:r w:rsidRPr="00293A42">
        <w:rPr>
          <w:rFonts w:ascii="Verdana" w:hAnsi="Verdana"/>
          <w:sz w:val="16"/>
          <w:szCs w:val="16"/>
        </w:rPr>
        <w:t xml:space="preserve">fs. 20 a 23 y </w:t>
      </w:r>
      <w:r>
        <w:rPr>
          <w:rFonts w:ascii="Verdana" w:hAnsi="Verdana"/>
          <w:sz w:val="16"/>
          <w:szCs w:val="16"/>
        </w:rPr>
        <w:t>118 a 136</w:t>
      </w:r>
      <w:r w:rsidRPr="00293A42">
        <w:rPr>
          <w:rFonts w:ascii="Verdana" w:hAnsi="Verdana"/>
          <w:sz w:val="16"/>
          <w:szCs w:val="16"/>
        </w:rPr>
        <w:t xml:space="preserve">, respectivamente). </w:t>
      </w:r>
    </w:p>
  </w:footnote>
  <w:footnote w:id="67">
    <w:p w:rsidR="0081535F" w:rsidRPr="00C71D45" w:rsidRDefault="0081535F" w:rsidP="00422232">
      <w:pPr>
        <w:pStyle w:val="Textonotapie"/>
        <w:spacing w:line="19" w:lineRule="atLeast"/>
        <w:ind w:left="-180" w:right="-174"/>
        <w:jc w:val="both"/>
        <w:rPr>
          <w:rFonts w:ascii="Verdana" w:hAnsi="Verdana"/>
          <w:sz w:val="16"/>
          <w:szCs w:val="16"/>
        </w:rPr>
      </w:pPr>
      <w:r w:rsidRPr="00C71D45">
        <w:rPr>
          <w:rStyle w:val="Refdenotaalpie"/>
          <w:rFonts w:ascii="Verdana" w:hAnsi="Verdana"/>
          <w:sz w:val="16"/>
          <w:szCs w:val="16"/>
        </w:rPr>
        <w:footnoteRef/>
      </w:r>
      <w:r>
        <w:rPr>
          <w:rFonts w:ascii="Verdana" w:hAnsi="Verdana"/>
          <w:sz w:val="16"/>
          <w:szCs w:val="16"/>
        </w:rPr>
        <w:t xml:space="preserve"> </w:t>
      </w:r>
      <w:r w:rsidRPr="00F72621">
        <w:rPr>
          <w:rFonts w:ascii="Verdana" w:hAnsi="Verdana"/>
          <w:sz w:val="16"/>
          <w:szCs w:val="16"/>
        </w:rPr>
        <w:t xml:space="preserve">En sus alegatos finales escritos, el Estado </w:t>
      </w:r>
      <w:r w:rsidRPr="00BA6DE7">
        <w:rPr>
          <w:rFonts w:ascii="Verdana" w:hAnsi="Verdana"/>
          <w:sz w:val="16"/>
          <w:szCs w:val="16"/>
        </w:rPr>
        <w:t xml:space="preserve">señaló </w:t>
      </w:r>
      <w:r w:rsidRPr="00F72621">
        <w:rPr>
          <w:rFonts w:ascii="Verdana" w:hAnsi="Verdana"/>
          <w:sz w:val="16"/>
          <w:szCs w:val="16"/>
        </w:rPr>
        <w:t xml:space="preserve">“la creación e implementación del Sistema Nacional de Información sobre Violencia en contra de la Mujer[. …] Dicho sistema puede ser verificado en su página web: </w:t>
      </w:r>
      <w:hyperlink r:id="rId17" w:history="1">
        <w:r w:rsidRPr="00F72621">
          <w:rPr>
            <w:rStyle w:val="Hipervnculo"/>
            <w:rFonts w:ascii="Verdana" w:hAnsi="Verdana"/>
            <w:sz w:val="16"/>
            <w:szCs w:val="16"/>
          </w:rPr>
          <w:t>http://www.ine.gob.gt/np/snvcm/index</w:t>
        </w:r>
      </w:hyperlink>
      <w:r w:rsidRPr="00F72621">
        <w:rPr>
          <w:rFonts w:ascii="Verdana" w:hAnsi="Verdana"/>
          <w:sz w:val="16"/>
          <w:szCs w:val="16"/>
        </w:rPr>
        <w:t>”. La Corte ha constatado que dicho sitio de internet contiene información sobre hechos sucedidos de 2008 en adelante.</w:t>
      </w:r>
      <w:r w:rsidRPr="00C71D45">
        <w:rPr>
          <w:rFonts w:ascii="Verdana" w:hAnsi="Verdana"/>
          <w:sz w:val="16"/>
          <w:szCs w:val="16"/>
        </w:rPr>
        <w:t xml:space="preserve"> </w:t>
      </w:r>
    </w:p>
  </w:footnote>
  <w:footnote w:id="68">
    <w:p w:rsidR="0081535F" w:rsidRPr="00C71D45" w:rsidRDefault="0081535F" w:rsidP="00422232">
      <w:pPr>
        <w:shd w:val="clear" w:color="auto" w:fill="FFFFFF"/>
        <w:spacing w:after="0" w:line="19" w:lineRule="atLeast"/>
        <w:ind w:left="-180" w:right="-174"/>
        <w:jc w:val="both"/>
        <w:rPr>
          <w:rFonts w:ascii="Verdana" w:hAnsi="Verdana"/>
          <w:color w:val="222222"/>
          <w:sz w:val="16"/>
          <w:szCs w:val="16"/>
          <w:lang w:val="es-CR"/>
        </w:rPr>
      </w:pPr>
      <w:r w:rsidRPr="00C71D45">
        <w:rPr>
          <w:rStyle w:val="Refdenotaalpie"/>
          <w:rFonts w:ascii="Verdana" w:hAnsi="Verdana"/>
          <w:sz w:val="16"/>
          <w:szCs w:val="16"/>
        </w:rPr>
        <w:footnoteRef/>
      </w:r>
      <w:r>
        <w:rPr>
          <w:rFonts w:ascii="Verdana" w:hAnsi="Verdana"/>
          <w:sz w:val="16"/>
          <w:szCs w:val="16"/>
          <w:lang w:val="es-CR"/>
        </w:rPr>
        <w:t xml:space="preserve"> </w:t>
      </w:r>
      <w:r w:rsidRPr="00C71D45">
        <w:rPr>
          <w:rFonts w:ascii="Verdana" w:hAnsi="Verdana"/>
          <w:sz w:val="16"/>
          <w:szCs w:val="16"/>
        </w:rPr>
        <w:t>La Corte nota que Guatemala aprobó en mayo de 2008 el Decreto N</w:t>
      </w:r>
      <w:r>
        <w:rPr>
          <w:rFonts w:ascii="Verdana" w:hAnsi="Verdana"/>
          <w:sz w:val="16"/>
          <w:szCs w:val="16"/>
        </w:rPr>
        <w:t>o.</w:t>
      </w:r>
      <w:r w:rsidRPr="00C71D45">
        <w:rPr>
          <w:rFonts w:ascii="Verdana" w:hAnsi="Verdana"/>
          <w:sz w:val="16"/>
          <w:szCs w:val="16"/>
        </w:rPr>
        <w:t xml:space="preserve"> 22-2008 o Ley contra el Femicidio y otras formas de </w:t>
      </w:r>
      <w:r>
        <w:rPr>
          <w:rFonts w:ascii="Verdana" w:hAnsi="Verdana"/>
          <w:sz w:val="16"/>
          <w:szCs w:val="16"/>
        </w:rPr>
        <w:t>Violencia contra la Mujer</w:t>
      </w:r>
      <w:r w:rsidRPr="00C71D45">
        <w:rPr>
          <w:rFonts w:ascii="Verdana" w:hAnsi="Verdana" w:cs="Arial"/>
          <w:sz w:val="16"/>
          <w:szCs w:val="16"/>
          <w:lang w:val="es-EC"/>
        </w:rPr>
        <w:t>, la cual tipificó</w:t>
      </w:r>
      <w:r w:rsidRPr="00C71D45">
        <w:rPr>
          <w:rFonts w:ascii="Verdana" w:hAnsi="Verdana"/>
          <w:sz w:val="16"/>
          <w:szCs w:val="16"/>
        </w:rPr>
        <w:t xml:space="preserve"> delitos de acción pública, entre ellos, el de “femicidio”, expresando en su artículo 3 que consiste en la </w:t>
      </w:r>
      <w:r w:rsidRPr="00C71D45">
        <w:rPr>
          <w:rFonts w:ascii="Verdana" w:hAnsi="Verdana"/>
          <w:sz w:val="16"/>
          <w:szCs w:val="16"/>
          <w:lang w:val="es-CR"/>
        </w:rPr>
        <w:t>“[m]</w:t>
      </w:r>
      <w:r w:rsidRPr="00C71D45">
        <w:rPr>
          <w:rFonts w:ascii="Verdana" w:hAnsi="Verdana"/>
          <w:bCs/>
          <w:sz w:val="16"/>
          <w:szCs w:val="16"/>
          <w:lang w:val="es-CR"/>
        </w:rPr>
        <w:t>uerte violenta de una mujer, ocasionada en el contexto de las relaciones desiguales de poder entre hombres y mujeres, en ejercicio del poder de género en contra de las mujeres”.</w:t>
      </w:r>
      <w:r w:rsidRPr="00C71D45">
        <w:rPr>
          <w:rFonts w:ascii="Verdana" w:hAnsi="Verdana" w:cs="Times"/>
          <w:sz w:val="16"/>
          <w:szCs w:val="16"/>
          <w:lang w:val="es-EC"/>
        </w:rPr>
        <w:t xml:space="preserve"> </w:t>
      </w:r>
      <w:r w:rsidRPr="00C71D45">
        <w:rPr>
          <w:rFonts w:ascii="Verdana" w:hAnsi="Verdana"/>
          <w:sz w:val="16"/>
          <w:szCs w:val="16"/>
        </w:rPr>
        <w:t xml:space="preserve"> Además, </w:t>
      </w:r>
      <w:r w:rsidRPr="00C71D45">
        <w:rPr>
          <w:rFonts w:ascii="Verdana" w:hAnsi="Verdana" w:cs="Arial"/>
          <w:sz w:val="16"/>
          <w:szCs w:val="16"/>
        </w:rPr>
        <w:t>las peritas Ana Carcedo</w:t>
      </w:r>
      <w:r>
        <w:rPr>
          <w:rFonts w:ascii="Verdana" w:hAnsi="Verdana" w:cs="Arial"/>
          <w:sz w:val="16"/>
          <w:szCs w:val="16"/>
        </w:rPr>
        <w:t xml:space="preserve"> Cabañas</w:t>
      </w:r>
      <w:r w:rsidRPr="00C71D45">
        <w:rPr>
          <w:rFonts w:ascii="Verdana" w:hAnsi="Verdana" w:cs="Times"/>
          <w:sz w:val="16"/>
          <w:szCs w:val="16"/>
        </w:rPr>
        <w:t xml:space="preserve"> y </w:t>
      </w:r>
      <w:r w:rsidRPr="00396088">
        <w:rPr>
          <w:rFonts w:ascii="Verdana" w:hAnsi="Verdana" w:cs="Times"/>
          <w:sz w:val="16"/>
          <w:szCs w:val="16"/>
        </w:rPr>
        <w:t>María Eugenia Solís García</w:t>
      </w:r>
      <w:r w:rsidRPr="00C71D45">
        <w:rPr>
          <w:rFonts w:ascii="Verdana" w:hAnsi="Verdana" w:cs="Times"/>
          <w:sz w:val="16"/>
          <w:szCs w:val="16"/>
        </w:rPr>
        <w:t xml:space="preserve"> señalaron que las muertes violentas de mujeres en Guatemala podían</w:t>
      </w:r>
      <w:r>
        <w:rPr>
          <w:rFonts w:ascii="Verdana" w:hAnsi="Verdana" w:cs="Times"/>
          <w:sz w:val="16"/>
          <w:szCs w:val="16"/>
        </w:rPr>
        <w:t xml:space="preserve"> c</w:t>
      </w:r>
      <w:r w:rsidRPr="00C71D45">
        <w:rPr>
          <w:rFonts w:ascii="Verdana" w:hAnsi="Verdana" w:cs="Times"/>
          <w:sz w:val="16"/>
          <w:szCs w:val="16"/>
        </w:rPr>
        <w:t xml:space="preserve">alificarse </w:t>
      </w:r>
      <w:r w:rsidRPr="00C71D45">
        <w:rPr>
          <w:rFonts w:ascii="Verdana" w:hAnsi="Verdana" w:cs="Arial"/>
          <w:sz w:val="16"/>
          <w:szCs w:val="16"/>
        </w:rPr>
        <w:t>como “femicidio”</w:t>
      </w:r>
      <w:r>
        <w:rPr>
          <w:rFonts w:ascii="Verdana" w:hAnsi="Verdana" w:cs="Arial"/>
          <w:sz w:val="16"/>
          <w:szCs w:val="16"/>
        </w:rPr>
        <w:t xml:space="preserve">. </w:t>
      </w:r>
      <w:r w:rsidRPr="00547BA6">
        <w:rPr>
          <w:rFonts w:ascii="Verdana" w:hAnsi="Verdana" w:cs="Arial"/>
          <w:i/>
          <w:sz w:val="16"/>
          <w:szCs w:val="16"/>
        </w:rPr>
        <w:t>Cfr</w:t>
      </w:r>
      <w:r w:rsidRPr="00BB0D81">
        <w:rPr>
          <w:rFonts w:ascii="Verdana" w:hAnsi="Verdana" w:cs="Arial"/>
          <w:sz w:val="16"/>
          <w:szCs w:val="16"/>
        </w:rPr>
        <w:t>. D</w:t>
      </w:r>
      <w:r w:rsidRPr="00547BA6">
        <w:rPr>
          <w:rFonts w:ascii="Verdana" w:hAnsi="Verdana" w:cs="Arial"/>
          <w:sz w:val="16"/>
          <w:szCs w:val="16"/>
        </w:rPr>
        <w:t>ictamen pericial</w:t>
      </w:r>
      <w:r w:rsidRPr="00BB0D81">
        <w:rPr>
          <w:rFonts w:ascii="Verdana" w:hAnsi="Verdana" w:cs="Arial"/>
          <w:sz w:val="16"/>
          <w:szCs w:val="16"/>
        </w:rPr>
        <w:t xml:space="preserve"> de Ana Carcedo Cabañas rendid</w:t>
      </w:r>
      <w:r>
        <w:rPr>
          <w:rFonts w:ascii="Verdana" w:hAnsi="Verdana" w:cs="Arial"/>
          <w:sz w:val="16"/>
          <w:szCs w:val="16"/>
        </w:rPr>
        <w:t xml:space="preserve">o mediante </w:t>
      </w:r>
      <w:r w:rsidRPr="00547BA6">
        <w:rPr>
          <w:rFonts w:ascii="Verdana" w:hAnsi="Verdana" w:cs="Arial"/>
          <w:i/>
          <w:sz w:val="16"/>
          <w:szCs w:val="16"/>
        </w:rPr>
        <w:t>affidávit</w:t>
      </w:r>
      <w:r w:rsidRPr="00BB0D81">
        <w:rPr>
          <w:rFonts w:ascii="Verdana" w:hAnsi="Verdana" w:cs="Arial"/>
          <w:sz w:val="16"/>
          <w:szCs w:val="16"/>
        </w:rPr>
        <w:t xml:space="preserve"> </w:t>
      </w:r>
      <w:r>
        <w:rPr>
          <w:rFonts w:ascii="Verdana" w:hAnsi="Verdana" w:cs="Arial"/>
          <w:sz w:val="16"/>
          <w:szCs w:val="16"/>
        </w:rPr>
        <w:t xml:space="preserve">recibido </w:t>
      </w:r>
      <w:r w:rsidRPr="00547BA6">
        <w:rPr>
          <w:rFonts w:ascii="Verdana" w:hAnsi="Verdana" w:cs="Arial"/>
          <w:sz w:val="16"/>
          <w:szCs w:val="16"/>
        </w:rPr>
        <w:t>el 30 de abril de</w:t>
      </w:r>
      <w:r w:rsidRPr="00BB0D81">
        <w:rPr>
          <w:rFonts w:ascii="Verdana" w:hAnsi="Verdana" w:cs="Arial"/>
          <w:sz w:val="16"/>
          <w:szCs w:val="16"/>
        </w:rPr>
        <w:t xml:space="preserve"> 2013 (expediente de excepciones preliminares, fondo, y rep</w:t>
      </w:r>
      <w:r>
        <w:rPr>
          <w:rFonts w:ascii="Verdana" w:hAnsi="Verdana" w:cs="Arial"/>
          <w:sz w:val="16"/>
          <w:szCs w:val="16"/>
        </w:rPr>
        <w:t xml:space="preserve">araciones </w:t>
      </w:r>
      <w:r w:rsidRPr="00BB0D81">
        <w:rPr>
          <w:rFonts w:ascii="Verdana" w:hAnsi="Verdana" w:cs="Arial"/>
          <w:sz w:val="16"/>
          <w:szCs w:val="16"/>
        </w:rPr>
        <w:t>y costas, fs</w:t>
      </w:r>
      <w:r>
        <w:rPr>
          <w:rFonts w:ascii="Verdana" w:hAnsi="Verdana" w:cs="Arial"/>
          <w:sz w:val="16"/>
          <w:szCs w:val="16"/>
        </w:rPr>
        <w:t>.</w:t>
      </w:r>
      <w:r w:rsidRPr="00BB0D81">
        <w:rPr>
          <w:rFonts w:ascii="Verdana" w:hAnsi="Verdana" w:cs="Arial"/>
          <w:sz w:val="16"/>
          <w:szCs w:val="16"/>
        </w:rPr>
        <w:t xml:space="preserve"> </w:t>
      </w:r>
      <w:r>
        <w:rPr>
          <w:rFonts w:ascii="Verdana" w:hAnsi="Verdana" w:cs="Arial"/>
          <w:sz w:val="16"/>
          <w:szCs w:val="16"/>
        </w:rPr>
        <w:t>896 a 906</w:t>
      </w:r>
      <w:r w:rsidRPr="00380048">
        <w:rPr>
          <w:rFonts w:ascii="Verdana" w:hAnsi="Verdana" w:cs="Arial"/>
          <w:sz w:val="16"/>
          <w:szCs w:val="16"/>
        </w:rPr>
        <w:t>)</w:t>
      </w:r>
      <w:r w:rsidRPr="00BB0D81">
        <w:rPr>
          <w:rFonts w:ascii="Verdana" w:hAnsi="Verdana" w:cs="Arial"/>
          <w:sz w:val="16"/>
          <w:szCs w:val="16"/>
        </w:rPr>
        <w:t xml:space="preserve"> y </w:t>
      </w:r>
      <w:r w:rsidRPr="00547BA6">
        <w:rPr>
          <w:rFonts w:ascii="Verdana" w:hAnsi="Verdana" w:cs="Arial"/>
          <w:sz w:val="16"/>
          <w:szCs w:val="16"/>
        </w:rPr>
        <w:t xml:space="preserve">dictamen pericial </w:t>
      </w:r>
      <w:r w:rsidRPr="00BB0D81">
        <w:rPr>
          <w:rFonts w:ascii="Verdana" w:hAnsi="Verdana" w:cs="Arial"/>
          <w:sz w:val="16"/>
          <w:szCs w:val="16"/>
        </w:rPr>
        <w:t xml:space="preserve">de </w:t>
      </w:r>
      <w:r w:rsidRPr="00BB0D81">
        <w:rPr>
          <w:rFonts w:ascii="Verdana" w:hAnsi="Verdana" w:cs="Times"/>
          <w:sz w:val="16"/>
          <w:szCs w:val="16"/>
        </w:rPr>
        <w:t xml:space="preserve">María Eugenia Solís García rendido en </w:t>
      </w:r>
      <w:r w:rsidRPr="00547BA6">
        <w:rPr>
          <w:rFonts w:ascii="Verdana" w:hAnsi="Verdana" w:cs="Times"/>
          <w:sz w:val="16"/>
          <w:szCs w:val="16"/>
        </w:rPr>
        <w:t xml:space="preserve">la </w:t>
      </w:r>
      <w:r w:rsidRPr="00BB0D81">
        <w:rPr>
          <w:rFonts w:ascii="Verdana" w:hAnsi="Verdana" w:cs="Times"/>
          <w:sz w:val="16"/>
          <w:szCs w:val="16"/>
        </w:rPr>
        <w:t>audiencia pública celebrada el</w:t>
      </w:r>
      <w:r w:rsidRPr="00547BA6">
        <w:rPr>
          <w:rFonts w:ascii="Verdana" w:hAnsi="Verdana" w:cs="Times"/>
          <w:sz w:val="16"/>
          <w:szCs w:val="16"/>
        </w:rPr>
        <w:t xml:space="preserve"> </w:t>
      </w:r>
      <w:r w:rsidRPr="00BB0D81">
        <w:rPr>
          <w:rFonts w:ascii="Verdana" w:hAnsi="Verdana" w:cs="Times"/>
          <w:sz w:val="16"/>
          <w:szCs w:val="16"/>
        </w:rPr>
        <w:t>15 de</w:t>
      </w:r>
      <w:r w:rsidRPr="00547BA6">
        <w:rPr>
          <w:rFonts w:ascii="Verdana" w:hAnsi="Verdana" w:cs="Times"/>
          <w:sz w:val="16"/>
          <w:szCs w:val="16"/>
        </w:rPr>
        <w:t xml:space="preserve"> </w:t>
      </w:r>
      <w:r w:rsidRPr="00BB0D81">
        <w:rPr>
          <w:rFonts w:ascii="Verdana" w:hAnsi="Verdana" w:cs="Times"/>
          <w:sz w:val="16"/>
          <w:szCs w:val="16"/>
        </w:rPr>
        <w:t>mayo de 2013</w:t>
      </w:r>
      <w:r w:rsidRPr="00BB0D81">
        <w:rPr>
          <w:rFonts w:ascii="Verdana" w:hAnsi="Verdana" w:cs="Arial"/>
          <w:sz w:val="16"/>
          <w:szCs w:val="16"/>
        </w:rPr>
        <w:t>.</w:t>
      </w:r>
      <w:r w:rsidRPr="00C71D45">
        <w:rPr>
          <w:rFonts w:ascii="Verdana" w:hAnsi="Verdana"/>
          <w:sz w:val="16"/>
          <w:szCs w:val="16"/>
        </w:rPr>
        <w:t xml:space="preserve"> </w:t>
      </w:r>
      <w:r w:rsidRPr="00C71D45">
        <w:rPr>
          <w:rFonts w:ascii="Verdana" w:hAnsi="Verdana" w:cs="Times"/>
          <w:sz w:val="16"/>
          <w:szCs w:val="16"/>
        </w:rPr>
        <w:t xml:space="preserve">Por otra parte, en la Sentencia sobre el caso </w:t>
      </w:r>
      <w:r w:rsidRPr="00C71D45">
        <w:rPr>
          <w:rFonts w:ascii="Verdana" w:hAnsi="Verdana" w:cs="Times"/>
          <w:i/>
          <w:sz w:val="16"/>
          <w:szCs w:val="16"/>
        </w:rPr>
        <w:t xml:space="preserve">González y otras </w:t>
      </w:r>
      <w:r w:rsidRPr="00F72621">
        <w:rPr>
          <w:rFonts w:ascii="Verdana" w:hAnsi="Verdana" w:cs="Times"/>
          <w:i/>
          <w:sz w:val="16"/>
          <w:szCs w:val="16"/>
        </w:rPr>
        <w:t>(“Campo Algodonero”) Vs. Méx</w:t>
      </w:r>
      <w:r w:rsidRPr="00F72621">
        <w:rPr>
          <w:rFonts w:ascii="Verdana" w:hAnsi="Verdana" w:cs="Times"/>
          <w:i/>
          <w:sz w:val="16"/>
          <w:szCs w:val="16"/>
          <w:lang w:val="es-EC"/>
        </w:rPr>
        <w:t>i</w:t>
      </w:r>
      <w:r w:rsidRPr="00F72621">
        <w:rPr>
          <w:rFonts w:ascii="Verdana" w:hAnsi="Verdana" w:cs="Times"/>
          <w:i/>
          <w:sz w:val="16"/>
          <w:szCs w:val="16"/>
        </w:rPr>
        <w:t>co</w:t>
      </w:r>
      <w:r w:rsidRPr="00F72621">
        <w:rPr>
          <w:rFonts w:ascii="Verdana" w:hAnsi="Verdana" w:cs="Times"/>
          <w:sz w:val="16"/>
          <w:szCs w:val="16"/>
        </w:rPr>
        <w:t>, e</w:t>
      </w:r>
      <w:r>
        <w:rPr>
          <w:rFonts w:ascii="Verdana" w:hAnsi="Verdana" w:cs="Times"/>
          <w:sz w:val="16"/>
          <w:szCs w:val="16"/>
        </w:rPr>
        <w:t>ste</w:t>
      </w:r>
      <w:r w:rsidRPr="00F72621">
        <w:rPr>
          <w:rFonts w:ascii="Verdana" w:hAnsi="Verdana" w:cs="Times"/>
          <w:sz w:val="16"/>
          <w:szCs w:val="16"/>
        </w:rPr>
        <w:t xml:space="preserve"> Tribunal</w:t>
      </w:r>
      <w:r w:rsidRPr="00F72621">
        <w:rPr>
          <w:rFonts w:ascii="Verdana" w:hAnsi="Verdana" w:cs="Arial"/>
          <w:sz w:val="16"/>
          <w:szCs w:val="16"/>
          <w:lang w:val="es-EC"/>
        </w:rPr>
        <w:t xml:space="preserve"> utilizó</w:t>
      </w:r>
      <w:r w:rsidRPr="00F72621">
        <w:rPr>
          <w:rFonts w:ascii="Verdana" w:hAnsi="Verdana" w:cs="Times"/>
          <w:sz w:val="16"/>
          <w:szCs w:val="16"/>
        </w:rPr>
        <w:t xml:space="preserve"> la expresión “‘homicidio de mujer por razones de género’, también conocido como feminicidio”</w:t>
      </w:r>
      <w:r w:rsidRPr="00F72621">
        <w:rPr>
          <w:rFonts w:ascii="Verdana" w:hAnsi="Verdana" w:cs="Times"/>
          <w:i/>
          <w:sz w:val="16"/>
          <w:szCs w:val="16"/>
        </w:rPr>
        <w:t xml:space="preserve"> </w:t>
      </w:r>
      <w:r w:rsidRPr="00F72621">
        <w:rPr>
          <w:rFonts w:ascii="Verdana" w:hAnsi="Verdana" w:cs="Times"/>
          <w:sz w:val="16"/>
          <w:szCs w:val="16"/>
        </w:rPr>
        <w:t>(</w:t>
      </w:r>
      <w:r w:rsidRPr="00F72621">
        <w:rPr>
          <w:rFonts w:ascii="Verdana" w:hAnsi="Verdana"/>
          <w:i/>
          <w:sz w:val="16"/>
          <w:szCs w:val="16"/>
          <w:lang w:val="es-CR"/>
        </w:rPr>
        <w:t>Caso Gonzál</w:t>
      </w:r>
      <w:r>
        <w:rPr>
          <w:rFonts w:ascii="Verdana" w:hAnsi="Verdana"/>
          <w:i/>
          <w:sz w:val="16"/>
          <w:szCs w:val="16"/>
          <w:lang w:val="es-CR"/>
        </w:rPr>
        <w:t>ez y otras (“Campo Algodonero</w:t>
      </w:r>
      <w:r w:rsidRPr="000736FC">
        <w:rPr>
          <w:rFonts w:ascii="Verdana" w:hAnsi="Verdana"/>
          <w:i/>
          <w:sz w:val="16"/>
          <w:szCs w:val="16"/>
          <w:lang w:val="es-CR"/>
        </w:rPr>
        <w:t>”), supra</w:t>
      </w:r>
      <w:r w:rsidRPr="000736FC">
        <w:rPr>
          <w:rFonts w:ascii="Verdana" w:hAnsi="Verdana"/>
          <w:sz w:val="16"/>
          <w:szCs w:val="16"/>
          <w:lang w:val="es-CR"/>
        </w:rPr>
        <w:t xml:space="preserve">, párr. 143). </w:t>
      </w:r>
      <w:r w:rsidRPr="000736FC">
        <w:rPr>
          <w:rFonts w:ascii="Verdana" w:hAnsi="Verdana" w:cs="Times"/>
          <w:sz w:val="16"/>
          <w:szCs w:val="16"/>
          <w:lang w:val="es-CR"/>
        </w:rPr>
        <w:t>L</w:t>
      </w:r>
      <w:r w:rsidRPr="000736FC">
        <w:rPr>
          <w:rFonts w:ascii="Verdana" w:hAnsi="Verdana" w:cs="Times"/>
          <w:sz w:val="16"/>
          <w:szCs w:val="16"/>
        </w:rPr>
        <w:t>a</w:t>
      </w:r>
      <w:r w:rsidRPr="00C71D45">
        <w:rPr>
          <w:rFonts w:ascii="Verdana" w:hAnsi="Verdana" w:cs="Times"/>
          <w:sz w:val="16"/>
          <w:szCs w:val="16"/>
        </w:rPr>
        <w:t xml:space="preserve"> Corte aclara que, a efectos de la presente Sentencia, utilizará el término “homicidio de mujer por razón de género” para hacer referencia a “feminicidio” o “femicidio”. Debe entenderse además, en</w:t>
      </w:r>
      <w:r w:rsidRPr="00C71D45">
        <w:rPr>
          <w:rFonts w:ascii="Verdana" w:hAnsi="Verdana" w:cs="Times"/>
          <w:sz w:val="16"/>
          <w:szCs w:val="16"/>
          <w:lang w:val="es-EC"/>
        </w:rPr>
        <w:t xml:space="preserve"> cuanto la Ley contra el Femicidio, que</w:t>
      </w:r>
      <w:r w:rsidRPr="00C71D45">
        <w:rPr>
          <w:rFonts w:ascii="Verdana" w:hAnsi="Verdana"/>
          <w:sz w:val="16"/>
          <w:szCs w:val="16"/>
        </w:rPr>
        <w:t xml:space="preserve"> no estaba vigente en Guatemala al momento de los he</w:t>
      </w:r>
      <w:r>
        <w:rPr>
          <w:rFonts w:ascii="Verdana" w:hAnsi="Verdana"/>
          <w:sz w:val="16"/>
          <w:szCs w:val="16"/>
        </w:rPr>
        <w:t>chos ocurridos a María Isabel Ve</w:t>
      </w:r>
      <w:r w:rsidRPr="00C71D45">
        <w:rPr>
          <w:rFonts w:ascii="Verdana" w:hAnsi="Verdana"/>
          <w:sz w:val="16"/>
          <w:szCs w:val="16"/>
        </w:rPr>
        <w:t>liz Franco, que la referencia de este Tribunal a dicha norma no implica un pronunciamiento sobre su aplica</w:t>
      </w:r>
      <w:r w:rsidRPr="009C51B7">
        <w:rPr>
          <w:rFonts w:ascii="Verdana" w:hAnsi="Verdana"/>
          <w:sz w:val="16"/>
          <w:szCs w:val="16"/>
        </w:rPr>
        <w:t>ción</w:t>
      </w:r>
      <w:r w:rsidRPr="00C71D45">
        <w:rPr>
          <w:rFonts w:ascii="Verdana" w:hAnsi="Verdana"/>
          <w:sz w:val="16"/>
          <w:szCs w:val="16"/>
        </w:rPr>
        <w:t xml:space="preserve"> al caso. </w:t>
      </w:r>
    </w:p>
  </w:footnote>
  <w:footnote w:id="69">
    <w:p w:rsidR="0081535F" w:rsidRPr="00C71D45" w:rsidRDefault="0081535F" w:rsidP="00422232">
      <w:pPr>
        <w:pStyle w:val="Textonotapie"/>
        <w:spacing w:line="19" w:lineRule="atLeast"/>
        <w:ind w:left="-180" w:right="-174"/>
        <w:jc w:val="both"/>
        <w:rPr>
          <w:rFonts w:ascii="Verdana" w:hAnsi="Verdana"/>
          <w:sz w:val="16"/>
          <w:szCs w:val="16"/>
          <w:lang w:val="es-UY"/>
        </w:rPr>
      </w:pPr>
      <w:r w:rsidRPr="00C71D45">
        <w:rPr>
          <w:rStyle w:val="Refdenotaalpie"/>
          <w:rFonts w:ascii="Verdana" w:hAnsi="Verdana"/>
          <w:sz w:val="16"/>
          <w:szCs w:val="16"/>
        </w:rPr>
        <w:footnoteRef/>
      </w:r>
      <w:r>
        <w:rPr>
          <w:rFonts w:ascii="Verdana" w:hAnsi="Verdana"/>
          <w:sz w:val="16"/>
          <w:szCs w:val="16"/>
        </w:rPr>
        <w:t xml:space="preserve"> </w:t>
      </w:r>
      <w:r w:rsidRPr="00F72621">
        <w:rPr>
          <w:rFonts w:ascii="Verdana" w:hAnsi="Verdana"/>
          <w:iCs/>
          <w:sz w:val="16"/>
          <w:szCs w:val="16"/>
          <w:lang w:val="es-UY"/>
        </w:rPr>
        <w:t>Mecanismo de Seguimiento de la</w:t>
      </w:r>
      <w:r w:rsidRPr="007802D0">
        <w:rPr>
          <w:rFonts w:ascii="Verdana" w:hAnsi="Verdana" w:cs="Calibri"/>
          <w:w w:val="95"/>
          <w:sz w:val="20"/>
          <w:lang w:val="es-CR"/>
        </w:rPr>
        <w:t xml:space="preserve"> </w:t>
      </w:r>
      <w:r w:rsidRPr="00C71D45">
        <w:rPr>
          <w:rFonts w:ascii="Verdana" w:hAnsi="Verdana"/>
          <w:iCs/>
          <w:sz w:val="16"/>
          <w:szCs w:val="16"/>
          <w:lang w:val="es-UY"/>
        </w:rPr>
        <w:t>Convención Belém do Pará (MESECVI). Segun</w:t>
      </w:r>
      <w:r>
        <w:rPr>
          <w:rFonts w:ascii="Verdana" w:hAnsi="Verdana"/>
          <w:iCs/>
          <w:sz w:val="16"/>
          <w:szCs w:val="16"/>
          <w:lang w:val="es-UY"/>
        </w:rPr>
        <w:t xml:space="preserve">da Conferencia de Estados Parte, </w:t>
      </w:r>
      <w:r w:rsidRPr="00547BA6">
        <w:rPr>
          <w:rFonts w:ascii="Verdana" w:hAnsi="Verdana"/>
          <w:i/>
          <w:iCs/>
          <w:sz w:val="16"/>
          <w:szCs w:val="16"/>
          <w:lang w:val="es-UY"/>
        </w:rPr>
        <w:t>supra</w:t>
      </w:r>
      <w:r>
        <w:rPr>
          <w:sz w:val="22"/>
          <w:szCs w:val="22"/>
          <w:lang w:val="es-UY"/>
        </w:rPr>
        <w:t xml:space="preserve">, </w:t>
      </w:r>
      <w:r w:rsidRPr="00122C63">
        <w:rPr>
          <w:rFonts w:ascii="Verdana" w:hAnsi="Verdana"/>
          <w:iCs/>
          <w:sz w:val="16"/>
          <w:szCs w:val="16"/>
          <w:lang w:val="pt-PT"/>
        </w:rPr>
        <w:t>pág. 79.</w:t>
      </w:r>
      <w:r w:rsidRPr="00C71D45">
        <w:rPr>
          <w:rFonts w:ascii="Verdana" w:hAnsi="Verdana"/>
          <w:iCs/>
          <w:sz w:val="16"/>
          <w:szCs w:val="16"/>
          <w:lang w:val="pt-PT"/>
        </w:rPr>
        <w:t xml:space="preserve"> </w:t>
      </w:r>
    </w:p>
  </w:footnote>
  <w:footnote w:id="70">
    <w:p w:rsidR="0081535F" w:rsidRPr="00BB0D81" w:rsidRDefault="0081535F" w:rsidP="00422232">
      <w:pPr>
        <w:pStyle w:val="Textonotapie"/>
        <w:spacing w:line="19" w:lineRule="atLeast"/>
        <w:ind w:left="-180" w:right="-174"/>
        <w:jc w:val="both"/>
        <w:rPr>
          <w:rFonts w:ascii="Verdana" w:hAnsi="Verdana"/>
          <w:i/>
          <w:sz w:val="16"/>
          <w:szCs w:val="16"/>
          <w:lang w:val="es-CR"/>
        </w:rPr>
      </w:pPr>
      <w:r w:rsidRPr="00C71D45">
        <w:rPr>
          <w:rStyle w:val="Refdenotaalpie"/>
          <w:rFonts w:ascii="Verdana" w:hAnsi="Verdana"/>
          <w:sz w:val="16"/>
          <w:szCs w:val="16"/>
        </w:rPr>
        <w:footnoteRef/>
      </w:r>
      <w:r>
        <w:rPr>
          <w:rFonts w:ascii="Verdana" w:hAnsi="Verdana"/>
          <w:sz w:val="16"/>
          <w:szCs w:val="16"/>
        </w:rPr>
        <w:t xml:space="preserve"> </w:t>
      </w:r>
      <w:r w:rsidRPr="00C71D45">
        <w:rPr>
          <w:rFonts w:ascii="Verdana" w:hAnsi="Verdana"/>
          <w:sz w:val="16"/>
          <w:szCs w:val="16"/>
          <w:lang w:val="es-CR"/>
        </w:rPr>
        <w:t xml:space="preserve">En forma concordante, </w:t>
      </w:r>
      <w:r>
        <w:rPr>
          <w:rFonts w:ascii="Verdana" w:hAnsi="Verdana"/>
          <w:sz w:val="16"/>
          <w:szCs w:val="16"/>
          <w:lang w:val="es-CR"/>
        </w:rPr>
        <w:t xml:space="preserve">el </w:t>
      </w:r>
      <w:r w:rsidRPr="003C77A8">
        <w:rPr>
          <w:rFonts w:ascii="Verdana" w:hAnsi="Verdana"/>
          <w:sz w:val="16"/>
          <w:szCs w:val="16"/>
        </w:rPr>
        <w:t xml:space="preserve">Órgano de Coordinación de la Prevención, el Castigo y la Erradicación de la Violencia Familiar y la Violencia contra la Mujer </w:t>
      </w:r>
      <w:r>
        <w:rPr>
          <w:rFonts w:ascii="Verdana" w:hAnsi="Verdana"/>
          <w:sz w:val="16"/>
          <w:szCs w:val="16"/>
        </w:rPr>
        <w:t>(</w:t>
      </w:r>
      <w:r w:rsidRPr="00C71D45">
        <w:rPr>
          <w:rFonts w:ascii="Verdana" w:hAnsi="Verdana"/>
          <w:sz w:val="16"/>
          <w:szCs w:val="16"/>
          <w:lang w:val="es-CR"/>
        </w:rPr>
        <w:t>CONAPREVI</w:t>
      </w:r>
      <w:r>
        <w:rPr>
          <w:rFonts w:ascii="Verdana" w:hAnsi="Verdana"/>
          <w:sz w:val="16"/>
          <w:szCs w:val="16"/>
          <w:lang w:val="es-CR"/>
        </w:rPr>
        <w:t>)</w:t>
      </w:r>
      <w:r w:rsidRPr="00C71D45">
        <w:rPr>
          <w:rFonts w:ascii="Verdana" w:hAnsi="Verdana"/>
          <w:sz w:val="16"/>
          <w:szCs w:val="16"/>
          <w:lang w:val="es-CR"/>
        </w:rPr>
        <w:t>, un órgano estatal, expresó que “[e]s difícil cuantificar la magnitud del problema [de la violencia intrafamiliar y en contra de las mujeres] en Guatemala, debido a la falta de registros estadísticos fiables y actualizados”</w:t>
      </w:r>
      <w:r>
        <w:rPr>
          <w:rFonts w:ascii="Verdana" w:hAnsi="Verdana"/>
          <w:sz w:val="16"/>
          <w:szCs w:val="16"/>
          <w:lang w:val="es-CR"/>
        </w:rPr>
        <w:t>.</w:t>
      </w:r>
      <w:r w:rsidRPr="00C71D45">
        <w:rPr>
          <w:rFonts w:ascii="Verdana" w:hAnsi="Verdana"/>
          <w:sz w:val="16"/>
          <w:szCs w:val="16"/>
          <w:lang w:val="es-CR"/>
        </w:rPr>
        <w:t xml:space="preserve"> </w:t>
      </w:r>
      <w:r w:rsidRPr="003C77A8">
        <w:rPr>
          <w:rFonts w:ascii="Verdana" w:hAnsi="Verdana"/>
          <w:sz w:val="16"/>
          <w:szCs w:val="16"/>
        </w:rPr>
        <w:t xml:space="preserve">Órgano de Coordinación de la Prevención, el Castigo y la Erradicación de la Violencia Familiar y la Violencia contra la Mujer </w:t>
      </w:r>
      <w:r>
        <w:rPr>
          <w:rFonts w:ascii="Verdana" w:hAnsi="Verdana"/>
          <w:sz w:val="16"/>
          <w:szCs w:val="16"/>
        </w:rPr>
        <w:t>(</w:t>
      </w:r>
      <w:r w:rsidRPr="00C71D45">
        <w:rPr>
          <w:rFonts w:ascii="Verdana" w:hAnsi="Verdana"/>
          <w:sz w:val="16"/>
          <w:szCs w:val="16"/>
          <w:lang w:val="es-CR"/>
        </w:rPr>
        <w:t>CONAPREVI</w:t>
      </w:r>
      <w:r>
        <w:rPr>
          <w:rFonts w:ascii="Verdana" w:hAnsi="Verdana"/>
          <w:sz w:val="16"/>
          <w:szCs w:val="16"/>
          <w:lang w:val="es-CR"/>
        </w:rPr>
        <w:t>)</w:t>
      </w:r>
      <w:r w:rsidRPr="00C71D45">
        <w:rPr>
          <w:rFonts w:ascii="Verdana" w:hAnsi="Verdana"/>
          <w:sz w:val="16"/>
          <w:szCs w:val="16"/>
          <w:lang w:val="es-CR"/>
        </w:rPr>
        <w:t>, PLANOVI 2004-2014</w:t>
      </w:r>
      <w:r>
        <w:rPr>
          <w:rFonts w:ascii="Verdana" w:hAnsi="Verdana"/>
          <w:sz w:val="16"/>
          <w:szCs w:val="16"/>
          <w:lang w:val="es-CR"/>
        </w:rPr>
        <w:t>:</w:t>
      </w:r>
      <w:r w:rsidRPr="00C71D45">
        <w:rPr>
          <w:rFonts w:ascii="Verdana" w:hAnsi="Verdana"/>
          <w:sz w:val="16"/>
          <w:szCs w:val="16"/>
          <w:lang w:val="es-CR"/>
        </w:rPr>
        <w:t xml:space="preserve"> Plan Nacional de Prevención y Erradicación de de Violencia Intrafamiliar y contra las Mujeres, junio de 2006, pág. 6</w:t>
      </w:r>
      <w:r>
        <w:rPr>
          <w:rFonts w:ascii="Verdana" w:hAnsi="Verdana"/>
          <w:sz w:val="16"/>
          <w:szCs w:val="16"/>
          <w:lang w:val="es-CR"/>
        </w:rPr>
        <w:t xml:space="preserve"> (e</w:t>
      </w:r>
      <w:r w:rsidRPr="00C71D45">
        <w:rPr>
          <w:rFonts w:ascii="Verdana" w:hAnsi="Verdana"/>
          <w:sz w:val="16"/>
          <w:szCs w:val="16"/>
          <w:lang w:val="es-CR"/>
        </w:rPr>
        <w:t xml:space="preserve">xpediente de anexos al escrito de contestación, </w:t>
      </w:r>
      <w:r>
        <w:rPr>
          <w:rFonts w:ascii="Verdana" w:hAnsi="Verdana"/>
          <w:sz w:val="16"/>
          <w:szCs w:val="16"/>
          <w:lang w:val="es-CR"/>
        </w:rPr>
        <w:t>a</w:t>
      </w:r>
      <w:r w:rsidRPr="00C71D45">
        <w:rPr>
          <w:rFonts w:ascii="Verdana" w:hAnsi="Verdana"/>
          <w:sz w:val="16"/>
          <w:szCs w:val="16"/>
          <w:lang w:val="es-CR"/>
        </w:rPr>
        <w:t>nexo 10, fs. 14,073 a 14,093)</w:t>
      </w:r>
      <w:r w:rsidRPr="00CA3B7A">
        <w:rPr>
          <w:rFonts w:ascii="Verdana" w:hAnsi="Verdana"/>
          <w:sz w:val="16"/>
          <w:szCs w:val="16"/>
          <w:lang w:val="es-CR"/>
        </w:rPr>
        <w:t>.</w:t>
      </w:r>
      <w:r w:rsidRPr="00C71D45">
        <w:rPr>
          <w:rFonts w:ascii="Verdana" w:hAnsi="Verdana" w:cs="Calibri"/>
          <w:sz w:val="16"/>
          <w:szCs w:val="16"/>
          <w:lang w:val="es-CR"/>
        </w:rPr>
        <w:t xml:space="preserve"> Por su parte, l</w:t>
      </w:r>
      <w:r w:rsidRPr="00C71D45">
        <w:rPr>
          <w:rFonts w:ascii="Verdana" w:hAnsi="Verdana"/>
          <w:sz w:val="16"/>
          <w:szCs w:val="16"/>
          <w:lang w:val="es-CR"/>
        </w:rPr>
        <w:t>a perita Ana Carcedo Cabañas declaró que “[e]l primer hallazgo significativo en materia de femicidio en lo que atañe a Guatemala es la dificultad para encontrar la información necesaria […]. Es el país centroamericano en el que, al menos hasta 2006, este problema es más frecuente. […] Para el año 2003 esto fue cuantificado; mientras en otros países de la región se presentaban problemas severos de información en un 20% de los homicidios o menos, en Guatemala es</w:t>
      </w:r>
      <w:r>
        <w:rPr>
          <w:rFonts w:ascii="Verdana" w:hAnsi="Verdana"/>
          <w:sz w:val="16"/>
          <w:szCs w:val="16"/>
          <w:lang w:val="es-CR"/>
        </w:rPr>
        <w:t xml:space="preserve">te porcentaje ascendió al 70%”. La </w:t>
      </w:r>
      <w:r w:rsidRPr="00C71D45">
        <w:rPr>
          <w:rFonts w:ascii="Verdana" w:hAnsi="Verdana"/>
          <w:sz w:val="16"/>
          <w:szCs w:val="16"/>
          <w:lang w:val="es-CR"/>
        </w:rPr>
        <w:t>perita vinculó lo anterior a las actuaciones del sistema “policial-</w:t>
      </w:r>
      <w:r>
        <w:rPr>
          <w:rFonts w:ascii="Verdana" w:hAnsi="Verdana"/>
          <w:sz w:val="16"/>
          <w:szCs w:val="16"/>
          <w:lang w:val="es-CR"/>
        </w:rPr>
        <w:t xml:space="preserve">judicial”, </w:t>
      </w:r>
      <w:r w:rsidRPr="00C71D45">
        <w:rPr>
          <w:rFonts w:ascii="Verdana" w:hAnsi="Verdana"/>
          <w:sz w:val="16"/>
          <w:szCs w:val="16"/>
          <w:lang w:val="es-CR"/>
        </w:rPr>
        <w:t>al afirmar que [l] as investigaciones sociales […] tienen como fuente privilegiada a la</w:t>
      </w:r>
      <w:r>
        <w:rPr>
          <w:rFonts w:ascii="Verdana" w:hAnsi="Verdana"/>
          <w:sz w:val="16"/>
          <w:szCs w:val="16"/>
          <w:lang w:val="es-CR"/>
        </w:rPr>
        <w:t>s instituciones estatales, y […l]</w:t>
      </w:r>
      <w:r w:rsidRPr="00C71D45">
        <w:rPr>
          <w:rFonts w:ascii="Verdana" w:hAnsi="Verdana"/>
          <w:sz w:val="16"/>
          <w:szCs w:val="16"/>
          <w:lang w:val="es-CR"/>
        </w:rPr>
        <w:t>as deficiencias de información [de ese sistema] difícilmente pueden ser subsanadas por otras fuentes”.</w:t>
      </w:r>
      <w:r>
        <w:rPr>
          <w:rFonts w:ascii="Verdana" w:hAnsi="Verdana"/>
          <w:sz w:val="16"/>
          <w:szCs w:val="16"/>
          <w:lang w:val="es-CR"/>
        </w:rPr>
        <w:t xml:space="preserve"> </w:t>
      </w:r>
      <w:r w:rsidRPr="00547BA6">
        <w:rPr>
          <w:rFonts w:ascii="Verdana" w:hAnsi="Verdana"/>
          <w:i/>
          <w:sz w:val="16"/>
          <w:szCs w:val="16"/>
          <w:lang w:val="es-CR"/>
        </w:rPr>
        <w:t>Cfr.</w:t>
      </w:r>
      <w:r w:rsidRPr="00BB0D81">
        <w:rPr>
          <w:rFonts w:ascii="Verdana" w:hAnsi="Verdana"/>
          <w:sz w:val="16"/>
          <w:szCs w:val="16"/>
          <w:lang w:val="es-CR"/>
        </w:rPr>
        <w:t xml:space="preserve"> </w:t>
      </w:r>
      <w:r w:rsidRPr="00547BA6">
        <w:rPr>
          <w:rFonts w:ascii="Verdana" w:eastAsia="Times New Roman" w:hAnsi="Verdana" w:cs="Arial"/>
          <w:sz w:val="16"/>
          <w:szCs w:val="16"/>
          <w:lang w:val="es-MX"/>
        </w:rPr>
        <w:t>Dictamen pericial de Ana Carcedo Cabañas</w:t>
      </w:r>
      <w:r w:rsidRPr="00BB0D81">
        <w:rPr>
          <w:rFonts w:ascii="Verdana" w:eastAsia="Times New Roman" w:hAnsi="Verdana" w:cs="Arial"/>
          <w:sz w:val="16"/>
          <w:szCs w:val="16"/>
          <w:lang w:val="es-MX"/>
        </w:rPr>
        <w:t xml:space="preserve">, </w:t>
      </w:r>
      <w:r w:rsidRPr="00547BA6">
        <w:rPr>
          <w:rFonts w:ascii="Verdana" w:eastAsia="Times New Roman" w:hAnsi="Verdana" w:cs="Arial"/>
          <w:i/>
          <w:sz w:val="16"/>
          <w:szCs w:val="16"/>
          <w:lang w:val="es-MX"/>
        </w:rPr>
        <w:t>supra</w:t>
      </w:r>
      <w:r w:rsidRPr="00BB0D81">
        <w:rPr>
          <w:rFonts w:ascii="Verdana" w:eastAsia="Times New Roman" w:hAnsi="Verdana" w:cs="Arial"/>
          <w:sz w:val="16"/>
          <w:szCs w:val="16"/>
          <w:lang w:val="es-MX"/>
        </w:rPr>
        <w:t>.</w:t>
      </w:r>
      <w:r w:rsidRPr="00BB0D81">
        <w:rPr>
          <w:rFonts w:ascii="Verdana" w:hAnsi="Verdana"/>
          <w:sz w:val="16"/>
          <w:szCs w:val="16"/>
          <w:lang w:val="es-CR"/>
        </w:rPr>
        <w:t xml:space="preserve"> </w:t>
      </w:r>
      <w:r>
        <w:rPr>
          <w:rFonts w:ascii="Verdana" w:hAnsi="Verdana"/>
          <w:sz w:val="16"/>
          <w:szCs w:val="16"/>
          <w:lang w:val="es-CR"/>
        </w:rPr>
        <w:t>La perita María Eugenia Solís García, a su vez, declaró  que “[e]n el [2001] no se producía dato estadístico [sobre homicidios por razón de género], y en la actualidad se produce y no hay coincidencia [… E]l Ministerio Público y el [</w:t>
      </w:r>
      <w:r>
        <w:rPr>
          <w:rStyle w:val="st"/>
          <w:rFonts w:ascii="Verdana" w:hAnsi="Verdana"/>
          <w:sz w:val="16"/>
          <w:szCs w:val="16"/>
          <w:lang w:val="es-CR"/>
        </w:rPr>
        <w:t>Instituto Nacional de Ciencias Forenses de</w:t>
      </w:r>
      <w:r>
        <w:rPr>
          <w:rStyle w:val="st"/>
          <w:rFonts w:ascii="Verdana" w:hAnsi="Verdana"/>
          <w:i/>
          <w:sz w:val="16"/>
          <w:szCs w:val="16"/>
          <w:lang w:val="es-CR"/>
        </w:rPr>
        <w:t xml:space="preserve"> </w:t>
      </w:r>
      <w:r>
        <w:rPr>
          <w:rStyle w:val="nfasis"/>
          <w:rFonts w:ascii="Verdana" w:hAnsi="Verdana"/>
          <w:i w:val="0"/>
          <w:sz w:val="16"/>
          <w:szCs w:val="16"/>
          <w:lang w:val="es-CR"/>
        </w:rPr>
        <w:t>Guatemala]</w:t>
      </w:r>
      <w:r w:rsidRPr="00547BA6">
        <w:rPr>
          <w:rFonts w:ascii="Verdana" w:hAnsi="Verdana"/>
          <w:sz w:val="16"/>
          <w:szCs w:val="16"/>
          <w:lang w:val="es-CR"/>
        </w:rPr>
        <w:t xml:space="preserve"> INACIF son los que más se acercan, pero no hay compatibilidad en la cifra. La policía nacional da una, el Ministerio Público otra el Organismo Judicial da otra, los medios dan otra […]”. </w:t>
      </w:r>
      <w:r w:rsidRPr="00547BA6">
        <w:rPr>
          <w:rFonts w:ascii="Verdana" w:hAnsi="Verdana"/>
          <w:i/>
          <w:sz w:val="16"/>
          <w:szCs w:val="16"/>
          <w:lang w:val="es-CR"/>
        </w:rPr>
        <w:t>Cfr.</w:t>
      </w:r>
      <w:r>
        <w:rPr>
          <w:rFonts w:ascii="Verdana" w:hAnsi="Verdana"/>
          <w:sz w:val="16"/>
          <w:szCs w:val="16"/>
          <w:lang w:val="es-CR"/>
        </w:rPr>
        <w:t xml:space="preserve"> Dictamen pericial de </w:t>
      </w:r>
      <w:r w:rsidRPr="00BB0D81">
        <w:rPr>
          <w:rFonts w:ascii="Verdana" w:hAnsi="Verdana"/>
          <w:sz w:val="16"/>
          <w:szCs w:val="16"/>
          <w:lang w:val="es-CR"/>
        </w:rPr>
        <w:t xml:space="preserve">María Eugenia Solís García, </w:t>
      </w:r>
      <w:r w:rsidRPr="00130B10">
        <w:rPr>
          <w:rFonts w:ascii="Verdana" w:hAnsi="Verdana"/>
          <w:i/>
          <w:sz w:val="16"/>
          <w:szCs w:val="16"/>
          <w:lang w:val="es-CR"/>
        </w:rPr>
        <w:t>supra.</w:t>
      </w:r>
    </w:p>
  </w:footnote>
  <w:footnote w:id="71">
    <w:p w:rsidR="0081535F" w:rsidRPr="00C71D45" w:rsidRDefault="0081535F" w:rsidP="00422232">
      <w:pPr>
        <w:pStyle w:val="Textonotapie"/>
        <w:spacing w:line="19" w:lineRule="atLeast"/>
        <w:ind w:left="-180" w:right="-174"/>
        <w:jc w:val="both"/>
        <w:rPr>
          <w:rFonts w:ascii="Verdana" w:hAnsi="Verdana"/>
          <w:sz w:val="16"/>
          <w:szCs w:val="16"/>
          <w:lang w:val="es-CR"/>
        </w:rPr>
      </w:pPr>
      <w:r w:rsidRPr="00BB0D81">
        <w:rPr>
          <w:rStyle w:val="Refdenotaalpie"/>
          <w:rFonts w:ascii="Verdana" w:hAnsi="Verdana"/>
          <w:sz w:val="16"/>
          <w:szCs w:val="16"/>
        </w:rPr>
        <w:footnoteRef/>
      </w:r>
      <w:r>
        <w:rPr>
          <w:rFonts w:ascii="Verdana" w:hAnsi="Verdana"/>
          <w:sz w:val="16"/>
          <w:szCs w:val="16"/>
        </w:rPr>
        <w:t xml:space="preserve"> </w:t>
      </w:r>
      <w:r w:rsidRPr="002B2B36">
        <w:rPr>
          <w:rFonts w:ascii="Verdana" w:hAnsi="Verdana"/>
          <w:i/>
          <w:sz w:val="16"/>
          <w:szCs w:val="16"/>
        </w:rPr>
        <w:t>Cfr.</w:t>
      </w:r>
      <w:r>
        <w:rPr>
          <w:rFonts w:ascii="Verdana" w:hAnsi="Verdana"/>
          <w:sz w:val="16"/>
          <w:szCs w:val="16"/>
        </w:rPr>
        <w:t xml:space="preserve"> </w:t>
      </w:r>
      <w:r w:rsidRPr="00BB0D81">
        <w:rPr>
          <w:rFonts w:ascii="Verdana" w:hAnsi="Verdana"/>
          <w:sz w:val="16"/>
          <w:szCs w:val="16"/>
        </w:rPr>
        <w:t xml:space="preserve">El </w:t>
      </w:r>
      <w:r w:rsidRPr="006B7B23">
        <w:rPr>
          <w:rFonts w:ascii="Verdana" w:hAnsi="Verdana"/>
          <w:sz w:val="16"/>
          <w:szCs w:val="16"/>
          <w:lang w:val="es-CR"/>
        </w:rPr>
        <w:t>Programa de las Naciones Unidas para el Desarrollo</w:t>
      </w:r>
      <w:r w:rsidRPr="00BB0D81">
        <w:rPr>
          <w:rFonts w:ascii="Verdana" w:hAnsi="Verdana"/>
          <w:sz w:val="16"/>
          <w:szCs w:val="16"/>
        </w:rPr>
        <w:t xml:space="preserve"> afirmó, indicando que lo hacía con base en datos de la Policía Nacional Civil, que “</w:t>
      </w:r>
      <w:r w:rsidRPr="00BB0D81">
        <w:rPr>
          <w:rFonts w:ascii="Verdana" w:hAnsi="Verdana"/>
          <w:sz w:val="16"/>
          <w:szCs w:val="16"/>
          <w:lang w:val="es-CR"/>
        </w:rPr>
        <w:t>la violencia homicida</w:t>
      </w:r>
      <w:r w:rsidRPr="00C71D45">
        <w:rPr>
          <w:rFonts w:ascii="Verdana" w:hAnsi="Verdana"/>
          <w:sz w:val="16"/>
          <w:szCs w:val="16"/>
          <w:lang w:val="es-CR"/>
        </w:rPr>
        <w:t xml:space="preserve"> [en Guatemala] ha aumentado más de 120% pasando de 2,655 homicidios en 1,999 a 5,885 en 2,006. Este crecimiento equivale a un aumento mayor al 12% por año desde 1,999 superando ampliamente al crecimiento poblacional que es inferior al 2.6% anual”. </w:t>
      </w:r>
      <w:r w:rsidRPr="006B7B23">
        <w:rPr>
          <w:rFonts w:ascii="Verdana" w:hAnsi="Verdana"/>
          <w:sz w:val="16"/>
          <w:szCs w:val="16"/>
          <w:lang w:val="es-CR"/>
        </w:rPr>
        <w:t xml:space="preserve">Programa de las Naciones Unidas para el Desarrollo </w:t>
      </w:r>
      <w:r>
        <w:rPr>
          <w:rFonts w:ascii="Verdana" w:hAnsi="Verdana"/>
          <w:sz w:val="16"/>
          <w:szCs w:val="16"/>
          <w:lang w:val="es-CR"/>
        </w:rPr>
        <w:t>(</w:t>
      </w:r>
      <w:r w:rsidRPr="00C71D45">
        <w:rPr>
          <w:rFonts w:ascii="Verdana" w:hAnsi="Verdana"/>
          <w:sz w:val="16"/>
          <w:szCs w:val="16"/>
          <w:lang w:val="es-CR"/>
        </w:rPr>
        <w:t>PNUD</w:t>
      </w:r>
      <w:r>
        <w:rPr>
          <w:rFonts w:ascii="Verdana" w:hAnsi="Verdana"/>
          <w:sz w:val="16"/>
          <w:szCs w:val="16"/>
          <w:lang w:val="es-CR"/>
        </w:rPr>
        <w:t>),</w:t>
      </w:r>
      <w:r w:rsidRPr="00C71D45">
        <w:rPr>
          <w:rFonts w:ascii="Verdana" w:hAnsi="Verdana"/>
          <w:sz w:val="16"/>
          <w:szCs w:val="16"/>
          <w:lang w:val="es-CR"/>
        </w:rPr>
        <w:t xml:space="preserve"> Programa de Seguridad Ciudadana y Prevención de la Violencia del PNUD Guatemala, “Informe estadístico de la violencia en Guatemala”, </w:t>
      </w:r>
      <w:r>
        <w:rPr>
          <w:rFonts w:ascii="Verdana" w:hAnsi="Verdana"/>
          <w:i/>
          <w:sz w:val="16"/>
          <w:szCs w:val="16"/>
          <w:lang w:val="es-CR"/>
        </w:rPr>
        <w:t>supra</w:t>
      </w:r>
      <w:r w:rsidRPr="00C71D45">
        <w:rPr>
          <w:rFonts w:ascii="Verdana" w:hAnsi="Verdana"/>
          <w:sz w:val="16"/>
          <w:szCs w:val="16"/>
          <w:lang w:val="es-CR"/>
        </w:rPr>
        <w:t xml:space="preserve">, pág. 9. </w:t>
      </w:r>
      <w:r w:rsidRPr="00C71D45">
        <w:rPr>
          <w:rFonts w:ascii="Verdana" w:hAnsi="Verdana"/>
          <w:sz w:val="16"/>
          <w:szCs w:val="16"/>
        </w:rPr>
        <w:t xml:space="preserve">Cabe recordar además que el Estado reconoció que en 2001 se presentaba una situación de “aumento de las […] muertes violentas” y “temor dentro de la […] sociedad guatemalteca” </w:t>
      </w:r>
      <w:r w:rsidRPr="00547BA6">
        <w:rPr>
          <w:rFonts w:ascii="Verdana" w:hAnsi="Verdana"/>
          <w:sz w:val="16"/>
          <w:szCs w:val="16"/>
        </w:rPr>
        <w:t>(</w:t>
      </w:r>
      <w:r w:rsidRPr="00547BA6">
        <w:rPr>
          <w:rFonts w:ascii="Verdana" w:hAnsi="Verdana"/>
          <w:i/>
          <w:sz w:val="16"/>
          <w:szCs w:val="16"/>
        </w:rPr>
        <w:t>supra</w:t>
      </w:r>
      <w:r w:rsidRPr="00547BA6">
        <w:rPr>
          <w:rFonts w:ascii="Verdana" w:hAnsi="Verdana"/>
          <w:sz w:val="16"/>
          <w:szCs w:val="16"/>
        </w:rPr>
        <w:t xml:space="preserve"> párr. </w:t>
      </w:r>
      <w:r w:rsidRPr="00122C63">
        <w:rPr>
          <w:rFonts w:ascii="Verdana" w:hAnsi="Verdana"/>
          <w:sz w:val="16"/>
          <w:szCs w:val="16"/>
        </w:rPr>
        <w:t>18).</w:t>
      </w:r>
    </w:p>
  </w:footnote>
  <w:footnote w:id="72">
    <w:p w:rsidR="0081535F" w:rsidRPr="00C71D45" w:rsidRDefault="0081535F" w:rsidP="00422232">
      <w:pPr>
        <w:autoSpaceDE w:val="0"/>
        <w:autoSpaceDN w:val="0"/>
        <w:adjustRightInd w:val="0"/>
        <w:spacing w:after="0" w:line="19" w:lineRule="atLeast"/>
        <w:ind w:left="-180" w:right="-174"/>
        <w:jc w:val="both"/>
        <w:rPr>
          <w:rFonts w:ascii="Verdana" w:hAnsi="Verdana"/>
          <w:sz w:val="16"/>
          <w:szCs w:val="16"/>
          <w:lang w:val="es-CR"/>
        </w:rPr>
      </w:pPr>
      <w:r w:rsidRPr="00C71D45">
        <w:rPr>
          <w:rStyle w:val="Refdenotaalpie"/>
          <w:rFonts w:ascii="Verdana" w:hAnsi="Verdana"/>
          <w:sz w:val="16"/>
          <w:szCs w:val="16"/>
        </w:rPr>
        <w:footnoteRef/>
      </w:r>
      <w:r>
        <w:rPr>
          <w:rFonts w:ascii="Verdana" w:hAnsi="Verdana"/>
          <w:sz w:val="16"/>
          <w:szCs w:val="16"/>
          <w:lang w:val="es-CR"/>
        </w:rPr>
        <w:t xml:space="preserve"> </w:t>
      </w:r>
      <w:r w:rsidRPr="00C71D45">
        <w:rPr>
          <w:rFonts w:ascii="Verdana" w:hAnsi="Verdana"/>
          <w:i/>
          <w:sz w:val="16"/>
          <w:szCs w:val="16"/>
          <w:lang w:val="es-CR"/>
        </w:rPr>
        <w:t>Cfr.</w:t>
      </w:r>
      <w:r w:rsidRPr="00C71D45">
        <w:rPr>
          <w:rFonts w:ascii="Verdana" w:hAnsi="Verdana"/>
          <w:sz w:val="16"/>
          <w:szCs w:val="16"/>
          <w:lang w:val="es-CR"/>
        </w:rPr>
        <w:t xml:space="preserve"> </w:t>
      </w:r>
      <w:r w:rsidRPr="00C71D45">
        <w:rPr>
          <w:rFonts w:ascii="Verdana" w:hAnsi="Verdana" w:cs="Arial"/>
          <w:sz w:val="16"/>
          <w:szCs w:val="16"/>
          <w:lang w:val="es-CR"/>
        </w:rPr>
        <w:t>Centro de recursos para el Análisis de Conflictos</w:t>
      </w:r>
      <w:r>
        <w:rPr>
          <w:rFonts w:ascii="Verdana" w:hAnsi="Verdana" w:cs="Arial"/>
          <w:sz w:val="16"/>
          <w:szCs w:val="16"/>
          <w:lang w:val="es-CR"/>
        </w:rPr>
        <w:t xml:space="preserve"> (CERAC),</w:t>
      </w:r>
      <w:r w:rsidRPr="00C71D45">
        <w:rPr>
          <w:rFonts w:ascii="Verdana" w:hAnsi="Verdana" w:cs="Arial"/>
          <w:sz w:val="16"/>
          <w:szCs w:val="16"/>
          <w:lang w:val="es-CR"/>
        </w:rPr>
        <w:t xml:space="preserve"> “Guatemala en la encrucijada, panorama de una violencia transformada”, Ginebra</w:t>
      </w:r>
      <w:r>
        <w:rPr>
          <w:rFonts w:ascii="Verdana" w:hAnsi="Verdana" w:cs="Arial"/>
          <w:sz w:val="16"/>
          <w:szCs w:val="16"/>
          <w:lang w:val="es-CR"/>
        </w:rPr>
        <w:t>,</w:t>
      </w:r>
      <w:r w:rsidRPr="00C71D45">
        <w:rPr>
          <w:rFonts w:ascii="Verdana" w:hAnsi="Verdana" w:cs="Arial"/>
          <w:sz w:val="16"/>
          <w:szCs w:val="16"/>
          <w:lang w:val="es-CR"/>
        </w:rPr>
        <w:t xml:space="preserve"> 2011 (</w:t>
      </w:r>
      <w:r>
        <w:rPr>
          <w:rFonts w:ascii="Verdana" w:hAnsi="Verdana" w:cs="Arial"/>
          <w:sz w:val="16"/>
          <w:szCs w:val="16"/>
          <w:lang w:val="es-CR"/>
        </w:rPr>
        <w:t>e</w:t>
      </w:r>
      <w:r w:rsidRPr="00C71D45">
        <w:rPr>
          <w:rFonts w:ascii="Verdana" w:hAnsi="Verdana" w:cs="Arial"/>
          <w:sz w:val="16"/>
          <w:szCs w:val="16"/>
          <w:lang w:val="es-CR"/>
        </w:rPr>
        <w:t xml:space="preserve">xpediente de anexos al escrito de solicitudes y argumentos, anexo 57, fs. 7480 a 77007). </w:t>
      </w:r>
    </w:p>
  </w:footnote>
  <w:footnote w:id="73">
    <w:p w:rsidR="0081535F" w:rsidRPr="00C71D45" w:rsidRDefault="0081535F" w:rsidP="00422232">
      <w:pPr>
        <w:pStyle w:val="Textonotapie"/>
        <w:spacing w:line="19" w:lineRule="atLeast"/>
        <w:ind w:left="-180" w:right="-174"/>
        <w:jc w:val="both"/>
        <w:rPr>
          <w:rFonts w:ascii="Verdana" w:hAnsi="Verdana"/>
          <w:sz w:val="16"/>
          <w:szCs w:val="16"/>
        </w:rPr>
      </w:pPr>
      <w:r w:rsidRPr="00C71D45">
        <w:rPr>
          <w:rStyle w:val="Refdenotaalpie"/>
          <w:rFonts w:ascii="Verdana" w:hAnsi="Verdana"/>
          <w:sz w:val="16"/>
          <w:szCs w:val="16"/>
        </w:rPr>
        <w:footnoteRef/>
      </w:r>
      <w:r>
        <w:rPr>
          <w:rFonts w:ascii="Verdana" w:hAnsi="Verdana"/>
          <w:sz w:val="16"/>
          <w:szCs w:val="16"/>
        </w:rPr>
        <w:t xml:space="preserve"> </w:t>
      </w:r>
      <w:r w:rsidRPr="00C71D45">
        <w:rPr>
          <w:rFonts w:ascii="Verdana" w:hAnsi="Verdana"/>
          <w:sz w:val="16"/>
          <w:szCs w:val="16"/>
        </w:rPr>
        <w:t xml:space="preserve">El mismo documento refiere que </w:t>
      </w:r>
      <w:r w:rsidRPr="00C71D45">
        <w:rPr>
          <w:rFonts w:ascii="Verdana" w:hAnsi="Verdana"/>
          <w:sz w:val="16"/>
          <w:szCs w:val="16"/>
          <w:lang w:val="es-CR"/>
        </w:rPr>
        <w:t>“</w:t>
      </w:r>
      <w:r w:rsidRPr="000036A0">
        <w:rPr>
          <w:rFonts w:ascii="Verdana" w:hAnsi="Verdana"/>
          <w:sz w:val="16"/>
          <w:szCs w:val="16"/>
          <w:lang w:val="es-CR"/>
        </w:rPr>
        <w:t>según un informe” para 2012 “Guatemala ocupa[ba] el tercer lugar a nivel mundial en muertes violentas de mujeres, con una tasa de 9.7 femicidios por cada 100,000 habitantes”. Organismo</w:t>
      </w:r>
      <w:r w:rsidRPr="00C71D45">
        <w:rPr>
          <w:rFonts w:ascii="Verdana" w:hAnsi="Verdana"/>
          <w:sz w:val="16"/>
          <w:szCs w:val="16"/>
          <w:lang w:val="es-CR"/>
        </w:rPr>
        <w:t xml:space="preserve"> Judicial de Guatemala, “Primer Informe sobre Juzgados y Tribunales Penales de Delitos de Femicidio y otras Formas de Violencia Contra la Mujer”, 2012</w:t>
      </w:r>
      <w:r>
        <w:rPr>
          <w:rFonts w:ascii="Verdana" w:hAnsi="Verdana"/>
          <w:sz w:val="16"/>
          <w:szCs w:val="16"/>
          <w:lang w:val="es-CR"/>
        </w:rPr>
        <w:t xml:space="preserve"> (expediente de anexos al escrito de solicitudes y argumentos,</w:t>
      </w:r>
      <w:r w:rsidRPr="00C71D45">
        <w:rPr>
          <w:rFonts w:ascii="Verdana" w:hAnsi="Verdana"/>
          <w:sz w:val="16"/>
          <w:szCs w:val="16"/>
          <w:lang w:val="es-CR"/>
        </w:rPr>
        <w:t xml:space="preserve"> anexo 101</w:t>
      </w:r>
      <w:r>
        <w:rPr>
          <w:rFonts w:ascii="Verdana" w:hAnsi="Verdana"/>
          <w:sz w:val="16"/>
          <w:szCs w:val="16"/>
          <w:lang w:val="es-CR"/>
        </w:rPr>
        <w:t>,</w:t>
      </w:r>
      <w:r w:rsidRPr="00C71D45">
        <w:rPr>
          <w:rFonts w:ascii="Verdana" w:hAnsi="Verdana"/>
          <w:sz w:val="16"/>
          <w:szCs w:val="16"/>
          <w:lang w:val="es-CR"/>
        </w:rPr>
        <w:t xml:space="preserve"> </w:t>
      </w:r>
      <w:r>
        <w:rPr>
          <w:rFonts w:ascii="Verdana" w:hAnsi="Verdana"/>
          <w:sz w:val="16"/>
          <w:szCs w:val="16"/>
          <w:lang w:val="es-CR"/>
        </w:rPr>
        <w:t>fs.</w:t>
      </w:r>
      <w:r w:rsidRPr="00C71D45">
        <w:rPr>
          <w:rFonts w:ascii="Verdana" w:hAnsi="Verdana"/>
          <w:sz w:val="16"/>
          <w:szCs w:val="16"/>
          <w:lang w:val="es-CR"/>
        </w:rPr>
        <w:t xml:space="preserve"> 10854 </w:t>
      </w:r>
      <w:r>
        <w:rPr>
          <w:rFonts w:ascii="Verdana" w:hAnsi="Verdana"/>
          <w:sz w:val="16"/>
          <w:szCs w:val="16"/>
          <w:lang w:val="es-CR"/>
        </w:rPr>
        <w:t>a</w:t>
      </w:r>
      <w:r w:rsidRPr="00C71D45">
        <w:rPr>
          <w:rFonts w:ascii="Verdana" w:hAnsi="Verdana"/>
          <w:sz w:val="16"/>
          <w:szCs w:val="16"/>
          <w:lang w:val="es-CR"/>
        </w:rPr>
        <w:t xml:space="preserve"> 10917</w:t>
      </w:r>
      <w:r>
        <w:rPr>
          <w:rFonts w:ascii="Verdana" w:hAnsi="Verdana"/>
          <w:sz w:val="16"/>
          <w:szCs w:val="16"/>
          <w:lang w:val="es-CR"/>
        </w:rPr>
        <w:t>)</w:t>
      </w:r>
      <w:r w:rsidRPr="00C71D45">
        <w:rPr>
          <w:rFonts w:ascii="Verdana" w:hAnsi="Verdana"/>
          <w:sz w:val="16"/>
          <w:szCs w:val="16"/>
          <w:lang w:val="es-CR"/>
        </w:rPr>
        <w:t xml:space="preserve">. </w:t>
      </w:r>
    </w:p>
  </w:footnote>
  <w:footnote w:id="74">
    <w:p w:rsidR="0081535F" w:rsidRPr="005F59DB" w:rsidRDefault="0081535F" w:rsidP="00422232">
      <w:pPr>
        <w:pStyle w:val="Prrafodelista"/>
        <w:spacing w:after="0" w:line="19" w:lineRule="atLeast"/>
        <w:ind w:left="-180" w:right="-174"/>
        <w:jc w:val="both"/>
        <w:rPr>
          <w:rFonts w:ascii="Verdana" w:hAnsi="Verdana"/>
          <w:sz w:val="16"/>
          <w:szCs w:val="16"/>
          <w:lang w:val="es-CR"/>
        </w:rPr>
      </w:pPr>
      <w:r w:rsidRPr="00586509">
        <w:rPr>
          <w:rStyle w:val="Refdenotaalpie"/>
          <w:rFonts w:ascii="Verdana" w:hAnsi="Verdana"/>
          <w:sz w:val="16"/>
          <w:szCs w:val="16"/>
        </w:rPr>
        <w:footnoteRef/>
      </w:r>
      <w:r w:rsidRPr="00AA5F26">
        <w:rPr>
          <w:rFonts w:ascii="Verdana" w:hAnsi="Verdana"/>
          <w:sz w:val="16"/>
          <w:szCs w:val="16"/>
          <w:lang w:val="es-CR"/>
        </w:rPr>
        <w:t xml:space="preserve"> </w:t>
      </w:r>
      <w:r w:rsidRPr="00AA5F26">
        <w:rPr>
          <w:rFonts w:ascii="Verdana" w:hAnsi="Verdana"/>
          <w:i/>
          <w:sz w:val="16"/>
          <w:szCs w:val="16"/>
          <w:lang w:val="es-CR"/>
        </w:rPr>
        <w:t>Cfr.</w:t>
      </w:r>
      <w:r w:rsidRPr="00AA5F26">
        <w:rPr>
          <w:rFonts w:ascii="Verdana" w:hAnsi="Verdana"/>
          <w:sz w:val="16"/>
          <w:szCs w:val="16"/>
          <w:lang w:val="es-CR"/>
        </w:rPr>
        <w:t xml:space="preserve"> </w:t>
      </w:r>
      <w:r w:rsidRPr="00D30B64">
        <w:rPr>
          <w:rFonts w:ascii="Verdana" w:hAnsi="Verdana"/>
          <w:sz w:val="16"/>
          <w:szCs w:val="16"/>
          <w:lang w:val="es-CR"/>
        </w:rPr>
        <w:t>Comisión Económica para América Latina y el Caribe</w:t>
      </w:r>
      <w:r w:rsidRPr="00D30B64">
        <w:rPr>
          <w:lang w:val="es-CR"/>
        </w:rPr>
        <w:t xml:space="preserve"> </w:t>
      </w:r>
      <w:r w:rsidRPr="00F72621">
        <w:rPr>
          <w:lang w:val="es-CR"/>
        </w:rPr>
        <w:t>(</w:t>
      </w:r>
      <w:r w:rsidRPr="00F72621">
        <w:rPr>
          <w:rFonts w:ascii="Verdana" w:hAnsi="Verdana"/>
          <w:sz w:val="16"/>
          <w:szCs w:val="16"/>
          <w:lang w:val="es-CR"/>
        </w:rPr>
        <w:t>CEPAL),</w:t>
      </w:r>
      <w:r w:rsidRPr="00AA5F26">
        <w:rPr>
          <w:rFonts w:ascii="Verdana" w:hAnsi="Verdana"/>
          <w:sz w:val="16"/>
          <w:szCs w:val="16"/>
          <w:lang w:val="es-CR"/>
        </w:rPr>
        <w:t xml:space="preserve"> “Si no se cuenta, no cuenta. Información sobre la violencia contra las mujeres”, Santiago de Chile, </w:t>
      </w:r>
      <w:r>
        <w:rPr>
          <w:rFonts w:ascii="Verdana" w:hAnsi="Verdana"/>
          <w:sz w:val="16"/>
          <w:szCs w:val="16"/>
          <w:lang w:val="es-CR"/>
        </w:rPr>
        <w:t xml:space="preserve">Chile, </w:t>
      </w:r>
      <w:r w:rsidRPr="00AA5F26">
        <w:rPr>
          <w:rFonts w:ascii="Verdana" w:hAnsi="Verdana"/>
          <w:sz w:val="16"/>
          <w:szCs w:val="16"/>
          <w:lang w:val="es-CR"/>
        </w:rPr>
        <w:t xml:space="preserve">2012, pág. 246 </w:t>
      </w:r>
      <w:r>
        <w:rPr>
          <w:rFonts w:ascii="Verdana" w:hAnsi="Verdana"/>
          <w:sz w:val="16"/>
          <w:szCs w:val="16"/>
          <w:lang w:val="es-CR"/>
        </w:rPr>
        <w:t>(e</w:t>
      </w:r>
      <w:r w:rsidRPr="00AA5F26">
        <w:rPr>
          <w:rFonts w:ascii="Verdana" w:hAnsi="Verdana"/>
          <w:sz w:val="16"/>
          <w:szCs w:val="16"/>
          <w:lang w:val="es-CR"/>
        </w:rPr>
        <w:t xml:space="preserve">xpediente de anexos al escrito de solicitudes y argumentos, </w:t>
      </w:r>
      <w:r>
        <w:rPr>
          <w:rFonts w:ascii="Verdana" w:hAnsi="Verdana"/>
          <w:sz w:val="16"/>
          <w:szCs w:val="16"/>
          <w:lang w:val="es-CR"/>
        </w:rPr>
        <w:t>a</w:t>
      </w:r>
      <w:r w:rsidRPr="00AA5F26">
        <w:rPr>
          <w:rFonts w:ascii="Verdana" w:hAnsi="Verdana"/>
          <w:sz w:val="16"/>
          <w:szCs w:val="16"/>
          <w:lang w:val="es-CR"/>
        </w:rPr>
        <w:t>nexo 59, fs. 7,815 a 8,210</w:t>
      </w:r>
      <w:r>
        <w:rPr>
          <w:rFonts w:ascii="Verdana" w:hAnsi="Verdana"/>
          <w:sz w:val="16"/>
          <w:szCs w:val="16"/>
          <w:lang w:val="es-CR"/>
        </w:rPr>
        <w:t>),</w:t>
      </w:r>
      <w:r w:rsidRPr="00AA5F26">
        <w:rPr>
          <w:rFonts w:ascii="Verdana" w:hAnsi="Verdana"/>
          <w:sz w:val="16"/>
          <w:szCs w:val="16"/>
          <w:lang w:val="es-CR"/>
        </w:rPr>
        <w:t xml:space="preserve"> Consejo Económico y Social de Naciones Unidas. Comisión de Derechos Humanos 6º período de sesiones,</w:t>
      </w:r>
      <w:r w:rsidRPr="00AA5F26">
        <w:rPr>
          <w:rFonts w:ascii="Verdana" w:hAnsi="Verdana"/>
          <w:bCs/>
          <w:sz w:val="16"/>
          <w:szCs w:val="16"/>
          <w:lang w:val="es-CR"/>
        </w:rPr>
        <w:t xml:space="preserve"> Informe de la Relatora Especial sobre la violencia contra la mujer, sus causas y consecuencias, </w:t>
      </w:r>
      <w:r w:rsidRPr="00AA5F26">
        <w:rPr>
          <w:rFonts w:ascii="Verdana" w:hAnsi="Verdana"/>
          <w:sz w:val="16"/>
          <w:szCs w:val="16"/>
          <w:shd w:val="clear" w:color="auto" w:fill="FFFFFF"/>
        </w:rPr>
        <w:t>Yakin Ertürk</w:t>
      </w:r>
      <w:r w:rsidRPr="00AA5F26">
        <w:rPr>
          <w:rFonts w:ascii="Verdana" w:hAnsi="Verdana"/>
          <w:bCs/>
          <w:sz w:val="16"/>
          <w:szCs w:val="16"/>
          <w:lang w:val="es-CR"/>
        </w:rPr>
        <w:t xml:space="preserve">. Misión a Guatemala. </w:t>
      </w:r>
      <w:r>
        <w:rPr>
          <w:rFonts w:ascii="Verdana" w:hAnsi="Verdana"/>
          <w:bCs/>
          <w:sz w:val="16"/>
          <w:szCs w:val="16"/>
          <w:lang w:val="es-CR"/>
        </w:rPr>
        <w:t xml:space="preserve">UN Doc. </w:t>
      </w:r>
      <w:r w:rsidRPr="00AA5F26">
        <w:rPr>
          <w:rFonts w:ascii="Verdana" w:hAnsi="Verdana"/>
          <w:sz w:val="16"/>
          <w:szCs w:val="16"/>
          <w:lang w:val="es-CR"/>
        </w:rPr>
        <w:t>E/CN.4/2005/72/Add.3</w:t>
      </w:r>
      <w:r>
        <w:rPr>
          <w:rFonts w:ascii="Verdana" w:hAnsi="Verdana"/>
          <w:sz w:val="16"/>
          <w:szCs w:val="16"/>
          <w:lang w:val="es-CR"/>
        </w:rPr>
        <w:t>,</w:t>
      </w:r>
      <w:r w:rsidRPr="00AA5F26">
        <w:rPr>
          <w:rFonts w:ascii="Verdana" w:hAnsi="Verdana"/>
          <w:sz w:val="16"/>
          <w:szCs w:val="16"/>
          <w:lang w:val="es-CR"/>
        </w:rPr>
        <w:t xml:space="preserve"> 10 de febrero de 2005,</w:t>
      </w:r>
      <w:r>
        <w:rPr>
          <w:rFonts w:ascii="Verdana" w:hAnsi="Verdana"/>
          <w:sz w:val="16"/>
          <w:szCs w:val="16"/>
          <w:lang w:val="es-CR"/>
        </w:rPr>
        <w:t xml:space="preserve"> párr. 28 </w:t>
      </w:r>
      <w:r w:rsidRPr="00AA5F26">
        <w:rPr>
          <w:rFonts w:ascii="Verdana" w:hAnsi="Verdana"/>
          <w:sz w:val="16"/>
          <w:szCs w:val="16"/>
          <w:lang w:val="es-CR"/>
        </w:rPr>
        <w:t>(</w:t>
      </w:r>
      <w:r>
        <w:rPr>
          <w:rFonts w:ascii="Verdana" w:hAnsi="Verdana"/>
          <w:sz w:val="16"/>
          <w:szCs w:val="16"/>
          <w:lang w:val="es-CR"/>
        </w:rPr>
        <w:t>e</w:t>
      </w:r>
      <w:r w:rsidRPr="00AA5F26">
        <w:rPr>
          <w:rFonts w:ascii="Verdana" w:hAnsi="Verdana"/>
          <w:sz w:val="16"/>
          <w:szCs w:val="16"/>
          <w:lang w:val="es-CR"/>
        </w:rPr>
        <w:t xml:space="preserve">xpediente de anexos al Informe de Fondo, </w:t>
      </w:r>
      <w:r>
        <w:rPr>
          <w:rFonts w:ascii="Verdana" w:hAnsi="Verdana"/>
          <w:sz w:val="16"/>
          <w:szCs w:val="16"/>
          <w:lang w:val="es-CR"/>
        </w:rPr>
        <w:t>a</w:t>
      </w:r>
      <w:r w:rsidRPr="00AA5F26">
        <w:rPr>
          <w:rFonts w:ascii="Verdana" w:hAnsi="Verdana"/>
          <w:sz w:val="16"/>
          <w:szCs w:val="16"/>
          <w:lang w:val="es-CR"/>
        </w:rPr>
        <w:t>nexo 31, fs. 240 a 264). Cabe resaltar que, en el marco de las situación descrita</w:t>
      </w:r>
      <w:r w:rsidRPr="00AA5F26">
        <w:rPr>
          <w:rFonts w:ascii="Verdana" w:hAnsi="Verdana" w:cs="Calibri"/>
          <w:sz w:val="16"/>
          <w:szCs w:val="16"/>
          <w:lang w:val="es-CR"/>
        </w:rPr>
        <w:t xml:space="preserve"> entre los años 2000 y 2002, hubo un aumento de denuncias de hechos de violencia cometidos contra mujeres atendidos por el Ministerio Público: de acuerdo a documentación del Comité para la Eliminación de la Discriminación contra la Mujer de Naciones Unidas, datos de fuente estatal indican que mientras hubo 130,561 denuncias en el 2000, se registraron </w:t>
      </w:r>
      <w:r w:rsidRPr="00AA5F26">
        <w:rPr>
          <w:rFonts w:ascii="Verdana" w:hAnsi="Verdana"/>
          <w:sz w:val="16"/>
          <w:szCs w:val="16"/>
          <w:lang w:val="es-CR"/>
        </w:rPr>
        <w:t xml:space="preserve">222,436 en 2001 y </w:t>
      </w:r>
      <w:r w:rsidRPr="00AA5F26">
        <w:rPr>
          <w:rFonts w:ascii="Verdana" w:hAnsi="Verdana" w:cs="Calibri"/>
          <w:sz w:val="16"/>
          <w:szCs w:val="16"/>
          <w:lang w:val="es-CR"/>
        </w:rPr>
        <w:t>238,936 en 2002</w:t>
      </w:r>
      <w:r>
        <w:rPr>
          <w:rFonts w:ascii="Verdana" w:hAnsi="Verdana" w:cs="Calibri"/>
          <w:sz w:val="16"/>
          <w:szCs w:val="16"/>
          <w:lang w:val="es-CR"/>
        </w:rPr>
        <w:t xml:space="preserve">; </w:t>
      </w:r>
      <w:r w:rsidRPr="00AA5F26">
        <w:rPr>
          <w:rFonts w:ascii="Verdana" w:hAnsi="Verdana" w:cs="Calibri"/>
          <w:sz w:val="16"/>
          <w:szCs w:val="16"/>
          <w:lang w:val="es-CR"/>
        </w:rPr>
        <w:t>es decir, entre 2000 y 2002 tales denuncias se incrementaron en un 83%.</w:t>
      </w:r>
      <w:r>
        <w:rPr>
          <w:rFonts w:ascii="Verdana" w:hAnsi="Verdana" w:cs="Calibri"/>
          <w:sz w:val="16"/>
          <w:szCs w:val="16"/>
          <w:lang w:val="es-CR"/>
        </w:rPr>
        <w:t xml:space="preserve"> </w:t>
      </w:r>
      <w:r>
        <w:rPr>
          <w:rFonts w:ascii="Verdana" w:hAnsi="Verdana" w:cs="Calibri"/>
          <w:i/>
          <w:sz w:val="16"/>
          <w:szCs w:val="16"/>
          <w:lang w:val="es-CR"/>
        </w:rPr>
        <w:t xml:space="preserve">Cfr. </w:t>
      </w:r>
      <w:r w:rsidRPr="002C0D34">
        <w:rPr>
          <w:rFonts w:ascii="Verdana" w:hAnsi="Verdana"/>
          <w:sz w:val="16"/>
          <w:szCs w:val="16"/>
          <w:lang w:val="es-CR"/>
        </w:rPr>
        <w:t>Comité para la Eliminación de la Discriminación contra la Mujer. Grupo de trabajo anterior al período de sesiones. 35º período de sesiones, 15 de mayo a 2 de junio de 2006. Respuestas a la lista de cuestiones y preguntas relativas al examen del sexto informe periódico. Guatemala. UN Doc. CEDAW/C/GUA/Q/6/Add.1</w:t>
      </w:r>
      <w:r>
        <w:rPr>
          <w:rFonts w:ascii="Verdana" w:hAnsi="Verdana"/>
          <w:sz w:val="16"/>
          <w:szCs w:val="16"/>
          <w:lang w:val="es-CR"/>
        </w:rPr>
        <w:t>,</w:t>
      </w:r>
      <w:r w:rsidRPr="002C0D34">
        <w:rPr>
          <w:rFonts w:ascii="Verdana" w:hAnsi="Verdana"/>
          <w:sz w:val="16"/>
          <w:szCs w:val="16"/>
          <w:lang w:val="es-CR"/>
        </w:rPr>
        <w:t xml:space="preserve"> 27 de marzo de 2006</w:t>
      </w:r>
      <w:r>
        <w:rPr>
          <w:rFonts w:ascii="Verdana" w:hAnsi="Verdana"/>
          <w:sz w:val="16"/>
          <w:szCs w:val="16"/>
          <w:lang w:val="es-CR"/>
        </w:rPr>
        <w:t xml:space="preserve"> </w:t>
      </w:r>
      <w:r w:rsidRPr="003622B1">
        <w:rPr>
          <w:rFonts w:ascii="Verdana" w:hAnsi="Verdana" w:cs="Arial"/>
          <w:sz w:val="16"/>
          <w:szCs w:val="16"/>
          <w:lang w:val="es-CR"/>
        </w:rPr>
        <w:t>(expedient</w:t>
      </w:r>
      <w:r>
        <w:rPr>
          <w:rFonts w:ascii="Verdana" w:hAnsi="Verdana" w:cs="Arial"/>
          <w:sz w:val="16"/>
          <w:szCs w:val="16"/>
          <w:lang w:val="es-CR"/>
        </w:rPr>
        <w:t>e de anexos al Informe de Fondo</w:t>
      </w:r>
      <w:r w:rsidRPr="003622B1">
        <w:rPr>
          <w:rFonts w:ascii="Verdana" w:hAnsi="Verdana" w:cs="Arial"/>
          <w:sz w:val="16"/>
          <w:szCs w:val="16"/>
          <w:lang w:val="es-CR"/>
        </w:rPr>
        <w:t>, anexo 28, fs. 151 a 202)</w:t>
      </w:r>
      <w:r w:rsidRPr="002C0D34">
        <w:rPr>
          <w:rFonts w:ascii="Verdana" w:hAnsi="Verdana"/>
          <w:sz w:val="16"/>
          <w:szCs w:val="16"/>
          <w:lang w:val="es-CR"/>
        </w:rPr>
        <w:t>. El documento indica que la fuente de los datos es la Comisión Presidencial de Derechos Humanos de Guatemala (COP</w:t>
      </w:r>
      <w:r>
        <w:rPr>
          <w:rFonts w:ascii="Verdana" w:hAnsi="Verdana"/>
          <w:sz w:val="16"/>
          <w:szCs w:val="16"/>
          <w:lang w:val="es-CR"/>
        </w:rPr>
        <w:t>REDEH) (expediente de anexos al Informe de Fondo</w:t>
      </w:r>
      <w:r w:rsidRPr="005F59DB">
        <w:rPr>
          <w:rFonts w:ascii="Verdana" w:hAnsi="Verdana"/>
          <w:sz w:val="16"/>
          <w:szCs w:val="16"/>
          <w:lang w:val="es-CR"/>
        </w:rPr>
        <w:t xml:space="preserve">, </w:t>
      </w:r>
      <w:r>
        <w:rPr>
          <w:rFonts w:ascii="Verdana" w:hAnsi="Verdana"/>
          <w:sz w:val="16"/>
          <w:szCs w:val="16"/>
          <w:lang w:val="es-CR"/>
        </w:rPr>
        <w:t>a</w:t>
      </w:r>
      <w:r w:rsidRPr="005F59DB">
        <w:rPr>
          <w:rFonts w:ascii="Verdana" w:hAnsi="Verdana"/>
          <w:sz w:val="16"/>
          <w:szCs w:val="16"/>
          <w:lang w:val="es-CR"/>
        </w:rPr>
        <w:t>nexo 28, fs. 1</w:t>
      </w:r>
      <w:r>
        <w:rPr>
          <w:rFonts w:ascii="Verdana" w:hAnsi="Verdana"/>
          <w:sz w:val="16"/>
          <w:szCs w:val="16"/>
          <w:lang w:val="es-CR"/>
        </w:rPr>
        <w:t>6</w:t>
      </w:r>
      <w:r w:rsidRPr="005F59DB">
        <w:rPr>
          <w:rFonts w:ascii="Verdana" w:hAnsi="Verdana"/>
          <w:sz w:val="16"/>
          <w:szCs w:val="16"/>
          <w:lang w:val="es-CR"/>
        </w:rPr>
        <w:t xml:space="preserve">1 a 202). </w:t>
      </w:r>
      <w:r w:rsidRPr="005F59DB">
        <w:rPr>
          <w:rFonts w:ascii="Verdana" w:hAnsi="Verdana" w:cs="Calibri"/>
          <w:sz w:val="16"/>
          <w:szCs w:val="16"/>
          <w:lang w:val="es-CR"/>
        </w:rPr>
        <w:t xml:space="preserve"> </w:t>
      </w:r>
    </w:p>
  </w:footnote>
  <w:footnote w:id="75">
    <w:p w:rsidR="0081535F" w:rsidRPr="006B7B23" w:rsidRDefault="0081535F" w:rsidP="00422232">
      <w:pPr>
        <w:autoSpaceDE w:val="0"/>
        <w:autoSpaceDN w:val="0"/>
        <w:adjustRightInd w:val="0"/>
        <w:spacing w:after="0" w:line="19" w:lineRule="atLeast"/>
        <w:ind w:left="-180" w:right="-174"/>
        <w:jc w:val="both"/>
        <w:rPr>
          <w:rFonts w:ascii="Verdana" w:hAnsi="Verdana" w:cs="TimesNewRoman"/>
          <w:color w:val="FF0000"/>
          <w:sz w:val="16"/>
          <w:szCs w:val="16"/>
          <w:lang w:val="es-CR"/>
        </w:rPr>
      </w:pPr>
      <w:r w:rsidRPr="006B7B23">
        <w:rPr>
          <w:rStyle w:val="Refdenotaalpie"/>
          <w:rFonts w:ascii="Verdana" w:hAnsi="Verdana"/>
          <w:sz w:val="16"/>
          <w:szCs w:val="16"/>
        </w:rPr>
        <w:footnoteRef/>
      </w:r>
      <w:r>
        <w:rPr>
          <w:rFonts w:ascii="Verdana" w:hAnsi="Verdana"/>
          <w:sz w:val="16"/>
          <w:szCs w:val="16"/>
          <w:lang w:val="es-CR"/>
        </w:rPr>
        <w:t xml:space="preserve"> </w:t>
      </w:r>
      <w:r w:rsidRPr="006B7B23">
        <w:rPr>
          <w:rFonts w:ascii="Verdana" w:hAnsi="Verdana" w:cs="TimesNewRoman"/>
          <w:sz w:val="16"/>
          <w:szCs w:val="16"/>
          <w:lang w:val="es-CR"/>
        </w:rPr>
        <w:t>Comisión Interamericana de Derechos Humanos</w:t>
      </w:r>
      <w:r w:rsidRPr="003D5D04">
        <w:rPr>
          <w:rFonts w:ascii="Verdana" w:hAnsi="Verdana" w:cs="TimesNewRoman"/>
          <w:sz w:val="16"/>
          <w:szCs w:val="16"/>
          <w:lang w:val="es-CR"/>
        </w:rPr>
        <w:t>, Comunicado de prensa 20/04,</w:t>
      </w:r>
      <w:r w:rsidRPr="006B7B23">
        <w:rPr>
          <w:rFonts w:ascii="Verdana" w:hAnsi="Verdana" w:cs="TimesNewRoman"/>
          <w:sz w:val="16"/>
          <w:szCs w:val="16"/>
          <w:lang w:val="es-CR"/>
        </w:rPr>
        <w:t xml:space="preserve"> “La Relatora Especial de la CIDH evalúa la </w:t>
      </w:r>
      <w:r>
        <w:rPr>
          <w:rFonts w:ascii="Verdana" w:hAnsi="Verdana" w:cs="TimesNewRoman"/>
          <w:sz w:val="16"/>
          <w:szCs w:val="16"/>
          <w:lang w:val="es-CR"/>
        </w:rPr>
        <w:t>V</w:t>
      </w:r>
      <w:r w:rsidRPr="006B7B23">
        <w:rPr>
          <w:rFonts w:ascii="Verdana" w:hAnsi="Verdana" w:cs="TimesNewRoman"/>
          <w:sz w:val="16"/>
          <w:szCs w:val="16"/>
          <w:lang w:val="es-CR"/>
        </w:rPr>
        <w:t xml:space="preserve">igencia del </w:t>
      </w:r>
      <w:r>
        <w:rPr>
          <w:rFonts w:ascii="Verdana" w:hAnsi="Verdana" w:cs="TimesNewRoman"/>
          <w:sz w:val="16"/>
          <w:szCs w:val="16"/>
          <w:lang w:val="es-CR"/>
        </w:rPr>
        <w:t>D</w:t>
      </w:r>
      <w:r w:rsidRPr="006B7B23">
        <w:rPr>
          <w:rFonts w:ascii="Verdana" w:hAnsi="Verdana" w:cs="TimesNewRoman"/>
          <w:sz w:val="16"/>
          <w:szCs w:val="16"/>
          <w:lang w:val="es-CR"/>
        </w:rPr>
        <w:t xml:space="preserve">erecho de la </w:t>
      </w:r>
      <w:r>
        <w:rPr>
          <w:rFonts w:ascii="Verdana" w:hAnsi="Verdana" w:cs="TimesNewRoman"/>
          <w:sz w:val="16"/>
          <w:szCs w:val="16"/>
          <w:lang w:val="es-CR"/>
        </w:rPr>
        <w:t>M</w:t>
      </w:r>
      <w:r w:rsidRPr="006B7B23">
        <w:rPr>
          <w:rFonts w:ascii="Verdana" w:hAnsi="Verdana" w:cs="TimesNewRoman"/>
          <w:sz w:val="16"/>
          <w:szCs w:val="16"/>
          <w:lang w:val="es-CR"/>
        </w:rPr>
        <w:t xml:space="preserve">ujer </w:t>
      </w:r>
      <w:r>
        <w:rPr>
          <w:rFonts w:ascii="Verdana" w:hAnsi="Verdana" w:cs="TimesNewRoman"/>
          <w:sz w:val="16"/>
          <w:szCs w:val="16"/>
          <w:lang w:val="es-CR"/>
        </w:rPr>
        <w:t>G</w:t>
      </w:r>
      <w:r w:rsidRPr="006B7B23">
        <w:rPr>
          <w:rFonts w:ascii="Verdana" w:hAnsi="Verdana" w:cs="TimesNewRoman"/>
          <w:sz w:val="16"/>
          <w:szCs w:val="16"/>
          <w:lang w:val="es-CR"/>
        </w:rPr>
        <w:t xml:space="preserve">uatemalteca a </w:t>
      </w:r>
      <w:r>
        <w:rPr>
          <w:rFonts w:ascii="Verdana" w:hAnsi="Verdana" w:cs="TimesNewRoman"/>
          <w:sz w:val="16"/>
          <w:szCs w:val="16"/>
          <w:lang w:val="es-CR"/>
        </w:rPr>
        <w:t>V</w:t>
      </w:r>
      <w:r w:rsidRPr="006B7B23">
        <w:rPr>
          <w:rFonts w:ascii="Verdana" w:hAnsi="Verdana" w:cs="TimesNewRoman"/>
          <w:sz w:val="16"/>
          <w:szCs w:val="16"/>
          <w:lang w:val="es-CR"/>
        </w:rPr>
        <w:t xml:space="preserve">ivir </w:t>
      </w:r>
      <w:r>
        <w:rPr>
          <w:rFonts w:ascii="Verdana" w:hAnsi="Verdana" w:cs="TimesNewRoman"/>
          <w:sz w:val="16"/>
          <w:szCs w:val="16"/>
          <w:lang w:val="es-CR"/>
        </w:rPr>
        <w:t>L</w:t>
      </w:r>
      <w:r w:rsidRPr="006B7B23">
        <w:rPr>
          <w:rFonts w:ascii="Verdana" w:hAnsi="Verdana" w:cs="TimesNewRoman"/>
          <w:sz w:val="16"/>
          <w:szCs w:val="16"/>
          <w:lang w:val="es-CR"/>
        </w:rPr>
        <w:t xml:space="preserve">ibre de la </w:t>
      </w:r>
      <w:r>
        <w:rPr>
          <w:rFonts w:ascii="Verdana" w:hAnsi="Verdana" w:cs="TimesNewRoman"/>
          <w:sz w:val="16"/>
          <w:szCs w:val="16"/>
          <w:lang w:val="es-CR"/>
        </w:rPr>
        <w:t>V</w:t>
      </w:r>
      <w:r w:rsidRPr="006B7B23">
        <w:rPr>
          <w:rFonts w:ascii="Verdana" w:hAnsi="Verdana" w:cs="TimesNewRoman"/>
          <w:sz w:val="16"/>
          <w:szCs w:val="16"/>
          <w:lang w:val="es-CR"/>
        </w:rPr>
        <w:t xml:space="preserve">iolencia y la </w:t>
      </w:r>
      <w:r>
        <w:rPr>
          <w:rFonts w:ascii="Verdana" w:hAnsi="Verdana" w:cs="TimesNewRoman"/>
          <w:sz w:val="16"/>
          <w:szCs w:val="16"/>
          <w:lang w:val="es-CR"/>
        </w:rPr>
        <w:t>D</w:t>
      </w:r>
      <w:r w:rsidRPr="006B7B23">
        <w:rPr>
          <w:rFonts w:ascii="Verdana" w:hAnsi="Verdana" w:cs="TimesNewRoman"/>
          <w:sz w:val="16"/>
          <w:szCs w:val="16"/>
          <w:lang w:val="es-CR"/>
        </w:rPr>
        <w:t>iscriminación”,</w:t>
      </w:r>
      <w:r w:rsidRPr="003D5D04">
        <w:rPr>
          <w:rFonts w:ascii="Verdana" w:hAnsi="Verdana"/>
          <w:sz w:val="16"/>
          <w:szCs w:val="16"/>
          <w:lang w:val="es-ES"/>
        </w:rPr>
        <w:t xml:space="preserve"> </w:t>
      </w:r>
      <w:r w:rsidRPr="00D30B64">
        <w:rPr>
          <w:rFonts w:ascii="Verdana" w:hAnsi="Verdana"/>
          <w:sz w:val="16"/>
          <w:szCs w:val="16"/>
          <w:lang w:val="es-ES"/>
        </w:rPr>
        <w:t>18 de septiembre de 2004</w:t>
      </w:r>
      <w:r>
        <w:rPr>
          <w:rFonts w:ascii="Verdana" w:hAnsi="Verdana"/>
          <w:sz w:val="16"/>
          <w:szCs w:val="16"/>
          <w:lang w:val="es-ES"/>
        </w:rPr>
        <w:t xml:space="preserve">, </w:t>
      </w:r>
      <w:r w:rsidRPr="006B7B23">
        <w:rPr>
          <w:rFonts w:ascii="Verdana" w:hAnsi="Verdana" w:cs="TimesNewRoman"/>
          <w:sz w:val="16"/>
          <w:szCs w:val="16"/>
          <w:lang w:val="es-CR"/>
        </w:rPr>
        <w:t xml:space="preserve"> </w:t>
      </w:r>
      <w:r w:rsidRPr="00F208FF">
        <w:rPr>
          <w:rFonts w:ascii="Verdana" w:hAnsi="Verdana" w:cs="TimesNewRoman"/>
          <w:sz w:val="16"/>
          <w:szCs w:val="16"/>
          <w:lang w:val="es-CR"/>
        </w:rPr>
        <w:t xml:space="preserve">párr. 7 </w:t>
      </w:r>
      <w:r>
        <w:rPr>
          <w:rFonts w:ascii="Verdana" w:hAnsi="Verdana" w:cs="TimesNewRoman"/>
          <w:sz w:val="16"/>
          <w:szCs w:val="16"/>
          <w:lang w:val="es-CR"/>
        </w:rPr>
        <w:t>(e</w:t>
      </w:r>
      <w:r w:rsidRPr="006B7B23">
        <w:rPr>
          <w:rFonts w:ascii="Verdana" w:hAnsi="Verdana" w:cs="TimesNewRoman"/>
          <w:sz w:val="16"/>
          <w:szCs w:val="16"/>
          <w:lang w:val="es-CR"/>
        </w:rPr>
        <w:t>xpediente de anexos al</w:t>
      </w:r>
      <w:r>
        <w:rPr>
          <w:rFonts w:ascii="Verdana" w:hAnsi="Verdana" w:cs="TimesNewRoman"/>
          <w:sz w:val="16"/>
          <w:szCs w:val="16"/>
          <w:lang w:val="es-CR"/>
        </w:rPr>
        <w:t xml:space="preserve"> Informe de Fondo</w:t>
      </w:r>
      <w:r w:rsidRPr="006B7B23">
        <w:rPr>
          <w:rFonts w:ascii="Verdana" w:hAnsi="Verdana" w:cs="TimesNewRoman"/>
          <w:sz w:val="16"/>
          <w:szCs w:val="16"/>
          <w:lang w:val="es-CR"/>
        </w:rPr>
        <w:t xml:space="preserve">, </w:t>
      </w:r>
      <w:r>
        <w:rPr>
          <w:rFonts w:ascii="Verdana" w:hAnsi="Verdana" w:cs="TimesNewRoman"/>
          <w:sz w:val="16"/>
          <w:szCs w:val="16"/>
          <w:lang w:val="es-CR"/>
        </w:rPr>
        <w:t>a</w:t>
      </w:r>
      <w:r w:rsidRPr="006B7B23">
        <w:rPr>
          <w:rFonts w:ascii="Verdana" w:hAnsi="Verdana" w:cs="TimesNewRoman"/>
          <w:sz w:val="16"/>
          <w:szCs w:val="16"/>
          <w:lang w:val="es-CR"/>
        </w:rPr>
        <w:t xml:space="preserve">nexo 32, fs. </w:t>
      </w:r>
      <w:r>
        <w:rPr>
          <w:rFonts w:ascii="Verdana" w:hAnsi="Verdana" w:cs="TimesNewRoman"/>
          <w:sz w:val="16"/>
          <w:szCs w:val="16"/>
          <w:lang w:val="es-CR"/>
        </w:rPr>
        <w:t>266 a 310)</w:t>
      </w:r>
      <w:r w:rsidRPr="006B7B23">
        <w:rPr>
          <w:rFonts w:ascii="Verdana" w:hAnsi="Verdana" w:cs="TimesNewRoman"/>
          <w:sz w:val="16"/>
          <w:szCs w:val="16"/>
          <w:lang w:val="es-CR"/>
        </w:rPr>
        <w:t>.</w:t>
      </w:r>
    </w:p>
  </w:footnote>
  <w:footnote w:id="76">
    <w:p w:rsidR="0081535F" w:rsidRPr="00161269" w:rsidRDefault="0081535F" w:rsidP="00422232">
      <w:pPr>
        <w:spacing w:after="0" w:line="19" w:lineRule="atLeast"/>
        <w:ind w:left="-180" w:right="-174"/>
        <w:jc w:val="both"/>
        <w:rPr>
          <w:rFonts w:ascii="Verdana" w:hAnsi="Verdana"/>
          <w:sz w:val="16"/>
          <w:szCs w:val="16"/>
          <w:lang w:val="es-CR"/>
        </w:rPr>
      </w:pPr>
      <w:r w:rsidRPr="00C71D45">
        <w:rPr>
          <w:rStyle w:val="Refdenotaalpie"/>
          <w:rFonts w:ascii="Verdana" w:hAnsi="Verdana"/>
          <w:sz w:val="16"/>
          <w:szCs w:val="16"/>
        </w:rPr>
        <w:footnoteRef/>
      </w:r>
      <w:r w:rsidRPr="00C71D45">
        <w:rPr>
          <w:rFonts w:ascii="Verdana" w:hAnsi="Verdana"/>
          <w:sz w:val="16"/>
          <w:szCs w:val="16"/>
          <w:lang w:val="es-CR"/>
        </w:rPr>
        <w:t xml:space="preserve"> </w:t>
      </w:r>
      <w:r w:rsidRPr="00A556C3">
        <w:rPr>
          <w:rFonts w:ascii="Verdana" w:hAnsi="Verdana"/>
          <w:sz w:val="16"/>
          <w:szCs w:val="16"/>
          <w:lang w:val="es-UY"/>
        </w:rPr>
        <w:t>Mecanismo de Seguimiento de</w:t>
      </w:r>
      <w:r w:rsidRPr="00A556C3">
        <w:rPr>
          <w:rFonts w:ascii="Verdana" w:hAnsi="Verdana" w:cs="Calibri"/>
          <w:w w:val="95"/>
          <w:sz w:val="16"/>
          <w:szCs w:val="16"/>
          <w:lang w:val="es-CR"/>
        </w:rPr>
        <w:t xml:space="preserve"> la </w:t>
      </w:r>
      <w:r w:rsidRPr="00A556C3">
        <w:rPr>
          <w:rFonts w:ascii="Verdana" w:hAnsi="Verdana"/>
          <w:iCs/>
          <w:sz w:val="16"/>
          <w:szCs w:val="16"/>
          <w:lang w:val="es-UY"/>
        </w:rPr>
        <w:t>Convención Belém do Pará (MESECVI). Segun</w:t>
      </w:r>
      <w:r>
        <w:rPr>
          <w:rFonts w:ascii="Verdana" w:hAnsi="Verdana"/>
          <w:iCs/>
          <w:sz w:val="16"/>
          <w:szCs w:val="16"/>
          <w:lang w:val="es-UY"/>
        </w:rPr>
        <w:t xml:space="preserve">da Conferencia de Estados Parte, </w:t>
      </w:r>
      <w:r>
        <w:rPr>
          <w:rFonts w:ascii="Verdana" w:hAnsi="Verdana"/>
          <w:i/>
          <w:iCs/>
          <w:sz w:val="16"/>
          <w:szCs w:val="16"/>
          <w:lang w:val="es-UY"/>
        </w:rPr>
        <w:t xml:space="preserve">supra, </w:t>
      </w:r>
      <w:r w:rsidRPr="00122C63">
        <w:rPr>
          <w:rFonts w:ascii="Verdana" w:hAnsi="Verdana"/>
          <w:iCs/>
          <w:sz w:val="16"/>
          <w:szCs w:val="16"/>
          <w:lang w:val="pt-PT"/>
        </w:rPr>
        <w:t>pág. 74.</w:t>
      </w:r>
    </w:p>
  </w:footnote>
  <w:footnote w:id="77">
    <w:p w:rsidR="0081535F" w:rsidRPr="00547BA6" w:rsidRDefault="0081535F" w:rsidP="00422232">
      <w:pPr>
        <w:pStyle w:val="Textonotapie"/>
        <w:spacing w:line="19" w:lineRule="atLeast"/>
        <w:ind w:left="-180" w:right="-174"/>
        <w:jc w:val="both"/>
        <w:rPr>
          <w:rFonts w:ascii="Verdana" w:hAnsi="Verdana"/>
          <w:i/>
          <w:sz w:val="16"/>
          <w:szCs w:val="16"/>
          <w:lang w:val="es-CR"/>
        </w:rPr>
      </w:pPr>
      <w:r w:rsidRPr="006B7B23">
        <w:rPr>
          <w:rStyle w:val="Refdenotaalpie"/>
          <w:rFonts w:ascii="Verdana" w:hAnsi="Verdana"/>
          <w:sz w:val="16"/>
          <w:szCs w:val="16"/>
        </w:rPr>
        <w:footnoteRef/>
      </w:r>
      <w:r>
        <w:rPr>
          <w:rFonts w:ascii="Verdana" w:hAnsi="Verdana"/>
          <w:sz w:val="16"/>
          <w:szCs w:val="16"/>
        </w:rPr>
        <w:t xml:space="preserve"> </w:t>
      </w:r>
      <w:r w:rsidRPr="006B7B23">
        <w:rPr>
          <w:rFonts w:ascii="Verdana" w:hAnsi="Verdana"/>
          <w:sz w:val="16"/>
          <w:szCs w:val="16"/>
        </w:rPr>
        <w:t xml:space="preserve">La perita </w:t>
      </w:r>
      <w:r>
        <w:rPr>
          <w:rFonts w:ascii="Verdana" w:hAnsi="Verdana"/>
          <w:sz w:val="16"/>
          <w:szCs w:val="16"/>
        </w:rPr>
        <w:t xml:space="preserve">María Eugenia </w:t>
      </w:r>
      <w:r w:rsidRPr="006B7B23">
        <w:rPr>
          <w:rFonts w:ascii="Verdana" w:hAnsi="Verdana"/>
          <w:sz w:val="16"/>
          <w:szCs w:val="16"/>
        </w:rPr>
        <w:t>Solís García expresó que datos de la Policía Nacional Civil indican que en 2001 hubo 2,967 homicidios, de los cuales 303 fueron de mujeres y que en 2006 hubo 5,885 homicidios, correspondiendo 602 a mujeres.</w:t>
      </w:r>
      <w:r w:rsidRPr="006B7B23">
        <w:rPr>
          <w:rFonts w:ascii="Verdana" w:hAnsi="Verdana"/>
          <w:b/>
          <w:sz w:val="16"/>
          <w:szCs w:val="16"/>
        </w:rPr>
        <w:t xml:space="preserve"> </w:t>
      </w:r>
      <w:r w:rsidRPr="006B7B23">
        <w:rPr>
          <w:rFonts w:ascii="Verdana" w:hAnsi="Verdana"/>
          <w:sz w:val="16"/>
          <w:szCs w:val="16"/>
        </w:rPr>
        <w:t>Es decir, de acuerdo a estos datos, los homicidios de mujeres fueron un 10,21% del total en 2001, y un 10,22% del total en 2006. El PNUD expresó indicaciones similares pero no idénticas, afirmando que “e</w:t>
      </w:r>
      <w:r w:rsidRPr="006B7B23">
        <w:rPr>
          <w:rFonts w:ascii="Verdana" w:hAnsi="Verdana"/>
          <w:sz w:val="16"/>
          <w:szCs w:val="16"/>
          <w:lang w:val="es-CR"/>
        </w:rPr>
        <w:t>n promedio el porcentaje de mujeres asesinadas entre 2001 y 2006 ha sido 9.9%”</w:t>
      </w:r>
      <w:r>
        <w:rPr>
          <w:rFonts w:ascii="Verdana" w:hAnsi="Verdana"/>
          <w:sz w:val="16"/>
          <w:szCs w:val="16"/>
          <w:lang w:val="es-CR"/>
        </w:rPr>
        <w:t>.</w:t>
      </w:r>
      <w:r w:rsidRPr="006B7B23">
        <w:rPr>
          <w:rFonts w:ascii="Verdana" w:hAnsi="Verdana"/>
          <w:sz w:val="16"/>
          <w:szCs w:val="16"/>
          <w:lang w:val="es-CR"/>
        </w:rPr>
        <w:t xml:space="preserve"> Programa de las Naciones Unidas para el Desarrollo (PNUD</w:t>
      </w:r>
      <w:r>
        <w:rPr>
          <w:rFonts w:ascii="Verdana" w:hAnsi="Verdana"/>
          <w:sz w:val="16"/>
          <w:szCs w:val="16"/>
          <w:lang w:val="es-CR"/>
        </w:rPr>
        <w:t>,</w:t>
      </w:r>
      <w:r w:rsidRPr="006B7B23">
        <w:rPr>
          <w:rFonts w:ascii="Verdana" w:hAnsi="Verdana"/>
          <w:sz w:val="16"/>
          <w:szCs w:val="16"/>
          <w:lang w:val="es-CR"/>
        </w:rPr>
        <w:t xml:space="preserve"> Programa de Seguridad Ciudadana y Prevención de la Violencia del PNUD Guatemala, “Informe estadístico de la violencia en Guatemala”, </w:t>
      </w:r>
      <w:r>
        <w:rPr>
          <w:rFonts w:ascii="Verdana" w:hAnsi="Verdana"/>
          <w:i/>
          <w:sz w:val="16"/>
          <w:szCs w:val="16"/>
          <w:lang w:val="es-CR"/>
        </w:rPr>
        <w:t>supra</w:t>
      </w:r>
      <w:r w:rsidRPr="006B7B23">
        <w:rPr>
          <w:rFonts w:ascii="Verdana" w:hAnsi="Verdana"/>
          <w:sz w:val="16"/>
          <w:szCs w:val="16"/>
          <w:lang w:val="es-CR"/>
        </w:rPr>
        <w:t xml:space="preserve">, </w:t>
      </w:r>
      <w:r w:rsidRPr="00122C63">
        <w:rPr>
          <w:rFonts w:ascii="Verdana" w:hAnsi="Verdana"/>
          <w:sz w:val="16"/>
          <w:szCs w:val="16"/>
          <w:lang w:val="es-CR"/>
        </w:rPr>
        <w:t>pág. 31</w:t>
      </w:r>
      <w:r>
        <w:rPr>
          <w:rFonts w:ascii="Verdana" w:hAnsi="Verdana"/>
          <w:sz w:val="16"/>
          <w:szCs w:val="16"/>
          <w:lang w:val="es-CR"/>
        </w:rPr>
        <w:t>, y</w:t>
      </w:r>
      <w:r w:rsidRPr="00547BA6">
        <w:rPr>
          <w:rFonts w:ascii="Verdana" w:hAnsi="Verdana"/>
          <w:sz w:val="16"/>
          <w:szCs w:val="16"/>
          <w:lang w:val="es-CR"/>
        </w:rPr>
        <w:t xml:space="preserve"> Dictamen pericial de María Eugenia Solís García, </w:t>
      </w:r>
      <w:r w:rsidRPr="00547BA6">
        <w:rPr>
          <w:rFonts w:ascii="Verdana" w:hAnsi="Verdana"/>
          <w:i/>
          <w:sz w:val="16"/>
          <w:szCs w:val="16"/>
          <w:lang w:val="es-CR"/>
        </w:rPr>
        <w:t>supra.</w:t>
      </w:r>
    </w:p>
  </w:footnote>
  <w:footnote w:id="78">
    <w:p w:rsidR="0081535F" w:rsidRPr="006B7B23" w:rsidRDefault="0081535F" w:rsidP="00422232">
      <w:pPr>
        <w:pStyle w:val="Textonotapie"/>
        <w:spacing w:line="19" w:lineRule="atLeast"/>
        <w:ind w:left="-180" w:right="-174"/>
        <w:jc w:val="both"/>
        <w:rPr>
          <w:rFonts w:ascii="Verdana" w:hAnsi="Verdana"/>
          <w:sz w:val="16"/>
          <w:szCs w:val="16"/>
        </w:rPr>
      </w:pPr>
      <w:r w:rsidRPr="006B7B23">
        <w:rPr>
          <w:rStyle w:val="Refdenotaalpie"/>
          <w:rFonts w:ascii="Verdana" w:hAnsi="Verdana"/>
          <w:sz w:val="16"/>
          <w:szCs w:val="16"/>
        </w:rPr>
        <w:footnoteRef/>
      </w:r>
      <w:r>
        <w:rPr>
          <w:rFonts w:ascii="Verdana" w:hAnsi="Verdana"/>
          <w:sz w:val="16"/>
          <w:szCs w:val="16"/>
        </w:rPr>
        <w:t xml:space="preserve"> </w:t>
      </w:r>
      <w:r w:rsidRPr="006B7B23">
        <w:rPr>
          <w:rFonts w:ascii="Verdana" w:hAnsi="Verdana"/>
          <w:sz w:val="16"/>
          <w:szCs w:val="16"/>
        </w:rPr>
        <w:t xml:space="preserve">En un estudio se indica que tomando el “promedio de la proporción de homicidios de hombres entre el total de homicidios entre […] 1986 y 2008” que “la población masculina […] registra […] 91% de los homicidios en el país”. Centro de Recursos para el Análisis de Conflictos (CERAC), “Guatemala en la encrucijada. Panorama de una violencia transformada”, </w:t>
      </w:r>
      <w:r>
        <w:rPr>
          <w:rFonts w:ascii="Verdana" w:hAnsi="Verdana"/>
          <w:i/>
          <w:sz w:val="16"/>
          <w:szCs w:val="16"/>
        </w:rPr>
        <w:t>supra</w:t>
      </w:r>
      <w:r w:rsidRPr="006B7B23">
        <w:rPr>
          <w:rFonts w:ascii="Verdana" w:hAnsi="Verdana"/>
          <w:sz w:val="16"/>
          <w:szCs w:val="16"/>
        </w:rPr>
        <w:t xml:space="preserve">, </w:t>
      </w:r>
      <w:r w:rsidRPr="00122C63">
        <w:rPr>
          <w:rFonts w:ascii="Verdana" w:hAnsi="Verdana"/>
          <w:sz w:val="16"/>
          <w:szCs w:val="16"/>
        </w:rPr>
        <w:t>págs. 59 y 106</w:t>
      </w:r>
      <w:r w:rsidRPr="006B7B23">
        <w:rPr>
          <w:rFonts w:ascii="Verdana" w:hAnsi="Verdana"/>
          <w:sz w:val="16"/>
          <w:szCs w:val="16"/>
        </w:rPr>
        <w:t>.</w:t>
      </w:r>
    </w:p>
  </w:footnote>
  <w:footnote w:id="79">
    <w:p w:rsidR="0081535F" w:rsidRPr="003D5D04" w:rsidRDefault="0081535F" w:rsidP="00422232">
      <w:pPr>
        <w:pStyle w:val="Textonotapie"/>
        <w:spacing w:line="19" w:lineRule="atLeast"/>
        <w:ind w:left="-180" w:right="-174"/>
        <w:jc w:val="both"/>
        <w:rPr>
          <w:rFonts w:ascii="Verdana" w:hAnsi="Verdana"/>
          <w:i/>
          <w:sz w:val="16"/>
          <w:szCs w:val="16"/>
          <w:lang w:val="es-CR"/>
        </w:rPr>
      </w:pPr>
      <w:r w:rsidRPr="006B7B23">
        <w:rPr>
          <w:rStyle w:val="Refdenotaalpie"/>
          <w:rFonts w:ascii="Verdana" w:hAnsi="Verdana"/>
          <w:sz w:val="16"/>
          <w:szCs w:val="16"/>
        </w:rPr>
        <w:footnoteRef/>
      </w:r>
      <w:r>
        <w:rPr>
          <w:rFonts w:ascii="Verdana" w:hAnsi="Verdana"/>
          <w:sz w:val="16"/>
          <w:szCs w:val="16"/>
          <w:lang w:val="es-CR"/>
        </w:rPr>
        <w:t xml:space="preserve"> La perita Marí</w:t>
      </w:r>
      <w:r w:rsidRPr="003D5D04">
        <w:rPr>
          <w:rFonts w:ascii="Verdana" w:hAnsi="Verdana"/>
          <w:sz w:val="16"/>
          <w:szCs w:val="16"/>
          <w:lang w:val="es-CR"/>
        </w:rPr>
        <w:t>a Eugenia Solís García indicó que, según información de</w:t>
      </w:r>
      <w:r>
        <w:rPr>
          <w:rFonts w:ascii="Verdana" w:hAnsi="Verdana"/>
          <w:sz w:val="16"/>
          <w:szCs w:val="16"/>
          <w:lang w:val="es-CR"/>
        </w:rPr>
        <w:t>l</w:t>
      </w:r>
      <w:r w:rsidRPr="003D5D04">
        <w:rPr>
          <w:rFonts w:ascii="Verdana" w:hAnsi="Verdana"/>
          <w:sz w:val="16"/>
          <w:szCs w:val="16"/>
          <w:lang w:val="es-CR"/>
        </w:rPr>
        <w:t xml:space="preserve"> </w:t>
      </w:r>
      <w:r w:rsidRPr="00D30B64">
        <w:rPr>
          <w:rStyle w:val="st"/>
          <w:rFonts w:ascii="Verdana" w:hAnsi="Verdana"/>
          <w:sz w:val="16"/>
          <w:szCs w:val="16"/>
          <w:lang w:val="es-CR"/>
        </w:rPr>
        <w:t>Instituto Nacional de Ciencias Forenses de</w:t>
      </w:r>
      <w:r w:rsidRPr="00D30B64">
        <w:rPr>
          <w:rStyle w:val="st"/>
          <w:rFonts w:ascii="Verdana" w:hAnsi="Verdana"/>
          <w:i/>
          <w:sz w:val="16"/>
          <w:szCs w:val="16"/>
          <w:lang w:val="es-CR"/>
        </w:rPr>
        <w:t xml:space="preserve"> </w:t>
      </w:r>
      <w:r w:rsidRPr="003D5D04">
        <w:rPr>
          <w:rStyle w:val="nfasis"/>
          <w:rFonts w:ascii="Verdana" w:hAnsi="Verdana"/>
          <w:i w:val="0"/>
          <w:sz w:val="16"/>
          <w:szCs w:val="16"/>
          <w:lang w:val="es-CR"/>
        </w:rPr>
        <w:t>Guatemala (</w:t>
      </w:r>
      <w:r w:rsidRPr="003D5D04">
        <w:rPr>
          <w:rFonts w:ascii="Verdana" w:hAnsi="Verdana"/>
          <w:sz w:val="16"/>
          <w:szCs w:val="16"/>
        </w:rPr>
        <w:t>INACIF),</w:t>
      </w:r>
      <w:r w:rsidRPr="006B7B23">
        <w:rPr>
          <w:rFonts w:ascii="Verdana" w:hAnsi="Verdana"/>
          <w:sz w:val="16"/>
          <w:szCs w:val="16"/>
        </w:rPr>
        <w:t xml:space="preserve"> en la década transcurrida entre 2002 y 2012 las mujeres fueron víctimas de un 11% del total de las muertes violentas. </w:t>
      </w:r>
    </w:p>
  </w:footnote>
  <w:footnote w:id="80">
    <w:p w:rsidR="0081535F" w:rsidRPr="006B7B23" w:rsidRDefault="0081535F" w:rsidP="00422232">
      <w:pPr>
        <w:pStyle w:val="Textonotapie"/>
        <w:spacing w:line="19" w:lineRule="atLeast"/>
        <w:ind w:left="-180" w:right="-174"/>
        <w:jc w:val="both"/>
        <w:rPr>
          <w:rFonts w:ascii="Verdana" w:hAnsi="Verdana"/>
          <w:sz w:val="16"/>
          <w:szCs w:val="16"/>
        </w:rPr>
      </w:pPr>
      <w:r w:rsidRPr="006B7B23">
        <w:rPr>
          <w:rStyle w:val="Refdenotaalpie"/>
          <w:rFonts w:ascii="Verdana" w:hAnsi="Verdana"/>
          <w:sz w:val="16"/>
          <w:szCs w:val="16"/>
        </w:rPr>
        <w:footnoteRef/>
      </w:r>
      <w:r>
        <w:rPr>
          <w:rFonts w:ascii="Verdana" w:hAnsi="Verdana"/>
          <w:sz w:val="16"/>
          <w:szCs w:val="16"/>
        </w:rPr>
        <w:t xml:space="preserve"> </w:t>
      </w:r>
      <w:r w:rsidRPr="006B7B23">
        <w:rPr>
          <w:rFonts w:ascii="Verdana" w:hAnsi="Verdana"/>
          <w:sz w:val="16"/>
          <w:szCs w:val="16"/>
        </w:rPr>
        <w:t xml:space="preserve">El PNUD </w:t>
      </w:r>
      <w:r>
        <w:rPr>
          <w:rFonts w:ascii="Verdana" w:hAnsi="Verdana"/>
          <w:sz w:val="16"/>
          <w:szCs w:val="16"/>
        </w:rPr>
        <w:t xml:space="preserve">señaló </w:t>
      </w:r>
      <w:r w:rsidRPr="006B7B23">
        <w:rPr>
          <w:rFonts w:ascii="Verdana" w:hAnsi="Verdana"/>
          <w:sz w:val="16"/>
          <w:szCs w:val="16"/>
        </w:rPr>
        <w:t>que “[e]</w:t>
      </w:r>
      <w:r w:rsidRPr="006B7B23">
        <w:rPr>
          <w:rFonts w:ascii="Verdana" w:hAnsi="Verdana"/>
          <w:sz w:val="16"/>
          <w:szCs w:val="16"/>
          <w:lang w:val="es-CR"/>
        </w:rPr>
        <w:t xml:space="preserve">s factible apreciar un aumento sostenido en el número total de [homicidios de mujeres] registrados. En 6 años […] casi se han doblado, de 303 en 2001 a 603 en 2006[, pero que] </w:t>
      </w:r>
      <w:r w:rsidRPr="006B7B23">
        <w:rPr>
          <w:rFonts w:ascii="Verdana" w:hAnsi="Verdana"/>
          <w:sz w:val="16"/>
          <w:szCs w:val="16"/>
        </w:rPr>
        <w:t xml:space="preserve">el porcentaje de [homicidios de mujeres], como parte del total de homicidios, no ha crecido de una manera tan pronunciada como la frecuencia total […] Llama la atención el aumento en la proporción de </w:t>
      </w:r>
      <w:r w:rsidRPr="006B7B23">
        <w:rPr>
          <w:rFonts w:ascii="Verdana" w:hAnsi="Verdana"/>
          <w:sz w:val="16"/>
          <w:szCs w:val="16"/>
          <w:lang w:val="es-CR"/>
        </w:rPr>
        <w:t>mujeres asesinadas registrado en el año 2004 (12.4%)”</w:t>
      </w:r>
      <w:r>
        <w:rPr>
          <w:rFonts w:ascii="Verdana" w:hAnsi="Verdana"/>
          <w:sz w:val="16"/>
          <w:szCs w:val="16"/>
          <w:lang w:val="es-CR"/>
        </w:rPr>
        <w:t xml:space="preserve">. </w:t>
      </w:r>
      <w:r w:rsidRPr="006B7B23">
        <w:rPr>
          <w:rFonts w:ascii="Verdana" w:hAnsi="Verdana"/>
          <w:sz w:val="16"/>
          <w:szCs w:val="16"/>
          <w:lang w:val="es-CR"/>
        </w:rPr>
        <w:t xml:space="preserve">Programa de las Naciones Unidas para el Desarrollo </w:t>
      </w:r>
      <w:r>
        <w:rPr>
          <w:rFonts w:ascii="Verdana" w:hAnsi="Verdana"/>
          <w:sz w:val="16"/>
          <w:szCs w:val="16"/>
          <w:lang w:val="es-CR"/>
        </w:rPr>
        <w:t>(</w:t>
      </w:r>
      <w:r w:rsidRPr="006B7B23">
        <w:rPr>
          <w:rFonts w:ascii="Verdana" w:hAnsi="Verdana"/>
          <w:sz w:val="16"/>
          <w:szCs w:val="16"/>
          <w:lang w:val="es-CR"/>
        </w:rPr>
        <w:t>PNUD</w:t>
      </w:r>
      <w:r>
        <w:rPr>
          <w:rFonts w:ascii="Verdana" w:hAnsi="Verdana"/>
          <w:sz w:val="16"/>
          <w:szCs w:val="16"/>
          <w:lang w:val="es-CR"/>
        </w:rPr>
        <w:t>),</w:t>
      </w:r>
      <w:r w:rsidRPr="006B7B23">
        <w:rPr>
          <w:rFonts w:ascii="Verdana" w:hAnsi="Verdana"/>
          <w:sz w:val="16"/>
          <w:szCs w:val="16"/>
          <w:lang w:val="es-CR"/>
        </w:rPr>
        <w:t xml:space="preserve"> Programa de Seguridad Ciudadana y Prevención de la Violencia del PNUD Guatemala, “Informe estadístico de la violencia en Guatemala”, </w:t>
      </w:r>
      <w:r w:rsidRPr="00122C63">
        <w:rPr>
          <w:rFonts w:ascii="Verdana" w:hAnsi="Verdana"/>
          <w:i/>
          <w:sz w:val="16"/>
          <w:szCs w:val="16"/>
          <w:lang w:val="es-CR"/>
        </w:rPr>
        <w:t>supra</w:t>
      </w:r>
      <w:r w:rsidRPr="00122C63">
        <w:rPr>
          <w:rFonts w:ascii="Verdana" w:hAnsi="Verdana"/>
          <w:sz w:val="16"/>
          <w:szCs w:val="16"/>
          <w:lang w:val="es-CR"/>
        </w:rPr>
        <w:t>, págs. 30 y 31</w:t>
      </w:r>
      <w:r>
        <w:rPr>
          <w:rFonts w:ascii="Verdana" w:hAnsi="Verdana"/>
          <w:sz w:val="16"/>
          <w:szCs w:val="16"/>
          <w:lang w:val="es-CR"/>
        </w:rPr>
        <w:t>.</w:t>
      </w:r>
      <w:r w:rsidRPr="006B7B23">
        <w:rPr>
          <w:rFonts w:ascii="Verdana" w:hAnsi="Verdana"/>
          <w:sz w:val="16"/>
          <w:szCs w:val="16"/>
          <w:lang w:val="es-CR"/>
        </w:rPr>
        <w:t xml:space="preserve"> </w:t>
      </w:r>
      <w:r w:rsidRPr="006B7B23">
        <w:rPr>
          <w:rFonts w:ascii="Verdana" w:hAnsi="Verdana"/>
          <w:sz w:val="16"/>
          <w:szCs w:val="16"/>
        </w:rPr>
        <w:t>Amnistía Internacional, en un documento en que abordó la situación entre 2001 y 2005, explicó que “[l]os hombres también se han visto afectados por el grado general de violencia […] y se ha producido un significativo aumento del índice de asesinatos en general”. Afirmó también que “según datos de la policía, del número total de homicidios, en 2002 fueron de mujeres el 4,5 [%]; en 2003, el 11,5%, y en 2004, el 12,1%”</w:t>
      </w:r>
      <w:r>
        <w:rPr>
          <w:rFonts w:ascii="Verdana" w:hAnsi="Verdana"/>
          <w:sz w:val="16"/>
          <w:szCs w:val="16"/>
        </w:rPr>
        <w:t xml:space="preserve">. </w:t>
      </w:r>
      <w:r w:rsidRPr="006B7B23">
        <w:rPr>
          <w:rFonts w:ascii="Verdana" w:hAnsi="Verdana"/>
          <w:sz w:val="16"/>
          <w:szCs w:val="16"/>
        </w:rPr>
        <w:t xml:space="preserve">Amnistía Internacional, “Guatemala. Ni protección ni justicia: Homicidios de mujeres en Guatemala”, </w:t>
      </w:r>
      <w:r>
        <w:rPr>
          <w:rFonts w:ascii="Verdana" w:hAnsi="Verdana"/>
          <w:i/>
          <w:sz w:val="16"/>
          <w:szCs w:val="16"/>
        </w:rPr>
        <w:t>supra</w:t>
      </w:r>
      <w:r>
        <w:rPr>
          <w:rFonts w:ascii="Verdana" w:hAnsi="Verdana"/>
          <w:sz w:val="16"/>
          <w:szCs w:val="16"/>
        </w:rPr>
        <w:t xml:space="preserve">, </w:t>
      </w:r>
      <w:r w:rsidRPr="00122C63">
        <w:rPr>
          <w:rFonts w:ascii="Verdana" w:hAnsi="Verdana"/>
          <w:sz w:val="16"/>
          <w:szCs w:val="16"/>
        </w:rPr>
        <w:t>pág. 2.</w:t>
      </w:r>
      <w:r w:rsidRPr="006B7B23">
        <w:rPr>
          <w:rFonts w:ascii="Verdana" w:hAnsi="Verdana"/>
          <w:sz w:val="16"/>
          <w:szCs w:val="16"/>
        </w:rPr>
        <w:t xml:space="preserve"> </w:t>
      </w:r>
    </w:p>
  </w:footnote>
  <w:footnote w:id="81">
    <w:p w:rsidR="0081535F" w:rsidRPr="006B7B23" w:rsidRDefault="0081535F" w:rsidP="00422232">
      <w:pPr>
        <w:pStyle w:val="Textonotapie"/>
        <w:spacing w:line="19" w:lineRule="atLeast"/>
        <w:ind w:left="-180" w:right="-174"/>
        <w:jc w:val="both"/>
        <w:rPr>
          <w:rFonts w:ascii="Verdana" w:hAnsi="Verdana"/>
          <w:sz w:val="16"/>
          <w:szCs w:val="16"/>
        </w:rPr>
      </w:pPr>
      <w:r w:rsidRPr="006B7B23">
        <w:rPr>
          <w:rStyle w:val="Refdenotaalpie"/>
          <w:rFonts w:ascii="Verdana" w:hAnsi="Verdana"/>
          <w:sz w:val="16"/>
          <w:szCs w:val="16"/>
        </w:rPr>
        <w:footnoteRef/>
      </w:r>
      <w:r>
        <w:rPr>
          <w:rFonts w:ascii="Verdana" w:hAnsi="Verdana"/>
          <w:sz w:val="16"/>
          <w:szCs w:val="16"/>
        </w:rPr>
        <w:t xml:space="preserve"> </w:t>
      </w:r>
      <w:r w:rsidRPr="006B7B23">
        <w:rPr>
          <w:rFonts w:ascii="Verdana" w:hAnsi="Verdana"/>
          <w:sz w:val="16"/>
          <w:szCs w:val="16"/>
        </w:rPr>
        <w:t xml:space="preserve">En cuanto al vínculo entre la situación general relativa a muertes violentas, y muertes de mujeres, la perita </w:t>
      </w:r>
      <w:r>
        <w:rPr>
          <w:rFonts w:ascii="Verdana" w:hAnsi="Verdana"/>
          <w:sz w:val="16"/>
          <w:szCs w:val="16"/>
        </w:rPr>
        <w:t xml:space="preserve">Ana </w:t>
      </w:r>
      <w:r w:rsidRPr="006B7B23">
        <w:rPr>
          <w:rFonts w:ascii="Verdana" w:hAnsi="Verdana"/>
          <w:sz w:val="16"/>
          <w:szCs w:val="16"/>
        </w:rPr>
        <w:t xml:space="preserve">Carcedo Cabañas indicó un “incremento incontenido del número de muertes violentas de mujeres, lo que hace que las tasas pasen a ser algo menos de 4 por 100[,000] mujeres en el año 2000 a ser casi 10 mujeres por 100[,000] </w:t>
      </w:r>
      <w:r>
        <w:rPr>
          <w:rFonts w:ascii="Verdana" w:hAnsi="Verdana"/>
          <w:sz w:val="16"/>
          <w:szCs w:val="16"/>
        </w:rPr>
        <w:t>en el año 2006. […] En este perí</w:t>
      </w:r>
      <w:r w:rsidRPr="006B7B23">
        <w:rPr>
          <w:rFonts w:ascii="Verdana" w:hAnsi="Verdana"/>
          <w:sz w:val="16"/>
          <w:szCs w:val="16"/>
        </w:rPr>
        <w:t>odo también aumentó la criminalidad homic</w:t>
      </w:r>
      <w:r>
        <w:rPr>
          <w:rFonts w:ascii="Verdana" w:hAnsi="Verdana"/>
          <w:sz w:val="16"/>
          <w:szCs w:val="16"/>
        </w:rPr>
        <w:t>ida en contra de los hombres[.</w:t>
      </w:r>
      <w:r w:rsidRPr="006B7B23">
        <w:rPr>
          <w:rFonts w:ascii="Verdana" w:hAnsi="Verdana"/>
          <w:sz w:val="16"/>
          <w:szCs w:val="16"/>
        </w:rPr>
        <w:t>] Sin embargo, […] mientras los homicidios de hombres entre el año 1995 y el año 2004 aumentan un 68%, los de mujeres lo hacen un 141%, es decir, crecen más del doble de rápido que los primeros</w:t>
      </w:r>
      <w:r w:rsidRPr="00BB0D81">
        <w:rPr>
          <w:rFonts w:ascii="Verdana" w:hAnsi="Verdana"/>
          <w:sz w:val="16"/>
          <w:szCs w:val="16"/>
        </w:rPr>
        <w:t>”.</w:t>
      </w:r>
      <w:r w:rsidRPr="00547BA6">
        <w:rPr>
          <w:rFonts w:ascii="Verdana" w:eastAsia="Times New Roman" w:hAnsi="Verdana" w:cs="Arial"/>
          <w:i/>
          <w:sz w:val="16"/>
          <w:szCs w:val="16"/>
          <w:lang w:val="es-MX"/>
        </w:rPr>
        <w:t xml:space="preserve"> Cfr</w:t>
      </w:r>
      <w:r w:rsidRPr="00547BA6">
        <w:rPr>
          <w:rFonts w:ascii="Verdana" w:eastAsia="Times New Roman" w:hAnsi="Verdana" w:cs="Arial"/>
          <w:sz w:val="16"/>
          <w:szCs w:val="16"/>
          <w:lang w:val="es-MX"/>
        </w:rPr>
        <w:t xml:space="preserve">. Dictamen pericial de Ana Carcedo Cabañas, </w:t>
      </w:r>
      <w:r w:rsidRPr="00547BA6">
        <w:rPr>
          <w:rFonts w:ascii="Verdana" w:eastAsia="Times New Roman" w:hAnsi="Verdana" w:cs="Arial"/>
          <w:i/>
          <w:sz w:val="16"/>
          <w:szCs w:val="16"/>
          <w:lang w:val="es-MX"/>
        </w:rPr>
        <w:t>supra</w:t>
      </w:r>
      <w:r w:rsidRPr="00547BA6">
        <w:rPr>
          <w:rFonts w:ascii="Verdana" w:eastAsia="Times New Roman" w:hAnsi="Verdana" w:cs="Arial"/>
          <w:sz w:val="16"/>
          <w:szCs w:val="16"/>
          <w:lang w:val="es-MX"/>
        </w:rPr>
        <w:t>.</w:t>
      </w:r>
      <w:r w:rsidRPr="006B7B23">
        <w:rPr>
          <w:rFonts w:ascii="Verdana" w:hAnsi="Verdana"/>
          <w:sz w:val="16"/>
          <w:szCs w:val="16"/>
        </w:rPr>
        <w:t xml:space="preserve"> </w:t>
      </w:r>
      <w:r w:rsidRPr="00B249AE">
        <w:rPr>
          <w:rFonts w:ascii="Verdana" w:hAnsi="Verdana"/>
          <w:sz w:val="16"/>
          <w:szCs w:val="16"/>
        </w:rPr>
        <w:t xml:space="preserve">En </w:t>
      </w:r>
      <w:r w:rsidRPr="006B7B23">
        <w:rPr>
          <w:rFonts w:ascii="Verdana" w:hAnsi="Verdana"/>
          <w:sz w:val="16"/>
          <w:szCs w:val="16"/>
        </w:rPr>
        <w:t>forma concordante, Carcedo, Ana</w:t>
      </w:r>
      <w:r>
        <w:rPr>
          <w:rFonts w:ascii="Verdana" w:hAnsi="Verdana"/>
          <w:sz w:val="16"/>
          <w:szCs w:val="16"/>
        </w:rPr>
        <w:t xml:space="preserve">, </w:t>
      </w:r>
      <w:r w:rsidRPr="006B7B23">
        <w:rPr>
          <w:rFonts w:ascii="Verdana" w:hAnsi="Verdana"/>
          <w:sz w:val="16"/>
          <w:szCs w:val="16"/>
        </w:rPr>
        <w:t>“No olvidamos ni aceptamos: Femicidio en Centroamérica 2000-2006</w:t>
      </w:r>
      <w:r>
        <w:rPr>
          <w:rFonts w:ascii="Verdana" w:hAnsi="Verdana"/>
          <w:sz w:val="16"/>
          <w:szCs w:val="16"/>
        </w:rPr>
        <w:t>”,</w:t>
      </w:r>
      <w:r w:rsidRPr="006B7B23">
        <w:rPr>
          <w:rFonts w:ascii="Verdana" w:hAnsi="Verdana"/>
          <w:sz w:val="16"/>
          <w:szCs w:val="16"/>
        </w:rPr>
        <w:t xml:space="preserve"> San José, Costa Rica, 2010, pág. 41 (</w:t>
      </w:r>
      <w:r>
        <w:rPr>
          <w:rFonts w:ascii="Verdana" w:hAnsi="Verdana"/>
          <w:sz w:val="16"/>
          <w:szCs w:val="16"/>
        </w:rPr>
        <w:t>e</w:t>
      </w:r>
      <w:r w:rsidRPr="006B7B23">
        <w:rPr>
          <w:rFonts w:ascii="Verdana" w:hAnsi="Verdana"/>
          <w:sz w:val="16"/>
          <w:szCs w:val="16"/>
        </w:rPr>
        <w:t xml:space="preserve">xpediente de anexos al escrito de solicitudes y argumentos, </w:t>
      </w:r>
      <w:r>
        <w:rPr>
          <w:rFonts w:ascii="Verdana" w:hAnsi="Verdana"/>
          <w:sz w:val="16"/>
          <w:szCs w:val="16"/>
        </w:rPr>
        <w:t>a</w:t>
      </w:r>
      <w:r w:rsidRPr="006B7B23">
        <w:rPr>
          <w:rFonts w:ascii="Verdana" w:hAnsi="Verdana"/>
          <w:sz w:val="16"/>
          <w:szCs w:val="16"/>
        </w:rPr>
        <w:t>nexo 55, fs. 6,313 a 7,320).</w:t>
      </w:r>
    </w:p>
  </w:footnote>
  <w:footnote w:id="82">
    <w:p w:rsidR="0081535F" w:rsidRPr="006B7B23" w:rsidRDefault="0081535F" w:rsidP="00422232">
      <w:pPr>
        <w:pStyle w:val="Textonotapie"/>
        <w:spacing w:line="19" w:lineRule="atLeast"/>
        <w:ind w:left="-180" w:right="-174"/>
        <w:jc w:val="both"/>
        <w:rPr>
          <w:rFonts w:ascii="Verdana" w:hAnsi="Verdana"/>
          <w:sz w:val="16"/>
          <w:szCs w:val="16"/>
          <w:lang w:val="es-CR"/>
        </w:rPr>
      </w:pPr>
      <w:r w:rsidRPr="006B7B23">
        <w:rPr>
          <w:rStyle w:val="Refdenotaalpie"/>
          <w:rFonts w:ascii="Verdana" w:hAnsi="Verdana"/>
          <w:sz w:val="16"/>
          <w:szCs w:val="16"/>
        </w:rPr>
        <w:footnoteRef/>
      </w:r>
      <w:r w:rsidRPr="006B7B23">
        <w:rPr>
          <w:rFonts w:ascii="Verdana" w:hAnsi="Verdana"/>
          <w:sz w:val="16"/>
          <w:szCs w:val="16"/>
          <w:lang w:val="es-CR"/>
        </w:rPr>
        <w:t xml:space="preserve"> Misión Internacional de Investigación, “El femicidio en México y Guatemala”, abril de 2006</w:t>
      </w:r>
      <w:r>
        <w:rPr>
          <w:rFonts w:ascii="Verdana" w:hAnsi="Verdana"/>
          <w:sz w:val="16"/>
          <w:szCs w:val="16"/>
          <w:lang w:val="es-CR"/>
        </w:rPr>
        <w:t xml:space="preserve"> (e</w:t>
      </w:r>
      <w:r w:rsidRPr="006B7B23">
        <w:rPr>
          <w:rFonts w:ascii="Verdana" w:hAnsi="Verdana"/>
          <w:sz w:val="16"/>
          <w:szCs w:val="16"/>
          <w:lang w:val="es-CR"/>
        </w:rPr>
        <w:t>xpediente de</w:t>
      </w:r>
      <w:r>
        <w:rPr>
          <w:rFonts w:ascii="Verdana" w:hAnsi="Verdana"/>
          <w:sz w:val="16"/>
          <w:szCs w:val="16"/>
          <w:lang w:val="es-CR"/>
        </w:rPr>
        <w:t xml:space="preserve"> a</w:t>
      </w:r>
      <w:r w:rsidRPr="006B7B23">
        <w:rPr>
          <w:rFonts w:ascii="Verdana" w:hAnsi="Verdana"/>
          <w:sz w:val="16"/>
          <w:szCs w:val="16"/>
          <w:lang w:val="es-CR"/>
        </w:rPr>
        <w:t>nexos al</w:t>
      </w:r>
      <w:r>
        <w:rPr>
          <w:rFonts w:ascii="Verdana" w:hAnsi="Verdana"/>
          <w:sz w:val="16"/>
          <w:szCs w:val="16"/>
          <w:lang w:val="es-CR"/>
        </w:rPr>
        <w:t xml:space="preserve"> Informe de Fondo</w:t>
      </w:r>
      <w:r w:rsidRPr="006B7B23">
        <w:rPr>
          <w:rFonts w:ascii="Verdana" w:hAnsi="Verdana"/>
          <w:sz w:val="16"/>
          <w:szCs w:val="16"/>
          <w:lang w:val="es-CR"/>
        </w:rPr>
        <w:t>, anexo 34, fs. 358 a 399</w:t>
      </w:r>
      <w:r>
        <w:rPr>
          <w:rFonts w:ascii="Verdana" w:hAnsi="Verdana"/>
          <w:sz w:val="16"/>
          <w:szCs w:val="16"/>
          <w:lang w:val="es-CR"/>
        </w:rPr>
        <w:t>)</w:t>
      </w:r>
      <w:r w:rsidRPr="006B7B23">
        <w:rPr>
          <w:rFonts w:ascii="Verdana" w:hAnsi="Verdana"/>
          <w:sz w:val="16"/>
          <w:szCs w:val="16"/>
          <w:lang w:val="es-CR"/>
        </w:rPr>
        <w:t xml:space="preserve">.  El documento expresa: “En el período comprendido entre el año 2000 y el 2005, se ha presentado en Guatemala un aumento de muertes violentas de la población en general. […] Los datos tomados de </w:t>
      </w:r>
      <w:r w:rsidRPr="003D5D04">
        <w:rPr>
          <w:rFonts w:ascii="Verdana" w:hAnsi="Verdana"/>
          <w:sz w:val="16"/>
          <w:szCs w:val="16"/>
          <w:lang w:val="es-CR"/>
        </w:rPr>
        <w:t>la Policía Nacional Civil (PNC) muestran que[, en 2004,] mientras la cantidad de muertes violentas de hombres se incrementó en 36%, la de mujeres se elevó en 56.8%. Para el año 2005 esta tendencia continúa”.</w:t>
      </w:r>
    </w:p>
  </w:footnote>
  <w:footnote w:id="83">
    <w:p w:rsidR="0081535F" w:rsidRPr="006B7B23" w:rsidRDefault="0081535F" w:rsidP="00422232">
      <w:pPr>
        <w:autoSpaceDE w:val="0"/>
        <w:autoSpaceDN w:val="0"/>
        <w:adjustRightInd w:val="0"/>
        <w:spacing w:after="0" w:line="19" w:lineRule="atLeast"/>
        <w:ind w:left="-180" w:right="-174"/>
        <w:jc w:val="both"/>
        <w:rPr>
          <w:rFonts w:ascii="Verdana" w:hAnsi="Verdana"/>
          <w:sz w:val="16"/>
          <w:szCs w:val="16"/>
          <w:lang w:val="es-CR"/>
        </w:rPr>
      </w:pPr>
      <w:r w:rsidRPr="006B7B23">
        <w:rPr>
          <w:rStyle w:val="Refdenotaalpie"/>
          <w:rFonts w:ascii="Verdana" w:hAnsi="Verdana"/>
          <w:sz w:val="16"/>
          <w:szCs w:val="16"/>
        </w:rPr>
        <w:footnoteRef/>
      </w:r>
      <w:r>
        <w:rPr>
          <w:rFonts w:ascii="Verdana" w:hAnsi="Verdana"/>
          <w:sz w:val="16"/>
          <w:szCs w:val="16"/>
          <w:lang w:val="es-CR"/>
        </w:rPr>
        <w:t xml:space="preserve"> </w:t>
      </w:r>
      <w:r w:rsidRPr="006B7B23">
        <w:rPr>
          <w:rFonts w:ascii="Verdana" w:hAnsi="Verdana"/>
          <w:sz w:val="16"/>
          <w:szCs w:val="16"/>
          <w:lang w:val="es-CR"/>
        </w:rPr>
        <w:t xml:space="preserve">Amnistía Internacional, en un documento en que abordó la situación entre 2001 y 2005, explicó que “la mayoría de los homicidios de mujeres se han cometido en zonas urbanas, donde [hubo] un incremento de la delincuencia violenta en los últimos años, vinculada a menudo al crimen organizado […] así como a la actividad de bandas de jóvenes de la calle conocidas como ‘maras’”. Amnistía Internacional, “Guatemala. Ni protección ni justicia: Homicidios de mujeres en Guatemala”, </w:t>
      </w:r>
      <w:r w:rsidRPr="00547BA6">
        <w:rPr>
          <w:rFonts w:ascii="Verdana" w:hAnsi="Verdana"/>
          <w:i/>
          <w:sz w:val="16"/>
          <w:szCs w:val="16"/>
          <w:lang w:val="es-CR"/>
        </w:rPr>
        <w:t>supra,</w:t>
      </w:r>
      <w:r w:rsidRPr="00EC0F73">
        <w:rPr>
          <w:rFonts w:ascii="Verdana" w:hAnsi="Verdana"/>
          <w:sz w:val="16"/>
          <w:szCs w:val="16"/>
          <w:lang w:val="es-CR"/>
        </w:rPr>
        <w:t xml:space="preserve"> </w:t>
      </w:r>
      <w:r w:rsidRPr="00122C63">
        <w:rPr>
          <w:rFonts w:ascii="Verdana" w:hAnsi="Verdana"/>
          <w:sz w:val="16"/>
          <w:szCs w:val="16"/>
          <w:lang w:val="es-CR"/>
        </w:rPr>
        <w:t>pág. 2</w:t>
      </w:r>
      <w:r w:rsidRPr="006B7B23">
        <w:rPr>
          <w:rFonts w:ascii="Verdana" w:hAnsi="Verdana"/>
          <w:sz w:val="16"/>
          <w:szCs w:val="16"/>
          <w:lang w:val="es-CR"/>
        </w:rPr>
        <w:t xml:space="preserve">. En el mismo sentido, en cuanto a que los </w:t>
      </w:r>
      <w:r>
        <w:rPr>
          <w:rFonts w:ascii="Verdana" w:hAnsi="Verdana"/>
          <w:sz w:val="16"/>
          <w:szCs w:val="16"/>
          <w:lang w:val="es-CR"/>
        </w:rPr>
        <w:t>cadáveres</w:t>
      </w:r>
      <w:r w:rsidRPr="006B7B23">
        <w:rPr>
          <w:rFonts w:ascii="Verdana" w:hAnsi="Verdana"/>
          <w:sz w:val="16"/>
          <w:szCs w:val="16"/>
          <w:lang w:val="es-CR"/>
        </w:rPr>
        <w:t xml:space="preserve"> en su mayoría </w:t>
      </w:r>
      <w:r>
        <w:rPr>
          <w:rFonts w:ascii="Verdana" w:hAnsi="Verdana"/>
          <w:sz w:val="16"/>
          <w:szCs w:val="16"/>
          <w:lang w:val="es-CR"/>
        </w:rPr>
        <w:t>eran encontrados en lotes baldíos cercanos a</w:t>
      </w:r>
      <w:r w:rsidRPr="006B7B23">
        <w:rPr>
          <w:rFonts w:ascii="Verdana" w:hAnsi="Verdana"/>
          <w:sz w:val="16"/>
          <w:szCs w:val="16"/>
          <w:lang w:val="es-CR"/>
        </w:rPr>
        <w:t xml:space="preserve"> la ciudad de Guatemala: Consejo Económico y Social de Naciones Unidas. Comisión de Derechos Humanos 6º período de sesiones,</w:t>
      </w:r>
      <w:r w:rsidRPr="006B7B23">
        <w:rPr>
          <w:rFonts w:ascii="Verdana" w:hAnsi="Verdana"/>
          <w:bCs/>
          <w:sz w:val="16"/>
          <w:szCs w:val="16"/>
          <w:lang w:val="es-CR"/>
        </w:rPr>
        <w:t xml:space="preserve"> Informe de la Relatora Especial sobre la violencia contra la mujer, sus causas y </w:t>
      </w:r>
      <w:r w:rsidRPr="003D5D04">
        <w:rPr>
          <w:rFonts w:ascii="Verdana" w:hAnsi="Verdana"/>
          <w:bCs/>
          <w:sz w:val="16"/>
          <w:szCs w:val="16"/>
          <w:lang w:val="es-CR"/>
        </w:rPr>
        <w:t xml:space="preserve">consecuencias, </w:t>
      </w:r>
      <w:r w:rsidRPr="003D5D04">
        <w:rPr>
          <w:rFonts w:ascii="Verdana" w:hAnsi="Verdana"/>
          <w:sz w:val="16"/>
          <w:szCs w:val="16"/>
          <w:shd w:val="clear" w:color="auto" w:fill="FFFFFF"/>
        </w:rPr>
        <w:t>Yakin Ertürk</w:t>
      </w:r>
      <w:r>
        <w:rPr>
          <w:rFonts w:ascii="Verdana" w:hAnsi="Verdana"/>
          <w:bCs/>
          <w:sz w:val="16"/>
          <w:szCs w:val="16"/>
          <w:lang w:val="es-CR"/>
        </w:rPr>
        <w:t xml:space="preserve">, </w:t>
      </w:r>
      <w:r>
        <w:rPr>
          <w:rFonts w:ascii="Verdana" w:hAnsi="Verdana"/>
          <w:bCs/>
          <w:i/>
          <w:sz w:val="16"/>
          <w:szCs w:val="16"/>
          <w:lang w:val="es-CR"/>
        </w:rPr>
        <w:t>supra</w:t>
      </w:r>
      <w:r w:rsidRPr="003D5D04">
        <w:rPr>
          <w:rFonts w:ascii="Verdana" w:hAnsi="Verdana"/>
          <w:sz w:val="16"/>
          <w:szCs w:val="16"/>
          <w:lang w:val="es-CR"/>
        </w:rPr>
        <w:t xml:space="preserve">, </w:t>
      </w:r>
      <w:r w:rsidRPr="00122C63">
        <w:rPr>
          <w:rFonts w:ascii="Verdana" w:hAnsi="Verdana"/>
          <w:sz w:val="16"/>
          <w:szCs w:val="16"/>
          <w:lang w:val="es-CR"/>
        </w:rPr>
        <w:t>párr. 28</w:t>
      </w:r>
      <w:r>
        <w:rPr>
          <w:rFonts w:ascii="Verdana" w:hAnsi="Verdana"/>
          <w:sz w:val="16"/>
          <w:szCs w:val="16"/>
          <w:lang w:val="es-CR"/>
        </w:rPr>
        <w:t>.</w:t>
      </w:r>
      <w:r w:rsidRPr="006B7B23">
        <w:rPr>
          <w:rFonts w:ascii="Verdana" w:hAnsi="Verdana"/>
          <w:sz w:val="16"/>
          <w:szCs w:val="16"/>
          <w:lang w:val="es-CR"/>
        </w:rPr>
        <w:t xml:space="preserve"> En cuanto a lo expresado sobre las </w:t>
      </w:r>
      <w:r w:rsidRPr="00F208FF">
        <w:rPr>
          <w:rFonts w:ascii="Verdana" w:hAnsi="Verdana"/>
          <w:sz w:val="16"/>
          <w:szCs w:val="16"/>
          <w:lang w:val="es-CR"/>
        </w:rPr>
        <w:t xml:space="preserve">ciudades de Guatemala y Escuintla, la cantidad de hechos ocurridos en la primera, al menos en 2003, cuadruplicaría la de la segunda. </w:t>
      </w:r>
      <w:r w:rsidRPr="00F208FF">
        <w:rPr>
          <w:rFonts w:ascii="Verdana" w:hAnsi="Verdana"/>
          <w:i/>
          <w:sz w:val="16"/>
          <w:szCs w:val="16"/>
          <w:lang w:val="es-CR"/>
        </w:rPr>
        <w:t>Cfr</w:t>
      </w:r>
      <w:r w:rsidRPr="00F208FF">
        <w:rPr>
          <w:rFonts w:ascii="Verdana" w:hAnsi="Verdana"/>
          <w:sz w:val="16"/>
          <w:szCs w:val="16"/>
          <w:lang w:val="es-CR"/>
        </w:rPr>
        <w:t xml:space="preserve">. </w:t>
      </w:r>
      <w:r w:rsidRPr="00F208FF">
        <w:rPr>
          <w:rFonts w:ascii="Verdana" w:hAnsi="Verdana" w:cs="Arial"/>
          <w:sz w:val="16"/>
          <w:szCs w:val="16"/>
          <w:lang w:val="es-CR"/>
        </w:rPr>
        <w:t xml:space="preserve">Procuraduría de los Derechos Humanos de Guatemala, </w:t>
      </w:r>
      <w:r>
        <w:rPr>
          <w:rFonts w:ascii="Verdana" w:hAnsi="Verdana" w:cs="Arial"/>
          <w:sz w:val="16"/>
          <w:szCs w:val="16"/>
          <w:lang w:val="es-CR"/>
        </w:rPr>
        <w:t>“Informe A</w:t>
      </w:r>
      <w:r w:rsidRPr="00F208FF">
        <w:rPr>
          <w:rFonts w:ascii="Verdana" w:hAnsi="Verdana" w:cs="Arial"/>
          <w:sz w:val="16"/>
          <w:szCs w:val="16"/>
          <w:lang w:val="es-CR"/>
        </w:rPr>
        <w:t xml:space="preserve">nual </w:t>
      </w:r>
      <w:r>
        <w:rPr>
          <w:rFonts w:ascii="Verdana" w:hAnsi="Verdana" w:cs="Arial"/>
          <w:sz w:val="16"/>
          <w:szCs w:val="16"/>
          <w:lang w:val="es-CR"/>
        </w:rPr>
        <w:t>C</w:t>
      </w:r>
      <w:r w:rsidRPr="00F208FF">
        <w:rPr>
          <w:rFonts w:ascii="Verdana" w:hAnsi="Verdana" w:cs="Arial"/>
          <w:sz w:val="16"/>
          <w:szCs w:val="16"/>
          <w:lang w:val="es-CR"/>
        </w:rPr>
        <w:t>ircunstanciado 2003”, Guatemala, enero de 2004, pág. 16</w:t>
      </w:r>
      <w:r>
        <w:rPr>
          <w:rFonts w:ascii="Verdana" w:hAnsi="Verdana" w:cs="Arial"/>
          <w:sz w:val="16"/>
          <w:szCs w:val="16"/>
          <w:lang w:val="es-CR"/>
        </w:rPr>
        <w:t xml:space="preserve"> </w:t>
      </w:r>
      <w:r w:rsidRPr="00F208FF">
        <w:rPr>
          <w:rFonts w:ascii="Verdana" w:hAnsi="Verdana" w:cs="Arial"/>
          <w:sz w:val="16"/>
          <w:szCs w:val="16"/>
          <w:lang w:val="es-CR"/>
        </w:rPr>
        <w:t>(</w:t>
      </w:r>
      <w:r>
        <w:rPr>
          <w:rFonts w:ascii="Verdana" w:hAnsi="Verdana" w:cs="Arial"/>
          <w:sz w:val="16"/>
          <w:szCs w:val="16"/>
          <w:lang w:val="es-CR"/>
        </w:rPr>
        <w:t xml:space="preserve">expediente de anexos al escrito de solicitudes y argumentos, </w:t>
      </w:r>
      <w:r w:rsidRPr="00F208FF">
        <w:rPr>
          <w:rFonts w:ascii="Verdana" w:hAnsi="Verdana" w:cs="Arial"/>
          <w:sz w:val="16"/>
          <w:szCs w:val="16"/>
          <w:lang w:val="es-CR"/>
        </w:rPr>
        <w:t>anexo 106, fs. 11,153 a 11,878).</w:t>
      </w:r>
    </w:p>
  </w:footnote>
  <w:footnote w:id="84">
    <w:p w:rsidR="0081535F" w:rsidRPr="006B7B23" w:rsidRDefault="0081535F" w:rsidP="00422232">
      <w:pPr>
        <w:pStyle w:val="Textonotapie"/>
        <w:spacing w:line="19" w:lineRule="atLeast"/>
        <w:ind w:left="-180" w:right="-174"/>
        <w:jc w:val="both"/>
        <w:rPr>
          <w:rFonts w:ascii="Verdana" w:hAnsi="Verdana"/>
          <w:sz w:val="16"/>
          <w:szCs w:val="16"/>
          <w:lang w:val="es-CR"/>
        </w:rPr>
      </w:pPr>
      <w:r w:rsidRPr="006B7B23">
        <w:rPr>
          <w:rStyle w:val="Refdenotaalpie"/>
          <w:rFonts w:ascii="Verdana" w:hAnsi="Verdana"/>
          <w:sz w:val="16"/>
          <w:szCs w:val="16"/>
        </w:rPr>
        <w:footnoteRef/>
      </w:r>
      <w:r w:rsidRPr="006B7B23">
        <w:rPr>
          <w:rFonts w:ascii="Verdana" w:hAnsi="Verdana"/>
          <w:sz w:val="16"/>
          <w:szCs w:val="16"/>
        </w:rPr>
        <w:t xml:space="preserve"> Amnistía Internacional, “Guatemala. Ni protección ni justicia: Homicidios de mujeres en Guatemala”, </w:t>
      </w:r>
      <w:r>
        <w:rPr>
          <w:rFonts w:ascii="Verdana" w:hAnsi="Verdana"/>
          <w:i/>
          <w:sz w:val="16"/>
          <w:szCs w:val="16"/>
        </w:rPr>
        <w:t>supra</w:t>
      </w:r>
      <w:r>
        <w:rPr>
          <w:rFonts w:ascii="Verdana" w:hAnsi="Verdana"/>
          <w:sz w:val="16"/>
          <w:szCs w:val="16"/>
        </w:rPr>
        <w:t xml:space="preserve">, </w:t>
      </w:r>
      <w:r w:rsidRPr="00122C63">
        <w:rPr>
          <w:rFonts w:ascii="Verdana" w:hAnsi="Verdana"/>
          <w:sz w:val="16"/>
          <w:szCs w:val="16"/>
        </w:rPr>
        <w:t>pág. 7.</w:t>
      </w:r>
    </w:p>
  </w:footnote>
  <w:footnote w:id="85">
    <w:p w:rsidR="0081535F" w:rsidRPr="006B7B23" w:rsidRDefault="0081535F" w:rsidP="00422232">
      <w:pPr>
        <w:pStyle w:val="Textonotapie"/>
        <w:spacing w:line="19" w:lineRule="atLeast"/>
        <w:ind w:left="-180" w:right="-174"/>
        <w:jc w:val="both"/>
        <w:rPr>
          <w:rFonts w:ascii="Verdana" w:hAnsi="Verdana"/>
          <w:sz w:val="16"/>
          <w:szCs w:val="16"/>
          <w:lang w:val="es-CR"/>
        </w:rPr>
      </w:pPr>
      <w:r w:rsidRPr="006B7B23">
        <w:rPr>
          <w:rStyle w:val="Refdenotaalpie"/>
          <w:rFonts w:ascii="Verdana" w:hAnsi="Verdana"/>
          <w:sz w:val="16"/>
          <w:szCs w:val="16"/>
        </w:rPr>
        <w:footnoteRef/>
      </w:r>
      <w:r w:rsidRPr="006B7B23">
        <w:rPr>
          <w:rFonts w:ascii="Verdana" w:hAnsi="Verdana"/>
          <w:sz w:val="16"/>
          <w:szCs w:val="16"/>
        </w:rPr>
        <w:t xml:space="preserve"> </w:t>
      </w:r>
      <w:r w:rsidRPr="006B7B23">
        <w:rPr>
          <w:rFonts w:ascii="Verdana" w:hAnsi="Verdana"/>
          <w:i/>
          <w:sz w:val="16"/>
          <w:szCs w:val="16"/>
          <w:lang w:val="es-CR"/>
        </w:rPr>
        <w:t xml:space="preserve">Cfr. </w:t>
      </w:r>
      <w:r w:rsidRPr="006B7B23">
        <w:rPr>
          <w:rFonts w:ascii="Verdana" w:hAnsi="Verdana"/>
          <w:sz w:val="16"/>
          <w:szCs w:val="16"/>
        </w:rPr>
        <w:t xml:space="preserve">Amnistía Internacional, “Guatemala. Ni protección ni justicia: Homicidios de mujeres en Guatemala”, </w:t>
      </w:r>
      <w:r>
        <w:rPr>
          <w:rFonts w:ascii="Verdana" w:hAnsi="Verdana"/>
          <w:i/>
          <w:sz w:val="16"/>
          <w:szCs w:val="16"/>
        </w:rPr>
        <w:t>supra</w:t>
      </w:r>
      <w:r w:rsidRPr="006B7B23">
        <w:rPr>
          <w:rFonts w:ascii="Verdana" w:hAnsi="Verdana"/>
          <w:sz w:val="16"/>
          <w:szCs w:val="16"/>
        </w:rPr>
        <w:t xml:space="preserve">, </w:t>
      </w:r>
      <w:r w:rsidRPr="00122C63">
        <w:rPr>
          <w:rFonts w:ascii="Verdana" w:hAnsi="Verdana"/>
          <w:sz w:val="16"/>
          <w:szCs w:val="16"/>
        </w:rPr>
        <w:t>pág. 8</w:t>
      </w:r>
      <w:r w:rsidRPr="006B7B23">
        <w:rPr>
          <w:rFonts w:ascii="Verdana" w:hAnsi="Verdana"/>
          <w:sz w:val="16"/>
          <w:szCs w:val="16"/>
        </w:rPr>
        <w:t>. Debe indicarse también que, por otra parte,</w:t>
      </w:r>
      <w:r>
        <w:rPr>
          <w:rFonts w:ascii="Verdana" w:hAnsi="Verdana"/>
          <w:sz w:val="16"/>
          <w:szCs w:val="16"/>
        </w:rPr>
        <w:t xml:space="preserve"> </w:t>
      </w:r>
      <w:r w:rsidRPr="006B7B23">
        <w:rPr>
          <w:rFonts w:ascii="Verdana" w:hAnsi="Verdana" w:cs="Arial"/>
          <w:sz w:val="16"/>
          <w:szCs w:val="16"/>
          <w:lang w:val="es-CR"/>
        </w:rPr>
        <w:t xml:space="preserve">el Relator Especial de Naciones Unidas sobre las Ejecuciones Extrajudiciales, Sumarias o Arbitrarias, reconoció el constante crecimiento de mujeres asesinadas desde 2001, y expresó que “[u]n estudio de la Procuraduría de los Derechos Humanos […] ponía de manifiesto que, entre esas víctimas de asesinatos que sufrieron torturas o abusos, los actos cometidos por los perpetradores guardaban una similitud general, independientemente de que la víctima fuese hombre o mujer. […] La única distinción significativa era que mientras el 15% de los cuerpos de mujeres mostraban signos de abuso sexual, éstos no se daban en ninguno de los cuerpos masculinos”. Informe del Relator </w:t>
      </w:r>
      <w:r w:rsidRPr="008068BB">
        <w:rPr>
          <w:rFonts w:ascii="Verdana" w:hAnsi="Verdana" w:cs="Arial"/>
          <w:sz w:val="16"/>
          <w:szCs w:val="16"/>
          <w:lang w:val="es-CR"/>
        </w:rPr>
        <w:t>Especial sobre las ejecuciones extrajudiciales, sumarias o arbitrarias, Phil</w:t>
      </w:r>
      <w:r>
        <w:rPr>
          <w:rFonts w:ascii="Verdana" w:hAnsi="Verdana" w:cs="Arial"/>
          <w:sz w:val="16"/>
          <w:szCs w:val="16"/>
          <w:lang w:val="es-CR"/>
        </w:rPr>
        <w:t>ip Alston. Misión a Guatemala,</w:t>
      </w:r>
      <w:r w:rsidRPr="008068BB">
        <w:rPr>
          <w:rFonts w:ascii="Verdana" w:hAnsi="Verdana" w:cs="Arial"/>
          <w:sz w:val="16"/>
          <w:szCs w:val="16"/>
          <w:lang w:val="es-CR"/>
        </w:rPr>
        <w:t xml:space="preserve"> UN Doc. A/HRC/4/20/Add.2, 19 de febrero de 2007, párrs. 22 y 26 (expediente de anexos al escrito de solicitudes y argumentos, anexo 75, fs. 10,463 a 10,489).</w:t>
      </w:r>
      <w:r w:rsidRPr="006B7B23">
        <w:rPr>
          <w:rFonts w:ascii="Verdana" w:hAnsi="Verdana" w:cs="Arial"/>
          <w:sz w:val="16"/>
          <w:szCs w:val="16"/>
          <w:lang w:val="es-CR"/>
        </w:rPr>
        <w:t xml:space="preserve"> El Procurador </w:t>
      </w:r>
      <w:r w:rsidRPr="00622AF9">
        <w:rPr>
          <w:rFonts w:ascii="Verdana" w:hAnsi="Verdana" w:cs="Arial"/>
          <w:sz w:val="16"/>
          <w:szCs w:val="16"/>
          <w:lang w:val="es-CR"/>
        </w:rPr>
        <w:t>de los</w:t>
      </w:r>
      <w:r w:rsidRPr="006B7B23">
        <w:rPr>
          <w:rFonts w:ascii="Verdana" w:hAnsi="Verdana" w:cs="Arial"/>
          <w:sz w:val="16"/>
          <w:szCs w:val="16"/>
          <w:lang w:val="es-CR"/>
        </w:rPr>
        <w:t xml:space="preserve"> Derechos Humanos de Guatemala, al señalar una tipología de muertes violentas de mujeres (en que no incluyó asesinatos por razón de género), indicó como “[m]uertes con características extrajudiciales o de limpieza social” aquellas “caracteriza[das] porque los cadáveres aparecen con señales de tortura, tiro de gracia, ataduras en el cuerpo y muestran un </w:t>
      </w:r>
      <w:r w:rsidRPr="006B7B23">
        <w:rPr>
          <w:rFonts w:ascii="Verdana" w:hAnsi="Verdana" w:cs="Arial"/>
          <w:i/>
          <w:sz w:val="16"/>
          <w:szCs w:val="16"/>
          <w:lang w:val="es-CR"/>
        </w:rPr>
        <w:t xml:space="preserve">modus operandi </w:t>
      </w:r>
      <w:r w:rsidRPr="006B7B23">
        <w:rPr>
          <w:rFonts w:ascii="Verdana" w:hAnsi="Verdana" w:cs="Arial"/>
          <w:sz w:val="16"/>
          <w:szCs w:val="16"/>
          <w:lang w:val="es-CR"/>
        </w:rPr>
        <w:t>profesional. […] Una característica peculiar es que los cuerpos aparecen en lugares distintos al de residencia de la víctima. Son cometidas por grupos clandestinos ilegales vinculados directa o indirectamente con aparatos del Estado o bandas del crimen organizado”. Procurador de los Derechos Humanos de Guatemala, “Compendio ‘muertes violentas de mujeres’ 2003 a 2005”, pág. 2</w:t>
      </w:r>
      <w:r>
        <w:rPr>
          <w:rFonts w:ascii="Verdana" w:hAnsi="Verdana" w:cs="Arial"/>
          <w:sz w:val="16"/>
          <w:szCs w:val="16"/>
          <w:lang w:val="es-CR"/>
        </w:rPr>
        <w:t>2 (e</w:t>
      </w:r>
      <w:r w:rsidRPr="006B7B23">
        <w:rPr>
          <w:rFonts w:ascii="Verdana" w:hAnsi="Verdana" w:cs="Arial"/>
          <w:sz w:val="16"/>
          <w:szCs w:val="16"/>
          <w:lang w:val="es-CR"/>
        </w:rPr>
        <w:t>xpediente de anexos al</w:t>
      </w:r>
      <w:r>
        <w:rPr>
          <w:rFonts w:ascii="Verdana" w:hAnsi="Verdana" w:cs="Arial"/>
          <w:sz w:val="16"/>
          <w:szCs w:val="16"/>
          <w:lang w:val="es-CR"/>
        </w:rPr>
        <w:t xml:space="preserve"> Informe de Fondo</w:t>
      </w:r>
      <w:r w:rsidRPr="006B7B23">
        <w:rPr>
          <w:rFonts w:ascii="Verdana" w:hAnsi="Verdana" w:cs="Arial"/>
          <w:sz w:val="16"/>
          <w:szCs w:val="16"/>
          <w:lang w:val="es-CR"/>
        </w:rPr>
        <w:t xml:space="preserve">, </w:t>
      </w:r>
      <w:r>
        <w:rPr>
          <w:rFonts w:ascii="Verdana" w:hAnsi="Verdana" w:cs="Arial"/>
          <w:sz w:val="16"/>
          <w:szCs w:val="16"/>
          <w:lang w:val="es-CR"/>
        </w:rPr>
        <w:t>a</w:t>
      </w:r>
      <w:r w:rsidRPr="006B7B23">
        <w:rPr>
          <w:rFonts w:ascii="Verdana" w:hAnsi="Verdana" w:cs="Arial"/>
          <w:sz w:val="16"/>
          <w:szCs w:val="16"/>
          <w:lang w:val="es-CR"/>
        </w:rPr>
        <w:t>nexo</w:t>
      </w:r>
      <w:r w:rsidRPr="006B7B23">
        <w:rPr>
          <w:rFonts w:ascii="Verdana" w:hAnsi="Verdana" w:cs="Arial"/>
          <w:b/>
          <w:sz w:val="16"/>
          <w:szCs w:val="16"/>
          <w:lang w:val="es-CR"/>
        </w:rPr>
        <w:t xml:space="preserve"> </w:t>
      </w:r>
      <w:r w:rsidRPr="00366B8F">
        <w:rPr>
          <w:rFonts w:ascii="Verdana" w:hAnsi="Verdana" w:cs="Arial"/>
          <w:sz w:val="16"/>
          <w:szCs w:val="16"/>
          <w:lang w:val="es-CR"/>
        </w:rPr>
        <w:t>36</w:t>
      </w:r>
      <w:r w:rsidRPr="006B7B23">
        <w:rPr>
          <w:rFonts w:ascii="Verdana" w:hAnsi="Verdana" w:cs="Arial"/>
          <w:sz w:val="16"/>
          <w:szCs w:val="16"/>
          <w:lang w:val="es-CR"/>
        </w:rPr>
        <w:t xml:space="preserve">, fs. 581 a 718). </w:t>
      </w:r>
    </w:p>
  </w:footnote>
  <w:footnote w:id="86">
    <w:p w:rsidR="0081535F" w:rsidRPr="007802D0" w:rsidRDefault="0081535F" w:rsidP="00422232">
      <w:pPr>
        <w:pStyle w:val="Textonotapie"/>
        <w:spacing w:line="19" w:lineRule="atLeast"/>
        <w:ind w:left="-180" w:right="-174"/>
        <w:jc w:val="both"/>
        <w:rPr>
          <w:rFonts w:ascii="Verdana" w:hAnsi="Verdana"/>
          <w:sz w:val="16"/>
          <w:szCs w:val="16"/>
        </w:rPr>
      </w:pPr>
      <w:r w:rsidRPr="007802D0">
        <w:rPr>
          <w:rStyle w:val="Refdenotaalpie"/>
          <w:rFonts w:ascii="Verdana" w:hAnsi="Verdana"/>
          <w:sz w:val="16"/>
          <w:szCs w:val="16"/>
        </w:rPr>
        <w:footnoteRef/>
      </w:r>
      <w:r>
        <w:rPr>
          <w:rFonts w:ascii="Verdana" w:hAnsi="Verdana"/>
          <w:sz w:val="16"/>
          <w:szCs w:val="16"/>
        </w:rPr>
        <w:t xml:space="preserve"> </w:t>
      </w:r>
      <w:r w:rsidRPr="007802D0">
        <w:rPr>
          <w:rFonts w:ascii="Verdana" w:hAnsi="Verdana"/>
          <w:sz w:val="16"/>
          <w:szCs w:val="16"/>
        </w:rPr>
        <w:t>Amnistía Internacional, “Guatemala. Ni protección ni justicia: Homicidios de mujeres en Guatemala</w:t>
      </w:r>
      <w:r>
        <w:rPr>
          <w:rFonts w:ascii="Verdana" w:hAnsi="Verdana"/>
          <w:sz w:val="16"/>
          <w:szCs w:val="16"/>
        </w:rPr>
        <w:t xml:space="preserve">”, </w:t>
      </w:r>
      <w:r>
        <w:rPr>
          <w:rFonts w:ascii="Verdana" w:hAnsi="Verdana"/>
          <w:i/>
          <w:sz w:val="16"/>
          <w:szCs w:val="16"/>
        </w:rPr>
        <w:t>supra</w:t>
      </w:r>
      <w:r w:rsidRPr="007802D0">
        <w:rPr>
          <w:rFonts w:ascii="Verdana" w:hAnsi="Verdana"/>
          <w:sz w:val="16"/>
          <w:szCs w:val="16"/>
        </w:rPr>
        <w:t xml:space="preserve">, </w:t>
      </w:r>
      <w:r w:rsidRPr="00122C63">
        <w:rPr>
          <w:rFonts w:ascii="Verdana" w:hAnsi="Verdana"/>
          <w:sz w:val="16"/>
          <w:szCs w:val="16"/>
        </w:rPr>
        <w:t>pág. 8</w:t>
      </w:r>
      <w:r>
        <w:rPr>
          <w:rFonts w:ascii="Verdana" w:hAnsi="Verdana"/>
          <w:sz w:val="16"/>
          <w:szCs w:val="16"/>
        </w:rPr>
        <w:t>.</w:t>
      </w:r>
      <w:r w:rsidRPr="007802D0">
        <w:rPr>
          <w:rFonts w:ascii="Verdana" w:hAnsi="Verdana"/>
          <w:sz w:val="16"/>
          <w:szCs w:val="16"/>
        </w:rPr>
        <w:t xml:space="preserve"> </w:t>
      </w:r>
    </w:p>
  </w:footnote>
  <w:footnote w:id="87">
    <w:p w:rsidR="0081535F" w:rsidRPr="007802D0" w:rsidRDefault="0081535F" w:rsidP="00422232">
      <w:pPr>
        <w:pStyle w:val="Prrafodelista"/>
        <w:spacing w:after="0" w:line="19" w:lineRule="atLeast"/>
        <w:ind w:left="-180" w:right="-174"/>
        <w:jc w:val="both"/>
        <w:rPr>
          <w:rFonts w:ascii="Verdana" w:hAnsi="Verdana"/>
          <w:sz w:val="16"/>
          <w:szCs w:val="16"/>
          <w:lang w:val="es-ES"/>
        </w:rPr>
      </w:pPr>
      <w:r w:rsidRPr="007802D0">
        <w:rPr>
          <w:rStyle w:val="Refdenotaalpie"/>
          <w:rFonts w:ascii="Verdana" w:hAnsi="Verdana"/>
          <w:sz w:val="16"/>
          <w:szCs w:val="16"/>
        </w:rPr>
        <w:footnoteRef/>
      </w:r>
      <w:r>
        <w:rPr>
          <w:rFonts w:ascii="Verdana" w:hAnsi="Verdana"/>
          <w:sz w:val="16"/>
          <w:szCs w:val="16"/>
          <w:lang w:val="es-CR"/>
        </w:rPr>
        <w:t xml:space="preserve"> </w:t>
      </w:r>
      <w:r w:rsidRPr="007802D0">
        <w:rPr>
          <w:rFonts w:ascii="Verdana" w:hAnsi="Verdana" w:cs="Calibri"/>
          <w:sz w:val="16"/>
          <w:szCs w:val="16"/>
          <w:lang w:val="es-CR"/>
        </w:rPr>
        <w:t xml:space="preserve">La perita expresó que el Organismo Judicial de Guatemala consideró que </w:t>
      </w:r>
      <w:r>
        <w:rPr>
          <w:rFonts w:ascii="Verdana" w:hAnsi="Verdana" w:cs="Calibri"/>
          <w:sz w:val="16"/>
          <w:szCs w:val="16"/>
          <w:lang w:val="es-CR"/>
        </w:rPr>
        <w:t>“</w:t>
      </w:r>
      <w:r w:rsidRPr="007802D0">
        <w:rPr>
          <w:rFonts w:ascii="Verdana" w:hAnsi="Verdana" w:cs="Calibri"/>
          <w:sz w:val="16"/>
          <w:szCs w:val="16"/>
          <w:lang w:val="es-CR"/>
        </w:rPr>
        <w:t xml:space="preserve">este ejercicio de una violencia desmedida previa, concomitante o posterior a la acción delictiva </w:t>
      </w:r>
      <w:r>
        <w:rPr>
          <w:rFonts w:ascii="Verdana" w:hAnsi="Verdana" w:cs="Calibri"/>
          <w:sz w:val="16"/>
          <w:szCs w:val="16"/>
          <w:lang w:val="es-CR"/>
        </w:rPr>
        <w:t>[</w:t>
      </w:r>
      <w:r w:rsidRPr="007802D0">
        <w:rPr>
          <w:rFonts w:ascii="Verdana" w:hAnsi="Verdana" w:cs="Calibri"/>
          <w:sz w:val="16"/>
          <w:szCs w:val="16"/>
          <w:lang w:val="es-CR"/>
        </w:rPr>
        <w:t>…</w:t>
      </w:r>
      <w:r>
        <w:rPr>
          <w:rFonts w:ascii="Verdana" w:hAnsi="Verdana" w:cs="Calibri"/>
          <w:sz w:val="16"/>
          <w:szCs w:val="16"/>
          <w:lang w:val="es-CR"/>
        </w:rPr>
        <w:t>]</w:t>
      </w:r>
      <w:r w:rsidRPr="007802D0">
        <w:rPr>
          <w:rFonts w:ascii="Verdana" w:hAnsi="Verdana" w:cs="Calibri"/>
          <w:sz w:val="16"/>
          <w:szCs w:val="16"/>
          <w:lang w:val="es-CR"/>
        </w:rPr>
        <w:t xml:space="preserve"> evidencia el ensañamiento particular contra el cuerpo de las mujeres, lo cual constituye un elemento diferenciador con</w:t>
      </w:r>
      <w:r>
        <w:rPr>
          <w:rFonts w:ascii="Verdana" w:hAnsi="Verdana" w:cs="Calibri"/>
          <w:sz w:val="16"/>
          <w:szCs w:val="16"/>
          <w:lang w:val="es-CR"/>
        </w:rPr>
        <w:t xml:space="preserve"> el homicidio propiamente dicho</w:t>
      </w:r>
      <w:r w:rsidRPr="007802D0">
        <w:rPr>
          <w:rFonts w:ascii="Verdana" w:hAnsi="Verdana" w:cs="Calibri"/>
          <w:sz w:val="16"/>
          <w:szCs w:val="16"/>
          <w:lang w:val="es-CR"/>
        </w:rPr>
        <w:t xml:space="preserve">”. </w:t>
      </w:r>
    </w:p>
  </w:footnote>
  <w:footnote w:id="88">
    <w:p w:rsidR="0081535F" w:rsidRPr="00BB0D81" w:rsidRDefault="0081535F" w:rsidP="00422232">
      <w:pPr>
        <w:pStyle w:val="Textonotapie"/>
        <w:spacing w:line="19" w:lineRule="atLeast"/>
        <w:ind w:left="-180" w:right="-174"/>
        <w:jc w:val="both"/>
        <w:rPr>
          <w:rFonts w:ascii="Verdana" w:hAnsi="Verdana"/>
          <w:sz w:val="16"/>
          <w:szCs w:val="16"/>
          <w:lang w:val="es-CR"/>
        </w:rPr>
      </w:pPr>
      <w:r w:rsidRPr="007802D0">
        <w:rPr>
          <w:rStyle w:val="Refdenotaalpie"/>
          <w:rFonts w:ascii="Verdana" w:hAnsi="Verdana"/>
          <w:sz w:val="16"/>
          <w:szCs w:val="16"/>
        </w:rPr>
        <w:footnoteRef/>
      </w:r>
      <w:r>
        <w:rPr>
          <w:rFonts w:ascii="Verdana" w:hAnsi="Verdana"/>
          <w:sz w:val="16"/>
          <w:szCs w:val="16"/>
          <w:lang w:val="es-CR"/>
        </w:rPr>
        <w:t xml:space="preserve"> </w:t>
      </w:r>
      <w:r w:rsidRPr="00366B8F">
        <w:rPr>
          <w:rFonts w:ascii="Verdana" w:hAnsi="Verdana"/>
          <w:sz w:val="16"/>
          <w:szCs w:val="16"/>
          <w:lang w:val="es-CR"/>
        </w:rPr>
        <w:t xml:space="preserve">Comisión Interamericana de Derechos Humanos, “Quinto Informe sobre la Situación de Derechos Humanos en Guatemala”, </w:t>
      </w:r>
      <w:r>
        <w:rPr>
          <w:rFonts w:ascii="Verdana" w:hAnsi="Verdana"/>
          <w:i/>
          <w:sz w:val="16"/>
          <w:szCs w:val="16"/>
          <w:lang w:val="es-CR"/>
        </w:rPr>
        <w:t>supra,</w:t>
      </w:r>
      <w:r w:rsidRPr="00366B8F">
        <w:rPr>
          <w:rFonts w:ascii="Verdana" w:hAnsi="Verdana"/>
          <w:sz w:val="16"/>
          <w:szCs w:val="16"/>
          <w:lang w:val="es-CR"/>
        </w:rPr>
        <w:t xml:space="preserve"> párr.</w:t>
      </w:r>
      <w:r>
        <w:rPr>
          <w:rFonts w:ascii="Verdana" w:hAnsi="Verdana"/>
          <w:sz w:val="16"/>
          <w:szCs w:val="16"/>
          <w:lang w:val="es-CR"/>
        </w:rPr>
        <w:t xml:space="preserve"> </w:t>
      </w:r>
      <w:r w:rsidRPr="00366B8F">
        <w:rPr>
          <w:rFonts w:ascii="Verdana" w:hAnsi="Verdana"/>
          <w:sz w:val="16"/>
          <w:szCs w:val="16"/>
          <w:lang w:val="es-CR"/>
        </w:rPr>
        <w:t>41</w:t>
      </w:r>
      <w:r>
        <w:rPr>
          <w:rFonts w:ascii="Verdana" w:hAnsi="Verdana"/>
          <w:sz w:val="16"/>
          <w:szCs w:val="16"/>
          <w:lang w:val="es-CR"/>
        </w:rPr>
        <w:t>.</w:t>
      </w:r>
      <w:r w:rsidRPr="00CF11A2">
        <w:rPr>
          <w:rFonts w:ascii="Verdana" w:hAnsi="Verdana"/>
          <w:b/>
          <w:sz w:val="16"/>
          <w:szCs w:val="16"/>
          <w:lang w:val="es-CR"/>
        </w:rPr>
        <w:t xml:space="preserve"> </w:t>
      </w:r>
      <w:r w:rsidRPr="007802D0">
        <w:rPr>
          <w:rFonts w:ascii="Verdana" w:hAnsi="Verdana"/>
          <w:sz w:val="16"/>
          <w:szCs w:val="16"/>
          <w:lang w:val="es-CR"/>
        </w:rPr>
        <w:t xml:space="preserve">En cuanto a la edad de las víctimas, la perita </w:t>
      </w:r>
      <w:r>
        <w:rPr>
          <w:rFonts w:ascii="Verdana" w:hAnsi="Verdana"/>
          <w:sz w:val="16"/>
          <w:szCs w:val="16"/>
          <w:lang w:val="es-CR"/>
        </w:rPr>
        <w:t xml:space="preserve">María Eugenia </w:t>
      </w:r>
      <w:r w:rsidRPr="007802D0">
        <w:rPr>
          <w:rFonts w:ascii="Verdana" w:hAnsi="Verdana"/>
          <w:sz w:val="16"/>
          <w:szCs w:val="16"/>
          <w:lang w:val="es-CR"/>
        </w:rPr>
        <w:t>Solís García, por su parte, expresó que “[l]a mayoría de las víctimas son adolescentes y mujeres menores de 40 años</w:t>
      </w:r>
      <w:r w:rsidRPr="00BB0D81">
        <w:rPr>
          <w:rFonts w:ascii="Verdana" w:hAnsi="Verdana"/>
          <w:sz w:val="16"/>
          <w:szCs w:val="16"/>
          <w:lang w:val="es-CR"/>
        </w:rPr>
        <w:t>”.</w:t>
      </w:r>
      <w:r w:rsidRPr="001372C2">
        <w:rPr>
          <w:rFonts w:ascii="Verdana" w:eastAsia="Times New Roman" w:hAnsi="Verdana" w:cs="Arial"/>
          <w:sz w:val="16"/>
          <w:szCs w:val="16"/>
          <w:lang w:val="es-MX"/>
        </w:rPr>
        <w:t xml:space="preserve"> </w:t>
      </w:r>
      <w:r w:rsidRPr="001372C2">
        <w:rPr>
          <w:rFonts w:ascii="Verdana" w:eastAsia="Times New Roman" w:hAnsi="Verdana" w:cs="Arial"/>
          <w:i/>
          <w:sz w:val="16"/>
          <w:szCs w:val="16"/>
          <w:lang w:val="es-MX"/>
        </w:rPr>
        <w:t>Cfr.</w:t>
      </w:r>
      <w:r w:rsidRPr="001372C2">
        <w:rPr>
          <w:rFonts w:ascii="Verdana" w:eastAsia="Times New Roman" w:hAnsi="Verdana" w:cs="Arial"/>
          <w:sz w:val="16"/>
          <w:szCs w:val="16"/>
          <w:lang w:val="es-MX"/>
        </w:rPr>
        <w:t xml:space="preserve"> dictamen pericial de </w:t>
      </w:r>
      <w:r w:rsidRPr="001372C2">
        <w:rPr>
          <w:rFonts w:ascii="Verdana" w:eastAsia="Times New Roman" w:hAnsi="Verdana" w:cs="Times"/>
          <w:sz w:val="16"/>
          <w:szCs w:val="16"/>
          <w:lang w:val="es-MX"/>
        </w:rPr>
        <w:t>María Eugenia Solís García</w:t>
      </w:r>
      <w:r w:rsidRPr="00BB0D81">
        <w:rPr>
          <w:rFonts w:ascii="Verdana" w:eastAsia="Times New Roman" w:hAnsi="Verdana" w:cs="Times"/>
          <w:sz w:val="16"/>
          <w:szCs w:val="16"/>
          <w:lang w:val="es-MX"/>
        </w:rPr>
        <w:t xml:space="preserve">, </w:t>
      </w:r>
      <w:r w:rsidRPr="001372C2">
        <w:rPr>
          <w:rFonts w:ascii="Verdana" w:eastAsia="Times New Roman" w:hAnsi="Verdana" w:cs="Times"/>
          <w:i/>
          <w:sz w:val="16"/>
          <w:szCs w:val="16"/>
          <w:lang w:val="es-MX"/>
        </w:rPr>
        <w:t>supra</w:t>
      </w:r>
      <w:r w:rsidRPr="00BB0D81">
        <w:rPr>
          <w:rFonts w:ascii="Verdana" w:eastAsia="Times New Roman" w:hAnsi="Verdana" w:cs="Times"/>
          <w:sz w:val="16"/>
          <w:szCs w:val="16"/>
          <w:lang w:val="es-MX"/>
        </w:rPr>
        <w:t>.</w:t>
      </w:r>
      <w:r>
        <w:rPr>
          <w:rFonts w:ascii="Verdana" w:hAnsi="Verdana"/>
          <w:sz w:val="16"/>
          <w:szCs w:val="16"/>
          <w:lang w:val="es-CR"/>
        </w:rPr>
        <w:t xml:space="preserve"> </w:t>
      </w:r>
    </w:p>
  </w:footnote>
  <w:footnote w:id="89">
    <w:p w:rsidR="0081535F" w:rsidRPr="00931A41" w:rsidRDefault="0081535F" w:rsidP="00422232">
      <w:pPr>
        <w:pStyle w:val="Textonotapie"/>
        <w:spacing w:line="19" w:lineRule="atLeast"/>
        <w:ind w:left="-180" w:right="-174"/>
        <w:jc w:val="both"/>
        <w:rPr>
          <w:rFonts w:ascii="Verdana" w:hAnsi="Verdana"/>
          <w:sz w:val="16"/>
          <w:szCs w:val="16"/>
        </w:rPr>
      </w:pPr>
      <w:r w:rsidRPr="00BB0D81">
        <w:rPr>
          <w:rStyle w:val="Refdenotaalpie"/>
          <w:rFonts w:ascii="Verdana" w:hAnsi="Verdana"/>
          <w:sz w:val="16"/>
          <w:szCs w:val="16"/>
        </w:rPr>
        <w:footnoteRef/>
      </w:r>
      <w:r w:rsidRPr="00BB0D81">
        <w:rPr>
          <w:rFonts w:ascii="Verdana" w:hAnsi="Verdana"/>
          <w:sz w:val="16"/>
          <w:szCs w:val="16"/>
        </w:rPr>
        <w:t xml:space="preserve"> </w:t>
      </w:r>
      <w:r>
        <w:rPr>
          <w:rFonts w:ascii="Verdana" w:hAnsi="Verdana"/>
          <w:i/>
          <w:sz w:val="16"/>
          <w:szCs w:val="16"/>
        </w:rPr>
        <w:t>Cfr.</w:t>
      </w:r>
      <w:r>
        <w:rPr>
          <w:rFonts w:ascii="Verdana" w:hAnsi="Verdana"/>
          <w:sz w:val="16"/>
          <w:szCs w:val="16"/>
        </w:rPr>
        <w:t xml:space="preserve"> Procuraduría de los Derechos Humanos de Guatemala,</w:t>
      </w:r>
      <w:r w:rsidRPr="007802D0">
        <w:rPr>
          <w:rFonts w:ascii="Verdana" w:hAnsi="Verdana"/>
          <w:sz w:val="16"/>
          <w:szCs w:val="16"/>
        </w:rPr>
        <w:t xml:space="preserve"> </w:t>
      </w:r>
      <w:r>
        <w:rPr>
          <w:rFonts w:ascii="Verdana" w:hAnsi="Verdana"/>
          <w:sz w:val="16"/>
          <w:szCs w:val="16"/>
        </w:rPr>
        <w:t>“</w:t>
      </w:r>
      <w:r w:rsidRPr="007802D0">
        <w:rPr>
          <w:rFonts w:ascii="Verdana" w:hAnsi="Verdana"/>
          <w:sz w:val="16"/>
          <w:szCs w:val="16"/>
        </w:rPr>
        <w:t>Informe Anual Circunstanciado 2001</w:t>
      </w:r>
      <w:r>
        <w:rPr>
          <w:rFonts w:ascii="Verdana" w:hAnsi="Verdana"/>
          <w:sz w:val="16"/>
          <w:szCs w:val="16"/>
        </w:rPr>
        <w:t>”,</w:t>
      </w:r>
      <w:r w:rsidRPr="007802D0">
        <w:rPr>
          <w:rFonts w:ascii="Verdana" w:hAnsi="Verdana"/>
          <w:sz w:val="16"/>
          <w:szCs w:val="16"/>
        </w:rPr>
        <w:t xml:space="preserve"> Guatemala, enero de 2002, págs. 44 a 46 (</w:t>
      </w:r>
      <w:r>
        <w:rPr>
          <w:rFonts w:ascii="Verdana" w:hAnsi="Verdana"/>
          <w:sz w:val="16"/>
          <w:szCs w:val="16"/>
        </w:rPr>
        <w:t>e</w:t>
      </w:r>
      <w:r w:rsidRPr="007802D0">
        <w:rPr>
          <w:rFonts w:ascii="Verdana" w:hAnsi="Verdana"/>
          <w:sz w:val="16"/>
          <w:szCs w:val="16"/>
        </w:rPr>
        <w:t xml:space="preserve">xpediente de anexos al escrito de solicitudes y argumentos, </w:t>
      </w:r>
      <w:r w:rsidRPr="008068BB">
        <w:rPr>
          <w:rFonts w:ascii="Verdana" w:hAnsi="Verdana"/>
          <w:sz w:val="16"/>
          <w:szCs w:val="16"/>
        </w:rPr>
        <w:t>anexo 105, fs. 10,968 a 11,151). En el documento se indica que la discriminación “históricamente […] ha excluido [</w:t>
      </w:r>
      <w:r w:rsidRPr="007802D0">
        <w:rPr>
          <w:rFonts w:ascii="Verdana" w:hAnsi="Verdana"/>
          <w:sz w:val="16"/>
          <w:szCs w:val="16"/>
        </w:rPr>
        <w:t xml:space="preserve">a las mujeres] del usufructo de derechos fundamentales y por ello [sufren] ser víctimas de vejámenes, malos tratos y violencia”. Adicionalmente se ha indicado, como </w:t>
      </w:r>
      <w:r w:rsidRPr="00931A41">
        <w:rPr>
          <w:rFonts w:ascii="Verdana" w:hAnsi="Verdana"/>
          <w:sz w:val="16"/>
          <w:szCs w:val="16"/>
        </w:rPr>
        <w:t xml:space="preserve">una explicación posible sobre el aumento de </w:t>
      </w:r>
      <w:r w:rsidRPr="002A2F23">
        <w:rPr>
          <w:rFonts w:ascii="Verdana" w:hAnsi="Verdana"/>
          <w:sz w:val="16"/>
          <w:szCs w:val="16"/>
        </w:rPr>
        <w:t>homicidios de</w:t>
      </w:r>
      <w:r w:rsidRPr="00931A41">
        <w:rPr>
          <w:rFonts w:ascii="Verdana" w:hAnsi="Verdana"/>
          <w:sz w:val="16"/>
          <w:szCs w:val="16"/>
        </w:rPr>
        <w:t xml:space="preserve"> mujeres en Guatemala, “la existencia de condiciones sociales, económicas y políticas que mantienen a las mujeres en condición de desigualdad respecto a los hombres”</w:t>
      </w:r>
      <w:r>
        <w:rPr>
          <w:rFonts w:ascii="Verdana" w:hAnsi="Verdana"/>
          <w:sz w:val="16"/>
          <w:szCs w:val="16"/>
        </w:rPr>
        <w:t xml:space="preserve">. </w:t>
      </w:r>
      <w:r w:rsidRPr="00931A41">
        <w:rPr>
          <w:rFonts w:ascii="Verdana" w:hAnsi="Verdana"/>
          <w:sz w:val="16"/>
          <w:szCs w:val="16"/>
        </w:rPr>
        <w:t xml:space="preserve">Centro de Recursos para el Análisis de Conflictos (CERAC), “Guatemala en la encrucijada. Panorama de una violencia transformada”, </w:t>
      </w:r>
      <w:r>
        <w:rPr>
          <w:rFonts w:ascii="Verdana" w:hAnsi="Verdana"/>
          <w:i/>
          <w:sz w:val="16"/>
          <w:szCs w:val="16"/>
        </w:rPr>
        <w:t>supra</w:t>
      </w:r>
      <w:r>
        <w:rPr>
          <w:rFonts w:ascii="Verdana" w:hAnsi="Verdana"/>
          <w:sz w:val="16"/>
          <w:szCs w:val="16"/>
        </w:rPr>
        <w:t xml:space="preserve">, </w:t>
      </w:r>
      <w:r w:rsidRPr="00122C63">
        <w:rPr>
          <w:rFonts w:ascii="Verdana" w:hAnsi="Verdana"/>
          <w:sz w:val="16"/>
          <w:szCs w:val="16"/>
        </w:rPr>
        <w:t>pág. 106</w:t>
      </w:r>
      <w:r>
        <w:rPr>
          <w:rFonts w:ascii="Verdana" w:hAnsi="Verdana"/>
          <w:sz w:val="16"/>
          <w:szCs w:val="16"/>
        </w:rPr>
        <w:t xml:space="preserve">. En el mismo sentido, Amnistía Internacional, en un texto que refiere datos de los años 2000 a 2003, considera a “la cultura patriarcal como una causa específica [del] fenómeno [de la violencia]” en Guatemala. </w:t>
      </w:r>
      <w:r w:rsidRPr="007802D0">
        <w:rPr>
          <w:rFonts w:ascii="Verdana" w:hAnsi="Verdana"/>
          <w:sz w:val="16"/>
          <w:szCs w:val="16"/>
        </w:rPr>
        <w:t>El texto explica que “[e]l sistema patriarcal que se construye bajo un patrón de un ejercicio de poder y una dominación mayoritariamente masculina, coloca a las mujeres con mucha facilidad en una posición de vulnerabilidad”</w:t>
      </w:r>
      <w:r>
        <w:rPr>
          <w:rFonts w:ascii="Verdana" w:hAnsi="Verdana"/>
          <w:sz w:val="16"/>
          <w:szCs w:val="16"/>
        </w:rPr>
        <w:t xml:space="preserve">. </w:t>
      </w:r>
      <w:r w:rsidRPr="007802D0">
        <w:rPr>
          <w:rFonts w:ascii="Verdana" w:hAnsi="Verdana"/>
          <w:sz w:val="16"/>
          <w:szCs w:val="16"/>
        </w:rPr>
        <w:t>Amnistía Internacional</w:t>
      </w:r>
      <w:r>
        <w:rPr>
          <w:rFonts w:ascii="Verdana" w:hAnsi="Verdana"/>
          <w:sz w:val="16"/>
          <w:szCs w:val="16"/>
        </w:rPr>
        <w:t>,</w:t>
      </w:r>
      <w:r w:rsidRPr="007802D0">
        <w:rPr>
          <w:rFonts w:ascii="Verdana" w:hAnsi="Verdana"/>
          <w:sz w:val="16"/>
          <w:szCs w:val="16"/>
        </w:rPr>
        <w:t xml:space="preserve"> </w:t>
      </w:r>
      <w:r>
        <w:rPr>
          <w:rFonts w:ascii="Verdana" w:hAnsi="Verdana"/>
          <w:sz w:val="16"/>
          <w:szCs w:val="16"/>
        </w:rPr>
        <w:t>“</w:t>
      </w:r>
      <w:r w:rsidRPr="007802D0">
        <w:rPr>
          <w:rFonts w:ascii="Verdana" w:hAnsi="Verdana"/>
          <w:sz w:val="16"/>
          <w:szCs w:val="16"/>
        </w:rPr>
        <w:t>Informe de crímenes contra mujeres en Guatemala</w:t>
      </w:r>
      <w:r>
        <w:rPr>
          <w:rFonts w:ascii="Verdana" w:hAnsi="Verdana"/>
          <w:sz w:val="16"/>
          <w:szCs w:val="16"/>
        </w:rPr>
        <w:t>”, agosto de 2004, págs. 11 y 13</w:t>
      </w:r>
      <w:r w:rsidRPr="007802D0">
        <w:rPr>
          <w:rFonts w:ascii="Verdana" w:hAnsi="Verdana"/>
          <w:sz w:val="16"/>
          <w:szCs w:val="16"/>
        </w:rPr>
        <w:t xml:space="preserve"> </w:t>
      </w:r>
      <w:r>
        <w:rPr>
          <w:rFonts w:ascii="Verdana" w:hAnsi="Verdana"/>
          <w:sz w:val="16"/>
          <w:szCs w:val="16"/>
        </w:rPr>
        <w:t>(e</w:t>
      </w:r>
      <w:r w:rsidRPr="007802D0">
        <w:rPr>
          <w:rFonts w:ascii="Verdana" w:hAnsi="Verdana"/>
          <w:sz w:val="16"/>
          <w:szCs w:val="16"/>
        </w:rPr>
        <w:t xml:space="preserve">xpediente de anexos al escrito de solicitudes y argumentos, </w:t>
      </w:r>
      <w:r w:rsidRPr="00931A41">
        <w:rPr>
          <w:rFonts w:ascii="Verdana" w:hAnsi="Verdana"/>
          <w:sz w:val="16"/>
          <w:szCs w:val="16"/>
        </w:rPr>
        <w:t xml:space="preserve">anexo 52, fs. 5,512 a 5,525). </w:t>
      </w:r>
    </w:p>
  </w:footnote>
  <w:footnote w:id="90">
    <w:p w:rsidR="0081535F" w:rsidRPr="00931A41" w:rsidRDefault="0081535F" w:rsidP="00422232">
      <w:pPr>
        <w:spacing w:after="0" w:line="19" w:lineRule="atLeast"/>
        <w:ind w:left="-180" w:right="-174"/>
        <w:jc w:val="both"/>
        <w:rPr>
          <w:rFonts w:ascii="Verdana" w:hAnsi="Verdana"/>
          <w:sz w:val="16"/>
          <w:szCs w:val="16"/>
          <w:lang w:val="es-CR"/>
        </w:rPr>
      </w:pPr>
      <w:r w:rsidRPr="00931A41">
        <w:rPr>
          <w:rStyle w:val="Refdenotaalpie"/>
          <w:rFonts w:ascii="Verdana" w:hAnsi="Verdana"/>
          <w:sz w:val="16"/>
          <w:szCs w:val="16"/>
        </w:rPr>
        <w:footnoteRef/>
      </w:r>
      <w:r>
        <w:rPr>
          <w:rFonts w:ascii="Verdana" w:hAnsi="Verdana"/>
          <w:sz w:val="16"/>
          <w:szCs w:val="16"/>
          <w:lang w:val="es-CR"/>
        </w:rPr>
        <w:t xml:space="preserve"> </w:t>
      </w:r>
      <w:r w:rsidRPr="00931A41">
        <w:rPr>
          <w:rFonts w:ascii="Verdana" w:hAnsi="Verdana"/>
          <w:sz w:val="16"/>
          <w:szCs w:val="16"/>
          <w:lang w:val="es-CR"/>
        </w:rPr>
        <w:t>Afirmó que “manifestaciones de violencia [contra las mujeres] evidencian las relaciones históricamente asimétricas entre mujeres y hombres [p]roducto de una organización social estructurada sobre la base de la desigualdad, la opresión</w:t>
      </w:r>
      <w:r>
        <w:rPr>
          <w:rFonts w:ascii="Verdana" w:hAnsi="Verdana"/>
          <w:sz w:val="16"/>
          <w:szCs w:val="16"/>
          <w:lang w:val="es-CR"/>
        </w:rPr>
        <w:t xml:space="preserve"> </w:t>
      </w:r>
      <w:r w:rsidRPr="00622AF9">
        <w:rPr>
          <w:rFonts w:ascii="Verdana" w:hAnsi="Verdana"/>
          <w:iCs/>
          <w:sz w:val="16"/>
          <w:szCs w:val="16"/>
          <w:lang w:val="es-CR"/>
        </w:rPr>
        <w:t>y</w:t>
      </w:r>
      <w:r>
        <w:rPr>
          <w:rFonts w:ascii="Verdana" w:hAnsi="Verdana"/>
          <w:i/>
          <w:iCs/>
          <w:sz w:val="16"/>
          <w:szCs w:val="16"/>
          <w:lang w:val="es-CR"/>
        </w:rPr>
        <w:t xml:space="preserve"> </w:t>
      </w:r>
      <w:r>
        <w:rPr>
          <w:rFonts w:ascii="Verdana" w:hAnsi="Verdana"/>
          <w:sz w:val="16"/>
          <w:szCs w:val="16"/>
          <w:lang w:val="es-CR"/>
        </w:rPr>
        <w:t xml:space="preserve">la discriminación contra las mujeres”. </w:t>
      </w:r>
      <w:r w:rsidRPr="0013146C">
        <w:rPr>
          <w:rFonts w:ascii="Verdana" w:hAnsi="Verdana"/>
          <w:sz w:val="16"/>
          <w:szCs w:val="16"/>
          <w:lang w:val="es-CL"/>
        </w:rPr>
        <w:t>Órgano de Coordinación de la Prevención, el Castigo y la Erradicación de la Violencia Familiar y la Violencia contra la Mujer (</w:t>
      </w:r>
      <w:r w:rsidRPr="00C71D45">
        <w:rPr>
          <w:rFonts w:ascii="Verdana" w:hAnsi="Verdana"/>
          <w:sz w:val="16"/>
          <w:szCs w:val="16"/>
          <w:lang w:val="es-CR"/>
        </w:rPr>
        <w:t>CONAPREVI</w:t>
      </w:r>
      <w:r>
        <w:rPr>
          <w:rFonts w:ascii="Verdana" w:hAnsi="Verdana"/>
          <w:sz w:val="16"/>
          <w:szCs w:val="16"/>
          <w:lang w:val="es-CR"/>
        </w:rPr>
        <w:t xml:space="preserve">), </w:t>
      </w:r>
      <w:r w:rsidRPr="00931A41">
        <w:rPr>
          <w:rFonts w:ascii="Verdana" w:hAnsi="Verdana"/>
          <w:sz w:val="16"/>
          <w:szCs w:val="16"/>
          <w:lang w:val="es-CR"/>
        </w:rPr>
        <w:t xml:space="preserve">PLANOVI 2004-2014: Plan Nacional de Prevención y Erradicación de </w:t>
      </w:r>
      <w:r>
        <w:rPr>
          <w:rFonts w:ascii="Verdana" w:hAnsi="Verdana"/>
          <w:sz w:val="16"/>
          <w:szCs w:val="16"/>
          <w:lang w:val="es-CR"/>
        </w:rPr>
        <w:t>la</w:t>
      </w:r>
      <w:r w:rsidRPr="00931A41">
        <w:rPr>
          <w:rFonts w:ascii="Verdana" w:hAnsi="Verdana"/>
          <w:sz w:val="16"/>
          <w:szCs w:val="16"/>
          <w:lang w:val="es-CR"/>
        </w:rPr>
        <w:t xml:space="preserve"> Violencia Intrafamiliar y contra las Mujeres, </w:t>
      </w:r>
      <w:r>
        <w:rPr>
          <w:rFonts w:ascii="Verdana" w:hAnsi="Verdana"/>
          <w:i/>
          <w:sz w:val="16"/>
          <w:szCs w:val="16"/>
          <w:lang w:val="es-CR"/>
        </w:rPr>
        <w:t>supra</w:t>
      </w:r>
      <w:r w:rsidRPr="00931A41">
        <w:rPr>
          <w:rFonts w:ascii="Verdana" w:hAnsi="Verdana"/>
          <w:sz w:val="16"/>
          <w:szCs w:val="16"/>
          <w:lang w:val="es-CR"/>
        </w:rPr>
        <w:t xml:space="preserve">, </w:t>
      </w:r>
      <w:r w:rsidRPr="00122C63">
        <w:rPr>
          <w:rFonts w:ascii="Verdana" w:hAnsi="Verdana"/>
          <w:sz w:val="16"/>
          <w:szCs w:val="16"/>
          <w:lang w:val="es-CR"/>
        </w:rPr>
        <w:t>pág. 6</w:t>
      </w:r>
      <w:r w:rsidRPr="00122C63">
        <w:rPr>
          <w:rFonts w:ascii="Verdana" w:hAnsi="Verdana" w:cs="Arial"/>
          <w:sz w:val="16"/>
          <w:szCs w:val="16"/>
          <w:lang w:val="es-CR"/>
        </w:rPr>
        <w:t>.</w:t>
      </w:r>
    </w:p>
  </w:footnote>
  <w:footnote w:id="91">
    <w:p w:rsidR="0081535F" w:rsidRPr="00931A41" w:rsidRDefault="0081535F" w:rsidP="00422232">
      <w:pPr>
        <w:pStyle w:val="Textonotapie"/>
        <w:spacing w:line="19" w:lineRule="atLeast"/>
        <w:ind w:left="-180" w:right="-174"/>
        <w:jc w:val="both"/>
        <w:rPr>
          <w:rFonts w:ascii="Verdana" w:hAnsi="Verdana"/>
          <w:sz w:val="16"/>
          <w:szCs w:val="16"/>
        </w:rPr>
      </w:pPr>
      <w:r w:rsidRPr="00931A41">
        <w:rPr>
          <w:rStyle w:val="Refdenotaalpie"/>
          <w:rFonts w:ascii="Verdana" w:hAnsi="Verdana"/>
          <w:sz w:val="16"/>
          <w:szCs w:val="16"/>
        </w:rPr>
        <w:footnoteRef/>
      </w:r>
      <w:r>
        <w:rPr>
          <w:rFonts w:ascii="Verdana" w:hAnsi="Verdana"/>
          <w:sz w:val="16"/>
          <w:szCs w:val="16"/>
        </w:rPr>
        <w:t xml:space="preserve"> </w:t>
      </w:r>
      <w:r w:rsidRPr="00931A41">
        <w:rPr>
          <w:rFonts w:ascii="Verdana" w:hAnsi="Verdana"/>
          <w:sz w:val="16"/>
          <w:szCs w:val="16"/>
        </w:rPr>
        <w:t>Esto no implica tener como demostrado que el crecimiento numérico de homicidios de mujeres se deba, en forma exclusiva o principal, a la violencia en razón de género, ni considerar a los homicidios por razones de género en Guatemala, en 2001 o con posterioridad, como un fenó</w:t>
      </w:r>
      <w:r>
        <w:rPr>
          <w:rFonts w:ascii="Verdana" w:hAnsi="Verdana"/>
          <w:sz w:val="16"/>
          <w:szCs w:val="16"/>
        </w:rPr>
        <w:t>meno generalizado o en</w:t>
      </w:r>
      <w:r w:rsidRPr="007802D0">
        <w:rPr>
          <w:rFonts w:ascii="Verdana" w:hAnsi="Verdana"/>
          <w:sz w:val="16"/>
          <w:szCs w:val="16"/>
        </w:rPr>
        <w:t xml:space="preserve"> crecimiento. En tal sentido, cabe referir prueba aportada por las representantes: un </w:t>
      </w:r>
      <w:r>
        <w:rPr>
          <w:rFonts w:ascii="Verdana" w:hAnsi="Verdana"/>
          <w:sz w:val="16"/>
          <w:szCs w:val="16"/>
        </w:rPr>
        <w:t>e</w:t>
      </w:r>
      <w:r w:rsidRPr="007802D0">
        <w:rPr>
          <w:rFonts w:ascii="Verdana" w:hAnsi="Verdana"/>
          <w:sz w:val="16"/>
          <w:szCs w:val="16"/>
        </w:rPr>
        <w:t>studio indica que destacan dos explicaciones sobre el aumento de homicidios de mujeres en Guatemala. Una vinculada con “el clima generalizado de violencia que experimenta Guatemala, afectando tanto a hombres como mujeres”. La otra, relacionada a la desigualdad respecto a los hombres. En el documento se asevera que “[a] pesar que ha aumentado notablemente la violencia contra las mujeres, los datos disponibles no permiten concluir que en Guatemala el femicidio sea un fenómeno generalizado en el país o que se encuentre en aumento</w:t>
      </w:r>
      <w:r w:rsidRPr="00931A41">
        <w:rPr>
          <w:rFonts w:ascii="Verdana" w:hAnsi="Verdana"/>
          <w:sz w:val="16"/>
          <w:szCs w:val="16"/>
        </w:rPr>
        <w:t>”.</w:t>
      </w:r>
      <w:r>
        <w:rPr>
          <w:rFonts w:ascii="Verdana" w:hAnsi="Verdana"/>
          <w:sz w:val="16"/>
          <w:szCs w:val="16"/>
        </w:rPr>
        <w:t xml:space="preserve"> </w:t>
      </w:r>
      <w:r w:rsidRPr="00931A41">
        <w:rPr>
          <w:rFonts w:ascii="Verdana" w:hAnsi="Verdana"/>
          <w:sz w:val="16"/>
          <w:szCs w:val="16"/>
        </w:rPr>
        <w:t xml:space="preserve">Centro de Recursos para el Análisis de Conflictos (CERAC), “Guatemala en la encrucijada. Panorama de una violencia transformada”, </w:t>
      </w:r>
      <w:r>
        <w:rPr>
          <w:rFonts w:ascii="Verdana" w:hAnsi="Verdana"/>
          <w:i/>
          <w:sz w:val="16"/>
          <w:szCs w:val="16"/>
        </w:rPr>
        <w:t>supra</w:t>
      </w:r>
      <w:r w:rsidRPr="00931A41">
        <w:rPr>
          <w:rFonts w:ascii="Verdana" w:hAnsi="Verdana"/>
          <w:sz w:val="16"/>
          <w:szCs w:val="16"/>
        </w:rPr>
        <w:t xml:space="preserve">, </w:t>
      </w:r>
      <w:r w:rsidRPr="00122C63">
        <w:rPr>
          <w:rFonts w:ascii="Verdana" w:hAnsi="Verdana"/>
          <w:sz w:val="16"/>
          <w:szCs w:val="16"/>
        </w:rPr>
        <w:t>pág. 59.</w:t>
      </w:r>
    </w:p>
  </w:footnote>
  <w:footnote w:id="92">
    <w:p w:rsidR="0081535F" w:rsidRPr="007802D0" w:rsidRDefault="0081535F" w:rsidP="00422232">
      <w:pPr>
        <w:pStyle w:val="Textonotapie"/>
        <w:spacing w:line="19" w:lineRule="atLeast"/>
        <w:ind w:left="-180" w:right="-174"/>
        <w:jc w:val="both"/>
        <w:rPr>
          <w:rFonts w:ascii="Verdana" w:hAnsi="Verdana"/>
          <w:sz w:val="16"/>
          <w:szCs w:val="16"/>
        </w:rPr>
      </w:pPr>
      <w:r w:rsidRPr="00931A41">
        <w:rPr>
          <w:rStyle w:val="Refdenotaalpie"/>
          <w:rFonts w:ascii="Verdana" w:hAnsi="Verdana"/>
          <w:sz w:val="16"/>
          <w:szCs w:val="16"/>
        </w:rPr>
        <w:footnoteRef/>
      </w:r>
      <w:r>
        <w:rPr>
          <w:rFonts w:ascii="Verdana" w:hAnsi="Verdana"/>
          <w:sz w:val="16"/>
          <w:szCs w:val="16"/>
        </w:rPr>
        <w:t xml:space="preserve"> </w:t>
      </w:r>
      <w:r w:rsidRPr="00931A41">
        <w:rPr>
          <w:rFonts w:ascii="Verdana" w:hAnsi="Verdana"/>
          <w:sz w:val="16"/>
          <w:szCs w:val="16"/>
        </w:rPr>
        <w:t xml:space="preserve">La perita Ana Carcedo Cabañas indicó que “por los problemas ya mencionados de información </w:t>
      </w:r>
      <w:r w:rsidRPr="002B2B36">
        <w:rPr>
          <w:rFonts w:ascii="Verdana" w:hAnsi="Verdana"/>
          <w:sz w:val="16"/>
          <w:szCs w:val="16"/>
        </w:rPr>
        <w:t>(</w:t>
      </w:r>
      <w:r w:rsidRPr="002B2B36">
        <w:rPr>
          <w:rFonts w:ascii="Verdana" w:hAnsi="Verdana"/>
          <w:i/>
          <w:sz w:val="16"/>
          <w:szCs w:val="16"/>
        </w:rPr>
        <w:t>supra</w:t>
      </w:r>
      <w:r w:rsidRPr="002B2B36">
        <w:rPr>
          <w:rFonts w:ascii="Verdana" w:hAnsi="Verdana"/>
          <w:sz w:val="16"/>
          <w:szCs w:val="16"/>
        </w:rPr>
        <w:t xml:space="preserve"> nota al pie de página 70</w:t>
      </w:r>
      <w:r w:rsidRPr="00931A41">
        <w:rPr>
          <w:rFonts w:ascii="Verdana" w:hAnsi="Verdana"/>
          <w:sz w:val="16"/>
          <w:szCs w:val="16"/>
        </w:rPr>
        <w:t>)</w:t>
      </w:r>
      <w:r>
        <w:rPr>
          <w:rFonts w:ascii="Verdana" w:hAnsi="Verdana"/>
          <w:sz w:val="16"/>
          <w:szCs w:val="16"/>
        </w:rPr>
        <w:t>, se identificaron el 40% de los homicidios de mujeres como femicidios, y un 19% más en los que se sospecha que también lo fueron”. En este sentido, Amnistía</w:t>
      </w:r>
      <w:r w:rsidRPr="007802D0">
        <w:rPr>
          <w:rFonts w:ascii="Verdana" w:hAnsi="Verdana"/>
          <w:sz w:val="16"/>
          <w:szCs w:val="16"/>
        </w:rPr>
        <w:t xml:space="preserve"> Internacional ha expresado que “[e]n su informe de 2003 la Procuraduría de los Derechos Humanos afirmó que de una muestra de 61 casos examinados con detenimiento, cabía llegar a la conclusión de que 22 de las mujeres habían muerto en un contexto de violencia sexual”. Amnistía Internacional, “Guatemala. Ni protección ni justicia: Homicidios de mujeres en Guatemala”, </w:t>
      </w:r>
      <w:r>
        <w:rPr>
          <w:rFonts w:ascii="Verdana" w:hAnsi="Verdana"/>
          <w:i/>
          <w:sz w:val="16"/>
          <w:szCs w:val="16"/>
        </w:rPr>
        <w:t>supra</w:t>
      </w:r>
      <w:r w:rsidRPr="007802D0">
        <w:rPr>
          <w:rFonts w:ascii="Verdana" w:hAnsi="Verdana"/>
          <w:sz w:val="16"/>
          <w:szCs w:val="16"/>
        </w:rPr>
        <w:t xml:space="preserve">, </w:t>
      </w:r>
      <w:r w:rsidRPr="00122C63">
        <w:rPr>
          <w:rFonts w:ascii="Verdana" w:hAnsi="Verdana"/>
          <w:sz w:val="16"/>
          <w:szCs w:val="16"/>
        </w:rPr>
        <w:t>pág. 8.</w:t>
      </w:r>
      <w:r w:rsidRPr="007802D0">
        <w:rPr>
          <w:rFonts w:ascii="Verdana" w:hAnsi="Verdana"/>
          <w:sz w:val="16"/>
          <w:szCs w:val="16"/>
        </w:rPr>
        <w:t xml:space="preserve"> La Corte advierte que lo dicho por la perita </w:t>
      </w:r>
      <w:r>
        <w:rPr>
          <w:rFonts w:ascii="Verdana" w:hAnsi="Verdana"/>
          <w:sz w:val="16"/>
          <w:szCs w:val="16"/>
        </w:rPr>
        <w:t xml:space="preserve">Ana </w:t>
      </w:r>
      <w:r w:rsidRPr="007802D0">
        <w:rPr>
          <w:rFonts w:ascii="Verdana" w:hAnsi="Verdana"/>
          <w:sz w:val="16"/>
          <w:szCs w:val="16"/>
        </w:rPr>
        <w:t xml:space="preserve">Carcedo Cabañas arrojaría como conclusión que, estimativamente, un 59% de los homicidios de mujeres en Guatemala para 2003 serían cometidos en razón del género de la víctima. De otro lado, la información presentada por Amnistía Internacional, que toma por base datos estatales, arrojaría que para el mismo año un 36,06% de las muertes de mujeres estarían asociadas a un contexto de violencia sexual. La Corte, de acuerdo a los criterios señalados, considera posible colegir, en todo caso, que una parte significativa de los homicidios de mujeres en 2003 fueron cometidos en razón del género de las víctimas. </w:t>
      </w:r>
    </w:p>
  </w:footnote>
  <w:footnote w:id="93">
    <w:p w:rsidR="0081535F" w:rsidRDefault="0081535F" w:rsidP="00422232">
      <w:pPr>
        <w:pStyle w:val="Textonotapie"/>
        <w:spacing w:line="19" w:lineRule="atLeast"/>
        <w:ind w:left="-180" w:right="-174"/>
        <w:jc w:val="both"/>
        <w:rPr>
          <w:rFonts w:ascii="Verdana" w:hAnsi="Verdana"/>
          <w:sz w:val="16"/>
          <w:szCs w:val="16"/>
        </w:rPr>
      </w:pPr>
      <w:r w:rsidRPr="00F52D92">
        <w:rPr>
          <w:rStyle w:val="Refdenotaalpie"/>
          <w:rFonts w:ascii="Verdana" w:hAnsi="Verdana"/>
          <w:sz w:val="16"/>
          <w:szCs w:val="16"/>
        </w:rPr>
        <w:footnoteRef/>
      </w:r>
      <w:r w:rsidRPr="00F52D92">
        <w:rPr>
          <w:rFonts w:ascii="Verdana" w:hAnsi="Verdana"/>
          <w:sz w:val="16"/>
          <w:szCs w:val="16"/>
        </w:rPr>
        <w:t xml:space="preserve"> </w:t>
      </w:r>
      <w:r w:rsidRPr="003C77A8">
        <w:rPr>
          <w:rFonts w:ascii="Verdana" w:hAnsi="Verdana"/>
          <w:sz w:val="16"/>
          <w:szCs w:val="16"/>
        </w:rPr>
        <w:t>Además, en relación con este primer momento, el Tribunal nota que con anterioridad a diciembre de 2001, se efectuaron acciones estatales vinculadas a la problemática de la violencia contra mujeres: en 1996 se promulgó la Ley para Prevenir, Sancionar y Erradicar la Violencia Intrafamiliar.</w:t>
      </w:r>
      <w:r>
        <w:rPr>
          <w:rFonts w:ascii="Verdana" w:hAnsi="Verdana"/>
          <w:sz w:val="16"/>
          <w:szCs w:val="16"/>
        </w:rPr>
        <w:t xml:space="preserve"> </w:t>
      </w:r>
      <w:r w:rsidRPr="003C77A8">
        <w:rPr>
          <w:rFonts w:ascii="Verdana" w:hAnsi="Verdana"/>
          <w:sz w:val="16"/>
          <w:szCs w:val="16"/>
        </w:rPr>
        <w:t xml:space="preserve">Decreto </w:t>
      </w:r>
      <w:r>
        <w:rPr>
          <w:rFonts w:ascii="Verdana" w:hAnsi="Verdana"/>
          <w:sz w:val="16"/>
          <w:szCs w:val="16"/>
        </w:rPr>
        <w:t>No.</w:t>
      </w:r>
      <w:r w:rsidRPr="003C77A8">
        <w:rPr>
          <w:rFonts w:ascii="Verdana" w:hAnsi="Verdana"/>
          <w:sz w:val="16"/>
          <w:szCs w:val="16"/>
        </w:rPr>
        <w:t xml:space="preserve"> 97-1996, 28 Noviembre 1996, Guatemala (expediente de anexos al escrito de contestación, anexo 20, fs. 14, 172 a 14, 177)</w:t>
      </w:r>
      <w:r>
        <w:rPr>
          <w:rFonts w:ascii="Verdana" w:hAnsi="Verdana"/>
          <w:sz w:val="16"/>
          <w:szCs w:val="16"/>
        </w:rPr>
        <w:t>.</w:t>
      </w:r>
      <w:r w:rsidRPr="003C77A8">
        <w:rPr>
          <w:rFonts w:ascii="Verdana" w:hAnsi="Verdana"/>
          <w:sz w:val="16"/>
          <w:szCs w:val="16"/>
        </w:rPr>
        <w:t xml:space="preserve"> En los años 2000 y 2001 esta fue complementada por reglamentos y por la creación del Órgano de Coordinación de la Prevención, el Castigo y la Erradicación de la Violencia Familiar y la Violencia contra la Mujer (CONAPREVI). En el año 2000 se creó la Secretaría Presidencial de la Mujer (SEPREM), y se estableció, para el período comprendido entre 2001 y 2006, una Política Nacional de Promoción y Desarrollo de las Mujeres Guatemaltecas y su Plan de Equidad de Oportunidades. Además, en marzo de 1999 se había sancionado la Ley de Dignificación y Promoción Integral de la Mujer, y en 2001 se adoptó la Ley de Desarrollo Social</w:t>
      </w:r>
      <w:r>
        <w:rPr>
          <w:rFonts w:ascii="Verdana" w:hAnsi="Verdana"/>
          <w:sz w:val="16"/>
          <w:szCs w:val="16"/>
        </w:rPr>
        <w:t>.</w:t>
      </w:r>
      <w:r w:rsidRPr="00F52D92">
        <w:rPr>
          <w:rFonts w:ascii="Verdana" w:hAnsi="Verdana"/>
          <w:bCs/>
          <w:w w:val="95"/>
          <w:sz w:val="16"/>
          <w:szCs w:val="16"/>
          <w:lang w:val="es-CR"/>
        </w:rPr>
        <w:t xml:space="preserve"> </w:t>
      </w:r>
      <w:r w:rsidRPr="00F52D92">
        <w:rPr>
          <w:rFonts w:ascii="Verdana" w:hAnsi="Verdana"/>
          <w:sz w:val="16"/>
          <w:szCs w:val="16"/>
          <w:lang w:val="es-CR"/>
        </w:rPr>
        <w:t xml:space="preserve">Ambas normas, respectivamente, mediante los Decretos No. 7-99 y </w:t>
      </w:r>
      <w:r>
        <w:rPr>
          <w:rFonts w:ascii="Verdana" w:hAnsi="Verdana"/>
          <w:sz w:val="16"/>
          <w:szCs w:val="16"/>
          <w:lang w:val="es-CR"/>
        </w:rPr>
        <w:t xml:space="preserve">No. </w:t>
      </w:r>
      <w:r w:rsidRPr="00F52D92">
        <w:rPr>
          <w:rFonts w:ascii="Verdana" w:hAnsi="Verdana"/>
          <w:sz w:val="16"/>
          <w:szCs w:val="16"/>
          <w:lang w:val="es-CR"/>
        </w:rPr>
        <w:t xml:space="preserve">42-2001 del Congreso de la República. La segunda, en su artículo 16, establece en la política de “desarrollo social” y “población” se incluirán medidas y acciones destinadas a, </w:t>
      </w:r>
      <w:r w:rsidRPr="00F52D92">
        <w:rPr>
          <w:rFonts w:ascii="Verdana" w:hAnsi="Verdana"/>
          <w:i/>
          <w:sz w:val="16"/>
          <w:szCs w:val="16"/>
          <w:lang w:val="es-CR"/>
        </w:rPr>
        <w:t>inter alia,</w:t>
      </w:r>
      <w:r w:rsidRPr="00F52D92">
        <w:rPr>
          <w:rFonts w:ascii="Verdana" w:hAnsi="Verdana"/>
          <w:sz w:val="16"/>
          <w:szCs w:val="16"/>
          <w:lang w:val="es-CR"/>
        </w:rPr>
        <w:t xml:space="preserve"> erra</w:t>
      </w:r>
      <w:r>
        <w:rPr>
          <w:rFonts w:ascii="Verdana" w:hAnsi="Verdana"/>
          <w:sz w:val="16"/>
          <w:szCs w:val="16"/>
          <w:lang w:val="es-CR"/>
        </w:rPr>
        <w:t xml:space="preserve">dicar y sancionar todo tipo de </w:t>
      </w:r>
      <w:r w:rsidRPr="00F52D92">
        <w:rPr>
          <w:rFonts w:ascii="Verdana" w:hAnsi="Verdana"/>
          <w:sz w:val="16"/>
          <w:szCs w:val="16"/>
          <w:lang w:val="es-CR"/>
        </w:rPr>
        <w:t xml:space="preserve">violencia, abuso y discriminación </w:t>
      </w:r>
      <w:r w:rsidRPr="00931A41">
        <w:rPr>
          <w:rFonts w:ascii="Verdana" w:hAnsi="Verdana"/>
          <w:sz w:val="16"/>
          <w:szCs w:val="16"/>
          <w:lang w:val="es-CR"/>
        </w:rPr>
        <w:t xml:space="preserve">individual y colectiva contra las mujeres observando los convenios </w:t>
      </w:r>
      <w:r w:rsidRPr="00931A41">
        <w:rPr>
          <w:rFonts w:ascii="Verdana" w:hAnsi="Verdana"/>
          <w:i/>
          <w:iCs/>
          <w:sz w:val="16"/>
          <w:szCs w:val="16"/>
          <w:lang w:val="es-CR"/>
        </w:rPr>
        <w:t xml:space="preserve">y </w:t>
      </w:r>
      <w:r w:rsidRPr="00931A41">
        <w:rPr>
          <w:rFonts w:ascii="Verdana" w:hAnsi="Verdana"/>
          <w:sz w:val="16"/>
          <w:szCs w:val="16"/>
          <w:lang w:val="es-CR"/>
        </w:rPr>
        <w:t xml:space="preserve">tratados Internacionales ratificados por Guatemala”. </w:t>
      </w:r>
      <w:r w:rsidRPr="003C77A8">
        <w:rPr>
          <w:rFonts w:ascii="Verdana" w:hAnsi="Verdana"/>
          <w:sz w:val="16"/>
          <w:szCs w:val="16"/>
        </w:rPr>
        <w:t xml:space="preserve">Órgano de Coordinación de la Prevención, el Castigo y la Erradicación de la Violencia Familiar y la Violencia contra la Mujer </w:t>
      </w:r>
      <w:r>
        <w:rPr>
          <w:rFonts w:ascii="Verdana" w:hAnsi="Verdana"/>
          <w:sz w:val="16"/>
          <w:szCs w:val="16"/>
        </w:rPr>
        <w:t>(</w:t>
      </w:r>
      <w:r w:rsidRPr="00931A41">
        <w:rPr>
          <w:rFonts w:ascii="Verdana" w:hAnsi="Verdana"/>
          <w:sz w:val="16"/>
          <w:szCs w:val="16"/>
          <w:lang w:val="es-CR"/>
        </w:rPr>
        <w:t>CONAPREVI</w:t>
      </w:r>
      <w:r>
        <w:rPr>
          <w:rFonts w:ascii="Verdana" w:hAnsi="Verdana"/>
          <w:sz w:val="16"/>
          <w:szCs w:val="16"/>
          <w:lang w:val="es-CR"/>
        </w:rPr>
        <w:t>)</w:t>
      </w:r>
      <w:r w:rsidRPr="00931A41">
        <w:rPr>
          <w:rFonts w:ascii="Verdana" w:hAnsi="Verdana"/>
          <w:sz w:val="16"/>
          <w:szCs w:val="16"/>
          <w:lang w:val="es-CR"/>
        </w:rPr>
        <w:t xml:space="preserve">, </w:t>
      </w:r>
      <w:r>
        <w:rPr>
          <w:rFonts w:ascii="Verdana" w:hAnsi="Verdana"/>
          <w:sz w:val="16"/>
          <w:szCs w:val="16"/>
          <w:lang w:val="es-CR"/>
        </w:rPr>
        <w:t>“</w:t>
      </w:r>
      <w:r w:rsidRPr="00931A41">
        <w:rPr>
          <w:rFonts w:ascii="Verdana" w:hAnsi="Verdana"/>
          <w:sz w:val="16"/>
          <w:szCs w:val="16"/>
          <w:lang w:val="es-CR"/>
        </w:rPr>
        <w:t xml:space="preserve">PLANOVI 2004-2014: Plan Nacional de Prevención y Erradicación de </w:t>
      </w:r>
      <w:r>
        <w:rPr>
          <w:rFonts w:ascii="Verdana" w:hAnsi="Verdana"/>
          <w:sz w:val="16"/>
          <w:szCs w:val="16"/>
          <w:lang w:val="es-CR"/>
        </w:rPr>
        <w:t xml:space="preserve">la </w:t>
      </w:r>
      <w:r w:rsidRPr="00931A41">
        <w:rPr>
          <w:rFonts w:ascii="Verdana" w:hAnsi="Verdana"/>
          <w:sz w:val="16"/>
          <w:szCs w:val="16"/>
          <w:lang w:val="es-CR"/>
        </w:rPr>
        <w:t>Violencia Intrafamiliar y contra las Mujeres</w:t>
      </w:r>
      <w:r>
        <w:rPr>
          <w:rFonts w:ascii="Verdana" w:hAnsi="Verdana"/>
          <w:sz w:val="16"/>
          <w:szCs w:val="16"/>
          <w:lang w:val="es-CR"/>
        </w:rPr>
        <w:t>”</w:t>
      </w:r>
      <w:r w:rsidRPr="00931A41">
        <w:rPr>
          <w:rFonts w:ascii="Verdana" w:hAnsi="Verdana"/>
          <w:sz w:val="16"/>
          <w:szCs w:val="16"/>
          <w:lang w:val="es-CR"/>
        </w:rPr>
        <w:t xml:space="preserve">, </w:t>
      </w:r>
      <w:r>
        <w:rPr>
          <w:rFonts w:ascii="Verdana" w:hAnsi="Verdana"/>
          <w:i/>
          <w:sz w:val="16"/>
          <w:szCs w:val="16"/>
          <w:lang w:val="es-CR"/>
        </w:rPr>
        <w:t>supra</w:t>
      </w:r>
      <w:r w:rsidRPr="00931A41">
        <w:rPr>
          <w:rFonts w:ascii="Verdana" w:hAnsi="Verdana"/>
          <w:sz w:val="16"/>
          <w:szCs w:val="16"/>
          <w:lang w:val="es-CR"/>
        </w:rPr>
        <w:t xml:space="preserve">, </w:t>
      </w:r>
      <w:r w:rsidRPr="00122C63">
        <w:rPr>
          <w:rFonts w:ascii="Verdana" w:hAnsi="Verdana"/>
          <w:sz w:val="16"/>
          <w:szCs w:val="16"/>
          <w:lang w:val="es-CR"/>
        </w:rPr>
        <w:t>pág. 12</w:t>
      </w:r>
      <w:r w:rsidRPr="00122C63">
        <w:rPr>
          <w:rFonts w:ascii="Verdana" w:hAnsi="Verdana"/>
          <w:bCs/>
          <w:w w:val="95"/>
          <w:sz w:val="16"/>
          <w:szCs w:val="16"/>
          <w:lang w:val="es-CR"/>
        </w:rPr>
        <w:t>.</w:t>
      </w:r>
      <w:r w:rsidRPr="00F52D92">
        <w:rPr>
          <w:rFonts w:ascii="Verdana" w:hAnsi="Verdana"/>
          <w:bCs/>
          <w:w w:val="95"/>
          <w:sz w:val="16"/>
          <w:szCs w:val="16"/>
          <w:lang w:val="es-CR"/>
        </w:rPr>
        <w:t xml:space="preserve"> </w:t>
      </w:r>
      <w:r w:rsidRPr="00F52D92">
        <w:rPr>
          <w:rFonts w:ascii="Verdana" w:hAnsi="Verdana"/>
          <w:sz w:val="16"/>
          <w:szCs w:val="16"/>
          <w:lang w:val="es-CR"/>
        </w:rPr>
        <w:t>Al respecto, el Comité de Derechos Humanos de Naciones Unidas, en agosto de 2001</w:t>
      </w:r>
      <w:r>
        <w:rPr>
          <w:rFonts w:ascii="Verdana" w:hAnsi="Verdana"/>
          <w:sz w:val="16"/>
          <w:szCs w:val="16"/>
          <w:lang w:val="es-CR"/>
        </w:rPr>
        <w:t>,</w:t>
      </w:r>
      <w:r w:rsidRPr="00F52D92">
        <w:rPr>
          <w:rFonts w:ascii="Verdana" w:hAnsi="Verdana"/>
          <w:sz w:val="16"/>
          <w:szCs w:val="16"/>
          <w:lang w:val="es-CR"/>
        </w:rPr>
        <w:t xml:space="preserve"> “se congratul[ó] de las medidas legislativas positivas adoptadas [por Guatemala] en pro de la mujer y de la creación de diversos órganos destinados a promover y defender los derechos de las mujeres”. </w:t>
      </w:r>
      <w:r w:rsidRPr="00F52D92">
        <w:rPr>
          <w:rFonts w:ascii="Verdana" w:hAnsi="Verdana"/>
          <w:bCs/>
          <w:sz w:val="16"/>
          <w:szCs w:val="16"/>
          <w:lang w:val="es-CR"/>
        </w:rPr>
        <w:t>Observaciones finales del Comité de Derechos Humanos. República de Guatemala</w:t>
      </w:r>
      <w:r>
        <w:rPr>
          <w:rFonts w:ascii="Verdana" w:hAnsi="Verdana"/>
          <w:bCs/>
          <w:sz w:val="16"/>
          <w:szCs w:val="16"/>
          <w:lang w:val="es-CR"/>
        </w:rPr>
        <w:t>. UN Doc.</w:t>
      </w:r>
      <w:r w:rsidRPr="00F52D92">
        <w:rPr>
          <w:rFonts w:ascii="Verdana" w:hAnsi="Verdana" w:cs="TimesNewRoman"/>
          <w:sz w:val="16"/>
          <w:szCs w:val="16"/>
          <w:lang w:val="es-CR"/>
        </w:rPr>
        <w:t xml:space="preserve"> CCPR/CO/72/GTM</w:t>
      </w:r>
      <w:r>
        <w:rPr>
          <w:rFonts w:ascii="Verdana" w:hAnsi="Verdana" w:cs="TimesNewRoman"/>
          <w:sz w:val="16"/>
          <w:szCs w:val="16"/>
          <w:lang w:val="es-CR"/>
        </w:rPr>
        <w:t>,</w:t>
      </w:r>
      <w:r w:rsidRPr="00F52D92">
        <w:rPr>
          <w:rFonts w:ascii="Verdana" w:hAnsi="Verdana" w:cs="TimesNewRoman"/>
          <w:sz w:val="16"/>
          <w:szCs w:val="16"/>
          <w:lang w:val="es-CR"/>
        </w:rPr>
        <w:t xml:space="preserve"> 27 de agosto de 2001,</w:t>
      </w:r>
      <w:r>
        <w:rPr>
          <w:rFonts w:ascii="Verdana" w:hAnsi="Verdana"/>
          <w:sz w:val="16"/>
          <w:szCs w:val="16"/>
          <w:lang w:val="es-CR"/>
        </w:rPr>
        <w:t xml:space="preserve"> párr. 6</w:t>
      </w:r>
      <w:r w:rsidRPr="00F52D92">
        <w:rPr>
          <w:rFonts w:ascii="Verdana" w:hAnsi="Verdana"/>
          <w:sz w:val="16"/>
          <w:szCs w:val="16"/>
          <w:lang w:val="es-CR"/>
        </w:rPr>
        <w:t xml:space="preserve"> </w:t>
      </w:r>
      <w:r>
        <w:rPr>
          <w:rFonts w:ascii="Verdana" w:hAnsi="Verdana"/>
          <w:sz w:val="16"/>
          <w:szCs w:val="16"/>
          <w:lang w:val="es-CR"/>
        </w:rPr>
        <w:t>(e</w:t>
      </w:r>
      <w:r w:rsidRPr="00F52D92">
        <w:rPr>
          <w:rFonts w:ascii="Verdana" w:hAnsi="Verdana"/>
          <w:sz w:val="16"/>
          <w:szCs w:val="16"/>
          <w:lang w:val="es-CR"/>
        </w:rPr>
        <w:t xml:space="preserve">xpediente de anexos al escrito de solicitudes y argumentos, </w:t>
      </w:r>
      <w:r>
        <w:rPr>
          <w:rFonts w:ascii="Verdana" w:hAnsi="Verdana"/>
          <w:sz w:val="16"/>
          <w:szCs w:val="16"/>
          <w:lang w:val="es-CR"/>
        </w:rPr>
        <w:t>a</w:t>
      </w:r>
      <w:r w:rsidRPr="00F52D92">
        <w:rPr>
          <w:rFonts w:ascii="Verdana" w:hAnsi="Verdana"/>
          <w:sz w:val="16"/>
          <w:szCs w:val="16"/>
          <w:lang w:val="es-CR"/>
        </w:rPr>
        <w:t xml:space="preserve">nexo 61, fs. </w:t>
      </w:r>
      <w:r>
        <w:rPr>
          <w:rFonts w:ascii="Verdana" w:hAnsi="Verdana"/>
          <w:sz w:val="16"/>
          <w:szCs w:val="16"/>
          <w:lang w:val="es-CR"/>
        </w:rPr>
        <w:t>8339 a 8345</w:t>
      </w:r>
      <w:r w:rsidRPr="00F52D92">
        <w:rPr>
          <w:rFonts w:ascii="Verdana" w:hAnsi="Verdana"/>
          <w:sz w:val="16"/>
          <w:szCs w:val="16"/>
          <w:lang w:val="es-CR"/>
        </w:rPr>
        <w:t>)</w:t>
      </w:r>
      <w:r>
        <w:rPr>
          <w:rFonts w:ascii="Verdana" w:hAnsi="Verdana"/>
          <w:sz w:val="16"/>
          <w:szCs w:val="16"/>
          <w:lang w:val="es-CR"/>
        </w:rPr>
        <w:t>.</w:t>
      </w:r>
      <w:r w:rsidRPr="00F52D92">
        <w:rPr>
          <w:rFonts w:ascii="Verdana" w:hAnsi="Verdana"/>
          <w:sz w:val="16"/>
          <w:szCs w:val="16"/>
          <w:lang w:val="es-CR"/>
        </w:rPr>
        <w:t xml:space="preserve"> En relación con la CONAPREVI y la SEPREM, es pertinente aclarar lo</w:t>
      </w:r>
      <w:r>
        <w:rPr>
          <w:rFonts w:ascii="Verdana" w:hAnsi="Verdana"/>
          <w:sz w:val="16"/>
          <w:szCs w:val="16"/>
          <w:lang w:val="es-CR"/>
        </w:rPr>
        <w:t xml:space="preserve"> siguiente</w:t>
      </w:r>
      <w:r w:rsidRPr="00F52D92">
        <w:rPr>
          <w:rFonts w:ascii="Verdana" w:hAnsi="Verdana"/>
          <w:sz w:val="16"/>
          <w:szCs w:val="16"/>
          <w:lang w:val="es-CR"/>
        </w:rPr>
        <w:t xml:space="preserve">: </w:t>
      </w:r>
      <w:r w:rsidRPr="00F52D92">
        <w:rPr>
          <w:rFonts w:ascii="Verdana" w:hAnsi="Verdana"/>
          <w:sz w:val="16"/>
          <w:szCs w:val="16"/>
        </w:rPr>
        <w:t xml:space="preserve">El Estado expresó que la CONAPREVI fue creada mediante los acuerdos gubernativos 831-2000 y sus reformas: acuerdos gubernativos 868-2000 y 417-2003. Su mandato se basa en el artículo 13 de la Convención de Belém do Pará y en el artículo 17 de la Ley contra el Femicidio y otras Formas de Violencia contra la Mujer”. </w:t>
      </w:r>
      <w:r w:rsidRPr="00F52D92">
        <w:rPr>
          <w:rFonts w:ascii="Verdana" w:hAnsi="Verdana"/>
          <w:sz w:val="16"/>
          <w:szCs w:val="16"/>
          <w:lang w:val="es-CR"/>
        </w:rPr>
        <w:t>No obstante, pese a lo indicado sobre su creación en el año 2000, la CONAPREVI expresó que”</w:t>
      </w:r>
      <w:r>
        <w:rPr>
          <w:rFonts w:ascii="Verdana" w:hAnsi="Verdana"/>
          <w:sz w:val="16"/>
          <w:szCs w:val="16"/>
          <w:lang w:val="es-CR"/>
        </w:rPr>
        <w:t xml:space="preserve"> </w:t>
      </w:r>
      <w:r w:rsidRPr="00F52D92">
        <w:rPr>
          <w:rFonts w:ascii="Verdana" w:hAnsi="Verdana"/>
          <w:sz w:val="16"/>
          <w:szCs w:val="16"/>
          <w:lang w:val="es-CR"/>
        </w:rPr>
        <w:t>[</w:t>
      </w:r>
      <w:r>
        <w:rPr>
          <w:rFonts w:ascii="Verdana" w:hAnsi="Verdana"/>
          <w:sz w:val="16"/>
          <w:szCs w:val="16"/>
          <w:lang w:val="es-CR"/>
        </w:rPr>
        <w:t>f</w:t>
      </w:r>
      <w:r w:rsidRPr="00F52D92">
        <w:rPr>
          <w:rFonts w:ascii="Verdana" w:hAnsi="Verdana"/>
          <w:sz w:val="16"/>
          <w:szCs w:val="16"/>
          <w:lang w:val="es-CR"/>
        </w:rPr>
        <w:t>]ue creada en enero de 2001, como la institución al más alto nivel encargada de coordinar, asesorar e impulsar las políticas públicas relativas a reducir la violencia contra la mujer”.</w:t>
      </w:r>
      <w:r w:rsidRPr="00F52D92">
        <w:rPr>
          <w:rFonts w:ascii="Verdana" w:hAnsi="Verdana"/>
          <w:b/>
          <w:sz w:val="16"/>
          <w:szCs w:val="16"/>
          <w:lang w:val="es-CR"/>
        </w:rPr>
        <w:t xml:space="preserve"> </w:t>
      </w:r>
      <w:r w:rsidRPr="003C77A8">
        <w:rPr>
          <w:rFonts w:ascii="Verdana" w:hAnsi="Verdana"/>
          <w:sz w:val="16"/>
          <w:szCs w:val="16"/>
        </w:rPr>
        <w:t xml:space="preserve">Órgano de Coordinación de la Prevención, el Castigo y la Erradicación de la Violencia Familiar y la Violencia contra la Mujer </w:t>
      </w:r>
      <w:r>
        <w:rPr>
          <w:rFonts w:ascii="Verdana" w:hAnsi="Verdana"/>
          <w:sz w:val="16"/>
          <w:szCs w:val="16"/>
        </w:rPr>
        <w:t>(</w:t>
      </w:r>
      <w:r w:rsidRPr="00F52D92">
        <w:rPr>
          <w:rFonts w:ascii="Verdana" w:hAnsi="Verdana"/>
          <w:sz w:val="16"/>
          <w:szCs w:val="16"/>
          <w:lang w:val="es-CR"/>
        </w:rPr>
        <w:t>CONAPREVI</w:t>
      </w:r>
      <w:r>
        <w:rPr>
          <w:rFonts w:ascii="Verdana" w:hAnsi="Verdana"/>
          <w:sz w:val="16"/>
          <w:szCs w:val="16"/>
          <w:lang w:val="es-CR"/>
        </w:rPr>
        <w:t xml:space="preserve">), </w:t>
      </w:r>
      <w:r w:rsidRPr="00F52D92">
        <w:rPr>
          <w:rFonts w:ascii="Verdana" w:hAnsi="Verdana"/>
          <w:sz w:val="16"/>
          <w:szCs w:val="16"/>
          <w:lang w:val="es-CR"/>
        </w:rPr>
        <w:t xml:space="preserve">“Informe de CONAPREVI ante la Comisión Presidencial Coordinadora de la Política del Ejecutivo en materia de Derechos Humanos –COPREDEH-, en torno al requerimiento de la Comisión Interamericana, en el caso de Claudina Isabel Velásquez Paiz”, 22 de marzo de 2012, pág. 2 </w:t>
      </w:r>
      <w:r>
        <w:rPr>
          <w:rFonts w:ascii="Verdana" w:hAnsi="Verdana"/>
          <w:sz w:val="16"/>
          <w:szCs w:val="16"/>
          <w:lang w:val="es-CR"/>
        </w:rPr>
        <w:t>(e</w:t>
      </w:r>
      <w:r w:rsidRPr="00F52D92">
        <w:rPr>
          <w:rFonts w:ascii="Verdana" w:hAnsi="Verdana"/>
          <w:sz w:val="16"/>
          <w:szCs w:val="16"/>
          <w:lang w:val="es-CR"/>
        </w:rPr>
        <w:t xml:space="preserve">xpediente de anexos al escrito de contestación, </w:t>
      </w:r>
      <w:r>
        <w:rPr>
          <w:rFonts w:ascii="Verdana" w:hAnsi="Verdana"/>
          <w:sz w:val="16"/>
          <w:szCs w:val="16"/>
          <w:lang w:val="es-CR"/>
        </w:rPr>
        <w:t>a</w:t>
      </w:r>
      <w:r w:rsidRPr="00F52D92">
        <w:rPr>
          <w:rFonts w:ascii="Verdana" w:hAnsi="Verdana"/>
          <w:sz w:val="16"/>
          <w:szCs w:val="16"/>
          <w:lang w:val="es-CR"/>
        </w:rPr>
        <w:t>nexo 9, fs. 14,055 a 14,071). La SEPREM fue creada mediante Acuerdo Gubernativo 200-2000, de 17 de mayo de 2000. De acuerdo a lo expresado por el Estado, esta entidad del Poder Ejecutivo “asesora y coordina políticas públicas para promover el desarrollo integr</w:t>
      </w:r>
      <w:r>
        <w:rPr>
          <w:rFonts w:ascii="Verdana" w:hAnsi="Verdana"/>
          <w:sz w:val="16"/>
          <w:szCs w:val="16"/>
          <w:lang w:val="es-CR"/>
        </w:rPr>
        <w:t xml:space="preserve">al de las mujeres”. </w:t>
      </w:r>
      <w:r w:rsidRPr="00F52D92">
        <w:rPr>
          <w:rFonts w:ascii="Verdana" w:hAnsi="Verdana"/>
          <w:sz w:val="16"/>
          <w:szCs w:val="16"/>
          <w:lang w:val="es-CR"/>
        </w:rPr>
        <w:t>La perit</w:t>
      </w:r>
      <w:r>
        <w:rPr>
          <w:rFonts w:ascii="Verdana" w:hAnsi="Verdana"/>
          <w:sz w:val="16"/>
          <w:szCs w:val="16"/>
          <w:lang w:val="es-CR"/>
        </w:rPr>
        <w:t>a</w:t>
      </w:r>
      <w:r w:rsidRPr="00F52D92">
        <w:rPr>
          <w:rFonts w:ascii="Verdana" w:hAnsi="Verdana"/>
          <w:sz w:val="16"/>
          <w:szCs w:val="16"/>
          <w:lang w:val="es-CR"/>
        </w:rPr>
        <w:t xml:space="preserve"> </w:t>
      </w:r>
      <w:r>
        <w:rPr>
          <w:rFonts w:ascii="Verdana" w:hAnsi="Verdana"/>
          <w:sz w:val="16"/>
          <w:szCs w:val="16"/>
          <w:lang w:val="es-CR"/>
        </w:rPr>
        <w:t xml:space="preserve">Ana </w:t>
      </w:r>
      <w:r w:rsidRPr="00F52D92">
        <w:rPr>
          <w:rFonts w:ascii="Verdana" w:hAnsi="Verdana"/>
          <w:sz w:val="16"/>
          <w:szCs w:val="16"/>
          <w:lang w:val="es-CR"/>
        </w:rPr>
        <w:t>Carcedo Cabañas consideró que “existe […] duplicidad de mandatos entre la CONAPREVI y la SEPREM”, y que tal “problema” se “complejiz[ó]” cuando “[p]osteriormente la Presidencia nombra una ‘Comisionada contra el Femicidio’”.</w:t>
      </w:r>
      <w:r>
        <w:rPr>
          <w:rFonts w:ascii="Verdana" w:hAnsi="Verdana"/>
          <w:sz w:val="16"/>
          <w:szCs w:val="16"/>
        </w:rPr>
        <w:t xml:space="preserve"> </w:t>
      </w:r>
      <w:r>
        <w:rPr>
          <w:rFonts w:ascii="Verdana" w:hAnsi="Verdana"/>
          <w:i/>
          <w:sz w:val="16"/>
          <w:szCs w:val="16"/>
        </w:rPr>
        <w:t xml:space="preserve">Cfr. </w:t>
      </w:r>
      <w:r w:rsidRPr="00BB0D81">
        <w:rPr>
          <w:rFonts w:ascii="Verdana" w:eastAsia="Times New Roman" w:hAnsi="Verdana" w:cs="Arial"/>
          <w:sz w:val="16"/>
          <w:szCs w:val="16"/>
        </w:rPr>
        <w:t>D</w:t>
      </w:r>
      <w:r w:rsidRPr="00547BA6">
        <w:rPr>
          <w:rFonts w:ascii="Verdana" w:eastAsia="Times New Roman" w:hAnsi="Verdana" w:cs="Arial"/>
          <w:sz w:val="16"/>
          <w:szCs w:val="16"/>
        </w:rPr>
        <w:t>ictamen pericial</w:t>
      </w:r>
      <w:r w:rsidRPr="00BB0D81">
        <w:rPr>
          <w:rFonts w:ascii="Verdana" w:eastAsia="Times New Roman" w:hAnsi="Verdana" w:cs="Arial"/>
          <w:sz w:val="16"/>
          <w:szCs w:val="16"/>
        </w:rPr>
        <w:t xml:space="preserve"> de Ana Carcedo Cabañas</w:t>
      </w:r>
      <w:r>
        <w:rPr>
          <w:rFonts w:ascii="Verdana" w:eastAsia="Times New Roman" w:hAnsi="Verdana" w:cs="Arial"/>
          <w:sz w:val="16"/>
          <w:szCs w:val="16"/>
        </w:rPr>
        <w:t xml:space="preserve">, </w:t>
      </w:r>
      <w:r>
        <w:rPr>
          <w:rFonts w:ascii="Verdana" w:eastAsia="Times New Roman" w:hAnsi="Verdana" w:cs="Arial"/>
          <w:i/>
          <w:sz w:val="16"/>
          <w:szCs w:val="16"/>
        </w:rPr>
        <w:t>supra</w:t>
      </w:r>
      <w:r w:rsidRPr="003C77A8">
        <w:rPr>
          <w:rFonts w:ascii="Verdana" w:hAnsi="Verdana"/>
          <w:sz w:val="16"/>
          <w:szCs w:val="16"/>
        </w:rPr>
        <w:t>.</w:t>
      </w:r>
      <w:r w:rsidRPr="00F52D92">
        <w:rPr>
          <w:rFonts w:ascii="Verdana" w:hAnsi="Verdana"/>
          <w:sz w:val="16"/>
          <w:szCs w:val="16"/>
          <w:lang w:val="es-CR"/>
        </w:rPr>
        <w:t xml:space="preserve"> </w:t>
      </w:r>
      <w:r w:rsidRPr="003C77A8">
        <w:rPr>
          <w:rFonts w:ascii="Verdana" w:hAnsi="Verdana"/>
          <w:sz w:val="16"/>
          <w:szCs w:val="16"/>
        </w:rPr>
        <w:t>Pese a todo lo anterior, el Estado expresó, en su escrito de contestación de 18 de diciembre de 2012, que “al momento de ocurrir los hechos [del caso, en diciembre de 2001,] no había legislación ni procedimientos específicos para casos de violencia contra la mujer, pero [que para diciembre de 2012] si los hay”</w:t>
      </w:r>
      <w:r>
        <w:rPr>
          <w:rFonts w:ascii="Verdana" w:hAnsi="Verdana"/>
          <w:sz w:val="16"/>
          <w:szCs w:val="16"/>
        </w:rPr>
        <w:t>.</w:t>
      </w:r>
      <w:r w:rsidRPr="003C77A8">
        <w:rPr>
          <w:rFonts w:ascii="Verdana" w:hAnsi="Verdana"/>
          <w:sz w:val="16"/>
          <w:szCs w:val="16"/>
        </w:rPr>
        <w:t xml:space="preserve"> </w:t>
      </w:r>
    </w:p>
  </w:footnote>
  <w:footnote w:id="94">
    <w:p w:rsidR="0081535F" w:rsidRPr="00D42A7C" w:rsidRDefault="0081535F" w:rsidP="00422232">
      <w:pPr>
        <w:pStyle w:val="Textonotapie"/>
        <w:ind w:left="-180" w:right="-174"/>
        <w:jc w:val="both"/>
        <w:rPr>
          <w:rFonts w:ascii="Verdana" w:hAnsi="Verdana"/>
          <w:sz w:val="16"/>
          <w:szCs w:val="16"/>
        </w:rPr>
      </w:pPr>
      <w:r w:rsidRPr="00D42A7C">
        <w:rPr>
          <w:rStyle w:val="Refdenotaalpie"/>
          <w:rFonts w:ascii="Verdana" w:hAnsi="Verdana"/>
          <w:sz w:val="16"/>
          <w:szCs w:val="16"/>
        </w:rPr>
        <w:footnoteRef/>
      </w:r>
      <w:r>
        <w:rPr>
          <w:rFonts w:ascii="Verdana" w:hAnsi="Verdana"/>
          <w:bCs/>
          <w:sz w:val="16"/>
          <w:szCs w:val="16"/>
          <w:lang w:val="es-MX"/>
        </w:rPr>
        <w:t xml:space="preserve"> </w:t>
      </w:r>
      <w:r w:rsidRPr="008068BB">
        <w:rPr>
          <w:rFonts w:ascii="Verdana" w:hAnsi="Verdana"/>
          <w:bCs/>
          <w:sz w:val="16"/>
          <w:szCs w:val="16"/>
          <w:lang w:val="es-MX"/>
        </w:rPr>
        <w:t>Misión de Verificación de las Naciones Unidas en Guatemala (MINUGUA),</w:t>
      </w:r>
      <w:r>
        <w:rPr>
          <w:rFonts w:ascii="Verdana" w:hAnsi="Verdana"/>
          <w:bCs/>
          <w:w w:val="95"/>
          <w:sz w:val="20"/>
          <w:lang w:val="es-MX"/>
        </w:rPr>
        <w:t xml:space="preserve"> “</w:t>
      </w:r>
      <w:r w:rsidRPr="00D42A7C">
        <w:rPr>
          <w:rFonts w:ascii="Verdana" w:hAnsi="Verdana"/>
          <w:bCs/>
          <w:sz w:val="16"/>
          <w:szCs w:val="16"/>
          <w:lang w:val="es-MX"/>
        </w:rPr>
        <w:t>Informe Final</w:t>
      </w:r>
      <w:r>
        <w:rPr>
          <w:rFonts w:ascii="Verdana" w:hAnsi="Verdana"/>
          <w:bCs/>
          <w:sz w:val="16"/>
          <w:szCs w:val="16"/>
          <w:lang w:val="es-MX"/>
        </w:rPr>
        <w:t>:</w:t>
      </w:r>
      <w:r w:rsidRPr="00D42A7C">
        <w:rPr>
          <w:rFonts w:ascii="Verdana" w:hAnsi="Verdana"/>
          <w:bCs/>
          <w:sz w:val="16"/>
          <w:szCs w:val="16"/>
          <w:lang w:val="es-MX"/>
        </w:rPr>
        <w:t xml:space="preserve"> Asesoría en Derechos Humanos</w:t>
      </w:r>
      <w:r>
        <w:rPr>
          <w:rFonts w:ascii="Verdana" w:hAnsi="Verdana"/>
          <w:bCs/>
          <w:sz w:val="16"/>
          <w:szCs w:val="16"/>
          <w:lang w:val="es-MX"/>
        </w:rPr>
        <w:t xml:space="preserve">”, </w:t>
      </w:r>
      <w:r>
        <w:rPr>
          <w:rFonts w:ascii="Verdana" w:hAnsi="Verdana"/>
          <w:bCs/>
          <w:i/>
          <w:sz w:val="16"/>
          <w:szCs w:val="16"/>
          <w:lang w:val="es-MX"/>
        </w:rPr>
        <w:t>supra</w:t>
      </w:r>
      <w:r>
        <w:rPr>
          <w:rFonts w:ascii="Verdana" w:hAnsi="Verdana"/>
          <w:bCs/>
          <w:sz w:val="16"/>
          <w:szCs w:val="16"/>
          <w:lang w:val="es-MX"/>
        </w:rPr>
        <w:t>.</w:t>
      </w:r>
      <w:r w:rsidRPr="00D42A7C">
        <w:rPr>
          <w:rFonts w:ascii="Verdana" w:hAnsi="Verdana"/>
          <w:bCs/>
          <w:sz w:val="16"/>
          <w:szCs w:val="16"/>
          <w:lang w:val="es-MX"/>
        </w:rPr>
        <w:t> </w:t>
      </w:r>
      <w:r w:rsidRPr="00D42A7C">
        <w:rPr>
          <w:rFonts w:ascii="Verdana" w:hAnsi="Verdana"/>
          <w:sz w:val="16"/>
          <w:szCs w:val="16"/>
        </w:rPr>
        <w:t xml:space="preserve"> </w:t>
      </w:r>
    </w:p>
  </w:footnote>
  <w:footnote w:id="95">
    <w:p w:rsidR="0081535F" w:rsidRPr="00D42A7C" w:rsidRDefault="0081535F" w:rsidP="00422232">
      <w:pPr>
        <w:pStyle w:val="Textonotapie"/>
        <w:ind w:left="-180" w:right="-174"/>
        <w:jc w:val="both"/>
        <w:rPr>
          <w:rFonts w:ascii="Verdana" w:hAnsi="Verdana"/>
          <w:sz w:val="16"/>
          <w:szCs w:val="16"/>
        </w:rPr>
      </w:pPr>
      <w:r w:rsidRPr="00D42A7C">
        <w:rPr>
          <w:rStyle w:val="Refdenotaalpie"/>
          <w:rFonts w:ascii="Verdana" w:hAnsi="Verdana"/>
          <w:sz w:val="16"/>
          <w:szCs w:val="16"/>
        </w:rPr>
        <w:footnoteRef/>
      </w:r>
      <w:r w:rsidRPr="00D42A7C">
        <w:rPr>
          <w:rFonts w:ascii="Verdana" w:hAnsi="Verdana"/>
          <w:sz w:val="16"/>
          <w:szCs w:val="16"/>
        </w:rPr>
        <w:t xml:space="preserve"> </w:t>
      </w:r>
      <w:r w:rsidRPr="00D42A7C">
        <w:rPr>
          <w:rFonts w:ascii="Verdana" w:hAnsi="Verdana"/>
          <w:sz w:val="16"/>
          <w:szCs w:val="16"/>
          <w:lang w:val="es-ES"/>
        </w:rPr>
        <w:t xml:space="preserve">Comisión Interamericana </w:t>
      </w:r>
      <w:r w:rsidRPr="001372C2">
        <w:rPr>
          <w:rFonts w:ascii="Verdana" w:hAnsi="Verdana"/>
          <w:sz w:val="16"/>
          <w:szCs w:val="16"/>
          <w:lang w:val="es-ES"/>
        </w:rPr>
        <w:t xml:space="preserve">de Derechos Humanos “Quinto informe sobre la Situación de los Derechos Humanos en Guatemala”, </w:t>
      </w:r>
      <w:r w:rsidRPr="001372C2">
        <w:rPr>
          <w:rFonts w:ascii="Verdana" w:hAnsi="Verdana"/>
          <w:i/>
          <w:sz w:val="16"/>
          <w:szCs w:val="16"/>
          <w:lang w:val="es-ES"/>
        </w:rPr>
        <w:t>supra,</w:t>
      </w:r>
      <w:r w:rsidRPr="001372C2">
        <w:rPr>
          <w:rFonts w:ascii="Verdana" w:hAnsi="Verdana"/>
          <w:sz w:val="16"/>
          <w:szCs w:val="16"/>
          <w:lang w:val="es-ES"/>
        </w:rPr>
        <w:t xml:space="preserve"> </w:t>
      </w:r>
      <w:r w:rsidRPr="00122C63">
        <w:rPr>
          <w:rFonts w:ascii="Verdana" w:hAnsi="Verdana"/>
          <w:sz w:val="16"/>
          <w:szCs w:val="16"/>
          <w:lang w:val="es-CR"/>
        </w:rPr>
        <w:t xml:space="preserve">párr. </w:t>
      </w:r>
      <w:r w:rsidRPr="00122C63">
        <w:rPr>
          <w:rFonts w:ascii="Verdana" w:hAnsi="Verdana"/>
          <w:sz w:val="16"/>
          <w:szCs w:val="16"/>
          <w:lang w:val="es-ES"/>
        </w:rPr>
        <w:t>19</w:t>
      </w:r>
      <w:r w:rsidRPr="00122C63">
        <w:rPr>
          <w:rFonts w:ascii="Verdana" w:hAnsi="Verdana"/>
          <w:i/>
          <w:sz w:val="16"/>
          <w:szCs w:val="16"/>
          <w:lang w:val="es-ES"/>
        </w:rPr>
        <w:t>.</w:t>
      </w:r>
    </w:p>
  </w:footnote>
  <w:footnote w:id="96">
    <w:p w:rsidR="0081535F" w:rsidRPr="00D33EA4" w:rsidRDefault="0081535F" w:rsidP="00422232">
      <w:pPr>
        <w:pStyle w:val="Textonotapie"/>
        <w:ind w:left="-180" w:right="-174"/>
        <w:jc w:val="both"/>
        <w:rPr>
          <w:rFonts w:ascii="Verdana" w:hAnsi="Verdana"/>
          <w:b/>
          <w:sz w:val="16"/>
          <w:szCs w:val="16"/>
        </w:rPr>
      </w:pPr>
      <w:r w:rsidRPr="00D42A7C">
        <w:rPr>
          <w:rStyle w:val="Refdenotaalpie"/>
          <w:rFonts w:ascii="Verdana" w:hAnsi="Verdana"/>
          <w:sz w:val="16"/>
          <w:szCs w:val="16"/>
        </w:rPr>
        <w:footnoteRef/>
      </w:r>
      <w:r w:rsidRPr="00D42A7C">
        <w:rPr>
          <w:rFonts w:ascii="Verdana" w:hAnsi="Verdana"/>
          <w:sz w:val="16"/>
          <w:szCs w:val="16"/>
        </w:rPr>
        <w:t xml:space="preserve"> </w:t>
      </w:r>
      <w:r w:rsidRPr="001372C2">
        <w:rPr>
          <w:rFonts w:ascii="Verdana" w:hAnsi="Verdana"/>
          <w:sz w:val="16"/>
          <w:szCs w:val="16"/>
          <w:lang w:val="es-ES"/>
        </w:rPr>
        <w:t xml:space="preserve">Comisión Interamericana de Derechos Humanos, “Justicia e inclusión social: los desafíos de la democracia en Guatemala”, </w:t>
      </w:r>
      <w:r w:rsidRPr="001372C2">
        <w:rPr>
          <w:rFonts w:ascii="Verdana" w:hAnsi="Verdana"/>
          <w:i/>
          <w:sz w:val="16"/>
          <w:szCs w:val="16"/>
          <w:lang w:val="es-ES"/>
        </w:rPr>
        <w:t>supra</w:t>
      </w:r>
      <w:r w:rsidRPr="001372C2">
        <w:rPr>
          <w:rFonts w:ascii="Verdana" w:hAnsi="Verdana"/>
          <w:sz w:val="16"/>
          <w:szCs w:val="16"/>
          <w:lang w:val="es-ES"/>
        </w:rPr>
        <w:t xml:space="preserve">, </w:t>
      </w:r>
      <w:r w:rsidRPr="00122C63">
        <w:rPr>
          <w:rFonts w:ascii="Verdana" w:hAnsi="Verdana"/>
          <w:sz w:val="16"/>
          <w:szCs w:val="16"/>
          <w:lang w:val="es-ES"/>
        </w:rPr>
        <w:t>párr. 27.</w:t>
      </w:r>
      <w:r w:rsidRPr="00122C63">
        <w:rPr>
          <w:rFonts w:ascii="Verdana" w:hAnsi="Verdana"/>
          <w:b/>
          <w:bCs/>
          <w:sz w:val="16"/>
          <w:szCs w:val="16"/>
          <w:lang w:val="es-MX"/>
        </w:rPr>
        <w:t xml:space="preserve"> </w:t>
      </w:r>
    </w:p>
  </w:footnote>
  <w:footnote w:id="97">
    <w:p w:rsidR="0081535F" w:rsidRPr="005C76F2" w:rsidRDefault="0081535F" w:rsidP="00422232">
      <w:pPr>
        <w:pStyle w:val="Textonotapie"/>
        <w:ind w:left="-180" w:right="-174"/>
        <w:jc w:val="both"/>
        <w:rPr>
          <w:rFonts w:ascii="Verdana" w:hAnsi="Verdana"/>
          <w:b/>
          <w:sz w:val="16"/>
          <w:szCs w:val="16"/>
        </w:rPr>
      </w:pPr>
      <w:r w:rsidRPr="007802D0">
        <w:rPr>
          <w:rStyle w:val="Refdenotaalpie"/>
          <w:rFonts w:ascii="Verdana" w:hAnsi="Verdana"/>
          <w:sz w:val="16"/>
          <w:szCs w:val="16"/>
        </w:rPr>
        <w:footnoteRef/>
      </w:r>
      <w:r w:rsidRPr="007802D0">
        <w:rPr>
          <w:rFonts w:ascii="Verdana" w:hAnsi="Verdana"/>
          <w:sz w:val="16"/>
          <w:szCs w:val="16"/>
        </w:rPr>
        <w:t xml:space="preserve"> </w:t>
      </w:r>
      <w:r w:rsidRPr="00D42A7C">
        <w:rPr>
          <w:rFonts w:ascii="Verdana" w:hAnsi="Verdana"/>
          <w:sz w:val="16"/>
          <w:szCs w:val="16"/>
          <w:lang w:val="es-MX"/>
        </w:rPr>
        <w:t>Comisión Internacional contra la Impunidad en Guatemala</w:t>
      </w:r>
      <w:r>
        <w:rPr>
          <w:rFonts w:ascii="Verdana" w:hAnsi="Verdana"/>
          <w:sz w:val="16"/>
          <w:szCs w:val="16"/>
          <w:lang w:val="es-MX"/>
        </w:rPr>
        <w:t xml:space="preserve"> (CICIG), “Tercer año de labores”, </w:t>
      </w:r>
      <w:r>
        <w:rPr>
          <w:rFonts w:ascii="Verdana" w:hAnsi="Verdana"/>
          <w:i/>
          <w:sz w:val="16"/>
          <w:szCs w:val="16"/>
          <w:lang w:val="es-MX"/>
        </w:rPr>
        <w:t>supra</w:t>
      </w:r>
      <w:r w:rsidRPr="00D42A7C">
        <w:rPr>
          <w:rFonts w:ascii="Verdana" w:hAnsi="Verdana"/>
          <w:sz w:val="16"/>
          <w:szCs w:val="16"/>
          <w:lang w:val="es-MX"/>
        </w:rPr>
        <w:t xml:space="preserve">, </w:t>
      </w:r>
      <w:r w:rsidRPr="00122C63">
        <w:rPr>
          <w:rFonts w:ascii="Verdana" w:hAnsi="Verdana"/>
          <w:sz w:val="16"/>
          <w:szCs w:val="16"/>
          <w:lang w:val="es-MX"/>
        </w:rPr>
        <w:t>p</w:t>
      </w:r>
      <w:r>
        <w:rPr>
          <w:rFonts w:ascii="Verdana" w:hAnsi="Verdana"/>
          <w:sz w:val="16"/>
          <w:szCs w:val="16"/>
          <w:lang w:val="es-MX"/>
        </w:rPr>
        <w:t>ág</w:t>
      </w:r>
      <w:r w:rsidRPr="00122C63">
        <w:rPr>
          <w:rFonts w:ascii="Verdana" w:hAnsi="Verdana"/>
          <w:sz w:val="16"/>
          <w:szCs w:val="16"/>
          <w:lang w:val="es-MX"/>
        </w:rPr>
        <w:t>. 13.</w:t>
      </w:r>
      <w:r w:rsidRPr="00D42A7C">
        <w:rPr>
          <w:rFonts w:ascii="Verdana" w:hAnsi="Verdana"/>
          <w:sz w:val="16"/>
          <w:szCs w:val="16"/>
          <w:lang w:val="es-MX"/>
        </w:rPr>
        <w:t xml:space="preserve"> </w:t>
      </w:r>
    </w:p>
  </w:footnote>
  <w:footnote w:id="98">
    <w:p w:rsidR="0081535F" w:rsidRPr="005C76F2" w:rsidRDefault="0081535F" w:rsidP="00422232">
      <w:pPr>
        <w:pStyle w:val="Textonotapie"/>
        <w:ind w:left="-180" w:right="-174"/>
        <w:jc w:val="both"/>
        <w:rPr>
          <w:rFonts w:ascii="Verdana" w:hAnsi="Verdana"/>
          <w:b/>
          <w:sz w:val="16"/>
          <w:szCs w:val="16"/>
        </w:rPr>
      </w:pPr>
      <w:r w:rsidRPr="00D42A7C">
        <w:rPr>
          <w:rStyle w:val="Refdenotaalpie"/>
          <w:rFonts w:ascii="Verdana" w:hAnsi="Verdana"/>
          <w:sz w:val="16"/>
          <w:szCs w:val="16"/>
        </w:rPr>
        <w:footnoteRef/>
      </w:r>
      <w:r w:rsidRPr="00D42A7C">
        <w:rPr>
          <w:rFonts w:ascii="Verdana" w:hAnsi="Verdana"/>
          <w:sz w:val="16"/>
          <w:szCs w:val="16"/>
        </w:rPr>
        <w:t xml:space="preserve"> Brigadas Internacionales de Paz (PBI)</w:t>
      </w:r>
      <w:r>
        <w:rPr>
          <w:rFonts w:ascii="Verdana" w:hAnsi="Verdana"/>
          <w:sz w:val="16"/>
          <w:szCs w:val="16"/>
        </w:rPr>
        <w:t>,</w:t>
      </w:r>
      <w:r w:rsidRPr="00D42A7C">
        <w:rPr>
          <w:rFonts w:ascii="Verdana" w:hAnsi="Verdana"/>
          <w:sz w:val="16"/>
          <w:szCs w:val="16"/>
        </w:rPr>
        <w:t xml:space="preserve"> </w:t>
      </w:r>
      <w:r>
        <w:rPr>
          <w:rFonts w:ascii="Verdana" w:hAnsi="Verdana"/>
          <w:sz w:val="16"/>
          <w:szCs w:val="16"/>
        </w:rPr>
        <w:t>“</w:t>
      </w:r>
      <w:r w:rsidRPr="00D42A7C">
        <w:rPr>
          <w:rFonts w:ascii="Verdana" w:hAnsi="Verdana"/>
          <w:sz w:val="16"/>
          <w:szCs w:val="16"/>
        </w:rPr>
        <w:t>10 años sin guerra… esperando la paz: Estudio de implementación del Acuerdo sobre Fortalecimiento del Poder Civil y Función del Ejército en una Sociedad Democrática</w:t>
      </w:r>
      <w:r>
        <w:rPr>
          <w:rFonts w:ascii="Verdana" w:hAnsi="Verdana"/>
          <w:sz w:val="16"/>
          <w:szCs w:val="16"/>
        </w:rPr>
        <w:t>”,</w:t>
      </w:r>
      <w:r w:rsidRPr="00D42A7C">
        <w:rPr>
          <w:rFonts w:ascii="Verdana" w:hAnsi="Verdana"/>
          <w:sz w:val="16"/>
          <w:szCs w:val="16"/>
        </w:rPr>
        <w:t xml:space="preserve"> </w:t>
      </w:r>
      <w:r>
        <w:rPr>
          <w:rFonts w:ascii="Verdana" w:hAnsi="Verdana"/>
          <w:i/>
          <w:sz w:val="16"/>
          <w:szCs w:val="16"/>
        </w:rPr>
        <w:t>supra</w:t>
      </w:r>
      <w:r w:rsidRPr="00D42A7C">
        <w:rPr>
          <w:rFonts w:ascii="Verdana" w:hAnsi="Verdana"/>
          <w:sz w:val="16"/>
          <w:szCs w:val="16"/>
        </w:rPr>
        <w:t xml:space="preserve">, </w:t>
      </w:r>
      <w:r w:rsidRPr="00122C63">
        <w:rPr>
          <w:rFonts w:ascii="Verdana" w:hAnsi="Verdana"/>
          <w:sz w:val="16"/>
          <w:szCs w:val="16"/>
        </w:rPr>
        <w:t>pág. 16</w:t>
      </w:r>
      <w:r>
        <w:rPr>
          <w:rFonts w:ascii="Verdana" w:hAnsi="Verdana"/>
          <w:sz w:val="16"/>
          <w:szCs w:val="16"/>
        </w:rPr>
        <w:t>.</w:t>
      </w:r>
      <w:r w:rsidRPr="00D42A7C">
        <w:rPr>
          <w:rFonts w:ascii="Verdana" w:hAnsi="Verdana"/>
          <w:sz w:val="16"/>
          <w:szCs w:val="16"/>
        </w:rPr>
        <w:t xml:space="preserve"> </w:t>
      </w:r>
    </w:p>
  </w:footnote>
  <w:footnote w:id="99">
    <w:p w:rsidR="0081535F" w:rsidRPr="005C76F2" w:rsidRDefault="0081535F" w:rsidP="00422232">
      <w:pPr>
        <w:pStyle w:val="Textonotapie"/>
        <w:ind w:left="-180" w:right="-174"/>
        <w:jc w:val="both"/>
        <w:rPr>
          <w:rFonts w:ascii="Verdana" w:hAnsi="Verdana"/>
          <w:b/>
          <w:sz w:val="16"/>
          <w:szCs w:val="16"/>
        </w:rPr>
      </w:pPr>
      <w:r w:rsidRPr="00D42A7C">
        <w:rPr>
          <w:rStyle w:val="Refdenotaalpie"/>
          <w:rFonts w:ascii="Verdana" w:hAnsi="Verdana"/>
          <w:sz w:val="16"/>
          <w:szCs w:val="16"/>
        </w:rPr>
        <w:footnoteRef/>
      </w:r>
      <w:r w:rsidRPr="00D42A7C">
        <w:rPr>
          <w:rFonts w:ascii="Verdana" w:hAnsi="Verdana"/>
          <w:sz w:val="16"/>
          <w:szCs w:val="16"/>
        </w:rPr>
        <w:t xml:space="preserve"> </w:t>
      </w:r>
      <w:r w:rsidRPr="00CB5F33">
        <w:rPr>
          <w:rFonts w:ascii="Verdana" w:hAnsi="Verdana"/>
          <w:bCs/>
          <w:i/>
          <w:sz w:val="16"/>
          <w:szCs w:val="16"/>
          <w:lang w:val="es-MX"/>
        </w:rPr>
        <w:t>Impunity Watch</w:t>
      </w:r>
      <w:r w:rsidRPr="002C0D34">
        <w:rPr>
          <w:rFonts w:ascii="Verdana" w:hAnsi="Verdana"/>
          <w:bCs/>
          <w:sz w:val="16"/>
          <w:szCs w:val="16"/>
          <w:lang w:val="es-MX"/>
        </w:rPr>
        <w:t xml:space="preserve">, “Reconociendo el pasado: desafíos para combatir la impunidad en Guatemala”, </w:t>
      </w:r>
      <w:r>
        <w:rPr>
          <w:rFonts w:ascii="Verdana" w:hAnsi="Verdana"/>
          <w:bCs/>
          <w:i/>
          <w:sz w:val="16"/>
          <w:szCs w:val="16"/>
          <w:lang w:val="es-MX"/>
        </w:rPr>
        <w:t>supra</w:t>
      </w:r>
      <w:r>
        <w:rPr>
          <w:rFonts w:ascii="Verdana" w:hAnsi="Verdana"/>
          <w:bCs/>
          <w:sz w:val="16"/>
          <w:szCs w:val="16"/>
          <w:lang w:val="es-MX"/>
        </w:rPr>
        <w:t xml:space="preserve">, </w:t>
      </w:r>
      <w:r w:rsidRPr="00122C63">
        <w:rPr>
          <w:rFonts w:ascii="Verdana" w:hAnsi="Verdana"/>
          <w:bCs/>
          <w:sz w:val="16"/>
          <w:szCs w:val="16"/>
          <w:lang w:val="es-MX"/>
        </w:rPr>
        <w:t>p</w:t>
      </w:r>
      <w:r>
        <w:rPr>
          <w:rFonts w:ascii="Verdana" w:hAnsi="Verdana"/>
          <w:bCs/>
          <w:sz w:val="16"/>
          <w:szCs w:val="16"/>
          <w:lang w:val="es-MX"/>
        </w:rPr>
        <w:t>ág</w:t>
      </w:r>
      <w:r w:rsidRPr="00122C63">
        <w:rPr>
          <w:rFonts w:ascii="Verdana" w:hAnsi="Verdana"/>
          <w:bCs/>
          <w:sz w:val="16"/>
          <w:szCs w:val="16"/>
          <w:lang w:val="es-MX"/>
        </w:rPr>
        <w:t>. 14</w:t>
      </w:r>
      <w:r>
        <w:rPr>
          <w:rFonts w:ascii="Verdana" w:hAnsi="Verdana"/>
          <w:bCs/>
          <w:sz w:val="16"/>
          <w:szCs w:val="16"/>
          <w:lang w:val="es-MX"/>
        </w:rPr>
        <w:t xml:space="preserve">. </w:t>
      </w:r>
    </w:p>
  </w:footnote>
  <w:footnote w:id="100">
    <w:p w:rsidR="0081535F" w:rsidRPr="005C76F2" w:rsidRDefault="0081535F" w:rsidP="00422232">
      <w:pPr>
        <w:pStyle w:val="Textonotapie"/>
        <w:ind w:left="-180" w:right="-174"/>
        <w:jc w:val="both"/>
        <w:rPr>
          <w:rFonts w:ascii="Verdana" w:hAnsi="Verdana"/>
          <w:b/>
          <w:sz w:val="16"/>
          <w:szCs w:val="16"/>
        </w:rPr>
      </w:pPr>
      <w:r w:rsidRPr="002C0D34">
        <w:rPr>
          <w:rStyle w:val="Refdenotaalpie"/>
          <w:rFonts w:ascii="Verdana" w:hAnsi="Verdana"/>
          <w:sz w:val="16"/>
          <w:szCs w:val="16"/>
        </w:rPr>
        <w:footnoteRef/>
      </w:r>
      <w:r w:rsidRPr="002C0D34">
        <w:rPr>
          <w:rFonts w:ascii="Verdana" w:hAnsi="Verdana"/>
          <w:sz w:val="16"/>
          <w:szCs w:val="16"/>
        </w:rPr>
        <w:t xml:space="preserve"> </w:t>
      </w:r>
      <w:r w:rsidRPr="002C0D34">
        <w:rPr>
          <w:rFonts w:ascii="Verdana" w:hAnsi="Verdana"/>
          <w:sz w:val="16"/>
          <w:szCs w:val="16"/>
          <w:lang w:val="es-MX"/>
        </w:rPr>
        <w:t xml:space="preserve">Comisión Internacional contra la Impunidad en Guatemala (CICIG), “Sexto Informe de labores de la Comisión Internacional contra la Impunidad en Guatemala </w:t>
      </w:r>
      <w:r>
        <w:rPr>
          <w:rFonts w:ascii="Verdana" w:hAnsi="Verdana"/>
          <w:sz w:val="16"/>
          <w:szCs w:val="16"/>
          <w:lang w:val="es-MX"/>
        </w:rPr>
        <w:t>(</w:t>
      </w:r>
      <w:r w:rsidRPr="002C0D34">
        <w:rPr>
          <w:rFonts w:ascii="Verdana" w:hAnsi="Verdana"/>
          <w:sz w:val="16"/>
          <w:szCs w:val="16"/>
          <w:lang w:val="es-MX"/>
        </w:rPr>
        <w:t>CICIG</w:t>
      </w:r>
      <w:r>
        <w:rPr>
          <w:rFonts w:ascii="Verdana" w:hAnsi="Verdana"/>
          <w:sz w:val="16"/>
          <w:szCs w:val="16"/>
          <w:lang w:val="es-MX"/>
        </w:rPr>
        <w:t xml:space="preserve">), </w:t>
      </w:r>
      <w:r>
        <w:rPr>
          <w:rFonts w:ascii="Verdana" w:hAnsi="Verdana"/>
          <w:i/>
          <w:sz w:val="16"/>
          <w:szCs w:val="16"/>
          <w:lang w:val="es-MX"/>
        </w:rPr>
        <w:t>supra</w:t>
      </w:r>
      <w:r w:rsidRPr="002C0D34">
        <w:rPr>
          <w:rFonts w:ascii="Verdana" w:hAnsi="Verdana"/>
          <w:sz w:val="16"/>
          <w:szCs w:val="16"/>
          <w:lang w:val="es-MX"/>
        </w:rPr>
        <w:t xml:space="preserve">, </w:t>
      </w:r>
      <w:r w:rsidRPr="00122C63">
        <w:rPr>
          <w:rFonts w:ascii="Verdana" w:hAnsi="Verdana"/>
          <w:sz w:val="16"/>
          <w:szCs w:val="16"/>
          <w:lang w:val="es-MX"/>
        </w:rPr>
        <w:t>pág. 6.</w:t>
      </w:r>
      <w:r w:rsidRPr="002C0D34">
        <w:rPr>
          <w:rFonts w:ascii="Verdana" w:hAnsi="Verdana"/>
          <w:sz w:val="16"/>
          <w:szCs w:val="16"/>
          <w:lang w:val="es-MX"/>
        </w:rPr>
        <w:t xml:space="preserve">  </w:t>
      </w:r>
    </w:p>
  </w:footnote>
  <w:footnote w:id="101">
    <w:p w:rsidR="0081535F" w:rsidRPr="007802D0" w:rsidRDefault="0081535F" w:rsidP="00422232">
      <w:pPr>
        <w:pStyle w:val="Textonotapie"/>
        <w:spacing w:line="19" w:lineRule="atLeast"/>
        <w:ind w:left="-180" w:right="-174"/>
        <w:jc w:val="both"/>
        <w:rPr>
          <w:rFonts w:ascii="Verdana" w:hAnsi="Verdana"/>
          <w:sz w:val="16"/>
          <w:szCs w:val="16"/>
        </w:rPr>
      </w:pPr>
      <w:r w:rsidRPr="00D42A7C">
        <w:rPr>
          <w:rStyle w:val="Refdenotaalpie"/>
          <w:rFonts w:ascii="Verdana" w:hAnsi="Verdana"/>
          <w:sz w:val="16"/>
          <w:szCs w:val="16"/>
        </w:rPr>
        <w:footnoteRef/>
      </w:r>
      <w:r w:rsidRPr="00D42A7C">
        <w:rPr>
          <w:rFonts w:ascii="Verdana" w:hAnsi="Verdana"/>
          <w:sz w:val="16"/>
          <w:szCs w:val="16"/>
        </w:rPr>
        <w:t xml:space="preserve">  Al respecto, en dicho estudio (</w:t>
      </w:r>
      <w:r w:rsidRPr="00D42A7C">
        <w:rPr>
          <w:rFonts w:ascii="Verdana" w:hAnsi="Verdana"/>
          <w:i/>
          <w:sz w:val="16"/>
          <w:szCs w:val="16"/>
        </w:rPr>
        <w:t>infra</w:t>
      </w:r>
      <w:r w:rsidRPr="00D42A7C">
        <w:rPr>
          <w:rFonts w:ascii="Verdana" w:hAnsi="Verdana"/>
          <w:sz w:val="16"/>
          <w:szCs w:val="16"/>
        </w:rPr>
        <w:t xml:space="preserve"> nota a</w:t>
      </w:r>
      <w:r>
        <w:rPr>
          <w:rFonts w:ascii="Verdana" w:hAnsi="Verdana"/>
          <w:sz w:val="16"/>
          <w:szCs w:val="16"/>
        </w:rPr>
        <w:t>l</w:t>
      </w:r>
      <w:r w:rsidRPr="00D42A7C">
        <w:rPr>
          <w:rFonts w:ascii="Verdana" w:hAnsi="Verdana"/>
          <w:sz w:val="16"/>
          <w:szCs w:val="16"/>
        </w:rPr>
        <w:t xml:space="preserve"> pie de página </w:t>
      </w:r>
      <w:r>
        <w:rPr>
          <w:rFonts w:ascii="Verdana" w:hAnsi="Verdana"/>
          <w:sz w:val="16"/>
          <w:szCs w:val="16"/>
        </w:rPr>
        <w:t>102</w:t>
      </w:r>
      <w:r w:rsidRPr="00D42A7C">
        <w:rPr>
          <w:rFonts w:ascii="Verdana" w:hAnsi="Verdana"/>
          <w:sz w:val="16"/>
          <w:szCs w:val="16"/>
        </w:rPr>
        <w:t>) se alude</w:t>
      </w:r>
      <w:r w:rsidRPr="007802D0">
        <w:rPr>
          <w:rFonts w:ascii="Verdana" w:hAnsi="Verdana"/>
          <w:sz w:val="16"/>
          <w:szCs w:val="16"/>
        </w:rPr>
        <w:t xml:space="preserve"> a un “informe elaborado por la Comisión de la Mujer del Congreso de la República, citado por Siglo XXI, 24 de abril de 2007”.</w:t>
      </w:r>
    </w:p>
  </w:footnote>
  <w:footnote w:id="102">
    <w:p w:rsidR="0081535F" w:rsidRPr="004B32E6" w:rsidRDefault="0081535F" w:rsidP="00422232">
      <w:pPr>
        <w:pStyle w:val="Textonotapie"/>
        <w:spacing w:line="19" w:lineRule="atLeast"/>
        <w:ind w:left="-180" w:right="-174"/>
        <w:jc w:val="both"/>
        <w:rPr>
          <w:rFonts w:ascii="Verdana" w:hAnsi="Verdana"/>
          <w:sz w:val="16"/>
          <w:szCs w:val="16"/>
        </w:rPr>
      </w:pPr>
      <w:r w:rsidRPr="007802D0">
        <w:rPr>
          <w:rStyle w:val="Refdenotaalpie"/>
          <w:rFonts w:ascii="Verdana" w:hAnsi="Verdana"/>
          <w:sz w:val="16"/>
          <w:szCs w:val="16"/>
        </w:rPr>
        <w:footnoteRef/>
      </w:r>
      <w:r w:rsidRPr="007802D0">
        <w:rPr>
          <w:rFonts w:ascii="Verdana" w:hAnsi="Verdana"/>
          <w:sz w:val="16"/>
          <w:szCs w:val="16"/>
        </w:rPr>
        <w:t xml:space="preserve"> El documento, según señala en su página 17, “se enfoca en el año 2005, sin embargo, algunos aspectos son complementados con información de años anteriores y de los años 2006 y 2007. La información cualitativa trata de percepciones no sujetas a un período delimitado o específico, sino que trasciende y revela prácticas e ideas culturales más permanentes”.</w:t>
      </w:r>
      <w:r w:rsidRPr="00D54DF7">
        <w:rPr>
          <w:rFonts w:ascii="Verdana" w:hAnsi="Verdana"/>
          <w:sz w:val="16"/>
          <w:szCs w:val="16"/>
        </w:rPr>
        <w:t xml:space="preserve"> </w:t>
      </w:r>
      <w:r w:rsidRPr="007802D0">
        <w:rPr>
          <w:rFonts w:ascii="Verdana" w:hAnsi="Verdana"/>
          <w:sz w:val="16"/>
          <w:szCs w:val="16"/>
        </w:rPr>
        <w:t>Instituto de Estudios Comparados en Ciencia</w:t>
      </w:r>
      <w:r>
        <w:rPr>
          <w:rFonts w:ascii="Verdana" w:hAnsi="Verdana"/>
          <w:sz w:val="16"/>
          <w:szCs w:val="16"/>
        </w:rPr>
        <w:t xml:space="preserve">s Penales de Guatemala (ICCPG). </w:t>
      </w:r>
      <w:r w:rsidRPr="007802D0">
        <w:rPr>
          <w:rFonts w:ascii="Verdana" w:hAnsi="Verdana"/>
          <w:sz w:val="16"/>
          <w:szCs w:val="16"/>
        </w:rPr>
        <w:t>“Por ser mujer. Limitantes del sistema de justicia ante las muertes violentas de mujeres y víctimas de delitos sexuales</w:t>
      </w:r>
      <w:r>
        <w:rPr>
          <w:rFonts w:ascii="Verdana" w:hAnsi="Verdana"/>
          <w:sz w:val="16"/>
          <w:szCs w:val="16"/>
        </w:rPr>
        <w:t>”</w:t>
      </w:r>
      <w:r w:rsidRPr="007802D0">
        <w:rPr>
          <w:rFonts w:ascii="Verdana" w:hAnsi="Verdana"/>
          <w:sz w:val="16"/>
          <w:szCs w:val="16"/>
        </w:rPr>
        <w:t xml:space="preserve">, Guatemala, </w:t>
      </w:r>
      <w:r>
        <w:rPr>
          <w:rFonts w:ascii="Verdana" w:hAnsi="Verdana"/>
          <w:sz w:val="16"/>
          <w:szCs w:val="16"/>
        </w:rPr>
        <w:t>n</w:t>
      </w:r>
      <w:r w:rsidRPr="007802D0">
        <w:rPr>
          <w:rFonts w:ascii="Verdana" w:hAnsi="Verdana"/>
          <w:sz w:val="16"/>
          <w:szCs w:val="16"/>
        </w:rPr>
        <w:t>oviembre de 2007, pág. 3 (</w:t>
      </w:r>
      <w:r>
        <w:rPr>
          <w:rFonts w:ascii="Verdana" w:hAnsi="Verdana"/>
          <w:sz w:val="16"/>
          <w:szCs w:val="16"/>
        </w:rPr>
        <w:t>e</w:t>
      </w:r>
      <w:r w:rsidRPr="007802D0">
        <w:rPr>
          <w:rFonts w:ascii="Verdana" w:hAnsi="Verdana"/>
          <w:sz w:val="16"/>
          <w:szCs w:val="16"/>
        </w:rPr>
        <w:t>xpediente de anexos al escri</w:t>
      </w:r>
      <w:r>
        <w:rPr>
          <w:rFonts w:ascii="Verdana" w:hAnsi="Verdana"/>
          <w:sz w:val="16"/>
          <w:szCs w:val="16"/>
        </w:rPr>
        <w:t>to de solicitudes y argumentos,</w:t>
      </w:r>
      <w:r w:rsidRPr="002C0D34">
        <w:rPr>
          <w:rFonts w:ascii="Verdana" w:hAnsi="Verdana"/>
          <w:sz w:val="16"/>
          <w:szCs w:val="16"/>
        </w:rPr>
        <w:t xml:space="preserve"> anexo 74, fs</w:t>
      </w:r>
      <w:r w:rsidRPr="007802D0">
        <w:rPr>
          <w:rFonts w:ascii="Verdana" w:hAnsi="Verdana"/>
          <w:sz w:val="16"/>
          <w:szCs w:val="16"/>
        </w:rPr>
        <w:t>. 9,703 a 10,461).</w:t>
      </w:r>
    </w:p>
  </w:footnote>
  <w:footnote w:id="103">
    <w:p w:rsidR="0081535F" w:rsidRPr="007802D0" w:rsidRDefault="0081535F" w:rsidP="00422232">
      <w:pPr>
        <w:pStyle w:val="Textonotapie"/>
        <w:spacing w:line="19" w:lineRule="atLeast"/>
        <w:ind w:left="-180" w:right="-174"/>
        <w:jc w:val="both"/>
        <w:rPr>
          <w:rFonts w:ascii="Verdana" w:hAnsi="Verdana"/>
          <w:sz w:val="16"/>
          <w:szCs w:val="16"/>
        </w:rPr>
      </w:pPr>
      <w:r w:rsidRPr="007802D0">
        <w:rPr>
          <w:rStyle w:val="Refdenotaalpie"/>
          <w:rFonts w:ascii="Verdana" w:hAnsi="Verdana"/>
          <w:sz w:val="16"/>
          <w:szCs w:val="16"/>
        </w:rPr>
        <w:footnoteRef/>
      </w:r>
      <w:r w:rsidRPr="007802D0">
        <w:rPr>
          <w:rFonts w:ascii="Verdana" w:hAnsi="Verdana"/>
          <w:sz w:val="16"/>
          <w:szCs w:val="16"/>
        </w:rPr>
        <w:t xml:space="preserve"> </w:t>
      </w:r>
      <w:r w:rsidRPr="007802D0">
        <w:rPr>
          <w:rFonts w:ascii="Verdana" w:hAnsi="Verdana"/>
          <w:sz w:val="16"/>
          <w:szCs w:val="16"/>
          <w:lang w:val="es-ES"/>
        </w:rPr>
        <w:t>La Comisión Interamericana afirmó que “[l]</w:t>
      </w:r>
      <w:r w:rsidRPr="002C0D34">
        <w:rPr>
          <w:rFonts w:ascii="Verdana" w:hAnsi="Verdana" w:cs="Arial"/>
          <w:sz w:val="16"/>
          <w:szCs w:val="16"/>
          <w:lang w:val="es-CR"/>
        </w:rPr>
        <w:t>as estadísticas de la Fiscalía de la Mujer reflejan […] que más de la mitad de los casos denunciados en un período reciente [a 2003] fueron archivados sin procesamiento y muy pocos llegaron a la etapa de juicio”.</w:t>
      </w:r>
      <w:r>
        <w:rPr>
          <w:rFonts w:ascii="Verdana" w:hAnsi="Verdana" w:cs="Arial"/>
          <w:sz w:val="16"/>
          <w:szCs w:val="16"/>
          <w:lang w:val="es-CR"/>
        </w:rPr>
        <w:t xml:space="preserve"> </w:t>
      </w:r>
      <w:r w:rsidRPr="002C0D34">
        <w:rPr>
          <w:rFonts w:ascii="Verdana" w:hAnsi="Verdana" w:cs="Arial"/>
          <w:sz w:val="16"/>
          <w:szCs w:val="16"/>
          <w:lang w:val="es-CR"/>
        </w:rPr>
        <w:t xml:space="preserve">Comisión Interamericana de Derechos Humanos, “Justicia e inclusión social: los desafíos de la democracia en Guatemala”, </w:t>
      </w:r>
      <w:r>
        <w:rPr>
          <w:rFonts w:ascii="Verdana" w:hAnsi="Verdana" w:cs="Arial"/>
          <w:i/>
          <w:sz w:val="16"/>
          <w:szCs w:val="16"/>
          <w:lang w:val="es-CR"/>
        </w:rPr>
        <w:t>supra</w:t>
      </w:r>
      <w:r w:rsidRPr="002C0D34">
        <w:rPr>
          <w:rFonts w:ascii="Verdana" w:hAnsi="Verdana" w:cs="Arial"/>
          <w:sz w:val="16"/>
          <w:szCs w:val="16"/>
          <w:lang w:val="es-CR"/>
        </w:rPr>
        <w:t>,</w:t>
      </w:r>
      <w:r w:rsidRPr="007802D0">
        <w:rPr>
          <w:rFonts w:ascii="Verdana" w:hAnsi="Verdana" w:cs="Arial"/>
          <w:sz w:val="16"/>
          <w:szCs w:val="16"/>
          <w:lang w:val="es-CR"/>
        </w:rPr>
        <w:t xml:space="preserve"> </w:t>
      </w:r>
      <w:r w:rsidRPr="00122C63">
        <w:rPr>
          <w:rFonts w:ascii="Verdana" w:hAnsi="Verdana" w:cs="Arial"/>
          <w:sz w:val="16"/>
          <w:szCs w:val="16"/>
          <w:lang w:val="es-CR"/>
        </w:rPr>
        <w:t>pá</w:t>
      </w:r>
      <w:r>
        <w:rPr>
          <w:rFonts w:ascii="Verdana" w:hAnsi="Verdana" w:cs="Arial"/>
          <w:sz w:val="16"/>
          <w:szCs w:val="16"/>
          <w:lang w:val="es-CR"/>
        </w:rPr>
        <w:t>rr. 297</w:t>
      </w:r>
      <w:r w:rsidRPr="00122C63">
        <w:rPr>
          <w:rFonts w:ascii="Verdana" w:hAnsi="Verdana"/>
          <w:sz w:val="16"/>
          <w:szCs w:val="16"/>
          <w:lang w:val="es-ES"/>
        </w:rPr>
        <w:t>.</w:t>
      </w:r>
      <w:r w:rsidRPr="007802D0">
        <w:rPr>
          <w:rFonts w:ascii="Verdana" w:hAnsi="Verdana"/>
          <w:sz w:val="16"/>
          <w:szCs w:val="16"/>
          <w:lang w:val="es-ES"/>
        </w:rPr>
        <w:t xml:space="preserve"> </w:t>
      </w:r>
      <w:r w:rsidRPr="007802D0">
        <w:rPr>
          <w:rFonts w:ascii="Verdana" w:hAnsi="Verdana"/>
          <w:sz w:val="16"/>
          <w:szCs w:val="16"/>
        </w:rPr>
        <w:t xml:space="preserve">Se ha </w:t>
      </w:r>
      <w:r w:rsidRPr="007802D0">
        <w:rPr>
          <w:rFonts w:ascii="Verdana" w:hAnsi="Verdana"/>
          <w:sz w:val="16"/>
          <w:szCs w:val="16"/>
          <w:lang w:val="es-ES"/>
        </w:rPr>
        <w:t>indicado también, que a partir de un informe de la Relatora Especial de las Naciones Unidas sobre la violencia contra la mujer, sus causas y consecuencias, surge que la “</w:t>
      </w:r>
      <w:r w:rsidRPr="007802D0">
        <w:rPr>
          <w:rFonts w:ascii="Verdana" w:hAnsi="Verdana"/>
          <w:sz w:val="16"/>
          <w:szCs w:val="16"/>
          <w:lang w:val="es-CR"/>
        </w:rPr>
        <w:t>Fiscalía de la Mujer del ministerio público y la sección especial de la P[olicía] N[acional] C[ivil] sostuvieron que el 40% de los casos se archivaban y no se investigaban jamás”</w:t>
      </w:r>
      <w:r>
        <w:rPr>
          <w:rFonts w:ascii="Verdana" w:hAnsi="Verdana"/>
          <w:sz w:val="16"/>
          <w:szCs w:val="16"/>
          <w:lang w:val="es-CR"/>
        </w:rPr>
        <w:t>.</w:t>
      </w:r>
      <w:r w:rsidRPr="007802D0">
        <w:rPr>
          <w:rFonts w:ascii="Verdana" w:hAnsi="Verdana"/>
          <w:sz w:val="16"/>
          <w:szCs w:val="16"/>
          <w:lang w:val="es-CR"/>
        </w:rPr>
        <w:t xml:space="preserve"> </w:t>
      </w:r>
      <w:r w:rsidRPr="007802D0">
        <w:rPr>
          <w:rFonts w:ascii="Verdana" w:hAnsi="Verdana"/>
          <w:sz w:val="16"/>
          <w:szCs w:val="16"/>
        </w:rPr>
        <w:t xml:space="preserve">Amnistía Internacional, “Guatemala. Ni protección ni justicia: Homicidios de mujeres en Guatemala”, </w:t>
      </w:r>
      <w:r>
        <w:rPr>
          <w:rFonts w:ascii="Verdana" w:hAnsi="Verdana"/>
          <w:i/>
          <w:sz w:val="16"/>
          <w:szCs w:val="16"/>
        </w:rPr>
        <w:t>supra</w:t>
      </w:r>
      <w:r>
        <w:rPr>
          <w:rFonts w:ascii="Verdana" w:hAnsi="Verdana"/>
          <w:sz w:val="16"/>
          <w:szCs w:val="16"/>
        </w:rPr>
        <w:t xml:space="preserve">, </w:t>
      </w:r>
      <w:r w:rsidRPr="00122C63">
        <w:rPr>
          <w:rFonts w:ascii="Verdana" w:hAnsi="Verdana"/>
          <w:sz w:val="16"/>
          <w:szCs w:val="16"/>
        </w:rPr>
        <w:t>pág. 13.</w:t>
      </w:r>
    </w:p>
  </w:footnote>
  <w:footnote w:id="104">
    <w:p w:rsidR="0081535F" w:rsidRPr="002C0D34" w:rsidRDefault="0081535F" w:rsidP="00422232">
      <w:pPr>
        <w:pStyle w:val="Textonotapie"/>
        <w:spacing w:line="19" w:lineRule="atLeast"/>
        <w:ind w:left="-180" w:right="-174"/>
        <w:jc w:val="both"/>
        <w:rPr>
          <w:rFonts w:ascii="Verdana" w:hAnsi="Verdana"/>
          <w:sz w:val="16"/>
          <w:szCs w:val="16"/>
          <w:lang w:val="es-CR"/>
        </w:rPr>
      </w:pPr>
      <w:r w:rsidRPr="007802D0">
        <w:rPr>
          <w:rStyle w:val="Refdenotaalpie"/>
          <w:rFonts w:ascii="Verdana" w:hAnsi="Verdana"/>
          <w:sz w:val="16"/>
          <w:szCs w:val="16"/>
        </w:rPr>
        <w:footnoteRef/>
      </w:r>
      <w:r>
        <w:rPr>
          <w:rFonts w:ascii="Verdana" w:hAnsi="Verdana"/>
          <w:sz w:val="16"/>
          <w:szCs w:val="16"/>
          <w:lang w:val="es-CR"/>
        </w:rPr>
        <w:t xml:space="preserve"> </w:t>
      </w:r>
      <w:r w:rsidRPr="005F59DB">
        <w:rPr>
          <w:rFonts w:ascii="Verdana" w:hAnsi="Verdana"/>
          <w:sz w:val="16"/>
          <w:szCs w:val="16"/>
          <w:lang w:val="es-CR"/>
        </w:rPr>
        <w:t>Comité para la Eliminación de la Discriminación contra la Mujer. Grupo de trabajo anterior al período de sesiones</w:t>
      </w:r>
      <w:r w:rsidRPr="002C0D34">
        <w:rPr>
          <w:rFonts w:ascii="Verdana" w:hAnsi="Verdana"/>
          <w:sz w:val="16"/>
          <w:szCs w:val="16"/>
          <w:lang w:val="es-CR"/>
        </w:rPr>
        <w:t>. 35º período de sesiones, 15 de mayo a 2 de junio de 2006. Respuestas a la lista de cuestiones y preguntas relativas al examen del sexto informe periódico</w:t>
      </w:r>
      <w:r>
        <w:rPr>
          <w:rFonts w:ascii="Verdana" w:hAnsi="Verdana"/>
          <w:sz w:val="16"/>
          <w:szCs w:val="16"/>
          <w:lang w:val="es-CR"/>
        </w:rPr>
        <w:t xml:space="preserve">, </w:t>
      </w:r>
      <w:r>
        <w:rPr>
          <w:rFonts w:ascii="Verdana" w:hAnsi="Verdana"/>
          <w:i/>
          <w:sz w:val="16"/>
          <w:szCs w:val="16"/>
          <w:lang w:val="es-CR"/>
        </w:rPr>
        <w:t>supra</w:t>
      </w:r>
      <w:r w:rsidRPr="00122C63">
        <w:rPr>
          <w:rFonts w:ascii="Verdana" w:hAnsi="Verdana" w:cs="Arial"/>
          <w:sz w:val="16"/>
          <w:szCs w:val="16"/>
          <w:lang w:val="es-CR"/>
        </w:rPr>
        <w:t>.</w:t>
      </w:r>
    </w:p>
  </w:footnote>
  <w:footnote w:id="105">
    <w:p w:rsidR="0081535F" w:rsidRPr="007802D0" w:rsidRDefault="0081535F" w:rsidP="00422232">
      <w:pPr>
        <w:pStyle w:val="Textonotapie"/>
        <w:spacing w:line="19" w:lineRule="atLeast"/>
        <w:ind w:left="-180" w:right="-174"/>
        <w:jc w:val="both"/>
        <w:rPr>
          <w:rFonts w:ascii="Verdana" w:hAnsi="Verdana"/>
          <w:sz w:val="16"/>
          <w:szCs w:val="16"/>
          <w:lang w:val="es-CR"/>
        </w:rPr>
      </w:pPr>
      <w:r w:rsidRPr="007802D0">
        <w:rPr>
          <w:rStyle w:val="Refdenotaalpie"/>
          <w:rFonts w:ascii="Verdana" w:hAnsi="Verdana"/>
          <w:sz w:val="16"/>
          <w:szCs w:val="16"/>
        </w:rPr>
        <w:footnoteRef/>
      </w:r>
      <w:r w:rsidRPr="007802D0">
        <w:rPr>
          <w:rFonts w:ascii="Verdana" w:hAnsi="Verdana"/>
          <w:sz w:val="16"/>
          <w:szCs w:val="16"/>
        </w:rPr>
        <w:t xml:space="preserve"> </w:t>
      </w:r>
      <w:r w:rsidRPr="007802D0">
        <w:rPr>
          <w:rFonts w:ascii="Verdana" w:hAnsi="Verdana" w:cs="TimesNewRoman"/>
          <w:sz w:val="16"/>
          <w:szCs w:val="16"/>
          <w:lang w:val="es-CR"/>
        </w:rPr>
        <w:t>C</w:t>
      </w:r>
      <w:r>
        <w:rPr>
          <w:rFonts w:ascii="Verdana" w:hAnsi="Verdana" w:cs="TimesNewRoman"/>
          <w:sz w:val="16"/>
          <w:szCs w:val="16"/>
          <w:lang w:val="es-CR"/>
        </w:rPr>
        <w:t xml:space="preserve">omisión </w:t>
      </w:r>
      <w:r w:rsidRPr="007802D0">
        <w:rPr>
          <w:rFonts w:ascii="Verdana" w:hAnsi="Verdana" w:cs="TimesNewRoman"/>
          <w:sz w:val="16"/>
          <w:szCs w:val="16"/>
          <w:lang w:val="es-CR"/>
        </w:rPr>
        <w:t>I</w:t>
      </w:r>
      <w:r>
        <w:rPr>
          <w:rFonts w:ascii="Verdana" w:hAnsi="Verdana" w:cs="TimesNewRoman"/>
          <w:sz w:val="16"/>
          <w:szCs w:val="16"/>
          <w:lang w:val="es-CR"/>
        </w:rPr>
        <w:t xml:space="preserve">nteramericana de </w:t>
      </w:r>
      <w:r w:rsidRPr="007802D0">
        <w:rPr>
          <w:rFonts w:ascii="Verdana" w:hAnsi="Verdana" w:cs="TimesNewRoman"/>
          <w:sz w:val="16"/>
          <w:szCs w:val="16"/>
          <w:lang w:val="es-CR"/>
        </w:rPr>
        <w:t>D</w:t>
      </w:r>
      <w:r>
        <w:rPr>
          <w:rFonts w:ascii="Verdana" w:hAnsi="Verdana" w:cs="TimesNewRoman"/>
          <w:sz w:val="16"/>
          <w:szCs w:val="16"/>
          <w:lang w:val="es-CR"/>
        </w:rPr>
        <w:t xml:space="preserve">erechos </w:t>
      </w:r>
      <w:r w:rsidRPr="007802D0">
        <w:rPr>
          <w:rFonts w:ascii="Verdana" w:hAnsi="Verdana" w:cs="TimesNewRoman"/>
          <w:sz w:val="16"/>
          <w:szCs w:val="16"/>
          <w:lang w:val="es-CR"/>
        </w:rPr>
        <w:t>H</w:t>
      </w:r>
      <w:r>
        <w:rPr>
          <w:rFonts w:ascii="Verdana" w:hAnsi="Verdana" w:cs="TimesNewRoman"/>
          <w:sz w:val="16"/>
          <w:szCs w:val="16"/>
          <w:lang w:val="es-CR"/>
        </w:rPr>
        <w:t>umanos</w:t>
      </w:r>
      <w:r w:rsidRPr="007802D0">
        <w:rPr>
          <w:rFonts w:ascii="Verdana" w:hAnsi="Verdana" w:cs="TimesNewRoman"/>
          <w:sz w:val="16"/>
          <w:szCs w:val="16"/>
          <w:lang w:val="es-CR"/>
        </w:rPr>
        <w:t xml:space="preserve">, </w:t>
      </w:r>
      <w:r>
        <w:rPr>
          <w:rFonts w:ascii="Verdana" w:hAnsi="Verdana"/>
          <w:sz w:val="16"/>
          <w:szCs w:val="16"/>
          <w:lang w:val="es-ES"/>
        </w:rPr>
        <w:t>“</w:t>
      </w:r>
      <w:r w:rsidRPr="00D42A7C">
        <w:rPr>
          <w:rFonts w:ascii="Verdana" w:hAnsi="Verdana"/>
          <w:sz w:val="16"/>
          <w:szCs w:val="16"/>
          <w:lang w:val="es-ES"/>
        </w:rPr>
        <w:t>Quinto informe sobre la Situación de los Derechos Humanos en Guatemala</w:t>
      </w:r>
      <w:r>
        <w:rPr>
          <w:rFonts w:ascii="Verdana" w:hAnsi="Verdana"/>
          <w:sz w:val="16"/>
          <w:szCs w:val="16"/>
          <w:lang w:val="es-ES"/>
        </w:rPr>
        <w:t>”</w:t>
      </w:r>
      <w:r w:rsidRPr="00D42A7C">
        <w:rPr>
          <w:rFonts w:ascii="Verdana" w:hAnsi="Verdana"/>
          <w:sz w:val="16"/>
          <w:szCs w:val="16"/>
          <w:lang w:val="es-ES"/>
        </w:rPr>
        <w:t xml:space="preserve">, </w:t>
      </w:r>
      <w:r w:rsidRPr="00F87AB2">
        <w:rPr>
          <w:rFonts w:ascii="Verdana" w:hAnsi="Verdana"/>
          <w:i/>
          <w:sz w:val="16"/>
          <w:szCs w:val="16"/>
          <w:lang w:val="es-ES"/>
        </w:rPr>
        <w:t>supra</w:t>
      </w:r>
      <w:r w:rsidRPr="00122C63">
        <w:rPr>
          <w:rFonts w:ascii="Verdana" w:hAnsi="Verdana" w:cs="TimesNewRoman"/>
          <w:sz w:val="16"/>
          <w:szCs w:val="16"/>
          <w:lang w:val="es-CR"/>
        </w:rPr>
        <w:t>.</w:t>
      </w:r>
      <w:r w:rsidRPr="007802D0">
        <w:rPr>
          <w:rFonts w:ascii="Verdana" w:hAnsi="Verdana" w:cs="TimesNewRoman"/>
          <w:color w:val="FF0000"/>
          <w:sz w:val="16"/>
          <w:szCs w:val="16"/>
          <w:lang w:val="es-CR"/>
        </w:rPr>
        <w:t xml:space="preserve"> </w:t>
      </w:r>
      <w:r w:rsidRPr="007802D0">
        <w:rPr>
          <w:rFonts w:ascii="Verdana" w:hAnsi="Verdana" w:cs="Calibri"/>
          <w:sz w:val="16"/>
          <w:szCs w:val="16"/>
        </w:rPr>
        <w:t>Además la Relatora Especial sobre los Derechos de la Mujer de la Comisión Interamericana expresó</w:t>
      </w:r>
      <w:r w:rsidRPr="007802D0">
        <w:rPr>
          <w:rFonts w:ascii="Verdana" w:hAnsi="Verdana"/>
          <w:sz w:val="16"/>
          <w:szCs w:val="16"/>
        </w:rPr>
        <w:t xml:space="preserve"> que “[</w:t>
      </w:r>
      <w:r w:rsidRPr="007802D0">
        <w:rPr>
          <w:rFonts w:ascii="Verdana" w:hAnsi="Verdana"/>
          <w:sz w:val="16"/>
          <w:szCs w:val="16"/>
          <w:lang w:val="es-ES"/>
        </w:rPr>
        <w:t>u]na manifestación grave del ciclo de violencia contra la mujer es la impunidad en la cual quedan dichas violaciones a los derechos fundamentales de la mujer. Tanto las autoridades estatales como las representantes de la sociedad civil expresaron reiteradamente […] que la administración de justicia no ha respondido eficazmente a estos crímenes […]. La delega</w:t>
      </w:r>
      <w:r>
        <w:rPr>
          <w:rFonts w:ascii="Verdana" w:hAnsi="Verdana"/>
          <w:sz w:val="16"/>
          <w:szCs w:val="16"/>
          <w:lang w:val="es-ES"/>
        </w:rPr>
        <w:t>ción [de la Relatoría…] consta</w:t>
      </w:r>
      <w:r w:rsidRPr="007802D0">
        <w:rPr>
          <w:rFonts w:ascii="Verdana" w:hAnsi="Verdana"/>
          <w:sz w:val="16"/>
          <w:szCs w:val="16"/>
          <w:lang w:val="es-ES"/>
        </w:rPr>
        <w:t xml:space="preserve">[tó], mediante las visitas a la PNC, al Ministerio Público (Fiscalía de la Mujer, Oficina de Atención a la Víctima), a la morgue y al organismo judicial, […] </w:t>
      </w:r>
      <w:r w:rsidRPr="002C0D34">
        <w:rPr>
          <w:rFonts w:ascii="Verdana" w:hAnsi="Verdana"/>
          <w:sz w:val="16"/>
          <w:szCs w:val="16"/>
          <w:lang w:val="es-ES"/>
        </w:rPr>
        <w:t>que al final, no se encuentra la justicia a la que se tiene derecho”. Comisión Interamericana de Derechos Humanos, Comunicado de prensa 20/04, “La Relator</w:t>
      </w:r>
      <w:r>
        <w:rPr>
          <w:rFonts w:ascii="Verdana" w:hAnsi="Verdana"/>
          <w:sz w:val="16"/>
          <w:szCs w:val="16"/>
          <w:lang w:val="es-ES"/>
        </w:rPr>
        <w:t>a</w:t>
      </w:r>
      <w:r w:rsidRPr="002C0D34">
        <w:rPr>
          <w:rFonts w:ascii="Verdana" w:hAnsi="Verdana"/>
          <w:sz w:val="16"/>
          <w:szCs w:val="16"/>
          <w:lang w:val="es-ES"/>
        </w:rPr>
        <w:t xml:space="preserve"> Especial de la CIDH evalúa la Vigencia del Derecho de la Mujer Guatemalteca a Vivi</w:t>
      </w:r>
      <w:r>
        <w:rPr>
          <w:rFonts w:ascii="Verdana" w:hAnsi="Verdana"/>
          <w:sz w:val="16"/>
          <w:szCs w:val="16"/>
          <w:lang w:val="es-ES"/>
        </w:rPr>
        <w:t xml:space="preserve">r Libre de Violencia y Discriminación”, </w:t>
      </w:r>
      <w:r>
        <w:rPr>
          <w:rFonts w:ascii="Verdana" w:hAnsi="Verdana"/>
          <w:i/>
          <w:sz w:val="16"/>
          <w:szCs w:val="16"/>
          <w:lang w:val="es-ES"/>
        </w:rPr>
        <w:t>supra</w:t>
      </w:r>
      <w:r w:rsidRPr="002C0D34">
        <w:rPr>
          <w:rFonts w:ascii="Verdana" w:hAnsi="Verdana"/>
          <w:sz w:val="16"/>
          <w:szCs w:val="16"/>
          <w:lang w:val="es-ES"/>
        </w:rPr>
        <w:t xml:space="preserve">, </w:t>
      </w:r>
      <w:r w:rsidRPr="00122C63">
        <w:rPr>
          <w:rFonts w:ascii="Verdana" w:hAnsi="Verdana"/>
          <w:sz w:val="16"/>
          <w:szCs w:val="16"/>
          <w:lang w:val="es-ES"/>
        </w:rPr>
        <w:t>párr. 17</w:t>
      </w:r>
      <w:r>
        <w:rPr>
          <w:rFonts w:ascii="Verdana" w:hAnsi="Verdana" w:cs="Calibri"/>
          <w:sz w:val="16"/>
          <w:szCs w:val="16"/>
        </w:rPr>
        <w:t xml:space="preserve">. </w:t>
      </w:r>
      <w:r w:rsidRPr="007802D0">
        <w:rPr>
          <w:rFonts w:ascii="Verdana" w:hAnsi="Verdana" w:cs="Calibri"/>
          <w:sz w:val="16"/>
          <w:szCs w:val="16"/>
        </w:rPr>
        <w:t xml:space="preserve">El Comité para la Eliminación de todas las Formas de Discriminación contra la Mujer de Naciones Unidas expresó en 2006 su “preocupa[ción]” por “la arraigada cultura de impunidad para” delitos de “desaparición, violación, tortura y asesinato” de mujeres. </w:t>
      </w:r>
      <w:r w:rsidRPr="007802D0">
        <w:rPr>
          <w:rFonts w:ascii="Verdana" w:hAnsi="Verdana"/>
          <w:sz w:val="16"/>
          <w:szCs w:val="16"/>
        </w:rPr>
        <w:t xml:space="preserve">Comité para la Eliminación de la Discriminación contra la Mujer, 35º período de sesiones, 15 de mayo a 2 de junio de 2006, </w:t>
      </w:r>
      <w:r>
        <w:rPr>
          <w:rFonts w:ascii="Verdana" w:hAnsi="Verdana"/>
          <w:i/>
          <w:sz w:val="16"/>
          <w:szCs w:val="16"/>
        </w:rPr>
        <w:t>supra</w:t>
      </w:r>
      <w:r w:rsidRPr="007802D0">
        <w:rPr>
          <w:rFonts w:ascii="Verdana" w:hAnsi="Verdana"/>
          <w:sz w:val="16"/>
          <w:szCs w:val="16"/>
        </w:rPr>
        <w:t xml:space="preserve">, </w:t>
      </w:r>
      <w:r w:rsidRPr="00122C63">
        <w:rPr>
          <w:rFonts w:ascii="Verdana" w:hAnsi="Verdana"/>
          <w:sz w:val="16"/>
          <w:szCs w:val="16"/>
        </w:rPr>
        <w:t>párr. 23.</w:t>
      </w:r>
      <w:r w:rsidRPr="007802D0">
        <w:rPr>
          <w:rFonts w:ascii="Verdana" w:hAnsi="Verdana"/>
          <w:sz w:val="16"/>
          <w:szCs w:val="16"/>
        </w:rPr>
        <w:t xml:space="preserve"> </w:t>
      </w:r>
    </w:p>
  </w:footnote>
  <w:footnote w:id="106">
    <w:p w:rsidR="0081535F" w:rsidRPr="007802D0" w:rsidRDefault="0081535F" w:rsidP="00422232">
      <w:pPr>
        <w:spacing w:after="0" w:line="19" w:lineRule="atLeast"/>
        <w:ind w:left="-180" w:right="-174"/>
        <w:jc w:val="both"/>
        <w:rPr>
          <w:rFonts w:ascii="Verdana" w:hAnsi="Verdana"/>
          <w:sz w:val="16"/>
          <w:szCs w:val="16"/>
          <w:lang w:val="es-CR"/>
        </w:rPr>
      </w:pPr>
      <w:r w:rsidRPr="007802D0">
        <w:rPr>
          <w:rStyle w:val="Refdenotaalpie"/>
          <w:rFonts w:ascii="Verdana" w:hAnsi="Verdana"/>
          <w:sz w:val="16"/>
          <w:szCs w:val="16"/>
        </w:rPr>
        <w:footnoteRef/>
      </w:r>
      <w:r>
        <w:rPr>
          <w:rFonts w:ascii="Verdana" w:hAnsi="Verdana"/>
          <w:sz w:val="16"/>
          <w:szCs w:val="16"/>
          <w:lang w:val="es-CR"/>
        </w:rPr>
        <w:t xml:space="preserve"> </w:t>
      </w:r>
      <w:r w:rsidRPr="007802D0">
        <w:rPr>
          <w:rFonts w:ascii="Verdana" w:hAnsi="Verdana"/>
          <w:sz w:val="16"/>
          <w:szCs w:val="16"/>
          <w:lang w:val="es-CR"/>
        </w:rPr>
        <w:t xml:space="preserve">Misión Internacional de Investigación, “El femicidio en México y Guatemala”, </w:t>
      </w:r>
      <w:r w:rsidRPr="00F87AB2">
        <w:rPr>
          <w:rFonts w:ascii="Verdana" w:hAnsi="Verdana"/>
          <w:i/>
          <w:sz w:val="16"/>
          <w:szCs w:val="16"/>
          <w:lang w:val="es-CR"/>
        </w:rPr>
        <w:t>supra</w:t>
      </w:r>
      <w:r w:rsidRPr="00122C63">
        <w:rPr>
          <w:rFonts w:ascii="Verdana" w:hAnsi="Verdana"/>
          <w:sz w:val="16"/>
          <w:szCs w:val="16"/>
          <w:lang w:val="es-CR"/>
        </w:rPr>
        <w:t>.</w:t>
      </w:r>
    </w:p>
  </w:footnote>
  <w:footnote w:id="107">
    <w:p w:rsidR="0081535F" w:rsidRPr="004B32E6" w:rsidRDefault="0081535F" w:rsidP="00422232">
      <w:pPr>
        <w:pStyle w:val="Prrafodelista"/>
        <w:spacing w:after="0" w:line="19" w:lineRule="atLeast"/>
        <w:ind w:left="-180" w:right="-174"/>
        <w:jc w:val="both"/>
        <w:rPr>
          <w:rFonts w:ascii="Verdana" w:hAnsi="Verdana"/>
          <w:sz w:val="16"/>
          <w:szCs w:val="16"/>
          <w:lang w:val="es-CR"/>
        </w:rPr>
      </w:pPr>
      <w:r w:rsidRPr="007802D0">
        <w:rPr>
          <w:rStyle w:val="Refdenotaalpie"/>
          <w:rFonts w:ascii="Verdana" w:hAnsi="Verdana"/>
          <w:sz w:val="16"/>
          <w:szCs w:val="16"/>
        </w:rPr>
        <w:footnoteRef/>
      </w:r>
      <w:r>
        <w:rPr>
          <w:rFonts w:ascii="Verdana" w:hAnsi="Verdana"/>
          <w:sz w:val="16"/>
          <w:szCs w:val="16"/>
          <w:lang w:val="es-CR"/>
        </w:rPr>
        <w:t xml:space="preserve"> </w:t>
      </w:r>
      <w:r w:rsidRPr="007802D0">
        <w:rPr>
          <w:rFonts w:ascii="Verdana" w:hAnsi="Verdana"/>
          <w:sz w:val="16"/>
          <w:szCs w:val="16"/>
          <w:lang w:val="es-CR"/>
        </w:rPr>
        <w:t xml:space="preserve">Según el Centro Nacional de Análisis y Documentación Judicial (CENADOJ), en 2005 ingresaron 488 casos de muerte violenta de mujeres y niñas, se emitieron 65 sentencias y en 46 se emitió una condena. En 2006 ingresaron 482 casos, se emitieron 70 sentencias, de las que la mitad fueron condenatorias. En 2009 ingresaron 635 casos y se emitieron 82 sentencias, siendo 44 de ellas condenatorias. </w:t>
      </w:r>
      <w:r w:rsidRPr="007802D0">
        <w:rPr>
          <w:rFonts w:ascii="Verdana" w:hAnsi="Verdana" w:cs="Calibri"/>
          <w:sz w:val="16"/>
          <w:szCs w:val="16"/>
          <w:lang w:val="es-CR"/>
        </w:rPr>
        <w:t>Por otra parte, entre septiembre de 2008, cuando entró en vigor la Ley contra el Femicidio (</w:t>
      </w:r>
      <w:r>
        <w:rPr>
          <w:rFonts w:ascii="Verdana" w:hAnsi="Verdana" w:cs="Calibri"/>
          <w:i/>
          <w:sz w:val="16"/>
          <w:szCs w:val="16"/>
          <w:lang w:val="es-CR"/>
        </w:rPr>
        <w:t>supra</w:t>
      </w:r>
      <w:r w:rsidRPr="007802D0">
        <w:rPr>
          <w:rFonts w:ascii="Verdana" w:hAnsi="Verdana" w:cs="Calibri"/>
          <w:sz w:val="16"/>
          <w:szCs w:val="16"/>
          <w:lang w:val="es-CR"/>
        </w:rPr>
        <w:t xml:space="preserve"> </w:t>
      </w:r>
      <w:r>
        <w:rPr>
          <w:rFonts w:ascii="Verdana" w:hAnsi="Verdana" w:cs="Calibri"/>
          <w:sz w:val="16"/>
          <w:szCs w:val="16"/>
          <w:lang w:val="es-CR"/>
        </w:rPr>
        <w:t>nota al pie de página 68</w:t>
      </w:r>
      <w:r w:rsidRPr="002440D3">
        <w:rPr>
          <w:rFonts w:ascii="Verdana" w:hAnsi="Verdana" w:cs="Calibri"/>
          <w:sz w:val="16"/>
          <w:szCs w:val="16"/>
          <w:lang w:val="es-CR"/>
        </w:rPr>
        <w:t>),</w:t>
      </w:r>
      <w:r w:rsidRPr="007802D0">
        <w:rPr>
          <w:rFonts w:ascii="Verdana" w:hAnsi="Verdana" w:cs="Calibri"/>
          <w:sz w:val="16"/>
          <w:szCs w:val="16"/>
          <w:lang w:val="es-CR"/>
        </w:rPr>
        <w:t xml:space="preserve"> y marzo de 2012, ingresaron en los órganos jurisdiccionales ordinarios del ramo penal 69,909 casos por los delitos contemplados en esa Ley (femicidio, violencia contra las mujeres y violencia económica). En el mismo período se emitieron 7</w:t>
      </w:r>
      <w:r>
        <w:rPr>
          <w:rFonts w:ascii="Verdana" w:hAnsi="Verdana" w:cs="Calibri"/>
          <w:sz w:val="16"/>
          <w:szCs w:val="16"/>
          <w:lang w:val="es-CR"/>
        </w:rPr>
        <w:t>72 sentencias por tales delitos</w:t>
      </w:r>
      <w:r w:rsidRPr="007802D0">
        <w:rPr>
          <w:rFonts w:ascii="Verdana" w:hAnsi="Verdana" w:cs="Calibri"/>
          <w:sz w:val="16"/>
          <w:szCs w:val="16"/>
          <w:lang w:val="es-CR"/>
        </w:rPr>
        <w:t xml:space="preserve">; es decir, una proporción equivalente al 1,10%. </w:t>
      </w:r>
      <w:r>
        <w:rPr>
          <w:rFonts w:ascii="Verdana" w:hAnsi="Verdana" w:cs="Calibri"/>
          <w:i/>
          <w:sz w:val="16"/>
          <w:szCs w:val="16"/>
          <w:lang w:val="es-CR"/>
        </w:rPr>
        <w:t xml:space="preserve">Cfr. </w:t>
      </w:r>
      <w:r w:rsidRPr="007802D0">
        <w:rPr>
          <w:rFonts w:ascii="Verdana" w:hAnsi="Verdana"/>
          <w:sz w:val="16"/>
          <w:szCs w:val="16"/>
          <w:lang w:val="es-CR"/>
        </w:rPr>
        <w:t xml:space="preserve">Centro Nacional de Análisis y Documentación Judicial (CENADOJ), Área de Documentación y Estadística Judicial, </w:t>
      </w:r>
      <w:r w:rsidRPr="00743A50">
        <w:rPr>
          <w:rFonts w:ascii="Verdana" w:hAnsi="Verdana"/>
          <w:sz w:val="16"/>
          <w:szCs w:val="16"/>
          <w:lang w:val="es-CR"/>
        </w:rPr>
        <w:t>Informe de casos ingresados y sentencias dictadas por los órganos jurisdiccionales del ramo penal, Cuadros de casos ingresados por delitos contemplados en la Ley contra el Femicidio, correspondientes a 2008 -2010, 2011 y enero a marzo de 2012</w:t>
      </w:r>
      <w:r w:rsidRPr="004B32E6">
        <w:rPr>
          <w:rFonts w:ascii="Verdana" w:hAnsi="Verdana"/>
          <w:sz w:val="16"/>
          <w:szCs w:val="16"/>
          <w:lang w:val="es-CR"/>
        </w:rPr>
        <w:t xml:space="preserve"> </w:t>
      </w:r>
      <w:r>
        <w:rPr>
          <w:rFonts w:ascii="Verdana" w:hAnsi="Verdana"/>
          <w:sz w:val="16"/>
          <w:szCs w:val="16"/>
          <w:lang w:val="es-CR"/>
        </w:rPr>
        <w:t>(e</w:t>
      </w:r>
      <w:r w:rsidRPr="004B32E6">
        <w:rPr>
          <w:rFonts w:ascii="Verdana" w:hAnsi="Verdana"/>
          <w:sz w:val="16"/>
          <w:szCs w:val="16"/>
          <w:lang w:val="es-CR"/>
        </w:rPr>
        <w:t xml:space="preserve">xpediente de anexos al escrito de solicitudes y argumentos, </w:t>
      </w:r>
      <w:r>
        <w:rPr>
          <w:rFonts w:ascii="Verdana" w:hAnsi="Verdana"/>
          <w:sz w:val="16"/>
          <w:szCs w:val="16"/>
          <w:lang w:val="es-CR"/>
        </w:rPr>
        <w:t>a</w:t>
      </w:r>
      <w:r w:rsidRPr="004B32E6">
        <w:rPr>
          <w:rFonts w:ascii="Verdana" w:hAnsi="Verdana"/>
          <w:sz w:val="16"/>
          <w:szCs w:val="16"/>
          <w:lang w:val="es-CR"/>
        </w:rPr>
        <w:t>nexos 88, 89 y 9</w:t>
      </w:r>
      <w:r>
        <w:rPr>
          <w:rFonts w:ascii="Verdana" w:hAnsi="Verdana"/>
          <w:sz w:val="16"/>
          <w:szCs w:val="16"/>
          <w:lang w:val="es-CR"/>
        </w:rPr>
        <w:t xml:space="preserve">0, fs. 10,760 a 10,763, 10,765 </w:t>
      </w:r>
      <w:r w:rsidRPr="004B32E6">
        <w:rPr>
          <w:rFonts w:ascii="Verdana" w:hAnsi="Verdana"/>
          <w:sz w:val="16"/>
          <w:szCs w:val="16"/>
          <w:lang w:val="es-CR"/>
        </w:rPr>
        <w:t xml:space="preserve">y 10,766, y 10,768 y 10,769, respectivamente). </w:t>
      </w:r>
      <w:r w:rsidRPr="004B32E6">
        <w:rPr>
          <w:rFonts w:ascii="Verdana" w:hAnsi="Verdana" w:cs="Calibri"/>
          <w:sz w:val="16"/>
          <w:szCs w:val="16"/>
          <w:lang w:val="es-CR"/>
        </w:rPr>
        <w:t>Sin perjuicio de lo anterior, debe destacarse que de acuerdo a datos presentados por el Estado</w:t>
      </w:r>
      <w:r>
        <w:rPr>
          <w:rFonts w:ascii="Verdana" w:hAnsi="Verdana" w:cs="Calibri"/>
          <w:sz w:val="16"/>
          <w:szCs w:val="16"/>
          <w:lang w:val="es-CR"/>
        </w:rPr>
        <w:t xml:space="preserve"> en su contestación</w:t>
      </w:r>
      <w:r w:rsidRPr="004B32E6">
        <w:rPr>
          <w:rFonts w:ascii="Verdana" w:hAnsi="Verdana" w:cs="Calibri"/>
          <w:sz w:val="16"/>
          <w:szCs w:val="16"/>
          <w:lang w:val="es-CR"/>
        </w:rPr>
        <w:t xml:space="preserve"> y no controvertidos, entre 2011 y 2012 hubo una disminución de “denuncias [o] acusaciones” sobre delitos sexuales contra mujeres y, paralelamente, un aumento de sentencias respecto a tales casos pasando de 227 a 268</w:t>
      </w:r>
      <w:r>
        <w:rPr>
          <w:rFonts w:ascii="Verdana" w:hAnsi="Verdana" w:cs="Calibri"/>
          <w:sz w:val="16"/>
          <w:szCs w:val="16"/>
          <w:lang w:val="es-CR"/>
        </w:rPr>
        <w:t>.</w:t>
      </w:r>
      <w:r w:rsidRPr="004B32E6">
        <w:rPr>
          <w:rFonts w:ascii="Verdana" w:hAnsi="Verdana" w:cs="Calibri"/>
          <w:sz w:val="16"/>
          <w:szCs w:val="16"/>
          <w:lang w:val="es-CR"/>
        </w:rPr>
        <w:t xml:space="preserve"> </w:t>
      </w:r>
      <w:r w:rsidRPr="004B32E6">
        <w:rPr>
          <w:rFonts w:ascii="Verdana" w:hAnsi="Verdana"/>
          <w:i/>
          <w:sz w:val="16"/>
          <w:szCs w:val="16"/>
          <w:lang w:val="es-CR"/>
        </w:rPr>
        <w:t>Cfr.</w:t>
      </w:r>
      <w:r w:rsidRPr="004B32E6">
        <w:rPr>
          <w:rFonts w:ascii="Verdana" w:hAnsi="Verdana"/>
          <w:sz w:val="16"/>
          <w:szCs w:val="16"/>
          <w:lang w:val="es-CR"/>
        </w:rPr>
        <w:t xml:space="preserve"> “Tabla de procesos en delitos sexuales, mujeres y niños 2011-2012” (</w:t>
      </w:r>
      <w:r>
        <w:rPr>
          <w:rFonts w:ascii="Verdana" w:hAnsi="Verdana"/>
          <w:sz w:val="16"/>
          <w:szCs w:val="16"/>
          <w:lang w:val="es-CR"/>
        </w:rPr>
        <w:t>e</w:t>
      </w:r>
      <w:r w:rsidRPr="004B32E6">
        <w:rPr>
          <w:rFonts w:ascii="Verdana" w:hAnsi="Verdana"/>
          <w:sz w:val="16"/>
          <w:szCs w:val="16"/>
          <w:lang w:val="es-CR"/>
        </w:rPr>
        <w:t xml:space="preserve">xpediente de anexos a la contestación, </w:t>
      </w:r>
      <w:r>
        <w:rPr>
          <w:rFonts w:ascii="Verdana" w:hAnsi="Verdana"/>
          <w:sz w:val="16"/>
          <w:szCs w:val="16"/>
          <w:lang w:val="es-CR"/>
        </w:rPr>
        <w:t>a</w:t>
      </w:r>
      <w:r w:rsidRPr="004B32E6">
        <w:rPr>
          <w:rFonts w:ascii="Verdana" w:hAnsi="Verdana"/>
          <w:sz w:val="16"/>
          <w:szCs w:val="16"/>
          <w:lang w:val="es-CR"/>
        </w:rPr>
        <w:t>ne</w:t>
      </w:r>
      <w:r>
        <w:rPr>
          <w:rFonts w:ascii="Verdana" w:hAnsi="Verdana"/>
          <w:sz w:val="16"/>
          <w:szCs w:val="16"/>
          <w:lang w:val="es-CR"/>
        </w:rPr>
        <w:t>xo 7, f. 14,013</w:t>
      </w:r>
      <w:r w:rsidRPr="004B32E6">
        <w:rPr>
          <w:rFonts w:ascii="Verdana" w:hAnsi="Verdana"/>
          <w:sz w:val="16"/>
          <w:szCs w:val="16"/>
          <w:lang w:val="es-CR"/>
        </w:rPr>
        <w:t>)</w:t>
      </w:r>
      <w:r>
        <w:rPr>
          <w:rFonts w:ascii="Verdana" w:hAnsi="Verdana"/>
          <w:sz w:val="16"/>
          <w:szCs w:val="16"/>
          <w:lang w:val="es-CR"/>
        </w:rPr>
        <w:t>.</w:t>
      </w:r>
      <w:r w:rsidRPr="004B32E6">
        <w:rPr>
          <w:rFonts w:ascii="Verdana" w:hAnsi="Verdana"/>
          <w:sz w:val="16"/>
          <w:szCs w:val="16"/>
          <w:lang w:val="es-CR"/>
        </w:rPr>
        <w:t xml:space="preserve"> En el último documento citado</w:t>
      </w:r>
      <w:r>
        <w:rPr>
          <w:rFonts w:ascii="Verdana" w:hAnsi="Verdana"/>
          <w:sz w:val="16"/>
          <w:szCs w:val="16"/>
          <w:lang w:val="es-CR"/>
        </w:rPr>
        <w:t>,</w:t>
      </w:r>
      <w:r w:rsidRPr="004B32E6">
        <w:rPr>
          <w:rFonts w:ascii="Verdana" w:hAnsi="Verdana"/>
          <w:sz w:val="16"/>
          <w:szCs w:val="16"/>
          <w:lang w:val="es-CR"/>
        </w:rPr>
        <w:t xml:space="preserve"> el Estado presentó, además, datos sobre acusaciones y sentencias en “materia sexual” referida a “niñas [y] niños”, señalando que en 2011 hubo 523 “acusaciones” y 302 sentencias, y que en el curso de 2012, hasta el 18 de diciembre de ese año (fecha de la contestación), dichas cifras fueron</w:t>
      </w:r>
      <w:r>
        <w:rPr>
          <w:rFonts w:ascii="Verdana" w:hAnsi="Verdana"/>
          <w:sz w:val="16"/>
          <w:szCs w:val="16"/>
          <w:lang w:val="es-CR"/>
        </w:rPr>
        <w:t xml:space="preserve"> </w:t>
      </w:r>
      <w:r w:rsidRPr="004B32E6">
        <w:rPr>
          <w:rFonts w:ascii="Verdana" w:hAnsi="Verdana"/>
          <w:sz w:val="16"/>
          <w:szCs w:val="16"/>
          <w:lang w:val="es-CR"/>
        </w:rPr>
        <w:t>499 y 305</w:t>
      </w:r>
      <w:r>
        <w:rPr>
          <w:rFonts w:ascii="Verdana" w:hAnsi="Verdana"/>
          <w:sz w:val="16"/>
          <w:szCs w:val="16"/>
          <w:lang w:val="es-CR"/>
        </w:rPr>
        <w:t>, respectivamente</w:t>
      </w:r>
      <w:r w:rsidRPr="004B32E6">
        <w:rPr>
          <w:rFonts w:ascii="Verdana" w:hAnsi="Verdana" w:cs="Calibri"/>
          <w:sz w:val="16"/>
          <w:szCs w:val="16"/>
          <w:lang w:val="es-CR"/>
        </w:rPr>
        <w:t xml:space="preserve">. </w:t>
      </w:r>
    </w:p>
  </w:footnote>
  <w:footnote w:id="108">
    <w:p w:rsidR="0081535F" w:rsidRPr="004B32E6" w:rsidRDefault="0081535F" w:rsidP="00422232">
      <w:pPr>
        <w:pStyle w:val="Textonotapie"/>
        <w:spacing w:line="19" w:lineRule="atLeast"/>
        <w:ind w:left="-180" w:right="-174"/>
        <w:jc w:val="both"/>
        <w:rPr>
          <w:rFonts w:ascii="Verdana" w:hAnsi="Verdana"/>
          <w:sz w:val="16"/>
          <w:szCs w:val="16"/>
        </w:rPr>
      </w:pPr>
      <w:r w:rsidRPr="004B32E6">
        <w:rPr>
          <w:rStyle w:val="Refdenotaalpie"/>
          <w:rFonts w:ascii="Verdana" w:hAnsi="Verdana"/>
          <w:sz w:val="16"/>
          <w:szCs w:val="16"/>
        </w:rPr>
        <w:footnoteRef/>
      </w:r>
      <w:r>
        <w:rPr>
          <w:rFonts w:ascii="Verdana" w:hAnsi="Verdana"/>
          <w:sz w:val="16"/>
          <w:szCs w:val="16"/>
        </w:rPr>
        <w:t xml:space="preserve"> </w:t>
      </w:r>
      <w:r w:rsidRPr="004B32E6">
        <w:rPr>
          <w:rFonts w:ascii="Verdana" w:hAnsi="Verdana"/>
          <w:sz w:val="16"/>
          <w:szCs w:val="16"/>
        </w:rPr>
        <w:t xml:space="preserve">En forma coincidente se expresó el perito </w:t>
      </w:r>
      <w:r>
        <w:rPr>
          <w:rFonts w:ascii="Verdana" w:hAnsi="Verdana"/>
          <w:sz w:val="16"/>
          <w:szCs w:val="16"/>
        </w:rPr>
        <w:t xml:space="preserve">José Mario </w:t>
      </w:r>
      <w:r w:rsidRPr="004B32E6">
        <w:rPr>
          <w:rFonts w:ascii="Verdana" w:hAnsi="Verdana"/>
          <w:sz w:val="16"/>
          <w:szCs w:val="16"/>
        </w:rPr>
        <w:t>Nájera Ochoa, así como la perita</w:t>
      </w:r>
      <w:r>
        <w:rPr>
          <w:rFonts w:ascii="Verdana" w:hAnsi="Verdana"/>
          <w:sz w:val="16"/>
          <w:szCs w:val="16"/>
        </w:rPr>
        <w:t xml:space="preserve"> María Eugenia</w:t>
      </w:r>
      <w:r w:rsidRPr="004B32E6">
        <w:rPr>
          <w:rFonts w:ascii="Verdana" w:hAnsi="Verdana"/>
          <w:sz w:val="16"/>
          <w:szCs w:val="16"/>
        </w:rPr>
        <w:t xml:space="preserve"> Solís García</w:t>
      </w:r>
      <w:r w:rsidRPr="00422232">
        <w:rPr>
          <w:rFonts w:ascii="Verdana" w:hAnsi="Verdana"/>
          <w:sz w:val="16"/>
          <w:szCs w:val="16"/>
        </w:rPr>
        <w:t>.</w:t>
      </w:r>
      <w:r w:rsidRPr="00422232">
        <w:rPr>
          <w:rFonts w:ascii="Verdana" w:eastAsia="Times New Roman" w:hAnsi="Verdana" w:cs="Arial"/>
          <w:sz w:val="16"/>
          <w:szCs w:val="16"/>
          <w:lang w:val="es-MX"/>
        </w:rPr>
        <w:t xml:space="preserve"> </w:t>
      </w:r>
      <w:r w:rsidRPr="00422232">
        <w:rPr>
          <w:rFonts w:ascii="Verdana" w:eastAsia="Times New Roman" w:hAnsi="Verdana" w:cs="Arial"/>
          <w:i/>
          <w:sz w:val="16"/>
          <w:szCs w:val="16"/>
          <w:lang w:val="es-MX"/>
        </w:rPr>
        <w:t>Cfr</w:t>
      </w:r>
      <w:r w:rsidRPr="00F87AB2">
        <w:rPr>
          <w:rFonts w:ascii="Verdana" w:eastAsia="Times New Roman" w:hAnsi="Verdana" w:cs="Arial"/>
          <w:i/>
          <w:sz w:val="16"/>
          <w:szCs w:val="16"/>
          <w:lang w:val="es-MX"/>
        </w:rPr>
        <w:t>.</w:t>
      </w:r>
      <w:r w:rsidRPr="00F87AB2">
        <w:rPr>
          <w:rFonts w:ascii="Verdana" w:eastAsia="Times New Roman" w:hAnsi="Verdana" w:cs="Arial"/>
          <w:sz w:val="16"/>
          <w:szCs w:val="16"/>
          <w:lang w:val="es-MX"/>
        </w:rPr>
        <w:t xml:space="preserve"> </w:t>
      </w:r>
      <w:r w:rsidRPr="00BB0D81">
        <w:rPr>
          <w:rFonts w:ascii="Verdana" w:hAnsi="Verdana"/>
          <w:sz w:val="16"/>
          <w:szCs w:val="16"/>
        </w:rPr>
        <w:t>Declaración pericial rendida por José Mario Nájera Ochoa mediante affidávit de 23 de abril de 2013 (expediente de excepc</w:t>
      </w:r>
      <w:r>
        <w:rPr>
          <w:rFonts w:ascii="Verdana" w:hAnsi="Verdana"/>
          <w:sz w:val="16"/>
          <w:szCs w:val="16"/>
        </w:rPr>
        <w:t xml:space="preserve">iones preliminares, fondo y reparaciones y costas, fs. 873 a 878), y </w:t>
      </w:r>
      <w:r w:rsidRPr="00F87AB2">
        <w:rPr>
          <w:rFonts w:ascii="Verdana" w:eastAsia="Times New Roman" w:hAnsi="Verdana" w:cs="Arial"/>
          <w:sz w:val="16"/>
          <w:szCs w:val="16"/>
          <w:lang w:val="es-MX"/>
        </w:rPr>
        <w:t xml:space="preserve">dictamen pericial de </w:t>
      </w:r>
      <w:r w:rsidRPr="00F87AB2">
        <w:rPr>
          <w:rFonts w:ascii="Verdana" w:eastAsia="Times New Roman" w:hAnsi="Verdana" w:cs="Times"/>
          <w:sz w:val="16"/>
          <w:szCs w:val="16"/>
          <w:lang w:val="es-MX"/>
        </w:rPr>
        <w:t>María Eugenia Solís García</w:t>
      </w:r>
      <w:r w:rsidRPr="00BB0D81">
        <w:rPr>
          <w:rFonts w:ascii="Verdana" w:eastAsia="Times New Roman" w:hAnsi="Verdana" w:cs="Times"/>
          <w:sz w:val="16"/>
          <w:szCs w:val="16"/>
          <w:lang w:val="es-MX"/>
        </w:rPr>
        <w:t>,</w:t>
      </w:r>
      <w:r w:rsidRPr="00BB0D81">
        <w:rPr>
          <w:rFonts w:ascii="Verdana" w:eastAsia="Times New Roman" w:hAnsi="Verdana" w:cs="Times"/>
          <w:i/>
          <w:sz w:val="16"/>
          <w:szCs w:val="16"/>
          <w:lang w:val="es-MX"/>
        </w:rPr>
        <w:t xml:space="preserve"> </w:t>
      </w:r>
      <w:r>
        <w:rPr>
          <w:rFonts w:ascii="Verdana" w:eastAsia="Times New Roman" w:hAnsi="Verdana" w:cs="Times"/>
          <w:i/>
          <w:sz w:val="16"/>
          <w:szCs w:val="16"/>
          <w:lang w:val="es-MX"/>
        </w:rPr>
        <w:t>sup</w:t>
      </w:r>
      <w:r w:rsidRPr="00F87AB2">
        <w:rPr>
          <w:rFonts w:ascii="Verdana" w:eastAsia="Times New Roman" w:hAnsi="Verdana" w:cs="Times"/>
          <w:sz w:val="16"/>
          <w:szCs w:val="16"/>
          <w:lang w:val="es-MX"/>
        </w:rPr>
        <w:t>ra, respectivamente.</w:t>
      </w:r>
      <w:r w:rsidRPr="00C378CA">
        <w:rPr>
          <w:rFonts w:ascii="Verdana" w:hAnsi="Verdana"/>
          <w:sz w:val="16"/>
          <w:szCs w:val="16"/>
        </w:rPr>
        <w:t xml:space="preserve">  </w:t>
      </w:r>
    </w:p>
  </w:footnote>
  <w:footnote w:id="109">
    <w:p w:rsidR="0081535F" w:rsidRPr="00353432" w:rsidRDefault="0081535F" w:rsidP="00422232">
      <w:pPr>
        <w:pStyle w:val="Textonotapie"/>
        <w:spacing w:line="19" w:lineRule="atLeast"/>
        <w:ind w:left="-180" w:right="-174"/>
        <w:jc w:val="both"/>
        <w:rPr>
          <w:rFonts w:ascii="Verdana" w:hAnsi="Verdana"/>
          <w:sz w:val="16"/>
          <w:szCs w:val="16"/>
        </w:rPr>
      </w:pPr>
      <w:r w:rsidRPr="004B32E6">
        <w:rPr>
          <w:rStyle w:val="Refdenotaalpie"/>
          <w:rFonts w:ascii="Verdana" w:hAnsi="Verdana"/>
          <w:sz w:val="16"/>
          <w:szCs w:val="16"/>
        </w:rPr>
        <w:footnoteRef/>
      </w:r>
      <w:r>
        <w:rPr>
          <w:rFonts w:ascii="Verdana" w:hAnsi="Verdana"/>
          <w:sz w:val="16"/>
          <w:szCs w:val="16"/>
        </w:rPr>
        <w:t xml:space="preserve"> </w:t>
      </w:r>
      <w:r w:rsidRPr="004B32E6">
        <w:rPr>
          <w:rFonts w:ascii="Verdana" w:hAnsi="Verdana"/>
          <w:sz w:val="16"/>
          <w:szCs w:val="16"/>
        </w:rPr>
        <w:t xml:space="preserve">En el mismo sentido se pronunció la perita </w:t>
      </w:r>
      <w:r>
        <w:rPr>
          <w:rFonts w:ascii="Verdana" w:hAnsi="Verdana"/>
          <w:sz w:val="16"/>
          <w:szCs w:val="16"/>
        </w:rPr>
        <w:t xml:space="preserve">María Eugenia </w:t>
      </w:r>
      <w:r w:rsidRPr="004B32E6">
        <w:rPr>
          <w:rFonts w:ascii="Verdana" w:hAnsi="Verdana"/>
          <w:sz w:val="16"/>
          <w:szCs w:val="16"/>
        </w:rPr>
        <w:t xml:space="preserve">Solís </w:t>
      </w:r>
      <w:r w:rsidRPr="00BB0D81">
        <w:rPr>
          <w:rFonts w:ascii="Verdana" w:hAnsi="Verdana"/>
          <w:sz w:val="16"/>
          <w:szCs w:val="16"/>
        </w:rPr>
        <w:t>García</w:t>
      </w:r>
      <w:r>
        <w:rPr>
          <w:rFonts w:ascii="Verdana" w:hAnsi="Verdana"/>
          <w:sz w:val="16"/>
          <w:szCs w:val="16"/>
        </w:rPr>
        <w:t>.</w:t>
      </w:r>
      <w:r w:rsidRPr="00F87AB2">
        <w:rPr>
          <w:rFonts w:ascii="Verdana" w:eastAsia="Times New Roman" w:hAnsi="Verdana" w:cs="Arial"/>
          <w:i/>
          <w:sz w:val="16"/>
          <w:szCs w:val="16"/>
          <w:lang w:val="es-MX"/>
        </w:rPr>
        <w:t xml:space="preserve"> Cfr</w:t>
      </w:r>
      <w:r w:rsidRPr="00F87AB2">
        <w:rPr>
          <w:rFonts w:ascii="Verdana" w:eastAsia="Times New Roman" w:hAnsi="Verdana" w:cs="Arial"/>
          <w:sz w:val="16"/>
          <w:szCs w:val="16"/>
          <w:lang w:val="es-MX"/>
        </w:rPr>
        <w:t xml:space="preserve">. Dictamen pericial de </w:t>
      </w:r>
      <w:r w:rsidRPr="00F87AB2">
        <w:rPr>
          <w:rFonts w:ascii="Verdana" w:eastAsia="Times New Roman" w:hAnsi="Verdana" w:cs="Times"/>
          <w:sz w:val="16"/>
          <w:szCs w:val="16"/>
          <w:lang w:val="es-MX"/>
        </w:rPr>
        <w:t>María Eugenia Solís García</w:t>
      </w:r>
      <w:r w:rsidRPr="00BB0D81">
        <w:rPr>
          <w:rFonts w:ascii="Verdana" w:eastAsia="Times New Roman" w:hAnsi="Verdana" w:cs="Times"/>
          <w:sz w:val="16"/>
          <w:szCs w:val="16"/>
          <w:lang w:val="es-MX"/>
        </w:rPr>
        <w:t xml:space="preserve">, </w:t>
      </w:r>
      <w:r>
        <w:rPr>
          <w:rFonts w:ascii="Verdana" w:eastAsia="Times New Roman" w:hAnsi="Verdana" w:cs="Times"/>
          <w:i/>
          <w:sz w:val="16"/>
          <w:szCs w:val="16"/>
          <w:lang w:val="es-MX"/>
        </w:rPr>
        <w:t>supra.</w:t>
      </w:r>
      <w:r>
        <w:rPr>
          <w:rFonts w:ascii="Verdana" w:hAnsi="Verdana"/>
          <w:sz w:val="16"/>
          <w:szCs w:val="16"/>
        </w:rPr>
        <w:t xml:space="preserve"> El perito José Mario Nájera Ochoa, por su parte, indicó que “[n]o hay protocolos específicos para el levantamiento de cadáveres de mujeres, se hace con instrucciones generales que se utilizan tanto para mujeres como para hombres, únicamente se agrega que le efectúen hisopados, raspado de uñas y determinación de embarazo. Esto es importante en razón de que la muerte violenta de mujeres reviste […] aspectos especiales que deben tomarse en cuenta en el procesamiento de la escena”.</w:t>
      </w:r>
      <w:r w:rsidRPr="00F87AB2">
        <w:rPr>
          <w:rFonts w:ascii="Verdana" w:eastAsia="Times New Roman" w:hAnsi="Verdana" w:cs="Arial"/>
          <w:sz w:val="16"/>
          <w:szCs w:val="16"/>
          <w:lang w:val="es-MX"/>
        </w:rPr>
        <w:t xml:space="preserve"> </w:t>
      </w:r>
      <w:r w:rsidRPr="00F87AB2">
        <w:rPr>
          <w:rFonts w:ascii="Verdana" w:eastAsia="Times New Roman" w:hAnsi="Verdana" w:cs="Arial"/>
          <w:i/>
          <w:sz w:val="16"/>
          <w:szCs w:val="16"/>
          <w:lang w:val="es-MX"/>
        </w:rPr>
        <w:t>Cfr.</w:t>
      </w:r>
      <w:r w:rsidRPr="00F87AB2">
        <w:rPr>
          <w:rFonts w:ascii="Verdana" w:eastAsia="Times New Roman" w:hAnsi="Verdana" w:cs="Arial"/>
          <w:sz w:val="16"/>
          <w:szCs w:val="16"/>
          <w:lang w:val="es-MX"/>
        </w:rPr>
        <w:t xml:space="preserve"> </w:t>
      </w:r>
      <w:r w:rsidRPr="00F87AB2">
        <w:rPr>
          <w:rFonts w:ascii="Verdana" w:hAnsi="Verdana"/>
          <w:sz w:val="16"/>
          <w:szCs w:val="16"/>
        </w:rPr>
        <w:t xml:space="preserve">Declaración pericial rendida por José Mario Nájera Ochoa, </w:t>
      </w:r>
      <w:r w:rsidRPr="00122C63">
        <w:rPr>
          <w:rFonts w:ascii="Verdana" w:hAnsi="Verdana"/>
          <w:i/>
          <w:sz w:val="16"/>
          <w:szCs w:val="16"/>
        </w:rPr>
        <w:t>supra</w:t>
      </w:r>
      <w:r w:rsidRPr="00122C63">
        <w:rPr>
          <w:rFonts w:ascii="Verdana" w:hAnsi="Verdana"/>
          <w:sz w:val="16"/>
          <w:szCs w:val="16"/>
        </w:rPr>
        <w:t>.</w:t>
      </w:r>
      <w:r w:rsidRPr="00F87AB2">
        <w:rPr>
          <w:rFonts w:ascii="Verdana" w:hAnsi="Verdana"/>
          <w:sz w:val="16"/>
          <w:szCs w:val="16"/>
        </w:rPr>
        <w:t xml:space="preserve">  </w:t>
      </w:r>
    </w:p>
  </w:footnote>
  <w:footnote w:id="110">
    <w:p w:rsidR="0081535F" w:rsidRPr="00315B30" w:rsidRDefault="0081535F" w:rsidP="00422232">
      <w:pPr>
        <w:pStyle w:val="Textonotapie"/>
        <w:spacing w:line="19" w:lineRule="atLeast"/>
        <w:ind w:left="-180" w:right="-174"/>
        <w:jc w:val="both"/>
        <w:rPr>
          <w:rFonts w:ascii="Verdana" w:hAnsi="Verdana"/>
          <w:sz w:val="16"/>
          <w:szCs w:val="16"/>
        </w:rPr>
      </w:pPr>
      <w:r w:rsidRPr="00353432">
        <w:rPr>
          <w:rStyle w:val="Refdenotaalpie"/>
          <w:rFonts w:ascii="Verdana" w:hAnsi="Verdana"/>
          <w:sz w:val="16"/>
          <w:szCs w:val="16"/>
        </w:rPr>
        <w:footnoteRef/>
      </w:r>
      <w:r w:rsidRPr="00353432">
        <w:rPr>
          <w:rFonts w:ascii="Verdana" w:hAnsi="Verdana"/>
          <w:sz w:val="16"/>
          <w:szCs w:val="16"/>
        </w:rPr>
        <w:t xml:space="preserve"> </w:t>
      </w:r>
      <w:r w:rsidRPr="00422232">
        <w:rPr>
          <w:rFonts w:ascii="Verdana" w:hAnsi="Verdana"/>
          <w:sz w:val="16"/>
          <w:szCs w:val="16"/>
        </w:rPr>
        <w:t xml:space="preserve">De acuerdo a la prueba, el Estado remitió </w:t>
      </w:r>
      <w:r w:rsidRPr="00315B30">
        <w:rPr>
          <w:rFonts w:ascii="Verdana" w:hAnsi="Verdana"/>
          <w:sz w:val="16"/>
          <w:szCs w:val="16"/>
        </w:rPr>
        <w:t xml:space="preserve">dos expedientes relativos al trámite de la investigación ante el Ministerio Público y sobre el trámite seguido ante </w:t>
      </w:r>
      <w:r w:rsidRPr="00315B30">
        <w:rPr>
          <w:rFonts w:ascii="Verdana" w:hAnsi="Verdana"/>
          <w:w w:val="95"/>
          <w:sz w:val="16"/>
          <w:szCs w:val="16"/>
          <w:lang w:val="es-CR"/>
        </w:rPr>
        <w:t>Juzgado Primero de Primera Instancia Penal, Narcoactividad y Delitos contra el Ambiente del Municipio de Mixco</w:t>
      </w:r>
      <w:r w:rsidRPr="00315B30">
        <w:rPr>
          <w:rFonts w:ascii="Verdana" w:hAnsi="Verdana"/>
          <w:sz w:val="16"/>
          <w:szCs w:val="16"/>
        </w:rPr>
        <w:t>. Sin embargo, para efectos del examen de las diligencias se han descrito en forma conjunta.</w:t>
      </w:r>
    </w:p>
  </w:footnote>
  <w:footnote w:id="111">
    <w:p w:rsidR="0081535F" w:rsidRPr="007802D0" w:rsidRDefault="0081535F" w:rsidP="00422232">
      <w:pPr>
        <w:pStyle w:val="Textonotapie"/>
        <w:spacing w:line="19" w:lineRule="atLeast"/>
        <w:ind w:left="-180" w:right="-174"/>
        <w:jc w:val="both"/>
        <w:rPr>
          <w:rFonts w:ascii="Verdana" w:hAnsi="Verdana"/>
          <w:sz w:val="16"/>
          <w:szCs w:val="16"/>
          <w:lang w:val="es-CR"/>
        </w:rPr>
      </w:pPr>
      <w:r w:rsidRPr="007802D0">
        <w:rPr>
          <w:rStyle w:val="Refdenotaalpie"/>
          <w:rFonts w:ascii="Verdana" w:hAnsi="Verdana"/>
          <w:sz w:val="16"/>
          <w:szCs w:val="16"/>
        </w:rPr>
        <w:footnoteRef/>
      </w:r>
      <w:r w:rsidRPr="007802D0">
        <w:rPr>
          <w:rFonts w:ascii="Verdana" w:hAnsi="Verdana"/>
          <w:sz w:val="16"/>
          <w:szCs w:val="16"/>
          <w:lang w:val="es-CR"/>
        </w:rPr>
        <w:t xml:space="preserve"> </w:t>
      </w:r>
      <w:r w:rsidRPr="007802D0">
        <w:rPr>
          <w:rFonts w:ascii="Verdana" w:hAnsi="Verdana"/>
          <w:i/>
          <w:sz w:val="16"/>
          <w:szCs w:val="16"/>
          <w:lang w:val="es-CR"/>
        </w:rPr>
        <w:t>Cfr.</w:t>
      </w:r>
      <w:r w:rsidRPr="007802D0">
        <w:rPr>
          <w:rFonts w:ascii="Verdana" w:hAnsi="Verdana"/>
          <w:sz w:val="16"/>
          <w:szCs w:val="16"/>
          <w:lang w:val="es-CR"/>
        </w:rPr>
        <w:t xml:space="preserve"> Certificado de nacimiento de María Isabel V</w:t>
      </w:r>
      <w:r>
        <w:rPr>
          <w:rFonts w:ascii="Verdana" w:hAnsi="Verdana"/>
          <w:sz w:val="16"/>
          <w:szCs w:val="16"/>
          <w:lang w:val="es-CR"/>
        </w:rPr>
        <w:t>e</w:t>
      </w:r>
      <w:r w:rsidRPr="007802D0">
        <w:rPr>
          <w:rFonts w:ascii="Verdana" w:hAnsi="Verdana"/>
          <w:sz w:val="16"/>
          <w:szCs w:val="16"/>
          <w:lang w:val="es-CR"/>
        </w:rPr>
        <w:t xml:space="preserve">liz Franco expedido el 24 de enero de 1986 por el Registro Nacional de </w:t>
      </w:r>
      <w:r>
        <w:rPr>
          <w:rFonts w:ascii="Verdana" w:hAnsi="Verdana"/>
          <w:sz w:val="16"/>
          <w:szCs w:val="16"/>
          <w:lang w:val="es-CR"/>
        </w:rPr>
        <w:t xml:space="preserve">las </w:t>
      </w:r>
      <w:r w:rsidRPr="007802D0">
        <w:rPr>
          <w:rFonts w:ascii="Verdana" w:hAnsi="Verdana"/>
          <w:sz w:val="16"/>
          <w:szCs w:val="16"/>
          <w:lang w:val="es-CR"/>
        </w:rPr>
        <w:t>Personas de la República de Guatemala (</w:t>
      </w:r>
      <w:r>
        <w:rPr>
          <w:rFonts w:ascii="Verdana" w:hAnsi="Verdana"/>
          <w:sz w:val="16"/>
          <w:szCs w:val="16"/>
          <w:lang w:val="es-CR"/>
        </w:rPr>
        <w:t>e</w:t>
      </w:r>
      <w:r w:rsidRPr="007802D0">
        <w:rPr>
          <w:rFonts w:ascii="Verdana" w:hAnsi="Verdana"/>
          <w:sz w:val="16"/>
          <w:szCs w:val="16"/>
          <w:lang w:val="es-CR"/>
        </w:rPr>
        <w:t xml:space="preserve">xpediente de anexos al escrito de solicitudes y argumentos, tomo </w:t>
      </w:r>
      <w:r>
        <w:rPr>
          <w:rFonts w:ascii="Verdana" w:hAnsi="Verdana"/>
          <w:sz w:val="16"/>
          <w:szCs w:val="16"/>
          <w:lang w:val="es-CR"/>
        </w:rPr>
        <w:t>I</w:t>
      </w:r>
      <w:r w:rsidRPr="007802D0">
        <w:rPr>
          <w:rFonts w:ascii="Verdana" w:hAnsi="Verdana"/>
          <w:sz w:val="16"/>
          <w:szCs w:val="16"/>
          <w:lang w:val="es-CR"/>
        </w:rPr>
        <w:t>, anexo 1, fs. 5</w:t>
      </w:r>
      <w:r>
        <w:rPr>
          <w:rFonts w:ascii="Verdana" w:hAnsi="Verdana"/>
          <w:sz w:val="16"/>
          <w:szCs w:val="16"/>
          <w:lang w:val="es-CR"/>
        </w:rPr>
        <w:t>,</w:t>
      </w:r>
      <w:r w:rsidRPr="007802D0">
        <w:rPr>
          <w:rFonts w:ascii="Verdana" w:hAnsi="Verdana"/>
          <w:sz w:val="16"/>
          <w:szCs w:val="16"/>
          <w:lang w:val="es-CR"/>
        </w:rPr>
        <w:t>294 a 5</w:t>
      </w:r>
      <w:r>
        <w:rPr>
          <w:rFonts w:ascii="Verdana" w:hAnsi="Verdana"/>
          <w:sz w:val="16"/>
          <w:szCs w:val="16"/>
          <w:lang w:val="es-CR"/>
        </w:rPr>
        <w:t>,</w:t>
      </w:r>
      <w:r w:rsidRPr="007802D0">
        <w:rPr>
          <w:rFonts w:ascii="Verdana" w:hAnsi="Verdana"/>
          <w:sz w:val="16"/>
          <w:szCs w:val="16"/>
          <w:lang w:val="es-CR"/>
        </w:rPr>
        <w:t xml:space="preserve">295). </w:t>
      </w:r>
    </w:p>
  </w:footnote>
  <w:footnote w:id="112">
    <w:p w:rsidR="0081535F" w:rsidRPr="007802D0" w:rsidRDefault="0081535F" w:rsidP="00422232">
      <w:pPr>
        <w:pStyle w:val="Textonotapie"/>
        <w:spacing w:line="19" w:lineRule="atLeast"/>
        <w:ind w:left="-180" w:right="-174"/>
        <w:jc w:val="both"/>
        <w:rPr>
          <w:rFonts w:ascii="Verdana" w:hAnsi="Verdana"/>
          <w:sz w:val="16"/>
          <w:szCs w:val="16"/>
          <w:lang w:val="es-CR"/>
        </w:rPr>
      </w:pPr>
      <w:r w:rsidRPr="007802D0">
        <w:rPr>
          <w:rStyle w:val="Refdenotaalpie"/>
          <w:rFonts w:ascii="Verdana" w:hAnsi="Verdana"/>
          <w:sz w:val="16"/>
          <w:szCs w:val="16"/>
        </w:rPr>
        <w:footnoteRef/>
      </w:r>
      <w:r w:rsidRPr="007802D0">
        <w:rPr>
          <w:rFonts w:ascii="Verdana" w:hAnsi="Verdana"/>
          <w:sz w:val="16"/>
          <w:szCs w:val="16"/>
          <w:lang w:val="es-CR"/>
        </w:rPr>
        <w:t xml:space="preserve"> </w:t>
      </w:r>
      <w:r w:rsidRPr="007802D0">
        <w:rPr>
          <w:rFonts w:ascii="Verdana" w:hAnsi="Verdana"/>
          <w:i/>
          <w:sz w:val="16"/>
          <w:szCs w:val="16"/>
          <w:lang w:val="es-CR"/>
        </w:rPr>
        <w:t>Cfr.</w:t>
      </w:r>
      <w:r w:rsidRPr="007802D0">
        <w:rPr>
          <w:rFonts w:ascii="Verdana" w:hAnsi="Verdana"/>
          <w:sz w:val="16"/>
          <w:szCs w:val="16"/>
          <w:lang w:val="es-CR"/>
        </w:rPr>
        <w:t xml:space="preserve"> Documento de identificación personal de Rosa Elvira Franco Sandoval (</w:t>
      </w:r>
      <w:r>
        <w:rPr>
          <w:rFonts w:ascii="Verdana" w:hAnsi="Verdana"/>
          <w:sz w:val="16"/>
          <w:szCs w:val="16"/>
          <w:lang w:val="es-CR"/>
        </w:rPr>
        <w:t>e</w:t>
      </w:r>
      <w:r w:rsidRPr="007802D0">
        <w:rPr>
          <w:rFonts w:ascii="Verdana" w:hAnsi="Verdana"/>
          <w:sz w:val="16"/>
          <w:szCs w:val="16"/>
          <w:lang w:val="es-CR"/>
        </w:rPr>
        <w:t xml:space="preserve">xpediente de anexos al escrito de solicitudes y argumentos, tomo </w:t>
      </w:r>
      <w:r>
        <w:rPr>
          <w:rFonts w:ascii="Verdana" w:hAnsi="Verdana"/>
          <w:sz w:val="16"/>
          <w:szCs w:val="16"/>
          <w:lang w:val="es-CR"/>
        </w:rPr>
        <w:t>I</w:t>
      </w:r>
      <w:r w:rsidRPr="007802D0">
        <w:rPr>
          <w:rFonts w:ascii="Verdana" w:hAnsi="Verdana"/>
          <w:sz w:val="16"/>
          <w:szCs w:val="16"/>
          <w:lang w:val="es-CR"/>
        </w:rPr>
        <w:t>, anexo 2, f. 5</w:t>
      </w:r>
      <w:r>
        <w:rPr>
          <w:rFonts w:ascii="Verdana" w:hAnsi="Verdana"/>
          <w:sz w:val="16"/>
          <w:szCs w:val="16"/>
          <w:lang w:val="es-CR"/>
        </w:rPr>
        <w:t>,</w:t>
      </w:r>
      <w:r w:rsidRPr="007802D0">
        <w:rPr>
          <w:rFonts w:ascii="Verdana" w:hAnsi="Verdana"/>
          <w:sz w:val="16"/>
          <w:szCs w:val="16"/>
          <w:lang w:val="es-CR"/>
        </w:rPr>
        <w:t>297).</w:t>
      </w:r>
    </w:p>
  </w:footnote>
  <w:footnote w:id="113">
    <w:p w:rsidR="0081535F" w:rsidRPr="007802D0" w:rsidRDefault="0081535F" w:rsidP="00422232">
      <w:pPr>
        <w:pStyle w:val="Textonotapie"/>
        <w:spacing w:line="19" w:lineRule="atLeast"/>
        <w:ind w:left="-180" w:right="-174"/>
        <w:jc w:val="both"/>
        <w:rPr>
          <w:rFonts w:ascii="Verdana" w:hAnsi="Verdana"/>
          <w:sz w:val="16"/>
          <w:szCs w:val="16"/>
          <w:lang w:val="es-CR"/>
        </w:rPr>
      </w:pPr>
      <w:r w:rsidRPr="007802D0">
        <w:rPr>
          <w:rStyle w:val="Refdenotaalpie"/>
          <w:rFonts w:ascii="Verdana" w:hAnsi="Verdana"/>
          <w:sz w:val="16"/>
          <w:szCs w:val="16"/>
        </w:rPr>
        <w:footnoteRef/>
      </w:r>
      <w:r w:rsidRPr="007802D0">
        <w:rPr>
          <w:rFonts w:ascii="Verdana" w:hAnsi="Verdana"/>
          <w:sz w:val="16"/>
          <w:szCs w:val="16"/>
          <w:lang w:val="es-CR"/>
        </w:rPr>
        <w:t xml:space="preserve"> </w:t>
      </w:r>
      <w:r w:rsidRPr="007802D0">
        <w:rPr>
          <w:rFonts w:ascii="Verdana" w:hAnsi="Verdana"/>
          <w:i/>
          <w:sz w:val="16"/>
          <w:szCs w:val="16"/>
          <w:lang w:val="es-CR"/>
        </w:rPr>
        <w:t xml:space="preserve">Cfr. </w:t>
      </w:r>
      <w:r w:rsidRPr="007802D0">
        <w:rPr>
          <w:rFonts w:ascii="Verdana" w:hAnsi="Verdana"/>
          <w:sz w:val="16"/>
          <w:szCs w:val="16"/>
          <w:lang w:val="es-CR"/>
        </w:rPr>
        <w:t>Certificado de nacimiento de Leonel Enrique V</w:t>
      </w:r>
      <w:r>
        <w:rPr>
          <w:rFonts w:ascii="Verdana" w:hAnsi="Verdana"/>
          <w:sz w:val="16"/>
          <w:szCs w:val="16"/>
          <w:lang w:val="es-CR"/>
        </w:rPr>
        <w:t>e</w:t>
      </w:r>
      <w:r w:rsidRPr="007802D0">
        <w:rPr>
          <w:rFonts w:ascii="Verdana" w:hAnsi="Verdana"/>
          <w:sz w:val="16"/>
          <w:szCs w:val="16"/>
          <w:lang w:val="es-CR"/>
        </w:rPr>
        <w:t xml:space="preserve">liz Franco expedido el 10 de </w:t>
      </w:r>
      <w:r>
        <w:rPr>
          <w:rFonts w:ascii="Verdana" w:hAnsi="Verdana"/>
          <w:sz w:val="16"/>
          <w:szCs w:val="16"/>
          <w:lang w:val="es-CR"/>
        </w:rPr>
        <w:t>julio</w:t>
      </w:r>
      <w:r w:rsidRPr="007802D0">
        <w:rPr>
          <w:rFonts w:ascii="Verdana" w:hAnsi="Verdana"/>
          <w:sz w:val="16"/>
          <w:szCs w:val="16"/>
          <w:lang w:val="es-CR"/>
        </w:rPr>
        <w:t xml:space="preserve"> de 1987 por el Registro Nacional de</w:t>
      </w:r>
      <w:r>
        <w:rPr>
          <w:rFonts w:ascii="Verdana" w:hAnsi="Verdana"/>
          <w:sz w:val="16"/>
          <w:szCs w:val="16"/>
          <w:lang w:val="es-CR"/>
        </w:rPr>
        <w:t xml:space="preserve"> las</w:t>
      </w:r>
      <w:r w:rsidRPr="007802D0">
        <w:rPr>
          <w:rFonts w:ascii="Verdana" w:hAnsi="Verdana"/>
          <w:sz w:val="16"/>
          <w:szCs w:val="16"/>
          <w:lang w:val="es-CR"/>
        </w:rPr>
        <w:t xml:space="preserve"> Personas de la República de Guatemala (</w:t>
      </w:r>
      <w:r>
        <w:rPr>
          <w:rFonts w:ascii="Verdana" w:hAnsi="Verdana"/>
          <w:sz w:val="16"/>
          <w:szCs w:val="16"/>
          <w:lang w:val="es-CR"/>
        </w:rPr>
        <w:t>e</w:t>
      </w:r>
      <w:r w:rsidRPr="007802D0">
        <w:rPr>
          <w:rFonts w:ascii="Verdana" w:hAnsi="Verdana"/>
          <w:sz w:val="16"/>
          <w:szCs w:val="16"/>
          <w:lang w:val="es-CR"/>
        </w:rPr>
        <w:t xml:space="preserve">xpediente de anexos al escrito de solicitudes y argumentos, tomo </w:t>
      </w:r>
      <w:r>
        <w:rPr>
          <w:rFonts w:ascii="Verdana" w:hAnsi="Verdana"/>
          <w:sz w:val="16"/>
          <w:szCs w:val="16"/>
          <w:lang w:val="es-CR"/>
        </w:rPr>
        <w:t>I</w:t>
      </w:r>
      <w:r w:rsidRPr="007802D0">
        <w:rPr>
          <w:rFonts w:ascii="Verdana" w:hAnsi="Verdana"/>
          <w:sz w:val="16"/>
          <w:szCs w:val="16"/>
          <w:lang w:val="es-CR"/>
        </w:rPr>
        <w:t>, anexo 3, fs. 5</w:t>
      </w:r>
      <w:r>
        <w:rPr>
          <w:rFonts w:ascii="Verdana" w:hAnsi="Verdana"/>
          <w:sz w:val="16"/>
          <w:szCs w:val="16"/>
          <w:lang w:val="es-CR"/>
        </w:rPr>
        <w:t>,</w:t>
      </w:r>
      <w:r w:rsidRPr="007802D0">
        <w:rPr>
          <w:rFonts w:ascii="Verdana" w:hAnsi="Verdana"/>
          <w:sz w:val="16"/>
          <w:szCs w:val="16"/>
          <w:lang w:val="es-CR"/>
        </w:rPr>
        <w:t>299 a 5</w:t>
      </w:r>
      <w:r>
        <w:rPr>
          <w:rFonts w:ascii="Verdana" w:hAnsi="Verdana"/>
          <w:sz w:val="16"/>
          <w:szCs w:val="16"/>
          <w:lang w:val="es-CR"/>
        </w:rPr>
        <w:t>,</w:t>
      </w:r>
      <w:r w:rsidRPr="007802D0">
        <w:rPr>
          <w:rFonts w:ascii="Verdana" w:hAnsi="Verdana"/>
          <w:sz w:val="16"/>
          <w:szCs w:val="16"/>
          <w:lang w:val="es-CR"/>
        </w:rPr>
        <w:t xml:space="preserve">300). </w:t>
      </w:r>
    </w:p>
  </w:footnote>
  <w:footnote w:id="114">
    <w:p w:rsidR="0081535F" w:rsidRPr="007802D0" w:rsidRDefault="0081535F" w:rsidP="00422232">
      <w:pPr>
        <w:pStyle w:val="Textonotapie"/>
        <w:spacing w:line="19" w:lineRule="atLeast"/>
        <w:ind w:left="-180" w:right="-174"/>
        <w:jc w:val="both"/>
        <w:rPr>
          <w:rFonts w:ascii="Verdana" w:hAnsi="Verdana"/>
          <w:sz w:val="16"/>
          <w:szCs w:val="16"/>
          <w:lang w:val="es-CR"/>
        </w:rPr>
      </w:pPr>
      <w:r w:rsidRPr="007802D0">
        <w:rPr>
          <w:rStyle w:val="Refdenotaalpie"/>
          <w:rFonts w:ascii="Verdana" w:hAnsi="Verdana"/>
          <w:sz w:val="16"/>
          <w:szCs w:val="16"/>
        </w:rPr>
        <w:footnoteRef/>
      </w:r>
      <w:r w:rsidRPr="007802D0">
        <w:rPr>
          <w:rFonts w:ascii="Verdana" w:hAnsi="Verdana"/>
          <w:sz w:val="16"/>
          <w:szCs w:val="16"/>
          <w:lang w:val="es-CR"/>
        </w:rPr>
        <w:t xml:space="preserve"> </w:t>
      </w:r>
      <w:r w:rsidRPr="007802D0">
        <w:rPr>
          <w:rFonts w:ascii="Verdana" w:hAnsi="Verdana"/>
          <w:i/>
          <w:sz w:val="16"/>
          <w:szCs w:val="16"/>
          <w:lang w:val="es-CR"/>
        </w:rPr>
        <w:t xml:space="preserve">Cfr. </w:t>
      </w:r>
      <w:r w:rsidRPr="007802D0">
        <w:rPr>
          <w:rFonts w:ascii="Verdana" w:hAnsi="Verdana"/>
          <w:sz w:val="16"/>
          <w:szCs w:val="16"/>
          <w:lang w:val="es-CR"/>
        </w:rPr>
        <w:t xml:space="preserve">Certificado de nacimiento de José Roberto Franco, expedido el 4 de agosto de 1992 por el Registro Nacional de </w:t>
      </w:r>
      <w:r>
        <w:rPr>
          <w:rFonts w:ascii="Verdana" w:hAnsi="Verdana"/>
          <w:sz w:val="16"/>
          <w:szCs w:val="16"/>
          <w:lang w:val="es-CR"/>
        </w:rPr>
        <w:t xml:space="preserve">las </w:t>
      </w:r>
      <w:r w:rsidRPr="007802D0">
        <w:rPr>
          <w:rFonts w:ascii="Verdana" w:hAnsi="Verdana"/>
          <w:sz w:val="16"/>
          <w:szCs w:val="16"/>
          <w:lang w:val="es-CR"/>
        </w:rPr>
        <w:t>Personas de la República de Guatemala (</w:t>
      </w:r>
      <w:r>
        <w:rPr>
          <w:rFonts w:ascii="Verdana" w:hAnsi="Verdana"/>
          <w:sz w:val="16"/>
          <w:szCs w:val="16"/>
          <w:lang w:val="es-CR"/>
        </w:rPr>
        <w:t>e</w:t>
      </w:r>
      <w:r w:rsidRPr="007802D0">
        <w:rPr>
          <w:rFonts w:ascii="Verdana" w:hAnsi="Verdana"/>
          <w:sz w:val="16"/>
          <w:szCs w:val="16"/>
          <w:lang w:val="es-CR"/>
        </w:rPr>
        <w:t xml:space="preserve">xpediente de anexos al escrito de solicitudes y argumentos, tomo </w:t>
      </w:r>
      <w:r>
        <w:rPr>
          <w:rFonts w:ascii="Verdana" w:hAnsi="Verdana"/>
          <w:sz w:val="16"/>
          <w:szCs w:val="16"/>
          <w:lang w:val="es-CR"/>
        </w:rPr>
        <w:t>I</w:t>
      </w:r>
      <w:r w:rsidRPr="007802D0">
        <w:rPr>
          <w:rFonts w:ascii="Verdana" w:hAnsi="Verdana"/>
          <w:sz w:val="16"/>
          <w:szCs w:val="16"/>
          <w:lang w:val="es-CR"/>
        </w:rPr>
        <w:t>, anexo 4, f. 5</w:t>
      </w:r>
      <w:r>
        <w:rPr>
          <w:rFonts w:ascii="Verdana" w:hAnsi="Verdana"/>
          <w:sz w:val="16"/>
          <w:szCs w:val="16"/>
          <w:lang w:val="es-CR"/>
        </w:rPr>
        <w:t>,</w:t>
      </w:r>
      <w:r w:rsidRPr="007802D0">
        <w:rPr>
          <w:rFonts w:ascii="Verdana" w:hAnsi="Verdana"/>
          <w:sz w:val="16"/>
          <w:szCs w:val="16"/>
          <w:lang w:val="es-CR"/>
        </w:rPr>
        <w:t>302).</w:t>
      </w:r>
    </w:p>
  </w:footnote>
  <w:footnote w:id="115">
    <w:p w:rsidR="0081535F" w:rsidRPr="007802D0" w:rsidRDefault="0081535F" w:rsidP="00422232">
      <w:pPr>
        <w:pStyle w:val="Textonotapie"/>
        <w:spacing w:line="19" w:lineRule="atLeast"/>
        <w:ind w:left="-180" w:right="-174"/>
        <w:jc w:val="both"/>
        <w:rPr>
          <w:rFonts w:ascii="Verdana" w:hAnsi="Verdana"/>
          <w:sz w:val="16"/>
          <w:szCs w:val="16"/>
          <w:lang w:val="es-CR"/>
        </w:rPr>
      </w:pPr>
      <w:r w:rsidRPr="007802D0">
        <w:rPr>
          <w:rStyle w:val="Refdenotaalpie"/>
          <w:rFonts w:ascii="Verdana" w:hAnsi="Verdana"/>
          <w:sz w:val="16"/>
          <w:szCs w:val="16"/>
        </w:rPr>
        <w:footnoteRef/>
      </w:r>
      <w:r w:rsidRPr="007802D0">
        <w:rPr>
          <w:rFonts w:ascii="Verdana" w:hAnsi="Verdana"/>
          <w:sz w:val="16"/>
          <w:szCs w:val="16"/>
          <w:lang w:val="es-CR"/>
        </w:rPr>
        <w:t xml:space="preserve"> </w:t>
      </w:r>
      <w:r w:rsidRPr="007802D0">
        <w:rPr>
          <w:rFonts w:ascii="Verdana" w:hAnsi="Verdana"/>
          <w:i/>
          <w:sz w:val="16"/>
          <w:szCs w:val="16"/>
          <w:lang w:val="es-CR"/>
        </w:rPr>
        <w:t xml:space="preserve">Cfr. </w:t>
      </w:r>
      <w:r w:rsidRPr="007802D0">
        <w:rPr>
          <w:rFonts w:ascii="Verdana" w:hAnsi="Verdana"/>
          <w:sz w:val="16"/>
          <w:szCs w:val="16"/>
          <w:lang w:val="es-CR"/>
        </w:rPr>
        <w:t xml:space="preserve">Certificado de defunción de Cruz Elvira Sandoval Polanco expedido por el Registro Nacional de </w:t>
      </w:r>
      <w:r>
        <w:rPr>
          <w:rFonts w:ascii="Verdana" w:hAnsi="Verdana"/>
          <w:sz w:val="16"/>
          <w:szCs w:val="16"/>
          <w:lang w:val="es-CR"/>
        </w:rPr>
        <w:t xml:space="preserve">las </w:t>
      </w:r>
      <w:r w:rsidRPr="007802D0">
        <w:rPr>
          <w:rFonts w:ascii="Verdana" w:hAnsi="Verdana"/>
          <w:sz w:val="16"/>
          <w:szCs w:val="16"/>
          <w:lang w:val="es-CR"/>
        </w:rPr>
        <w:t>Personas de la República de Guatemala el 25 de febrero de 2011 (</w:t>
      </w:r>
      <w:r>
        <w:rPr>
          <w:rFonts w:ascii="Verdana" w:hAnsi="Verdana"/>
          <w:sz w:val="16"/>
          <w:szCs w:val="16"/>
          <w:lang w:val="es-CR"/>
        </w:rPr>
        <w:t>e</w:t>
      </w:r>
      <w:r w:rsidRPr="007802D0">
        <w:rPr>
          <w:rFonts w:ascii="Verdana" w:hAnsi="Verdana"/>
          <w:sz w:val="16"/>
          <w:szCs w:val="16"/>
          <w:lang w:val="es-CR"/>
        </w:rPr>
        <w:t xml:space="preserve">xpediente de anexos al escrito de solicitudes y argumentos, tomo </w:t>
      </w:r>
      <w:r>
        <w:rPr>
          <w:rFonts w:ascii="Verdana" w:hAnsi="Verdana"/>
          <w:sz w:val="16"/>
          <w:szCs w:val="16"/>
          <w:lang w:val="es-CR"/>
        </w:rPr>
        <w:t>I</w:t>
      </w:r>
      <w:r w:rsidRPr="007802D0">
        <w:rPr>
          <w:rFonts w:ascii="Verdana" w:hAnsi="Verdana"/>
          <w:sz w:val="16"/>
          <w:szCs w:val="16"/>
          <w:lang w:val="es-CR"/>
        </w:rPr>
        <w:t>, anexo 5, fs. 5</w:t>
      </w:r>
      <w:r>
        <w:rPr>
          <w:rFonts w:ascii="Verdana" w:hAnsi="Verdana"/>
          <w:sz w:val="16"/>
          <w:szCs w:val="16"/>
          <w:lang w:val="es-CR"/>
        </w:rPr>
        <w:t>,</w:t>
      </w:r>
      <w:r w:rsidRPr="007802D0">
        <w:rPr>
          <w:rFonts w:ascii="Verdana" w:hAnsi="Verdana"/>
          <w:sz w:val="16"/>
          <w:szCs w:val="16"/>
          <w:lang w:val="es-CR"/>
        </w:rPr>
        <w:t>304 a 5</w:t>
      </w:r>
      <w:r>
        <w:rPr>
          <w:rFonts w:ascii="Verdana" w:hAnsi="Verdana"/>
          <w:sz w:val="16"/>
          <w:szCs w:val="16"/>
          <w:lang w:val="es-CR"/>
        </w:rPr>
        <w:t>,</w:t>
      </w:r>
      <w:r w:rsidRPr="007802D0">
        <w:rPr>
          <w:rFonts w:ascii="Verdana" w:hAnsi="Verdana"/>
          <w:sz w:val="16"/>
          <w:szCs w:val="16"/>
          <w:lang w:val="es-CR"/>
        </w:rPr>
        <w:t>305).</w:t>
      </w:r>
      <w:r w:rsidRPr="007802D0">
        <w:rPr>
          <w:rFonts w:ascii="Verdana" w:hAnsi="Verdana"/>
          <w:sz w:val="16"/>
          <w:szCs w:val="16"/>
          <w:lang w:val="es-MX"/>
        </w:rPr>
        <w:t xml:space="preserve"> </w:t>
      </w:r>
    </w:p>
  </w:footnote>
  <w:footnote w:id="116">
    <w:p w:rsidR="0081535F" w:rsidRPr="007802D0" w:rsidRDefault="0081535F" w:rsidP="00422232">
      <w:pPr>
        <w:pStyle w:val="Textonotapie"/>
        <w:spacing w:line="19" w:lineRule="atLeast"/>
        <w:ind w:left="-180" w:right="-174"/>
        <w:jc w:val="both"/>
        <w:rPr>
          <w:rFonts w:ascii="Verdana" w:hAnsi="Verdana"/>
          <w:sz w:val="16"/>
          <w:szCs w:val="16"/>
          <w:lang w:val="es-CR"/>
        </w:rPr>
      </w:pPr>
      <w:r w:rsidRPr="007802D0">
        <w:rPr>
          <w:rStyle w:val="Refdenotaalpie"/>
          <w:rFonts w:ascii="Verdana" w:hAnsi="Verdana"/>
          <w:sz w:val="16"/>
          <w:szCs w:val="16"/>
        </w:rPr>
        <w:footnoteRef/>
      </w:r>
      <w:r w:rsidRPr="007802D0">
        <w:rPr>
          <w:rFonts w:ascii="Verdana" w:hAnsi="Verdana"/>
          <w:sz w:val="16"/>
          <w:szCs w:val="16"/>
          <w:lang w:val="es-CR"/>
        </w:rPr>
        <w:t xml:space="preserve"> </w:t>
      </w:r>
      <w:r w:rsidRPr="007802D0">
        <w:rPr>
          <w:rFonts w:ascii="Verdana" w:hAnsi="Verdana"/>
          <w:i/>
          <w:sz w:val="16"/>
          <w:szCs w:val="16"/>
          <w:lang w:val="es-CR"/>
        </w:rPr>
        <w:t xml:space="preserve">Cfr. </w:t>
      </w:r>
      <w:r w:rsidRPr="007802D0">
        <w:rPr>
          <w:rFonts w:ascii="Verdana" w:hAnsi="Verdana"/>
          <w:sz w:val="16"/>
          <w:szCs w:val="16"/>
          <w:lang w:val="es-CR"/>
        </w:rPr>
        <w:t xml:space="preserve">Certificado de defunción de Roberto Franco Pérez expedido por el Registro Nacional de </w:t>
      </w:r>
      <w:r>
        <w:rPr>
          <w:rFonts w:ascii="Verdana" w:hAnsi="Verdana"/>
          <w:sz w:val="16"/>
          <w:szCs w:val="16"/>
          <w:lang w:val="es-CR"/>
        </w:rPr>
        <w:t xml:space="preserve">las </w:t>
      </w:r>
      <w:r w:rsidRPr="007802D0">
        <w:rPr>
          <w:rFonts w:ascii="Verdana" w:hAnsi="Verdana"/>
          <w:sz w:val="16"/>
          <w:szCs w:val="16"/>
          <w:lang w:val="es-CR"/>
        </w:rPr>
        <w:t>Personas de la República de Guatemala el 21 de junio de 2004 (</w:t>
      </w:r>
      <w:r>
        <w:rPr>
          <w:rFonts w:ascii="Verdana" w:hAnsi="Verdana"/>
          <w:sz w:val="16"/>
          <w:szCs w:val="16"/>
          <w:lang w:val="es-CR"/>
        </w:rPr>
        <w:t>e</w:t>
      </w:r>
      <w:r w:rsidRPr="007802D0">
        <w:rPr>
          <w:rFonts w:ascii="Verdana" w:hAnsi="Verdana"/>
          <w:sz w:val="16"/>
          <w:szCs w:val="16"/>
          <w:lang w:val="es-CR"/>
        </w:rPr>
        <w:t>xpediente de anexos al escrito de solicitudes y argumentos, tomo X</w:t>
      </w:r>
      <w:r>
        <w:rPr>
          <w:rFonts w:ascii="Verdana" w:hAnsi="Verdana"/>
          <w:sz w:val="16"/>
          <w:szCs w:val="16"/>
          <w:lang w:val="es-CR"/>
        </w:rPr>
        <w:t>I</w:t>
      </w:r>
      <w:r w:rsidRPr="007802D0">
        <w:rPr>
          <w:rFonts w:ascii="Verdana" w:hAnsi="Verdana"/>
          <w:sz w:val="16"/>
          <w:szCs w:val="16"/>
          <w:lang w:val="es-CR"/>
        </w:rPr>
        <w:t>, anexo</w:t>
      </w:r>
      <w:r>
        <w:rPr>
          <w:rFonts w:ascii="Verdana" w:hAnsi="Verdana"/>
          <w:sz w:val="16"/>
          <w:szCs w:val="16"/>
          <w:lang w:val="es-CR"/>
        </w:rPr>
        <w:t xml:space="preserve"> 6</w:t>
      </w:r>
      <w:r w:rsidRPr="007802D0">
        <w:rPr>
          <w:rFonts w:ascii="Verdana" w:hAnsi="Verdana"/>
          <w:sz w:val="16"/>
          <w:szCs w:val="16"/>
          <w:lang w:val="es-CR"/>
        </w:rPr>
        <w:t xml:space="preserve">, fs. </w:t>
      </w:r>
      <w:r>
        <w:rPr>
          <w:rFonts w:ascii="Verdana" w:hAnsi="Verdana"/>
          <w:sz w:val="16"/>
          <w:szCs w:val="16"/>
          <w:lang w:val="es-CR"/>
        </w:rPr>
        <w:t>5,307 a 5,308</w:t>
      </w:r>
      <w:r w:rsidRPr="007802D0">
        <w:rPr>
          <w:rFonts w:ascii="Verdana" w:hAnsi="Verdana"/>
          <w:sz w:val="16"/>
          <w:szCs w:val="16"/>
          <w:lang w:val="es-CR"/>
        </w:rPr>
        <w:t xml:space="preserve">). </w:t>
      </w:r>
    </w:p>
  </w:footnote>
  <w:footnote w:id="117">
    <w:p w:rsidR="0081535F" w:rsidRPr="007802D0" w:rsidRDefault="0081535F" w:rsidP="00FF7BE1">
      <w:pPr>
        <w:pStyle w:val="Textonotapie"/>
        <w:spacing w:line="19" w:lineRule="atLeast"/>
        <w:ind w:left="-180" w:right="-174"/>
        <w:jc w:val="both"/>
        <w:rPr>
          <w:rFonts w:ascii="Verdana" w:hAnsi="Verdana"/>
          <w:strike/>
          <w:sz w:val="16"/>
          <w:szCs w:val="16"/>
          <w:u w:val="single"/>
          <w:lang w:val="es-CR"/>
        </w:rPr>
      </w:pPr>
      <w:r w:rsidRPr="00B855B4">
        <w:rPr>
          <w:rStyle w:val="Refdenotaalpie"/>
          <w:rFonts w:ascii="Verdana" w:hAnsi="Verdana"/>
          <w:sz w:val="16"/>
          <w:szCs w:val="16"/>
        </w:rPr>
        <w:footnoteRef/>
      </w:r>
      <w:r w:rsidRPr="00B855B4">
        <w:rPr>
          <w:rFonts w:ascii="Verdana" w:hAnsi="Verdana"/>
          <w:i/>
          <w:sz w:val="16"/>
          <w:szCs w:val="16"/>
          <w:lang w:val="es-CR"/>
        </w:rPr>
        <w:t xml:space="preserve"> Cfr.</w:t>
      </w:r>
      <w:r w:rsidRPr="00B855B4">
        <w:rPr>
          <w:rFonts w:ascii="Verdana" w:hAnsi="Verdana"/>
          <w:sz w:val="16"/>
          <w:szCs w:val="16"/>
        </w:rPr>
        <w:t xml:space="preserve"> </w:t>
      </w:r>
      <w:r w:rsidRPr="00B855B4">
        <w:rPr>
          <w:rFonts w:ascii="Verdana" w:hAnsi="Verdana"/>
          <w:sz w:val="16"/>
          <w:szCs w:val="16"/>
          <w:lang w:val="es-CR"/>
        </w:rPr>
        <w:t>Denuncia de desaparición de María Isabel presentada por Rosa Elvira Franco Sandoval ante el Servicio de Investigación Criminal, Sección de Menores y Desaparecidos, Policía Nacional Civil de Guatemala el 17 de diciembre de 2001 (expediente de anexos al Informe de Fondo, anexo 1, f. 55).</w:t>
      </w:r>
      <w:r w:rsidRPr="007802D0">
        <w:rPr>
          <w:rFonts w:ascii="Verdana" w:hAnsi="Verdana"/>
          <w:sz w:val="16"/>
          <w:szCs w:val="16"/>
          <w:lang w:val="es-CR"/>
        </w:rPr>
        <w:t xml:space="preserve"> </w:t>
      </w:r>
    </w:p>
  </w:footnote>
  <w:footnote w:id="118">
    <w:p w:rsidR="0081535F" w:rsidRPr="007802D0" w:rsidRDefault="0081535F" w:rsidP="00FF7BE1">
      <w:pPr>
        <w:pStyle w:val="Textonotapie"/>
        <w:spacing w:line="19" w:lineRule="atLeast"/>
        <w:ind w:left="-180" w:right="-801"/>
        <w:jc w:val="both"/>
        <w:rPr>
          <w:rFonts w:ascii="Verdana" w:hAnsi="Verdana"/>
          <w:sz w:val="16"/>
          <w:szCs w:val="16"/>
          <w:lang w:val="es-CR"/>
        </w:rPr>
      </w:pPr>
      <w:r w:rsidRPr="007802D0">
        <w:rPr>
          <w:rStyle w:val="Refdenotaalpie"/>
          <w:rFonts w:ascii="Verdana" w:hAnsi="Verdana"/>
          <w:sz w:val="16"/>
          <w:szCs w:val="16"/>
        </w:rPr>
        <w:footnoteRef/>
      </w:r>
      <w:r w:rsidRPr="007802D0">
        <w:rPr>
          <w:rFonts w:ascii="Verdana" w:hAnsi="Verdana"/>
          <w:i/>
          <w:sz w:val="16"/>
          <w:szCs w:val="16"/>
          <w:lang w:val="es-CR"/>
        </w:rPr>
        <w:t xml:space="preserve"> </w:t>
      </w:r>
      <w:r w:rsidRPr="00F77273">
        <w:rPr>
          <w:rFonts w:ascii="Verdana" w:hAnsi="Verdana"/>
          <w:i/>
          <w:sz w:val="16"/>
          <w:szCs w:val="16"/>
          <w:lang w:val="es-CR"/>
        </w:rPr>
        <w:t>Cfr.</w:t>
      </w:r>
      <w:r w:rsidRPr="00F77273">
        <w:rPr>
          <w:rFonts w:ascii="Verdana" w:hAnsi="Verdana"/>
          <w:sz w:val="16"/>
          <w:szCs w:val="16"/>
          <w:lang w:val="es-CR"/>
        </w:rPr>
        <w:t xml:space="preserve"> Denuncia de desaparición de María Isabel presentada por Rosa Elvira Franco Sandoval, </w:t>
      </w:r>
      <w:r w:rsidRPr="00F77273">
        <w:rPr>
          <w:rFonts w:ascii="Verdana" w:hAnsi="Verdana"/>
          <w:i/>
          <w:sz w:val="16"/>
          <w:szCs w:val="16"/>
          <w:lang w:val="es-CR"/>
        </w:rPr>
        <w:t>supra</w:t>
      </w:r>
      <w:r w:rsidRPr="00F77273">
        <w:rPr>
          <w:rFonts w:ascii="Verdana" w:hAnsi="Verdana"/>
          <w:sz w:val="16"/>
          <w:szCs w:val="16"/>
          <w:lang w:val="es-CR"/>
        </w:rPr>
        <w:t>.</w:t>
      </w:r>
    </w:p>
  </w:footnote>
  <w:footnote w:id="119">
    <w:p w:rsidR="0081535F" w:rsidRPr="007802D0" w:rsidRDefault="0081535F" w:rsidP="00FF7BE1">
      <w:pPr>
        <w:pStyle w:val="Textonotapie"/>
        <w:spacing w:line="19" w:lineRule="atLeast"/>
        <w:ind w:left="-180" w:right="-174"/>
        <w:jc w:val="both"/>
        <w:rPr>
          <w:rFonts w:ascii="Verdana" w:hAnsi="Verdana"/>
          <w:sz w:val="16"/>
          <w:szCs w:val="16"/>
          <w:lang w:val="es-CR"/>
        </w:rPr>
      </w:pPr>
      <w:r w:rsidRPr="007802D0">
        <w:rPr>
          <w:rStyle w:val="Refdenotaalpie"/>
          <w:rFonts w:ascii="Verdana" w:hAnsi="Verdana"/>
          <w:sz w:val="16"/>
          <w:szCs w:val="16"/>
        </w:rPr>
        <w:footnoteRef/>
      </w:r>
      <w:r w:rsidRPr="007802D0">
        <w:rPr>
          <w:rFonts w:ascii="Verdana" w:hAnsi="Verdana"/>
          <w:sz w:val="16"/>
          <w:szCs w:val="16"/>
          <w:lang w:val="es-CR"/>
        </w:rPr>
        <w:t xml:space="preserve"> </w:t>
      </w:r>
      <w:r w:rsidRPr="007802D0">
        <w:rPr>
          <w:rFonts w:ascii="Verdana" w:hAnsi="Verdana"/>
          <w:i/>
          <w:sz w:val="16"/>
          <w:szCs w:val="16"/>
          <w:lang w:val="es-CR"/>
        </w:rPr>
        <w:t>Cfr.</w:t>
      </w:r>
      <w:r>
        <w:rPr>
          <w:rFonts w:ascii="Verdana" w:hAnsi="Verdana"/>
          <w:sz w:val="16"/>
          <w:szCs w:val="16"/>
          <w:lang w:val="es-CR"/>
        </w:rPr>
        <w:t xml:space="preserve"> Informe de la Sección contra Homicidios del Servicio de Investigación Criminal de la Policía Nacional Civil</w:t>
      </w:r>
      <w:r w:rsidRPr="007802D0">
        <w:rPr>
          <w:rFonts w:ascii="Verdana" w:hAnsi="Verdana"/>
          <w:sz w:val="16"/>
          <w:szCs w:val="16"/>
          <w:lang w:val="es-CR"/>
        </w:rPr>
        <w:t xml:space="preserve"> de 21 de febrero de 2002 (</w:t>
      </w:r>
      <w:r>
        <w:rPr>
          <w:rFonts w:ascii="Verdana" w:hAnsi="Verdana"/>
          <w:sz w:val="16"/>
          <w:szCs w:val="16"/>
          <w:lang w:val="es-CR"/>
        </w:rPr>
        <w:t>e</w:t>
      </w:r>
      <w:r w:rsidRPr="007802D0">
        <w:rPr>
          <w:rFonts w:ascii="Verdana" w:hAnsi="Verdana"/>
          <w:sz w:val="16"/>
          <w:szCs w:val="16"/>
          <w:lang w:val="es-CR"/>
        </w:rPr>
        <w:t>xpediente de anexos al Informe de Fondo, anexo 16, fs. 105 a 110).</w:t>
      </w:r>
    </w:p>
  </w:footnote>
  <w:footnote w:id="120">
    <w:p w:rsidR="0081535F" w:rsidRPr="007802D0" w:rsidRDefault="0081535F" w:rsidP="00FF7BE1">
      <w:pPr>
        <w:pStyle w:val="Textonotapie"/>
        <w:spacing w:line="19" w:lineRule="atLeast"/>
        <w:ind w:left="-180" w:right="-174"/>
        <w:jc w:val="both"/>
        <w:rPr>
          <w:rFonts w:ascii="Verdana" w:hAnsi="Verdana"/>
          <w:sz w:val="16"/>
          <w:szCs w:val="16"/>
          <w:lang w:val="es-CR"/>
        </w:rPr>
      </w:pPr>
      <w:r w:rsidRPr="007802D0">
        <w:rPr>
          <w:rStyle w:val="Refdenotaalpie"/>
          <w:rFonts w:ascii="Verdana" w:hAnsi="Verdana"/>
          <w:sz w:val="16"/>
          <w:szCs w:val="16"/>
        </w:rPr>
        <w:footnoteRef/>
      </w:r>
      <w:r w:rsidRPr="007802D0">
        <w:rPr>
          <w:rFonts w:ascii="Verdana" w:hAnsi="Verdana"/>
          <w:sz w:val="16"/>
          <w:szCs w:val="16"/>
          <w:lang w:val="es-CR"/>
        </w:rPr>
        <w:t xml:space="preserve"> </w:t>
      </w:r>
      <w:r w:rsidRPr="007802D0">
        <w:rPr>
          <w:rFonts w:ascii="Verdana" w:hAnsi="Verdana"/>
          <w:i/>
          <w:sz w:val="16"/>
          <w:szCs w:val="16"/>
          <w:lang w:val="es-CR"/>
        </w:rPr>
        <w:t>Cfr.</w:t>
      </w:r>
      <w:r w:rsidRPr="007802D0">
        <w:rPr>
          <w:rFonts w:ascii="Verdana" w:hAnsi="Verdana"/>
          <w:sz w:val="16"/>
          <w:szCs w:val="16"/>
          <w:lang w:val="es-CR"/>
        </w:rPr>
        <w:t xml:space="preserve"> Ampliación de declaración y ratificación de denuncia de la señora Rosa Elvira Franco Sandoval ante la Agencia Fiscal No. 32 del Ministerio Público de Guatemala de 14 de enero de 2002 (</w:t>
      </w:r>
      <w:r>
        <w:rPr>
          <w:rFonts w:ascii="Verdana" w:hAnsi="Verdana"/>
          <w:sz w:val="16"/>
          <w:szCs w:val="16"/>
          <w:lang w:val="es-CR"/>
        </w:rPr>
        <w:t>e</w:t>
      </w:r>
      <w:r w:rsidRPr="007802D0">
        <w:rPr>
          <w:rFonts w:ascii="Verdana" w:hAnsi="Verdana"/>
          <w:sz w:val="16"/>
          <w:szCs w:val="16"/>
          <w:lang w:val="es-CR"/>
        </w:rPr>
        <w:t>xpediente de anexos al Informe de Fondo, anexo 7, f</w:t>
      </w:r>
      <w:r>
        <w:rPr>
          <w:rFonts w:ascii="Verdana" w:hAnsi="Verdana"/>
          <w:sz w:val="16"/>
          <w:szCs w:val="16"/>
          <w:lang w:val="es-CR"/>
        </w:rPr>
        <w:t>s</w:t>
      </w:r>
      <w:r w:rsidRPr="007802D0">
        <w:rPr>
          <w:rFonts w:ascii="Verdana" w:hAnsi="Verdana"/>
          <w:sz w:val="16"/>
          <w:szCs w:val="16"/>
          <w:lang w:val="es-CR"/>
        </w:rPr>
        <w:t>. 75</w:t>
      </w:r>
      <w:r>
        <w:rPr>
          <w:rFonts w:ascii="Verdana" w:hAnsi="Verdana"/>
          <w:sz w:val="16"/>
          <w:szCs w:val="16"/>
          <w:lang w:val="es-CR"/>
        </w:rPr>
        <w:t xml:space="preserve"> a 82</w:t>
      </w:r>
      <w:r w:rsidRPr="007802D0">
        <w:rPr>
          <w:rFonts w:ascii="Verdana" w:hAnsi="Verdana"/>
          <w:sz w:val="16"/>
          <w:szCs w:val="16"/>
          <w:lang w:val="es-CR"/>
        </w:rPr>
        <w:t>).</w:t>
      </w:r>
    </w:p>
  </w:footnote>
  <w:footnote w:id="121">
    <w:p w:rsidR="0081535F" w:rsidRPr="00D42A7C" w:rsidRDefault="0081535F" w:rsidP="00422232">
      <w:pPr>
        <w:pStyle w:val="Textonotapie"/>
        <w:ind w:left="-180" w:right="-174"/>
        <w:jc w:val="both"/>
        <w:rPr>
          <w:rFonts w:ascii="Verdana" w:hAnsi="Verdana"/>
          <w:sz w:val="16"/>
          <w:szCs w:val="16"/>
        </w:rPr>
      </w:pPr>
      <w:r w:rsidRPr="00D42A7C">
        <w:rPr>
          <w:rStyle w:val="Refdenotaalpie"/>
          <w:rFonts w:ascii="Verdana" w:hAnsi="Verdana"/>
          <w:sz w:val="16"/>
          <w:szCs w:val="16"/>
        </w:rPr>
        <w:footnoteRef/>
      </w:r>
      <w:r w:rsidRPr="00D42A7C">
        <w:rPr>
          <w:rFonts w:ascii="Verdana" w:hAnsi="Verdana"/>
          <w:sz w:val="16"/>
          <w:szCs w:val="16"/>
        </w:rPr>
        <w:t xml:space="preserve"> </w:t>
      </w:r>
      <w:r w:rsidRPr="00D42A7C">
        <w:rPr>
          <w:rFonts w:ascii="Verdana" w:eastAsia="Calibri" w:hAnsi="Verdana" w:cs="Calibri"/>
          <w:i/>
          <w:w w:val="95"/>
          <w:sz w:val="16"/>
          <w:szCs w:val="16"/>
          <w:lang w:val="es-CR"/>
        </w:rPr>
        <w:t>Cfr.</w:t>
      </w:r>
      <w:r w:rsidRPr="00D42A7C">
        <w:rPr>
          <w:rFonts w:ascii="Verdana" w:eastAsia="Calibri" w:hAnsi="Verdana" w:cs="Calibri"/>
          <w:w w:val="95"/>
          <w:sz w:val="16"/>
          <w:szCs w:val="16"/>
          <w:lang w:val="es-CR"/>
        </w:rPr>
        <w:t xml:space="preserve"> Declaración de Rosa Elvira Franco Sandoval rendida en la audiencia pública celebrada ante la Corte</w:t>
      </w:r>
      <w:r>
        <w:rPr>
          <w:rFonts w:ascii="Verdana" w:eastAsia="Calibri" w:hAnsi="Verdana" w:cs="Calibri"/>
          <w:w w:val="95"/>
          <w:sz w:val="16"/>
          <w:szCs w:val="16"/>
          <w:lang w:val="es-CR"/>
        </w:rPr>
        <w:t xml:space="preserve"> </w:t>
      </w:r>
      <w:r w:rsidRPr="00D42A7C">
        <w:rPr>
          <w:rFonts w:ascii="Verdana" w:eastAsia="Calibri" w:hAnsi="Verdana" w:cs="Calibri"/>
          <w:w w:val="95"/>
          <w:sz w:val="16"/>
          <w:szCs w:val="16"/>
          <w:lang w:val="es-CR"/>
        </w:rPr>
        <w:t>el 15 de mayo de 2013</w:t>
      </w:r>
      <w:r>
        <w:rPr>
          <w:rFonts w:ascii="Verdana" w:eastAsia="Calibri" w:hAnsi="Verdana" w:cs="Calibri"/>
          <w:w w:val="95"/>
          <w:sz w:val="16"/>
          <w:szCs w:val="16"/>
          <w:lang w:val="es-CR"/>
        </w:rPr>
        <w:t>.</w:t>
      </w:r>
      <w:r w:rsidRPr="00D42A7C">
        <w:rPr>
          <w:rFonts w:ascii="Verdana" w:eastAsia="Calibri" w:hAnsi="Verdana" w:cs="Calibri"/>
          <w:w w:val="95"/>
          <w:sz w:val="16"/>
          <w:szCs w:val="16"/>
          <w:lang w:val="es-CR"/>
        </w:rPr>
        <w:t xml:space="preserve"> </w:t>
      </w:r>
    </w:p>
  </w:footnote>
  <w:footnote w:id="122">
    <w:p w:rsidR="0081535F" w:rsidRPr="007802D0" w:rsidRDefault="0081535F" w:rsidP="00422232">
      <w:pPr>
        <w:pStyle w:val="Textonotapie"/>
        <w:spacing w:line="19" w:lineRule="atLeast"/>
        <w:ind w:left="-180" w:right="-174"/>
        <w:jc w:val="both"/>
        <w:rPr>
          <w:rFonts w:ascii="Verdana" w:hAnsi="Verdana"/>
          <w:sz w:val="16"/>
          <w:szCs w:val="16"/>
          <w:u w:val="dotted"/>
          <w:lang w:val="es-CR"/>
        </w:rPr>
      </w:pPr>
      <w:r w:rsidRPr="007802D0">
        <w:rPr>
          <w:rStyle w:val="Refdenotaalpie"/>
          <w:rFonts w:ascii="Verdana" w:hAnsi="Verdana"/>
          <w:sz w:val="16"/>
          <w:szCs w:val="16"/>
        </w:rPr>
        <w:footnoteRef/>
      </w:r>
      <w:r w:rsidRPr="007802D0">
        <w:rPr>
          <w:rFonts w:ascii="Verdana" w:hAnsi="Verdana"/>
          <w:sz w:val="16"/>
          <w:szCs w:val="16"/>
          <w:lang w:val="es-CR"/>
        </w:rPr>
        <w:t xml:space="preserve"> </w:t>
      </w:r>
      <w:r w:rsidRPr="007802D0">
        <w:rPr>
          <w:rFonts w:ascii="Verdana" w:hAnsi="Verdana"/>
          <w:i/>
          <w:sz w:val="16"/>
          <w:szCs w:val="16"/>
          <w:lang w:val="es-CR"/>
        </w:rPr>
        <w:t>Cfr.</w:t>
      </w:r>
      <w:r w:rsidRPr="007802D0">
        <w:rPr>
          <w:rFonts w:ascii="Verdana" w:hAnsi="Verdana"/>
          <w:sz w:val="16"/>
          <w:szCs w:val="16"/>
          <w:lang w:val="es-CR"/>
        </w:rPr>
        <w:t xml:space="preserve"> </w:t>
      </w:r>
      <w:r w:rsidRPr="00CB5F33">
        <w:rPr>
          <w:rFonts w:ascii="Verdana" w:hAnsi="Verdana"/>
          <w:sz w:val="16"/>
          <w:szCs w:val="16"/>
          <w:lang w:val="es-CR"/>
        </w:rPr>
        <w:t>Oficio No. 1,131-2</w:t>
      </w:r>
      <w:r>
        <w:rPr>
          <w:rFonts w:ascii="Verdana" w:hAnsi="Verdana"/>
          <w:sz w:val="16"/>
          <w:szCs w:val="16"/>
          <w:lang w:val="es-CR"/>
        </w:rPr>
        <w:t>,</w:t>
      </w:r>
      <w:r w:rsidRPr="00CB5F33">
        <w:rPr>
          <w:rFonts w:ascii="Verdana" w:hAnsi="Verdana"/>
          <w:sz w:val="16"/>
          <w:szCs w:val="16"/>
          <w:lang w:val="es-CR"/>
        </w:rPr>
        <w:t xml:space="preserve">001 emitido por el Jefe de la Sub-estación 1651 de la Policía Nacional Civil dirigido al Auxiliar Fiscal del Ministerio Público del Municipio de Mixco de 18 de diciembre de 2001 (expediente de anexos al Informe de Fondo, anexo 2, f. 57). </w:t>
      </w:r>
      <w:r w:rsidRPr="007802D0">
        <w:rPr>
          <w:rFonts w:ascii="Verdana" w:hAnsi="Verdana"/>
          <w:sz w:val="16"/>
          <w:szCs w:val="16"/>
          <w:lang w:val="es-CR"/>
        </w:rPr>
        <w:t>Si bien no se desprende de las pruebas un documento específico donde conste la primera llamada, no hay controversia entre el Estado y las representantes sobre la recepción de la misma. Surge de las pruebas el oficio 1,131</w:t>
      </w:r>
      <w:r>
        <w:rPr>
          <w:rFonts w:ascii="Verdana" w:hAnsi="Verdana"/>
          <w:sz w:val="16"/>
          <w:szCs w:val="16"/>
          <w:lang w:val="es-CR"/>
        </w:rPr>
        <w:t>-</w:t>
      </w:r>
      <w:r w:rsidRPr="007802D0">
        <w:rPr>
          <w:rFonts w:ascii="Verdana" w:hAnsi="Verdana"/>
          <w:sz w:val="16"/>
          <w:szCs w:val="16"/>
          <w:lang w:val="es-CR"/>
        </w:rPr>
        <w:t>2</w:t>
      </w:r>
      <w:r>
        <w:rPr>
          <w:rFonts w:ascii="Verdana" w:hAnsi="Verdana"/>
          <w:sz w:val="16"/>
          <w:szCs w:val="16"/>
          <w:lang w:val="es-CR"/>
        </w:rPr>
        <w:t>,</w:t>
      </w:r>
      <w:r w:rsidRPr="007802D0">
        <w:rPr>
          <w:rFonts w:ascii="Verdana" w:hAnsi="Verdana"/>
          <w:sz w:val="16"/>
          <w:szCs w:val="16"/>
          <w:lang w:val="es-CR"/>
        </w:rPr>
        <w:t xml:space="preserve">001, del cual se desprende la comunicación realizada a la Planta Central de Transmisiones de la Comisaría 16 sobre el hallazgo del cuerpo. </w:t>
      </w:r>
      <w:r w:rsidRPr="00122C63">
        <w:rPr>
          <w:rFonts w:ascii="Verdana" w:hAnsi="Verdana"/>
          <w:sz w:val="16"/>
          <w:szCs w:val="16"/>
          <w:lang w:val="es-CR"/>
        </w:rPr>
        <w:t xml:space="preserve">Además en la audiencia pública tanto las representantes como el Estado hacen alusión a la primera llamada que alerta a las autoridades </w:t>
      </w:r>
      <w:r w:rsidRPr="007802D0">
        <w:rPr>
          <w:rFonts w:ascii="Verdana" w:hAnsi="Verdana"/>
          <w:sz w:val="16"/>
          <w:szCs w:val="16"/>
          <w:lang w:val="es-CR"/>
        </w:rPr>
        <w:t xml:space="preserve">sobre la existencia de un cadáver. Cabe señalar, en relación a esta primera llamada anónima, que en su Informe de Fondo, la Comisión manifestó que </w:t>
      </w:r>
      <w:r>
        <w:rPr>
          <w:rFonts w:ascii="Verdana" w:hAnsi="Verdana"/>
          <w:sz w:val="16"/>
          <w:szCs w:val="16"/>
          <w:lang w:val="es-CR"/>
        </w:rPr>
        <w:t>“</w:t>
      </w:r>
      <w:r w:rsidRPr="007802D0">
        <w:rPr>
          <w:rFonts w:ascii="Verdana" w:hAnsi="Verdana"/>
          <w:sz w:val="16"/>
          <w:szCs w:val="16"/>
          <w:lang w:val="es-CR"/>
        </w:rPr>
        <w:t>no se desprende del expediente c</w:t>
      </w:r>
      <w:r>
        <w:rPr>
          <w:rFonts w:ascii="Verdana" w:hAnsi="Verdana"/>
          <w:sz w:val="16"/>
          <w:szCs w:val="16"/>
          <w:lang w:val="es-CR"/>
        </w:rPr>
        <w:t>ó</w:t>
      </w:r>
      <w:r w:rsidRPr="007802D0">
        <w:rPr>
          <w:rFonts w:ascii="Verdana" w:hAnsi="Verdana"/>
          <w:sz w:val="16"/>
          <w:szCs w:val="16"/>
          <w:lang w:val="es-CR"/>
        </w:rPr>
        <w:t>mo es que las autoridades llegaron al lugar en donde se halló el cadáver, específicamente sobre como la Planta Central de Transmisiones de la Comisaría 16 se entera del hallazgo</w:t>
      </w:r>
      <w:r>
        <w:rPr>
          <w:rFonts w:ascii="Verdana" w:hAnsi="Verdana"/>
          <w:sz w:val="16"/>
          <w:szCs w:val="16"/>
          <w:lang w:val="es-CR"/>
        </w:rPr>
        <w:t xml:space="preserve">”. Informe de Fondo, </w:t>
      </w:r>
      <w:r w:rsidRPr="00D525B1">
        <w:rPr>
          <w:rFonts w:ascii="Verdana" w:hAnsi="Verdana"/>
          <w:i/>
          <w:sz w:val="16"/>
          <w:szCs w:val="16"/>
          <w:lang w:val="es-CR"/>
        </w:rPr>
        <w:t>supra</w:t>
      </w:r>
      <w:r>
        <w:rPr>
          <w:rFonts w:ascii="Verdana" w:hAnsi="Verdana"/>
          <w:sz w:val="16"/>
          <w:szCs w:val="16"/>
          <w:lang w:val="es-CR"/>
        </w:rPr>
        <w:t>, f. 33</w:t>
      </w:r>
      <w:r w:rsidRPr="007802D0">
        <w:rPr>
          <w:rFonts w:ascii="Verdana" w:hAnsi="Verdana"/>
          <w:sz w:val="16"/>
          <w:szCs w:val="16"/>
          <w:lang w:val="es-CR"/>
        </w:rPr>
        <w:t xml:space="preserve">. </w:t>
      </w:r>
    </w:p>
  </w:footnote>
  <w:footnote w:id="123">
    <w:p w:rsidR="0081535F" w:rsidRPr="0075245F" w:rsidRDefault="0081535F" w:rsidP="00422232">
      <w:pPr>
        <w:pStyle w:val="Textonotapie"/>
        <w:spacing w:line="19" w:lineRule="atLeast"/>
        <w:ind w:left="-180" w:right="-174"/>
        <w:jc w:val="both"/>
        <w:rPr>
          <w:rFonts w:ascii="Verdana" w:hAnsi="Verdana"/>
          <w:i/>
          <w:sz w:val="16"/>
          <w:szCs w:val="16"/>
          <w:lang w:val="es-CR"/>
        </w:rPr>
      </w:pPr>
      <w:r w:rsidRPr="007802D0">
        <w:rPr>
          <w:rStyle w:val="Refdenotaalpie"/>
          <w:rFonts w:ascii="Verdana" w:hAnsi="Verdana"/>
          <w:sz w:val="16"/>
          <w:szCs w:val="16"/>
        </w:rPr>
        <w:footnoteRef/>
      </w:r>
      <w:r w:rsidRPr="007802D0">
        <w:rPr>
          <w:rFonts w:ascii="Verdana" w:hAnsi="Verdana"/>
          <w:sz w:val="16"/>
          <w:szCs w:val="16"/>
          <w:lang w:val="es-CR"/>
        </w:rPr>
        <w:t xml:space="preserve"> </w:t>
      </w:r>
      <w:r w:rsidRPr="007802D0">
        <w:rPr>
          <w:rFonts w:ascii="Verdana" w:hAnsi="Verdana"/>
          <w:i/>
          <w:sz w:val="16"/>
          <w:szCs w:val="16"/>
          <w:lang w:val="es-CR"/>
        </w:rPr>
        <w:t>Cfr.</w:t>
      </w:r>
      <w:r w:rsidRPr="0014408E">
        <w:rPr>
          <w:rFonts w:ascii="Verdana" w:hAnsi="Verdana"/>
          <w:sz w:val="16"/>
          <w:szCs w:val="16"/>
          <w:lang w:val="es-CR"/>
        </w:rPr>
        <w:t xml:space="preserve"> </w:t>
      </w:r>
      <w:r w:rsidRPr="003A491F">
        <w:rPr>
          <w:rFonts w:ascii="Verdana" w:hAnsi="Verdana"/>
          <w:sz w:val="16"/>
          <w:szCs w:val="16"/>
          <w:lang w:val="es-CR"/>
        </w:rPr>
        <w:t>Oficio No. 1,131-2</w:t>
      </w:r>
      <w:r>
        <w:rPr>
          <w:rFonts w:ascii="Verdana" w:hAnsi="Verdana"/>
          <w:sz w:val="16"/>
          <w:szCs w:val="16"/>
          <w:lang w:val="es-CR"/>
        </w:rPr>
        <w:t>,</w:t>
      </w:r>
      <w:r w:rsidRPr="003A491F">
        <w:rPr>
          <w:rFonts w:ascii="Verdana" w:hAnsi="Verdana"/>
          <w:sz w:val="16"/>
          <w:szCs w:val="16"/>
          <w:lang w:val="es-CR"/>
        </w:rPr>
        <w:t>001</w:t>
      </w:r>
      <w:r>
        <w:rPr>
          <w:rFonts w:ascii="Verdana" w:hAnsi="Verdana"/>
          <w:sz w:val="16"/>
          <w:szCs w:val="16"/>
          <w:lang w:val="es-CR"/>
        </w:rPr>
        <w:t xml:space="preserve">, </w:t>
      </w:r>
      <w:r>
        <w:rPr>
          <w:rFonts w:ascii="Verdana" w:hAnsi="Verdana"/>
          <w:i/>
          <w:sz w:val="16"/>
          <w:szCs w:val="16"/>
          <w:lang w:val="es-CR"/>
        </w:rPr>
        <w:t>supra.</w:t>
      </w:r>
    </w:p>
  </w:footnote>
  <w:footnote w:id="124">
    <w:p w:rsidR="0081535F" w:rsidRPr="007802D0" w:rsidRDefault="0081535F" w:rsidP="00422232">
      <w:pPr>
        <w:pStyle w:val="Textonotapie"/>
        <w:spacing w:line="19" w:lineRule="atLeast"/>
        <w:ind w:left="-180" w:right="-174"/>
        <w:jc w:val="both"/>
        <w:rPr>
          <w:rFonts w:ascii="Verdana" w:hAnsi="Verdana"/>
          <w:sz w:val="16"/>
          <w:szCs w:val="16"/>
          <w:lang w:val="es-CR"/>
        </w:rPr>
      </w:pPr>
      <w:r w:rsidRPr="007802D0">
        <w:rPr>
          <w:rStyle w:val="Refdenotaalpie"/>
          <w:rFonts w:ascii="Verdana" w:hAnsi="Verdana"/>
          <w:sz w:val="16"/>
          <w:szCs w:val="16"/>
        </w:rPr>
        <w:footnoteRef/>
      </w:r>
      <w:r w:rsidRPr="007802D0">
        <w:rPr>
          <w:rFonts w:ascii="Verdana" w:hAnsi="Verdana"/>
          <w:sz w:val="16"/>
          <w:szCs w:val="16"/>
          <w:lang w:val="es-CR"/>
        </w:rPr>
        <w:t xml:space="preserve"> </w:t>
      </w:r>
      <w:r w:rsidRPr="007802D0">
        <w:rPr>
          <w:rFonts w:ascii="Verdana" w:hAnsi="Verdana"/>
          <w:i/>
          <w:sz w:val="16"/>
          <w:szCs w:val="16"/>
          <w:lang w:val="es-CR"/>
        </w:rPr>
        <w:t>Cfr.</w:t>
      </w:r>
      <w:r w:rsidRPr="007802D0">
        <w:rPr>
          <w:rFonts w:ascii="Verdana" w:hAnsi="Verdana"/>
          <w:sz w:val="16"/>
          <w:szCs w:val="16"/>
          <w:lang w:val="es-CR"/>
        </w:rPr>
        <w:t xml:space="preserve"> </w:t>
      </w:r>
      <w:r w:rsidRPr="0075245F">
        <w:rPr>
          <w:rFonts w:ascii="Verdana" w:hAnsi="Verdana"/>
          <w:sz w:val="16"/>
          <w:szCs w:val="16"/>
          <w:lang w:val="es-CR"/>
        </w:rPr>
        <w:t>Acta de levantamiento de cadáver</w:t>
      </w:r>
      <w:r>
        <w:rPr>
          <w:rFonts w:ascii="Verdana" w:hAnsi="Verdana"/>
          <w:sz w:val="16"/>
          <w:szCs w:val="16"/>
          <w:lang w:val="es-CR"/>
        </w:rPr>
        <w:t xml:space="preserve"> por</w:t>
      </w:r>
      <w:r w:rsidRPr="007802D0">
        <w:rPr>
          <w:rFonts w:ascii="Verdana" w:hAnsi="Verdana"/>
          <w:sz w:val="16"/>
          <w:szCs w:val="16"/>
          <w:lang w:val="es-CR"/>
        </w:rPr>
        <w:t xml:space="preserve"> la Auxiliar Fiscal </w:t>
      </w:r>
      <w:r>
        <w:rPr>
          <w:rFonts w:ascii="Verdana" w:hAnsi="Verdana"/>
          <w:sz w:val="16"/>
          <w:szCs w:val="16"/>
          <w:lang w:val="es-CR"/>
        </w:rPr>
        <w:t>I de la Agencia No. 5 de Mixco de</w:t>
      </w:r>
      <w:r w:rsidRPr="007802D0">
        <w:rPr>
          <w:rFonts w:ascii="Verdana" w:hAnsi="Verdana"/>
          <w:sz w:val="16"/>
          <w:szCs w:val="16"/>
          <w:lang w:val="es-CR"/>
        </w:rPr>
        <w:t xml:space="preserve"> 18 de </w:t>
      </w:r>
      <w:r>
        <w:rPr>
          <w:rFonts w:ascii="Verdana" w:hAnsi="Verdana"/>
          <w:sz w:val="16"/>
          <w:szCs w:val="16"/>
          <w:lang w:val="es-CR"/>
        </w:rPr>
        <w:t>d</w:t>
      </w:r>
      <w:r w:rsidRPr="007802D0">
        <w:rPr>
          <w:rFonts w:ascii="Verdana" w:hAnsi="Verdana"/>
          <w:sz w:val="16"/>
          <w:szCs w:val="16"/>
          <w:lang w:val="es-CR"/>
        </w:rPr>
        <w:t>iciembre de 2001 (</w:t>
      </w:r>
      <w:r>
        <w:rPr>
          <w:rFonts w:ascii="Verdana" w:hAnsi="Verdana"/>
          <w:sz w:val="16"/>
          <w:szCs w:val="16"/>
          <w:lang w:val="es-CR"/>
        </w:rPr>
        <w:t>e</w:t>
      </w:r>
      <w:r w:rsidRPr="007802D0">
        <w:rPr>
          <w:rFonts w:ascii="Verdana" w:hAnsi="Verdana"/>
          <w:sz w:val="16"/>
          <w:szCs w:val="16"/>
          <w:lang w:val="es-CR"/>
        </w:rPr>
        <w:t>xpediente de anexos al Informe de Fondo, anexo 3, fs. 59 y 60)</w:t>
      </w:r>
      <w:r>
        <w:rPr>
          <w:rFonts w:ascii="Verdana" w:hAnsi="Verdana"/>
          <w:sz w:val="16"/>
          <w:szCs w:val="16"/>
          <w:lang w:val="es-CR"/>
        </w:rPr>
        <w:t xml:space="preserve">; </w:t>
      </w:r>
      <w:r w:rsidRPr="003A491F">
        <w:rPr>
          <w:rFonts w:ascii="Verdana" w:hAnsi="Verdana"/>
          <w:sz w:val="16"/>
          <w:szCs w:val="16"/>
          <w:lang w:val="es-CR"/>
        </w:rPr>
        <w:t>Oficio No. 1,131-2</w:t>
      </w:r>
      <w:r>
        <w:rPr>
          <w:rFonts w:ascii="Verdana" w:hAnsi="Verdana"/>
          <w:sz w:val="16"/>
          <w:szCs w:val="16"/>
          <w:lang w:val="es-CR"/>
        </w:rPr>
        <w:t>,</w:t>
      </w:r>
      <w:r w:rsidRPr="003A491F">
        <w:rPr>
          <w:rFonts w:ascii="Verdana" w:hAnsi="Verdana"/>
          <w:sz w:val="16"/>
          <w:szCs w:val="16"/>
          <w:lang w:val="es-CR"/>
        </w:rPr>
        <w:t>001</w:t>
      </w:r>
      <w:r>
        <w:rPr>
          <w:rFonts w:ascii="Verdana" w:hAnsi="Verdana"/>
          <w:sz w:val="16"/>
          <w:szCs w:val="16"/>
          <w:lang w:val="es-CR"/>
        </w:rPr>
        <w:t xml:space="preserve">, </w:t>
      </w:r>
      <w:r>
        <w:rPr>
          <w:rFonts w:ascii="Verdana" w:hAnsi="Verdana"/>
          <w:i/>
          <w:sz w:val="16"/>
          <w:szCs w:val="16"/>
          <w:lang w:val="es-CR"/>
        </w:rPr>
        <w:t xml:space="preserve">supra, </w:t>
      </w:r>
      <w:r w:rsidRPr="00F77273">
        <w:rPr>
          <w:rFonts w:ascii="Verdana" w:hAnsi="Verdana"/>
          <w:sz w:val="16"/>
          <w:szCs w:val="16"/>
          <w:lang w:val="es-CR"/>
        </w:rPr>
        <w:t>e</w:t>
      </w:r>
      <w:r>
        <w:rPr>
          <w:rFonts w:ascii="Verdana" w:hAnsi="Verdana"/>
          <w:i/>
          <w:sz w:val="16"/>
          <w:szCs w:val="16"/>
          <w:lang w:val="es-CR"/>
        </w:rPr>
        <w:t xml:space="preserve"> </w:t>
      </w:r>
      <w:r w:rsidRPr="007802D0">
        <w:rPr>
          <w:rFonts w:ascii="Verdana" w:hAnsi="Verdana"/>
          <w:sz w:val="16"/>
          <w:szCs w:val="16"/>
          <w:lang w:val="es-CR"/>
        </w:rPr>
        <w:t>Inspección ocular emitid</w:t>
      </w:r>
      <w:r>
        <w:rPr>
          <w:rFonts w:ascii="Verdana" w:hAnsi="Verdana"/>
          <w:sz w:val="16"/>
          <w:szCs w:val="16"/>
          <w:lang w:val="es-CR"/>
        </w:rPr>
        <w:t>a</w:t>
      </w:r>
      <w:r w:rsidRPr="007802D0">
        <w:rPr>
          <w:rFonts w:ascii="Verdana" w:hAnsi="Verdana"/>
          <w:sz w:val="16"/>
          <w:szCs w:val="16"/>
          <w:lang w:val="es-CR"/>
        </w:rPr>
        <w:t xml:space="preserve"> por </w:t>
      </w:r>
      <w:r>
        <w:rPr>
          <w:rFonts w:ascii="Verdana" w:hAnsi="Verdana"/>
          <w:sz w:val="16"/>
          <w:szCs w:val="16"/>
          <w:lang w:val="es-CR"/>
        </w:rPr>
        <w:t>técnico</w:t>
      </w:r>
      <w:r w:rsidRPr="007802D0">
        <w:rPr>
          <w:rFonts w:ascii="Verdana" w:hAnsi="Verdana"/>
          <w:sz w:val="16"/>
          <w:szCs w:val="16"/>
          <w:lang w:val="es-CR"/>
        </w:rPr>
        <w:t xml:space="preserve"> </w:t>
      </w:r>
      <w:r>
        <w:rPr>
          <w:rFonts w:ascii="Verdana" w:hAnsi="Verdana"/>
          <w:sz w:val="16"/>
          <w:szCs w:val="16"/>
          <w:lang w:val="es-CR"/>
        </w:rPr>
        <w:t xml:space="preserve">de la Sección de Inspecciones Oculares del Servicio de Investigación Criminal de la Policía Nacional Civil </w:t>
      </w:r>
      <w:r w:rsidRPr="007802D0">
        <w:rPr>
          <w:rFonts w:ascii="Verdana" w:hAnsi="Verdana"/>
          <w:sz w:val="16"/>
          <w:szCs w:val="16"/>
          <w:lang w:val="es-CR"/>
        </w:rPr>
        <w:t>de 18 de diciembre de 2001</w:t>
      </w:r>
      <w:r>
        <w:rPr>
          <w:rFonts w:ascii="Verdana" w:hAnsi="Verdana"/>
          <w:sz w:val="16"/>
          <w:szCs w:val="16"/>
          <w:lang w:val="es-CR"/>
        </w:rPr>
        <w:t xml:space="preserve"> </w:t>
      </w:r>
      <w:r w:rsidRPr="007802D0">
        <w:rPr>
          <w:rFonts w:ascii="Verdana" w:hAnsi="Verdana"/>
          <w:sz w:val="16"/>
          <w:szCs w:val="16"/>
          <w:lang w:val="es-CR"/>
        </w:rPr>
        <w:t>(</w:t>
      </w:r>
      <w:r>
        <w:rPr>
          <w:rFonts w:ascii="Verdana" w:hAnsi="Verdana"/>
          <w:sz w:val="16"/>
          <w:szCs w:val="16"/>
          <w:lang w:val="es-CR"/>
        </w:rPr>
        <w:t>e</w:t>
      </w:r>
      <w:r w:rsidRPr="007802D0">
        <w:rPr>
          <w:rFonts w:ascii="Verdana" w:hAnsi="Verdana"/>
          <w:sz w:val="16"/>
          <w:szCs w:val="16"/>
          <w:lang w:val="es-CR"/>
        </w:rPr>
        <w:t xml:space="preserve">xpediente de anexos al Informe de Fondo, anexo 5, fs. </w:t>
      </w:r>
      <w:r>
        <w:rPr>
          <w:rFonts w:ascii="Verdana" w:hAnsi="Verdana"/>
          <w:sz w:val="16"/>
          <w:szCs w:val="16"/>
          <w:lang w:val="es-CR"/>
        </w:rPr>
        <w:t>70</w:t>
      </w:r>
      <w:r w:rsidRPr="007802D0">
        <w:rPr>
          <w:rFonts w:ascii="Verdana" w:hAnsi="Verdana"/>
          <w:sz w:val="16"/>
          <w:szCs w:val="16"/>
          <w:lang w:val="es-CR"/>
        </w:rPr>
        <w:t xml:space="preserve"> </w:t>
      </w:r>
      <w:r>
        <w:rPr>
          <w:rFonts w:ascii="Verdana" w:hAnsi="Verdana"/>
          <w:sz w:val="16"/>
          <w:szCs w:val="16"/>
          <w:lang w:val="es-CR"/>
        </w:rPr>
        <w:t>y</w:t>
      </w:r>
      <w:r w:rsidRPr="007802D0">
        <w:rPr>
          <w:rFonts w:ascii="Verdana" w:hAnsi="Verdana"/>
          <w:sz w:val="16"/>
          <w:szCs w:val="16"/>
          <w:lang w:val="es-CR"/>
        </w:rPr>
        <w:t xml:space="preserve"> 71</w:t>
      </w:r>
      <w:r>
        <w:rPr>
          <w:rFonts w:ascii="Verdana" w:hAnsi="Verdana"/>
          <w:sz w:val="16"/>
          <w:szCs w:val="16"/>
          <w:lang w:val="es-CR"/>
        </w:rPr>
        <w:t>)</w:t>
      </w:r>
      <w:r w:rsidRPr="007802D0">
        <w:rPr>
          <w:rFonts w:ascii="Verdana" w:hAnsi="Verdana"/>
          <w:sz w:val="16"/>
          <w:szCs w:val="16"/>
          <w:lang w:val="es-CR"/>
        </w:rPr>
        <w:t xml:space="preserve">. </w:t>
      </w:r>
    </w:p>
  </w:footnote>
  <w:footnote w:id="125">
    <w:p w:rsidR="0081535F" w:rsidRPr="007802D0" w:rsidRDefault="0081535F" w:rsidP="00422232">
      <w:pPr>
        <w:pStyle w:val="Textonotapie"/>
        <w:spacing w:line="19" w:lineRule="atLeast"/>
        <w:ind w:left="-180" w:right="-174"/>
        <w:jc w:val="both"/>
        <w:rPr>
          <w:rFonts w:ascii="Verdana" w:hAnsi="Verdana"/>
          <w:sz w:val="16"/>
          <w:szCs w:val="16"/>
          <w:lang w:val="es-CR"/>
        </w:rPr>
      </w:pPr>
      <w:r w:rsidRPr="007802D0">
        <w:rPr>
          <w:rStyle w:val="Refdenotaalpie"/>
          <w:rFonts w:ascii="Verdana" w:hAnsi="Verdana"/>
          <w:sz w:val="16"/>
          <w:szCs w:val="16"/>
        </w:rPr>
        <w:footnoteRef/>
      </w:r>
      <w:r w:rsidRPr="007802D0">
        <w:rPr>
          <w:rFonts w:ascii="Verdana" w:hAnsi="Verdana"/>
          <w:sz w:val="16"/>
          <w:szCs w:val="16"/>
          <w:lang w:val="es-CR"/>
        </w:rPr>
        <w:t xml:space="preserve"> </w:t>
      </w:r>
      <w:r w:rsidRPr="007802D0">
        <w:rPr>
          <w:rFonts w:ascii="Verdana" w:hAnsi="Verdana"/>
          <w:i/>
          <w:sz w:val="16"/>
          <w:szCs w:val="16"/>
          <w:lang w:val="es-CR"/>
        </w:rPr>
        <w:t>Cfr.</w:t>
      </w:r>
      <w:r>
        <w:rPr>
          <w:rFonts w:ascii="Verdana" w:hAnsi="Verdana"/>
          <w:sz w:val="16"/>
          <w:szCs w:val="16"/>
          <w:lang w:val="es-CR"/>
        </w:rPr>
        <w:t xml:space="preserve"> </w:t>
      </w:r>
      <w:r w:rsidRPr="007802D0">
        <w:rPr>
          <w:rFonts w:ascii="Verdana" w:hAnsi="Verdana"/>
          <w:sz w:val="16"/>
          <w:szCs w:val="16"/>
          <w:lang w:val="es-CR"/>
        </w:rPr>
        <w:t>Ampliación de declaración y ratificación de denuncia de la señora Rosa Elvira Franco Sandoval</w:t>
      </w:r>
      <w:r>
        <w:rPr>
          <w:rFonts w:ascii="Verdana" w:hAnsi="Verdana"/>
          <w:sz w:val="16"/>
          <w:szCs w:val="16"/>
          <w:lang w:val="es-CR"/>
        </w:rPr>
        <w:t xml:space="preserve">, </w:t>
      </w:r>
      <w:r>
        <w:rPr>
          <w:rFonts w:ascii="Verdana" w:hAnsi="Verdana"/>
          <w:i/>
          <w:sz w:val="16"/>
          <w:szCs w:val="16"/>
          <w:lang w:val="es-CR"/>
        </w:rPr>
        <w:t>supra</w:t>
      </w:r>
      <w:r>
        <w:rPr>
          <w:rFonts w:ascii="Verdana" w:hAnsi="Verdana"/>
          <w:sz w:val="16"/>
          <w:szCs w:val="16"/>
          <w:lang w:val="es-CR"/>
        </w:rPr>
        <w:t>.</w:t>
      </w:r>
    </w:p>
  </w:footnote>
  <w:footnote w:id="126">
    <w:p w:rsidR="0081535F" w:rsidRPr="007802D0" w:rsidRDefault="0081535F" w:rsidP="00422232">
      <w:pPr>
        <w:autoSpaceDE w:val="0"/>
        <w:autoSpaceDN w:val="0"/>
        <w:adjustRightInd w:val="0"/>
        <w:spacing w:after="0" w:line="19" w:lineRule="atLeast"/>
        <w:ind w:left="-180" w:right="-174"/>
        <w:jc w:val="both"/>
        <w:rPr>
          <w:rFonts w:ascii="Verdana" w:hAnsi="Verdana"/>
          <w:sz w:val="16"/>
          <w:szCs w:val="16"/>
          <w:lang w:val="es-CR"/>
        </w:rPr>
      </w:pPr>
      <w:r w:rsidRPr="007802D0">
        <w:rPr>
          <w:rStyle w:val="Refdenotaalpie"/>
          <w:rFonts w:ascii="Verdana" w:hAnsi="Verdana"/>
          <w:sz w:val="16"/>
          <w:szCs w:val="16"/>
        </w:rPr>
        <w:footnoteRef/>
      </w:r>
      <w:r w:rsidRPr="007802D0">
        <w:rPr>
          <w:rFonts w:ascii="Verdana" w:hAnsi="Verdana"/>
          <w:sz w:val="16"/>
          <w:szCs w:val="16"/>
          <w:lang w:val="es-CR"/>
        </w:rPr>
        <w:t xml:space="preserve"> </w:t>
      </w:r>
      <w:r w:rsidRPr="007802D0">
        <w:rPr>
          <w:rFonts w:ascii="Verdana" w:hAnsi="Verdana"/>
          <w:i/>
          <w:sz w:val="16"/>
          <w:szCs w:val="16"/>
          <w:lang w:val="es-CR"/>
        </w:rPr>
        <w:t>Cfr.</w:t>
      </w:r>
      <w:r w:rsidRPr="007802D0">
        <w:rPr>
          <w:rFonts w:ascii="Verdana" w:hAnsi="Verdana"/>
          <w:sz w:val="16"/>
          <w:szCs w:val="16"/>
          <w:lang w:val="es-CR"/>
        </w:rPr>
        <w:t xml:space="preserve"> Escrito de Rosa Elvira Franco Sandoval dirigido al Fiscal General </w:t>
      </w:r>
      <w:r w:rsidRPr="007802D0">
        <w:rPr>
          <w:rFonts w:ascii="Verdana" w:hAnsi="Verdana" w:cs="Arial"/>
          <w:sz w:val="16"/>
          <w:szCs w:val="16"/>
          <w:lang w:val="es-CR"/>
        </w:rPr>
        <w:t xml:space="preserve">y </w:t>
      </w:r>
      <w:r w:rsidRPr="007802D0">
        <w:rPr>
          <w:rFonts w:ascii="Verdana" w:hAnsi="Verdana"/>
          <w:sz w:val="16"/>
          <w:szCs w:val="16"/>
          <w:lang w:val="es-CR"/>
        </w:rPr>
        <w:t>Jefe del Ministerio Público de 28 de agosto del 2004 (</w:t>
      </w:r>
      <w:r>
        <w:rPr>
          <w:rFonts w:ascii="Verdana" w:hAnsi="Verdana"/>
          <w:sz w:val="16"/>
          <w:szCs w:val="16"/>
          <w:lang w:val="es-CR"/>
        </w:rPr>
        <w:t>e</w:t>
      </w:r>
      <w:r w:rsidRPr="007802D0">
        <w:rPr>
          <w:rFonts w:ascii="Verdana" w:hAnsi="Verdana"/>
          <w:sz w:val="16"/>
          <w:szCs w:val="16"/>
          <w:lang w:val="es-CR"/>
        </w:rPr>
        <w:t>xpediente ante la Comisión,</w:t>
      </w:r>
      <w:r>
        <w:rPr>
          <w:rFonts w:ascii="Verdana" w:hAnsi="Verdana"/>
          <w:sz w:val="16"/>
          <w:szCs w:val="16"/>
          <w:lang w:val="es-CR"/>
        </w:rPr>
        <w:t xml:space="preserve"> expediente judicial I parte,</w:t>
      </w:r>
      <w:r w:rsidRPr="007802D0">
        <w:rPr>
          <w:rFonts w:ascii="Verdana" w:hAnsi="Verdana"/>
          <w:sz w:val="16"/>
          <w:szCs w:val="16"/>
          <w:lang w:val="es-CR"/>
        </w:rPr>
        <w:t xml:space="preserve"> fs. 2</w:t>
      </w:r>
      <w:r>
        <w:rPr>
          <w:rFonts w:ascii="Verdana" w:hAnsi="Verdana"/>
          <w:sz w:val="16"/>
          <w:szCs w:val="16"/>
          <w:lang w:val="es-CR"/>
        </w:rPr>
        <w:t>,</w:t>
      </w:r>
      <w:r w:rsidRPr="007802D0">
        <w:rPr>
          <w:rFonts w:ascii="Verdana" w:hAnsi="Verdana"/>
          <w:sz w:val="16"/>
          <w:szCs w:val="16"/>
          <w:lang w:val="es-CR"/>
        </w:rPr>
        <w:t>869 al 2</w:t>
      </w:r>
      <w:r>
        <w:rPr>
          <w:rFonts w:ascii="Verdana" w:hAnsi="Verdana"/>
          <w:sz w:val="16"/>
          <w:szCs w:val="16"/>
          <w:lang w:val="es-CR"/>
        </w:rPr>
        <w:t>,</w:t>
      </w:r>
      <w:r w:rsidRPr="007802D0">
        <w:rPr>
          <w:rFonts w:ascii="Verdana" w:hAnsi="Verdana"/>
          <w:sz w:val="16"/>
          <w:szCs w:val="16"/>
          <w:lang w:val="es-CR"/>
        </w:rPr>
        <w:t xml:space="preserve">872). </w:t>
      </w:r>
    </w:p>
  </w:footnote>
  <w:footnote w:id="127">
    <w:p w:rsidR="0081535F" w:rsidRPr="0044025C" w:rsidRDefault="0081535F" w:rsidP="00422232">
      <w:pPr>
        <w:pStyle w:val="Textonotapie"/>
        <w:ind w:left="-180" w:right="-174"/>
        <w:jc w:val="both"/>
        <w:rPr>
          <w:rFonts w:ascii="Verdana" w:hAnsi="Verdana"/>
          <w:sz w:val="16"/>
          <w:szCs w:val="16"/>
        </w:rPr>
      </w:pPr>
      <w:r w:rsidRPr="001C2715">
        <w:rPr>
          <w:rStyle w:val="Refdenotaalpie"/>
          <w:rFonts w:ascii="Verdana" w:hAnsi="Verdana"/>
          <w:sz w:val="16"/>
          <w:szCs w:val="16"/>
        </w:rPr>
        <w:footnoteRef/>
      </w:r>
      <w:r w:rsidRPr="001C2715">
        <w:rPr>
          <w:rFonts w:ascii="Verdana" w:hAnsi="Verdana"/>
          <w:sz w:val="16"/>
          <w:szCs w:val="16"/>
        </w:rPr>
        <w:t xml:space="preserve"> </w:t>
      </w:r>
      <w:r w:rsidRPr="00682872">
        <w:rPr>
          <w:rFonts w:ascii="Verdana" w:hAnsi="Verdana" w:cs="Arial"/>
          <w:i/>
          <w:iCs/>
          <w:w w:val="95"/>
          <w:sz w:val="16"/>
          <w:szCs w:val="16"/>
          <w:lang w:val="es-CR"/>
        </w:rPr>
        <w:t>Cfr</w:t>
      </w:r>
      <w:r w:rsidRPr="00682872">
        <w:rPr>
          <w:rFonts w:ascii="Verdana" w:hAnsi="Verdana" w:cs="Arial"/>
          <w:iCs/>
          <w:w w:val="95"/>
          <w:sz w:val="16"/>
          <w:szCs w:val="16"/>
          <w:lang w:val="es-CR"/>
        </w:rPr>
        <w:t xml:space="preserve">. </w:t>
      </w:r>
      <w:r w:rsidRPr="00682872">
        <w:rPr>
          <w:rFonts w:ascii="Verdana" w:hAnsi="Verdana"/>
          <w:sz w:val="16"/>
          <w:szCs w:val="16"/>
          <w:lang w:val="es-CR"/>
        </w:rPr>
        <w:t xml:space="preserve">Oficio No. 1,131-2,001, </w:t>
      </w:r>
      <w:r w:rsidRPr="00682872">
        <w:rPr>
          <w:rFonts w:ascii="Verdana" w:hAnsi="Verdana"/>
          <w:i/>
          <w:sz w:val="16"/>
          <w:szCs w:val="16"/>
          <w:lang w:val="es-CR"/>
        </w:rPr>
        <w:t>supra</w:t>
      </w:r>
      <w:r w:rsidRPr="00682872">
        <w:rPr>
          <w:rFonts w:ascii="Verdana" w:hAnsi="Verdana" w:cs="Arial"/>
          <w:iCs/>
          <w:w w:val="95"/>
          <w:sz w:val="16"/>
          <w:szCs w:val="16"/>
          <w:lang w:val="es-CR"/>
        </w:rPr>
        <w:t xml:space="preserve">. </w:t>
      </w:r>
      <w:r w:rsidRPr="00682872">
        <w:rPr>
          <w:rFonts w:ascii="Verdana" w:hAnsi="Verdana" w:cs="Arial"/>
          <w:iCs/>
          <w:w w:val="95"/>
          <w:sz w:val="16"/>
          <w:szCs w:val="16"/>
          <w:lang w:val="es-CL"/>
        </w:rPr>
        <w:t>En relación a la toalla verde y a la toalla negra que aparecieron con el cuerpo hallado, se desprende del expediente una confusión al mencionar posteriormente una toalla azul, pese a ello, las partes no han controvertido que se trate de una toalla verde y una toalla negra.</w:t>
      </w:r>
      <w:r>
        <w:rPr>
          <w:rFonts w:ascii="Verdana" w:hAnsi="Verdana" w:cs="Arial"/>
          <w:iCs/>
          <w:w w:val="95"/>
          <w:sz w:val="16"/>
          <w:szCs w:val="16"/>
          <w:lang w:val="es-CL"/>
        </w:rPr>
        <w:t xml:space="preserve"> </w:t>
      </w:r>
      <w:r w:rsidRPr="00315B30">
        <w:rPr>
          <w:rFonts w:ascii="Verdana" w:hAnsi="Verdana" w:cs="Arial"/>
          <w:i/>
          <w:iCs/>
          <w:w w:val="95"/>
          <w:sz w:val="16"/>
          <w:szCs w:val="16"/>
          <w:lang w:val="es-CR"/>
        </w:rPr>
        <w:t>Ver también</w:t>
      </w:r>
      <w:r w:rsidRPr="00682872">
        <w:rPr>
          <w:rFonts w:ascii="Verdana" w:hAnsi="Verdana" w:cs="Arial"/>
          <w:iCs/>
          <w:w w:val="95"/>
          <w:sz w:val="16"/>
          <w:szCs w:val="16"/>
          <w:lang w:val="es-CR"/>
        </w:rPr>
        <w:t xml:space="preserve">, </w:t>
      </w:r>
      <w:r w:rsidRPr="00682872">
        <w:rPr>
          <w:rFonts w:ascii="Verdana" w:hAnsi="Verdana"/>
          <w:sz w:val="16"/>
          <w:szCs w:val="16"/>
          <w:lang w:val="es-CR"/>
        </w:rPr>
        <w:t>Dictamen No. BIOL-01-15-12</w:t>
      </w:r>
      <w:r w:rsidRPr="00682872">
        <w:rPr>
          <w:rFonts w:ascii="Verdana" w:hAnsi="Verdana" w:cs="Calibri"/>
          <w:sz w:val="16"/>
          <w:szCs w:val="16"/>
          <w:lang w:val="es-CR"/>
        </w:rPr>
        <w:t xml:space="preserve"> de la Sección de biología de la Dirección de Investigaciones Criminalísticas de 7 de enero de 2002 (</w:t>
      </w:r>
      <w:r w:rsidRPr="00682872">
        <w:rPr>
          <w:rFonts w:ascii="Verdana" w:hAnsi="Verdana"/>
          <w:sz w:val="16"/>
          <w:szCs w:val="16"/>
          <w:lang w:val="es-CR"/>
        </w:rPr>
        <w:t>expediente de anexos al Informe de Fondo, anexo 14, fs. 99 a 101), y Dictamen de</w:t>
      </w:r>
      <w:r w:rsidRPr="00682872">
        <w:rPr>
          <w:rFonts w:ascii="Verdana" w:hAnsi="Verdana" w:cs="Calibri"/>
          <w:sz w:val="16"/>
          <w:szCs w:val="16"/>
          <w:lang w:val="es-CR"/>
        </w:rPr>
        <w:t xml:space="preserve"> la Técnica en Investigaciones Criminalísticas I de 29 de diciembre de 2001 (</w:t>
      </w:r>
      <w:r w:rsidRPr="00682872">
        <w:rPr>
          <w:rFonts w:ascii="Verdana" w:hAnsi="Verdana"/>
          <w:sz w:val="16"/>
          <w:szCs w:val="16"/>
          <w:lang w:val="es-CR"/>
        </w:rPr>
        <w:t>expediente de anexos al Informe de Fondo, anexo 13, fs. 96 y 97).</w:t>
      </w:r>
    </w:p>
  </w:footnote>
  <w:footnote w:id="128">
    <w:p w:rsidR="0081535F" w:rsidRPr="007802D0" w:rsidRDefault="0081535F" w:rsidP="00422232">
      <w:pPr>
        <w:pStyle w:val="Textonotapie"/>
        <w:spacing w:line="19" w:lineRule="atLeast"/>
        <w:ind w:left="-180" w:right="-174"/>
        <w:jc w:val="both"/>
        <w:rPr>
          <w:rFonts w:ascii="Verdana" w:hAnsi="Verdana"/>
          <w:sz w:val="16"/>
          <w:szCs w:val="16"/>
        </w:rPr>
      </w:pPr>
      <w:r w:rsidRPr="003622B1">
        <w:rPr>
          <w:rFonts w:ascii="Verdana" w:hAnsi="Verdana"/>
          <w:sz w:val="16"/>
          <w:szCs w:val="16"/>
          <w:vertAlign w:val="superscript"/>
          <w:lang w:val="es-CR"/>
        </w:rPr>
        <w:footnoteRef/>
      </w:r>
      <w:r w:rsidRPr="007802D0">
        <w:rPr>
          <w:rFonts w:ascii="Verdana" w:hAnsi="Verdana"/>
          <w:sz w:val="16"/>
          <w:szCs w:val="16"/>
          <w:lang w:val="es-CR"/>
        </w:rPr>
        <w:t xml:space="preserve">  </w:t>
      </w:r>
      <w:r w:rsidRPr="00682872">
        <w:rPr>
          <w:rFonts w:ascii="Verdana" w:hAnsi="Verdana"/>
          <w:i/>
          <w:sz w:val="16"/>
          <w:szCs w:val="16"/>
          <w:lang w:val="es-CR"/>
        </w:rPr>
        <w:t>Cfr.</w:t>
      </w:r>
      <w:r w:rsidRPr="00682872">
        <w:rPr>
          <w:rFonts w:ascii="Verdana" w:hAnsi="Verdana"/>
          <w:sz w:val="16"/>
          <w:szCs w:val="16"/>
          <w:lang w:val="es-CR"/>
        </w:rPr>
        <w:t xml:space="preserve"> Acta de levantamiento de cadáver por la Auxiliar Fiscal I de la Agencia No. 5 de Mixco, </w:t>
      </w:r>
      <w:r w:rsidRPr="00682872">
        <w:rPr>
          <w:rFonts w:ascii="Verdana" w:hAnsi="Verdana"/>
          <w:i/>
          <w:sz w:val="16"/>
          <w:szCs w:val="16"/>
          <w:lang w:val="es-CR"/>
        </w:rPr>
        <w:t>supra</w:t>
      </w:r>
      <w:r w:rsidRPr="00682872">
        <w:rPr>
          <w:rFonts w:ascii="Verdana" w:hAnsi="Verdana"/>
          <w:sz w:val="16"/>
          <w:szCs w:val="16"/>
          <w:lang w:val="es-CR"/>
        </w:rPr>
        <w:t xml:space="preserve">; Ficha de remisión de cadáver de María Isabel Veliz Franco dirigida por la Auxiliar Fiscal I de la Agencia No. 5 de Mixco al médico forense para la necropsia de 18 de diciembre de 2001 (expediente de anexos al Informe de Fondo, anexo 4, fs. 66 a 67); Inspección ocular emitida por técnico de la Sección de Inspecciones Oculares del Servicio de Investigación Criminal de la Policía Nacional Civil, </w:t>
      </w:r>
      <w:r w:rsidRPr="00682872">
        <w:rPr>
          <w:rFonts w:ascii="Verdana" w:hAnsi="Verdana"/>
          <w:i/>
          <w:sz w:val="16"/>
          <w:szCs w:val="16"/>
          <w:lang w:val="es-CR"/>
        </w:rPr>
        <w:t xml:space="preserve">supra, </w:t>
      </w:r>
      <w:r w:rsidRPr="00682872">
        <w:rPr>
          <w:rFonts w:ascii="Verdana" w:hAnsi="Verdana"/>
          <w:sz w:val="16"/>
          <w:szCs w:val="16"/>
          <w:lang w:val="es-CR"/>
        </w:rPr>
        <w:t>y</w:t>
      </w:r>
      <w:r>
        <w:rPr>
          <w:rFonts w:ascii="Verdana" w:hAnsi="Verdana"/>
          <w:sz w:val="16"/>
          <w:szCs w:val="16"/>
          <w:lang w:val="es-CR"/>
        </w:rPr>
        <w:t xml:space="preserve"> </w:t>
      </w:r>
      <w:r w:rsidRPr="00682872">
        <w:rPr>
          <w:rFonts w:ascii="Verdana" w:hAnsi="Verdana"/>
          <w:sz w:val="16"/>
          <w:szCs w:val="16"/>
          <w:lang w:val="es-CR"/>
        </w:rPr>
        <w:t>Certificación médica de defunción de María Isabel Veliz Franco de 18 de diciembre de 2001 (expediente de anexos al escrito de solicitudes y argumentos, tomo I, anexo 9, f. 5,321).</w:t>
      </w:r>
    </w:p>
  </w:footnote>
  <w:footnote w:id="129">
    <w:p w:rsidR="0081535F" w:rsidRPr="007802D0" w:rsidRDefault="0081535F" w:rsidP="00422232">
      <w:pPr>
        <w:pStyle w:val="Prrafodelista"/>
        <w:autoSpaceDE w:val="0"/>
        <w:autoSpaceDN w:val="0"/>
        <w:adjustRightInd w:val="0"/>
        <w:spacing w:after="0" w:line="19" w:lineRule="atLeast"/>
        <w:ind w:left="-180" w:right="-174"/>
        <w:jc w:val="both"/>
        <w:rPr>
          <w:rFonts w:ascii="Verdana" w:hAnsi="Verdana" w:cs="Arial"/>
          <w:sz w:val="16"/>
          <w:szCs w:val="16"/>
          <w:lang w:val="es-CR"/>
        </w:rPr>
      </w:pPr>
      <w:r w:rsidRPr="007802D0">
        <w:rPr>
          <w:rStyle w:val="Refdenotaalpie"/>
          <w:rFonts w:ascii="Verdana" w:hAnsi="Verdana"/>
          <w:sz w:val="16"/>
          <w:szCs w:val="16"/>
        </w:rPr>
        <w:footnoteRef/>
      </w:r>
      <w:r w:rsidRPr="007802D0">
        <w:rPr>
          <w:rFonts w:ascii="Verdana" w:hAnsi="Verdana"/>
          <w:sz w:val="16"/>
          <w:szCs w:val="16"/>
          <w:lang w:val="es-CR"/>
        </w:rPr>
        <w:t xml:space="preserve"> </w:t>
      </w:r>
      <w:r w:rsidRPr="007802D0">
        <w:rPr>
          <w:rFonts w:ascii="Verdana" w:hAnsi="Verdana"/>
          <w:i/>
          <w:sz w:val="16"/>
          <w:szCs w:val="16"/>
          <w:lang w:val="es-CR"/>
        </w:rPr>
        <w:t>Cfr.</w:t>
      </w:r>
      <w:r w:rsidRPr="007802D0">
        <w:rPr>
          <w:rFonts w:ascii="Verdana" w:hAnsi="Verdana"/>
          <w:sz w:val="16"/>
          <w:szCs w:val="16"/>
          <w:lang w:val="es-CR"/>
        </w:rPr>
        <w:t xml:space="preserve"> Informe sobre averiguación del fallecimiento de 18 de diciembre de 2001 (</w:t>
      </w:r>
      <w:r>
        <w:rPr>
          <w:rFonts w:ascii="Verdana" w:hAnsi="Verdana"/>
          <w:sz w:val="16"/>
          <w:szCs w:val="16"/>
          <w:lang w:val="es-CR"/>
        </w:rPr>
        <w:t>e</w:t>
      </w:r>
      <w:r w:rsidRPr="007802D0">
        <w:rPr>
          <w:rFonts w:ascii="Verdana" w:hAnsi="Verdana"/>
          <w:sz w:val="16"/>
          <w:szCs w:val="16"/>
          <w:lang w:val="es-CR"/>
        </w:rPr>
        <w:t xml:space="preserve">xpediente de anexos al Informe de Fondo, anexo 4, fs. 63 a 65). </w:t>
      </w:r>
      <w:r w:rsidRPr="007802D0">
        <w:rPr>
          <w:rFonts w:ascii="Verdana" w:hAnsi="Verdana" w:cs="Arial"/>
          <w:sz w:val="16"/>
          <w:szCs w:val="16"/>
          <w:lang w:val="es-CR"/>
        </w:rPr>
        <w:t xml:space="preserve">Con respecto al aviso que según su manifestación se le hizo a los bomberos, no consta en el expediente </w:t>
      </w:r>
      <w:r w:rsidRPr="00BC705B">
        <w:rPr>
          <w:rFonts w:ascii="Verdana" w:hAnsi="Verdana" w:cs="Arial"/>
          <w:sz w:val="16"/>
          <w:szCs w:val="16"/>
          <w:lang w:val="es-CR"/>
        </w:rPr>
        <w:t>la presencia de bomberos en ningún momento.</w:t>
      </w:r>
      <w:r w:rsidRPr="007802D0">
        <w:rPr>
          <w:rFonts w:ascii="Verdana" w:hAnsi="Verdana" w:cs="Arial"/>
          <w:sz w:val="16"/>
          <w:szCs w:val="16"/>
          <w:lang w:val="es-CR"/>
        </w:rPr>
        <w:t xml:space="preserve"> </w:t>
      </w:r>
    </w:p>
  </w:footnote>
  <w:footnote w:id="130">
    <w:p w:rsidR="0081535F" w:rsidRPr="007802D0" w:rsidRDefault="0081535F" w:rsidP="00422232">
      <w:pPr>
        <w:pStyle w:val="Textonotapie"/>
        <w:spacing w:line="19" w:lineRule="atLeast"/>
        <w:ind w:left="-180" w:right="-174"/>
        <w:jc w:val="both"/>
        <w:rPr>
          <w:rFonts w:ascii="Verdana" w:hAnsi="Verdana"/>
          <w:sz w:val="16"/>
          <w:szCs w:val="16"/>
          <w:lang w:val="es-CR"/>
        </w:rPr>
      </w:pPr>
      <w:r w:rsidRPr="007802D0">
        <w:rPr>
          <w:rStyle w:val="Refdenotaalpie"/>
          <w:rFonts w:ascii="Verdana" w:hAnsi="Verdana"/>
          <w:sz w:val="16"/>
          <w:szCs w:val="16"/>
        </w:rPr>
        <w:footnoteRef/>
      </w:r>
      <w:r w:rsidRPr="007802D0">
        <w:rPr>
          <w:rFonts w:ascii="Verdana" w:hAnsi="Verdana"/>
          <w:sz w:val="16"/>
          <w:szCs w:val="16"/>
          <w:lang w:val="es-CR"/>
        </w:rPr>
        <w:t xml:space="preserve"> </w:t>
      </w:r>
      <w:r w:rsidRPr="007802D0">
        <w:rPr>
          <w:rFonts w:ascii="Verdana" w:hAnsi="Verdana"/>
          <w:i/>
          <w:sz w:val="16"/>
          <w:szCs w:val="16"/>
          <w:lang w:val="es-CR"/>
        </w:rPr>
        <w:t>Cfr.</w:t>
      </w:r>
      <w:r w:rsidRPr="007802D0">
        <w:rPr>
          <w:rFonts w:ascii="Verdana" w:hAnsi="Verdana"/>
          <w:sz w:val="16"/>
          <w:szCs w:val="16"/>
          <w:lang w:val="es-CR"/>
        </w:rPr>
        <w:t xml:space="preserve"> Informe sobre averiguación del fallecimiento</w:t>
      </w:r>
      <w:r>
        <w:rPr>
          <w:rFonts w:ascii="Verdana" w:hAnsi="Verdana"/>
          <w:sz w:val="16"/>
          <w:szCs w:val="16"/>
          <w:lang w:val="es-CR"/>
        </w:rPr>
        <w:t xml:space="preserve">, </w:t>
      </w:r>
      <w:r w:rsidRPr="0075245F">
        <w:rPr>
          <w:rFonts w:ascii="Verdana" w:hAnsi="Verdana"/>
          <w:i/>
          <w:sz w:val="16"/>
          <w:szCs w:val="16"/>
          <w:lang w:val="es-CR"/>
        </w:rPr>
        <w:t>supra</w:t>
      </w:r>
      <w:r w:rsidRPr="00122C63">
        <w:rPr>
          <w:rFonts w:ascii="Verdana" w:hAnsi="Verdana"/>
          <w:sz w:val="16"/>
          <w:szCs w:val="16"/>
          <w:lang w:val="es-CR"/>
        </w:rPr>
        <w:t>.</w:t>
      </w:r>
    </w:p>
  </w:footnote>
  <w:footnote w:id="131">
    <w:p w:rsidR="0081535F" w:rsidRPr="00725CB7" w:rsidRDefault="0081535F" w:rsidP="00422232">
      <w:pPr>
        <w:pStyle w:val="Textonotapie"/>
        <w:spacing w:line="19" w:lineRule="atLeast"/>
        <w:ind w:left="-180" w:right="-174"/>
        <w:jc w:val="both"/>
        <w:rPr>
          <w:rFonts w:ascii="Verdana" w:hAnsi="Verdana"/>
          <w:i/>
          <w:sz w:val="16"/>
          <w:szCs w:val="16"/>
          <w:lang w:val="es-CR"/>
        </w:rPr>
      </w:pPr>
      <w:r w:rsidRPr="007802D0">
        <w:rPr>
          <w:rStyle w:val="Refdenotaalpie"/>
          <w:rFonts w:ascii="Verdana" w:hAnsi="Verdana"/>
          <w:sz w:val="16"/>
          <w:szCs w:val="16"/>
        </w:rPr>
        <w:footnoteRef/>
      </w:r>
      <w:r w:rsidRPr="007802D0">
        <w:rPr>
          <w:rFonts w:ascii="Verdana" w:hAnsi="Verdana"/>
          <w:sz w:val="16"/>
          <w:szCs w:val="16"/>
          <w:lang w:val="es-CR"/>
        </w:rPr>
        <w:t xml:space="preserve"> </w:t>
      </w:r>
      <w:r w:rsidRPr="007802D0">
        <w:rPr>
          <w:rFonts w:ascii="Verdana" w:hAnsi="Verdana"/>
          <w:i/>
          <w:sz w:val="16"/>
          <w:szCs w:val="16"/>
          <w:lang w:val="es-CR"/>
        </w:rPr>
        <w:t>Cfr.</w:t>
      </w:r>
      <w:r w:rsidRPr="007802D0">
        <w:rPr>
          <w:rFonts w:ascii="Verdana" w:hAnsi="Verdana"/>
          <w:sz w:val="16"/>
          <w:szCs w:val="16"/>
          <w:lang w:val="es-CR"/>
        </w:rPr>
        <w:t xml:space="preserve"> Informe sobre averiguación del fallecimiento</w:t>
      </w:r>
      <w:r>
        <w:rPr>
          <w:rFonts w:ascii="Verdana" w:hAnsi="Verdana"/>
          <w:sz w:val="16"/>
          <w:szCs w:val="16"/>
          <w:lang w:val="es-CR"/>
        </w:rPr>
        <w:t xml:space="preserve">, </w:t>
      </w:r>
      <w:r w:rsidRPr="00725CB7">
        <w:rPr>
          <w:rFonts w:ascii="Verdana" w:hAnsi="Verdana"/>
          <w:i/>
          <w:sz w:val="16"/>
          <w:szCs w:val="16"/>
          <w:lang w:val="es-CR"/>
        </w:rPr>
        <w:t>supra</w:t>
      </w:r>
      <w:r w:rsidRPr="00122C63">
        <w:rPr>
          <w:rFonts w:ascii="Verdana" w:hAnsi="Verdana"/>
          <w:sz w:val="16"/>
          <w:szCs w:val="16"/>
          <w:lang w:val="es-CR"/>
        </w:rPr>
        <w:t>.</w:t>
      </w:r>
    </w:p>
  </w:footnote>
  <w:footnote w:id="132">
    <w:p w:rsidR="0081535F" w:rsidRDefault="0081535F" w:rsidP="00422232">
      <w:pPr>
        <w:pStyle w:val="Textonotapie"/>
        <w:spacing w:line="19" w:lineRule="atLeast"/>
        <w:ind w:left="-180" w:right="-174"/>
        <w:jc w:val="both"/>
        <w:rPr>
          <w:rFonts w:ascii="Verdana" w:hAnsi="Verdana"/>
          <w:sz w:val="16"/>
          <w:szCs w:val="16"/>
          <w:lang w:val="es-CR"/>
        </w:rPr>
      </w:pPr>
      <w:r w:rsidRPr="007802D0">
        <w:rPr>
          <w:rStyle w:val="Refdenotaalpie"/>
          <w:rFonts w:ascii="Verdana" w:hAnsi="Verdana"/>
          <w:sz w:val="16"/>
          <w:szCs w:val="16"/>
        </w:rPr>
        <w:footnoteRef/>
      </w:r>
      <w:r w:rsidRPr="007802D0">
        <w:rPr>
          <w:rFonts w:ascii="Verdana" w:hAnsi="Verdana"/>
          <w:sz w:val="16"/>
          <w:szCs w:val="16"/>
          <w:lang w:val="es-CR"/>
        </w:rPr>
        <w:t xml:space="preserve"> </w:t>
      </w:r>
      <w:r w:rsidRPr="007802D0">
        <w:rPr>
          <w:rFonts w:ascii="Verdana" w:hAnsi="Verdana"/>
          <w:i/>
          <w:sz w:val="16"/>
          <w:szCs w:val="16"/>
          <w:lang w:val="es-CR"/>
        </w:rPr>
        <w:t>Cfr.</w:t>
      </w:r>
      <w:r w:rsidRPr="007802D0">
        <w:rPr>
          <w:rFonts w:ascii="Verdana" w:hAnsi="Verdana"/>
          <w:sz w:val="16"/>
          <w:szCs w:val="16"/>
          <w:lang w:val="es-CR"/>
        </w:rPr>
        <w:t xml:space="preserve"> </w:t>
      </w:r>
      <w:r>
        <w:rPr>
          <w:rFonts w:ascii="Verdana" w:hAnsi="Verdana"/>
          <w:sz w:val="16"/>
          <w:szCs w:val="16"/>
          <w:lang w:val="es-CR"/>
        </w:rPr>
        <w:t xml:space="preserve">Informe de la Sección contra Homicidios del Servicio de Investigación Criminal de la Policía Nacional Civil, </w:t>
      </w:r>
      <w:r>
        <w:rPr>
          <w:rFonts w:ascii="Verdana" w:hAnsi="Verdana"/>
          <w:i/>
          <w:sz w:val="16"/>
          <w:szCs w:val="16"/>
          <w:lang w:val="es-CR"/>
        </w:rPr>
        <w:t>supra</w:t>
      </w:r>
      <w:r w:rsidRPr="00122C63">
        <w:rPr>
          <w:rFonts w:ascii="Verdana" w:hAnsi="Verdana"/>
          <w:sz w:val="16"/>
          <w:szCs w:val="16"/>
          <w:lang w:val="es-CR"/>
        </w:rPr>
        <w:t>.</w:t>
      </w:r>
    </w:p>
  </w:footnote>
  <w:footnote w:id="133">
    <w:p w:rsidR="0081535F" w:rsidRPr="007802D0" w:rsidRDefault="0081535F" w:rsidP="00422232">
      <w:pPr>
        <w:pStyle w:val="Textonotapie"/>
        <w:spacing w:line="19" w:lineRule="atLeast"/>
        <w:ind w:left="-180" w:right="-174"/>
        <w:jc w:val="both"/>
        <w:rPr>
          <w:rFonts w:ascii="Verdana" w:hAnsi="Verdana"/>
          <w:sz w:val="16"/>
          <w:szCs w:val="16"/>
          <w:lang w:val="es-CR"/>
        </w:rPr>
      </w:pPr>
      <w:r w:rsidRPr="007802D0">
        <w:rPr>
          <w:rStyle w:val="Refdenotaalpie"/>
          <w:rFonts w:ascii="Verdana" w:hAnsi="Verdana"/>
          <w:sz w:val="16"/>
          <w:szCs w:val="16"/>
        </w:rPr>
        <w:footnoteRef/>
      </w:r>
      <w:r w:rsidRPr="007802D0">
        <w:rPr>
          <w:rFonts w:ascii="Verdana" w:hAnsi="Verdana"/>
          <w:sz w:val="16"/>
          <w:szCs w:val="16"/>
          <w:lang w:val="es-CR"/>
        </w:rPr>
        <w:t xml:space="preserve"> </w:t>
      </w:r>
      <w:r w:rsidRPr="007802D0">
        <w:rPr>
          <w:rFonts w:ascii="Verdana" w:hAnsi="Verdana"/>
          <w:i/>
          <w:sz w:val="16"/>
          <w:szCs w:val="16"/>
          <w:lang w:val="es-CR"/>
        </w:rPr>
        <w:t>Cfr.</w:t>
      </w:r>
      <w:r w:rsidRPr="007802D0">
        <w:rPr>
          <w:rFonts w:ascii="Verdana" w:hAnsi="Verdana"/>
          <w:sz w:val="16"/>
          <w:szCs w:val="16"/>
          <w:lang w:val="es-CR"/>
        </w:rPr>
        <w:t xml:space="preserve"> Certificación médica de defunción de María Isabel V</w:t>
      </w:r>
      <w:r>
        <w:rPr>
          <w:rFonts w:ascii="Verdana" w:hAnsi="Verdana"/>
          <w:sz w:val="16"/>
          <w:szCs w:val="16"/>
          <w:lang w:val="es-CR"/>
        </w:rPr>
        <w:t>e</w:t>
      </w:r>
      <w:r w:rsidRPr="007802D0">
        <w:rPr>
          <w:rFonts w:ascii="Verdana" w:hAnsi="Verdana"/>
          <w:sz w:val="16"/>
          <w:szCs w:val="16"/>
          <w:lang w:val="es-CR"/>
        </w:rPr>
        <w:t>liz Franco</w:t>
      </w:r>
      <w:r>
        <w:rPr>
          <w:rFonts w:ascii="Verdana" w:hAnsi="Verdana"/>
          <w:sz w:val="16"/>
          <w:szCs w:val="16"/>
          <w:lang w:val="es-CR"/>
        </w:rPr>
        <w:t xml:space="preserve">, </w:t>
      </w:r>
      <w:r>
        <w:rPr>
          <w:rFonts w:ascii="Verdana" w:hAnsi="Verdana"/>
          <w:i/>
          <w:sz w:val="16"/>
          <w:szCs w:val="16"/>
          <w:lang w:val="es-CR"/>
        </w:rPr>
        <w:t>supra</w:t>
      </w:r>
      <w:r w:rsidRPr="00122C63">
        <w:rPr>
          <w:rFonts w:ascii="Verdana" w:hAnsi="Verdana"/>
          <w:sz w:val="16"/>
          <w:szCs w:val="16"/>
          <w:lang w:val="es-CR"/>
        </w:rPr>
        <w:t>.</w:t>
      </w:r>
    </w:p>
  </w:footnote>
  <w:footnote w:id="134">
    <w:p w:rsidR="0081535F" w:rsidRPr="007802D0" w:rsidRDefault="0081535F" w:rsidP="00422232">
      <w:pPr>
        <w:spacing w:after="0" w:line="19" w:lineRule="atLeast"/>
        <w:ind w:left="-180" w:right="-174"/>
        <w:jc w:val="both"/>
        <w:textAlignment w:val="baseline"/>
        <w:rPr>
          <w:rFonts w:ascii="Verdana" w:hAnsi="Verdana" w:cs="Arial"/>
          <w:color w:val="444444"/>
          <w:sz w:val="16"/>
          <w:szCs w:val="16"/>
          <w:lang w:val="es-CR"/>
        </w:rPr>
      </w:pPr>
      <w:r w:rsidRPr="007802D0">
        <w:rPr>
          <w:rStyle w:val="Refdenotaalpie"/>
          <w:rFonts w:ascii="Verdana" w:hAnsi="Verdana"/>
          <w:sz w:val="16"/>
          <w:szCs w:val="16"/>
        </w:rPr>
        <w:footnoteRef/>
      </w:r>
      <w:r w:rsidRPr="007802D0">
        <w:rPr>
          <w:rFonts w:ascii="Verdana" w:hAnsi="Verdana"/>
          <w:sz w:val="16"/>
          <w:szCs w:val="16"/>
          <w:lang w:val="es-CR"/>
        </w:rPr>
        <w:t xml:space="preserve"> </w:t>
      </w:r>
      <w:r w:rsidRPr="007802D0">
        <w:rPr>
          <w:rFonts w:ascii="Verdana" w:hAnsi="Verdana"/>
          <w:i/>
          <w:sz w:val="16"/>
          <w:szCs w:val="16"/>
          <w:lang w:val="es-CR"/>
        </w:rPr>
        <w:t>Cfr.</w:t>
      </w:r>
      <w:r w:rsidRPr="007802D0">
        <w:rPr>
          <w:rFonts w:ascii="Verdana" w:hAnsi="Verdana"/>
          <w:sz w:val="16"/>
          <w:szCs w:val="16"/>
          <w:lang w:val="es-CR"/>
        </w:rPr>
        <w:t xml:space="preserve"> </w:t>
      </w:r>
      <w:r>
        <w:rPr>
          <w:rFonts w:ascii="Verdana" w:hAnsi="Verdana"/>
          <w:sz w:val="16"/>
          <w:szCs w:val="16"/>
          <w:lang w:val="es-CR"/>
        </w:rPr>
        <w:t>Informe del Sistema 110 de Información Confidencial de la Policía Nacional Civil de 18 de diciembre de 2001</w:t>
      </w:r>
      <w:r w:rsidRPr="007802D0">
        <w:rPr>
          <w:rFonts w:ascii="Verdana" w:hAnsi="Verdana"/>
          <w:sz w:val="16"/>
          <w:szCs w:val="16"/>
          <w:lang w:val="es-CR"/>
        </w:rPr>
        <w:t xml:space="preserve"> (</w:t>
      </w:r>
      <w:r>
        <w:rPr>
          <w:rFonts w:ascii="Verdana" w:hAnsi="Verdana"/>
          <w:sz w:val="16"/>
          <w:szCs w:val="16"/>
          <w:lang w:val="es-CR"/>
        </w:rPr>
        <w:t>e</w:t>
      </w:r>
      <w:r w:rsidRPr="007802D0">
        <w:rPr>
          <w:rFonts w:ascii="Verdana" w:hAnsi="Verdana"/>
          <w:sz w:val="16"/>
          <w:szCs w:val="16"/>
          <w:lang w:val="es-CR"/>
        </w:rPr>
        <w:t xml:space="preserve">xpediente de anexos al Informe de Fondo, anexo 6, f. </w:t>
      </w:r>
      <w:r w:rsidRPr="00D36B0B">
        <w:rPr>
          <w:rFonts w:ascii="Verdana" w:hAnsi="Verdana"/>
          <w:sz w:val="16"/>
          <w:szCs w:val="16"/>
          <w:lang w:val="es-CR"/>
        </w:rPr>
        <w:t>73).</w:t>
      </w:r>
      <w:r w:rsidRPr="007802D0">
        <w:rPr>
          <w:rFonts w:ascii="Verdana" w:hAnsi="Verdana"/>
          <w:sz w:val="16"/>
          <w:szCs w:val="16"/>
          <w:lang w:val="es-CR"/>
        </w:rPr>
        <w:t xml:space="preserve"> Según se desprend</w:t>
      </w:r>
      <w:r w:rsidRPr="00E728A2">
        <w:rPr>
          <w:rFonts w:ascii="Verdana" w:hAnsi="Verdana"/>
          <w:sz w:val="16"/>
          <w:szCs w:val="16"/>
          <w:lang w:val="es-CR"/>
        </w:rPr>
        <w:t>e de los anexos</w:t>
      </w:r>
      <w:r w:rsidRPr="007802D0">
        <w:rPr>
          <w:rFonts w:ascii="Verdana" w:hAnsi="Verdana"/>
          <w:sz w:val="16"/>
          <w:szCs w:val="16"/>
          <w:lang w:val="es-CR"/>
        </w:rPr>
        <w:t xml:space="preserve"> presentados por el Estado “un informe de la PNC al sistema 110 recibió una llamada de un informante anónimo. El número 110 es el número de emergencias y denuncias de la PNC, funciona las 24 horas del día durante todo el año. De acuerdo a la primera llamada que recibió la PNC, y la segunda que recibió el sistema 110, no coinciden las direcciones del lugar donde se encontró el cadáver. En la primera llamada anónima se da la siguiente dirección: 21 avenida, frente a 4-48, zona 8 de Mixco, San Cristobal II. De acuerdo a lo que se desprende de la segunda llamada, la dirección que se recibió fue: en la 6ta calle 5-24, Colonia Nueva Monserrat, zona 7. </w:t>
      </w:r>
    </w:p>
  </w:footnote>
  <w:footnote w:id="135">
    <w:p w:rsidR="0081535F" w:rsidRPr="00725CB7" w:rsidRDefault="0081535F" w:rsidP="00422232">
      <w:pPr>
        <w:pStyle w:val="Textonotapie"/>
        <w:spacing w:line="19" w:lineRule="atLeast"/>
        <w:ind w:left="-180" w:right="-174"/>
        <w:jc w:val="both"/>
        <w:rPr>
          <w:rFonts w:ascii="Verdana" w:hAnsi="Verdana"/>
          <w:i/>
          <w:sz w:val="16"/>
          <w:szCs w:val="16"/>
          <w:lang w:val="es-CR"/>
        </w:rPr>
      </w:pPr>
      <w:r w:rsidRPr="007802D0">
        <w:rPr>
          <w:rStyle w:val="Refdenotaalpie"/>
          <w:rFonts w:ascii="Verdana" w:hAnsi="Verdana"/>
          <w:sz w:val="16"/>
          <w:szCs w:val="16"/>
        </w:rPr>
        <w:footnoteRef/>
      </w:r>
      <w:r w:rsidRPr="007802D0">
        <w:rPr>
          <w:rFonts w:ascii="Verdana" w:hAnsi="Verdana"/>
          <w:sz w:val="16"/>
          <w:szCs w:val="16"/>
          <w:lang w:val="es-CR"/>
        </w:rPr>
        <w:t xml:space="preserve"> </w:t>
      </w:r>
      <w:r w:rsidRPr="007802D0">
        <w:rPr>
          <w:rFonts w:ascii="Verdana" w:hAnsi="Verdana"/>
          <w:i/>
          <w:sz w:val="16"/>
          <w:szCs w:val="16"/>
          <w:lang w:val="es-CR"/>
        </w:rPr>
        <w:t>Cfr.</w:t>
      </w:r>
      <w:r w:rsidRPr="003A491F">
        <w:rPr>
          <w:rFonts w:ascii="Verdana" w:hAnsi="Verdana"/>
          <w:sz w:val="16"/>
          <w:szCs w:val="16"/>
          <w:lang w:val="es-CR"/>
        </w:rPr>
        <w:t xml:space="preserve"> </w:t>
      </w:r>
      <w:r>
        <w:rPr>
          <w:rFonts w:ascii="Verdana" w:hAnsi="Verdana"/>
          <w:sz w:val="16"/>
          <w:szCs w:val="16"/>
          <w:lang w:val="es-CR"/>
        </w:rPr>
        <w:t xml:space="preserve">Informe de la Sección contra Homicidios del Servicio de Investigación Criminal de la Policía Nacional Civil, </w:t>
      </w:r>
      <w:r w:rsidRPr="00122C63">
        <w:rPr>
          <w:rFonts w:ascii="Verdana" w:hAnsi="Verdana"/>
          <w:i/>
          <w:sz w:val="16"/>
          <w:szCs w:val="16"/>
          <w:lang w:val="es-CR"/>
        </w:rPr>
        <w:t>supra</w:t>
      </w:r>
      <w:r w:rsidRPr="00122C63">
        <w:rPr>
          <w:rFonts w:ascii="Verdana" w:hAnsi="Verdana"/>
          <w:sz w:val="16"/>
          <w:szCs w:val="16"/>
          <w:lang w:val="es-CR"/>
        </w:rPr>
        <w:t>.</w:t>
      </w:r>
    </w:p>
  </w:footnote>
  <w:footnote w:id="136">
    <w:p w:rsidR="0081535F" w:rsidRPr="007802D0" w:rsidRDefault="0081535F" w:rsidP="00422232">
      <w:pPr>
        <w:pStyle w:val="Textonotapie"/>
        <w:spacing w:line="19" w:lineRule="atLeast"/>
        <w:ind w:left="-180" w:right="-174"/>
        <w:jc w:val="both"/>
        <w:rPr>
          <w:rFonts w:ascii="Verdana" w:hAnsi="Verdana"/>
          <w:sz w:val="16"/>
          <w:szCs w:val="16"/>
          <w:lang w:val="es-CR"/>
        </w:rPr>
      </w:pPr>
      <w:r w:rsidRPr="007802D0">
        <w:rPr>
          <w:rStyle w:val="Refdenotaalpie"/>
          <w:rFonts w:ascii="Verdana" w:hAnsi="Verdana"/>
          <w:sz w:val="16"/>
          <w:szCs w:val="16"/>
        </w:rPr>
        <w:footnoteRef/>
      </w:r>
      <w:r w:rsidRPr="007802D0">
        <w:rPr>
          <w:rFonts w:ascii="Verdana" w:hAnsi="Verdana"/>
          <w:sz w:val="16"/>
          <w:szCs w:val="16"/>
          <w:lang w:val="es-CR"/>
        </w:rPr>
        <w:t xml:space="preserve"> </w:t>
      </w:r>
      <w:r w:rsidRPr="007802D0">
        <w:rPr>
          <w:rFonts w:ascii="Verdana" w:hAnsi="Verdana"/>
          <w:i/>
          <w:sz w:val="16"/>
          <w:szCs w:val="16"/>
          <w:lang w:val="es-CR"/>
        </w:rPr>
        <w:t>Cfr.</w:t>
      </w:r>
      <w:r>
        <w:rPr>
          <w:rFonts w:ascii="Verdana" w:hAnsi="Verdana"/>
          <w:sz w:val="16"/>
          <w:szCs w:val="16"/>
          <w:lang w:val="es-CR"/>
        </w:rPr>
        <w:t xml:space="preserve"> Oficio No. </w:t>
      </w:r>
      <w:r w:rsidRPr="007802D0">
        <w:rPr>
          <w:rFonts w:ascii="Verdana" w:hAnsi="Verdana"/>
          <w:sz w:val="16"/>
          <w:szCs w:val="16"/>
          <w:lang w:val="es-CR"/>
        </w:rPr>
        <w:t>2727-01/</w:t>
      </w:r>
      <w:r w:rsidRPr="00BB7D8E">
        <w:rPr>
          <w:rFonts w:ascii="Verdana" w:hAnsi="Verdana"/>
          <w:sz w:val="16"/>
          <w:szCs w:val="16"/>
          <w:lang w:val="es-CR"/>
        </w:rPr>
        <w:t>SIC</w:t>
      </w:r>
      <w:r w:rsidRPr="007802D0">
        <w:rPr>
          <w:rFonts w:ascii="Verdana" w:hAnsi="Verdana"/>
          <w:sz w:val="16"/>
          <w:szCs w:val="16"/>
          <w:lang w:val="es-CR"/>
        </w:rPr>
        <w:t xml:space="preserve"> emitido por el Auxiliar del Ministerio Público dirigido a la Dirección de Investigaciones Criminalísticas del Ministerio Público de 19 de diciembre de 2001 (</w:t>
      </w:r>
      <w:r>
        <w:rPr>
          <w:rFonts w:ascii="Verdana" w:hAnsi="Verdana"/>
          <w:sz w:val="16"/>
          <w:szCs w:val="16"/>
          <w:lang w:val="es-CR"/>
        </w:rPr>
        <w:t>e</w:t>
      </w:r>
      <w:r w:rsidRPr="007802D0">
        <w:rPr>
          <w:rFonts w:ascii="Verdana" w:hAnsi="Verdana"/>
          <w:sz w:val="16"/>
          <w:szCs w:val="16"/>
          <w:lang w:val="es-CR"/>
        </w:rPr>
        <w:t>xpediente de anexos al Informe de Fondo, anexo 12, f. 94).</w:t>
      </w:r>
    </w:p>
  </w:footnote>
  <w:footnote w:id="137">
    <w:p w:rsidR="0081535F" w:rsidRPr="007802D0" w:rsidRDefault="0081535F" w:rsidP="00422232">
      <w:pPr>
        <w:pStyle w:val="Textonotapie"/>
        <w:spacing w:line="19" w:lineRule="atLeast"/>
        <w:ind w:left="-180" w:right="-174"/>
        <w:jc w:val="both"/>
        <w:rPr>
          <w:rFonts w:ascii="Verdana" w:hAnsi="Verdana"/>
          <w:sz w:val="16"/>
          <w:szCs w:val="16"/>
          <w:lang w:val="es-CR"/>
        </w:rPr>
      </w:pPr>
      <w:r w:rsidRPr="007802D0">
        <w:rPr>
          <w:rStyle w:val="Refdenotaalpie"/>
          <w:rFonts w:ascii="Verdana" w:hAnsi="Verdana"/>
          <w:sz w:val="16"/>
          <w:szCs w:val="16"/>
        </w:rPr>
        <w:footnoteRef/>
      </w:r>
      <w:r w:rsidRPr="007802D0">
        <w:rPr>
          <w:rFonts w:ascii="Verdana" w:hAnsi="Verdana"/>
          <w:sz w:val="16"/>
          <w:szCs w:val="16"/>
          <w:lang w:val="es-CR"/>
        </w:rPr>
        <w:t xml:space="preserve"> </w:t>
      </w:r>
      <w:r w:rsidRPr="007802D0">
        <w:rPr>
          <w:rFonts w:ascii="Verdana" w:hAnsi="Verdana"/>
          <w:i/>
          <w:sz w:val="16"/>
          <w:szCs w:val="16"/>
          <w:lang w:val="es-CR"/>
        </w:rPr>
        <w:t>Cfr.</w:t>
      </w:r>
      <w:r w:rsidRPr="007802D0">
        <w:rPr>
          <w:rFonts w:ascii="Verdana" w:hAnsi="Verdana"/>
          <w:sz w:val="16"/>
          <w:szCs w:val="16"/>
          <w:lang w:val="es-CR"/>
        </w:rPr>
        <w:t xml:space="preserve"> Oficio emitido por el Juzgado Octavo de Guatemala de 11 de marzo de 2002</w:t>
      </w:r>
      <w:r>
        <w:rPr>
          <w:rFonts w:ascii="Verdana" w:hAnsi="Verdana"/>
          <w:sz w:val="16"/>
          <w:szCs w:val="16"/>
          <w:lang w:val="es-CR"/>
        </w:rPr>
        <w:t xml:space="preserve"> </w:t>
      </w:r>
      <w:r w:rsidRPr="007802D0">
        <w:rPr>
          <w:rFonts w:ascii="Verdana" w:hAnsi="Verdana"/>
          <w:sz w:val="16"/>
          <w:szCs w:val="16"/>
          <w:lang w:val="es-CR"/>
        </w:rPr>
        <w:t>(</w:t>
      </w:r>
      <w:r>
        <w:rPr>
          <w:rFonts w:ascii="Verdana" w:hAnsi="Verdana"/>
          <w:sz w:val="16"/>
          <w:szCs w:val="16"/>
          <w:lang w:val="es-CR"/>
        </w:rPr>
        <w:t>e</w:t>
      </w:r>
      <w:r w:rsidRPr="007802D0">
        <w:rPr>
          <w:rFonts w:ascii="Verdana" w:hAnsi="Verdana"/>
          <w:sz w:val="16"/>
          <w:szCs w:val="16"/>
          <w:lang w:val="es-CR"/>
        </w:rPr>
        <w:t>xpediente de anexos al Informe de Fondo, anexo 18, fs. 114 y 115).</w:t>
      </w:r>
    </w:p>
  </w:footnote>
  <w:footnote w:id="138">
    <w:p w:rsidR="0081535F" w:rsidRPr="001D253C" w:rsidRDefault="0081535F" w:rsidP="00422232">
      <w:pPr>
        <w:pStyle w:val="Textonotapie"/>
        <w:spacing w:line="19" w:lineRule="atLeast"/>
        <w:ind w:left="-180" w:right="-174"/>
        <w:jc w:val="both"/>
        <w:rPr>
          <w:rFonts w:ascii="Verdana" w:hAnsi="Verdana"/>
          <w:sz w:val="16"/>
          <w:szCs w:val="16"/>
          <w:lang w:val="es-CR"/>
        </w:rPr>
      </w:pPr>
      <w:r w:rsidRPr="007802D0">
        <w:rPr>
          <w:rStyle w:val="Refdenotaalpie"/>
          <w:rFonts w:ascii="Verdana" w:hAnsi="Verdana"/>
          <w:sz w:val="16"/>
          <w:szCs w:val="16"/>
        </w:rPr>
        <w:footnoteRef/>
      </w:r>
      <w:r w:rsidRPr="007802D0">
        <w:rPr>
          <w:rFonts w:ascii="Verdana" w:hAnsi="Verdana"/>
          <w:sz w:val="16"/>
          <w:szCs w:val="16"/>
          <w:lang w:val="es-CR"/>
        </w:rPr>
        <w:t xml:space="preserve"> </w:t>
      </w:r>
      <w:r w:rsidRPr="007802D0">
        <w:rPr>
          <w:rFonts w:ascii="Verdana" w:hAnsi="Verdana"/>
          <w:i/>
          <w:sz w:val="16"/>
          <w:szCs w:val="16"/>
          <w:lang w:val="es-CR"/>
        </w:rPr>
        <w:t>Cfr.</w:t>
      </w:r>
      <w:r w:rsidRPr="007802D0">
        <w:rPr>
          <w:rFonts w:ascii="Verdana" w:hAnsi="Verdana"/>
          <w:sz w:val="16"/>
          <w:szCs w:val="16"/>
          <w:lang w:val="es-CR"/>
        </w:rPr>
        <w:t xml:space="preserve"> Ofici</w:t>
      </w:r>
      <w:r w:rsidRPr="001D253C">
        <w:rPr>
          <w:rFonts w:ascii="Verdana" w:hAnsi="Verdana"/>
          <w:sz w:val="16"/>
          <w:szCs w:val="16"/>
          <w:lang w:val="es-CR"/>
        </w:rPr>
        <w:t>o C-105-2002/6º emitido por el Juzgado de Primera Instancia de Mixco de 26 de marzo de 2002 (expediente de anexos a la contestación, anexo 2, fs. 12</w:t>
      </w:r>
      <w:r>
        <w:rPr>
          <w:rFonts w:ascii="Verdana" w:hAnsi="Verdana"/>
          <w:sz w:val="16"/>
          <w:szCs w:val="16"/>
          <w:lang w:val="es-CR"/>
        </w:rPr>
        <w:t>,</w:t>
      </w:r>
      <w:r w:rsidRPr="001D253C">
        <w:rPr>
          <w:rFonts w:ascii="Verdana" w:hAnsi="Verdana"/>
          <w:sz w:val="16"/>
          <w:szCs w:val="16"/>
          <w:lang w:val="es-CR"/>
        </w:rPr>
        <w:t>864 a 12</w:t>
      </w:r>
      <w:r>
        <w:rPr>
          <w:rFonts w:ascii="Verdana" w:hAnsi="Verdana"/>
          <w:sz w:val="16"/>
          <w:szCs w:val="16"/>
          <w:lang w:val="es-CR"/>
        </w:rPr>
        <w:t>,</w:t>
      </w:r>
      <w:r w:rsidRPr="001D253C">
        <w:rPr>
          <w:rFonts w:ascii="Verdana" w:hAnsi="Verdana"/>
          <w:sz w:val="16"/>
          <w:szCs w:val="16"/>
          <w:lang w:val="es-CR"/>
        </w:rPr>
        <w:t>868).</w:t>
      </w:r>
    </w:p>
  </w:footnote>
  <w:footnote w:id="139">
    <w:p w:rsidR="0081535F" w:rsidRPr="001D253C" w:rsidRDefault="0081535F" w:rsidP="00422232">
      <w:pPr>
        <w:pStyle w:val="Textonotapie"/>
        <w:spacing w:line="19" w:lineRule="atLeast"/>
        <w:ind w:left="-180" w:right="-174"/>
        <w:jc w:val="both"/>
        <w:rPr>
          <w:rFonts w:ascii="Verdana" w:hAnsi="Verdana"/>
          <w:sz w:val="16"/>
          <w:szCs w:val="16"/>
          <w:lang w:val="es-CR"/>
        </w:rPr>
      </w:pPr>
      <w:r w:rsidRPr="001D253C">
        <w:rPr>
          <w:rStyle w:val="Refdenotaalpie"/>
          <w:rFonts w:ascii="Verdana" w:hAnsi="Verdana"/>
          <w:sz w:val="16"/>
          <w:szCs w:val="16"/>
        </w:rPr>
        <w:footnoteRef/>
      </w:r>
      <w:r w:rsidRPr="001D253C">
        <w:rPr>
          <w:rFonts w:ascii="Verdana" w:hAnsi="Verdana"/>
          <w:sz w:val="16"/>
          <w:szCs w:val="16"/>
          <w:lang w:val="es-CR"/>
        </w:rPr>
        <w:t xml:space="preserve"> </w:t>
      </w:r>
      <w:r w:rsidRPr="001D253C">
        <w:rPr>
          <w:rFonts w:ascii="Verdana" w:hAnsi="Verdana"/>
          <w:i/>
          <w:sz w:val="16"/>
          <w:szCs w:val="16"/>
          <w:lang w:val="es-CR"/>
        </w:rPr>
        <w:t>Cfr.</w:t>
      </w:r>
      <w:r w:rsidRPr="001D253C">
        <w:rPr>
          <w:rFonts w:ascii="Verdana" w:hAnsi="Verdana"/>
          <w:sz w:val="16"/>
          <w:szCs w:val="16"/>
          <w:lang w:val="es-CR"/>
        </w:rPr>
        <w:t xml:space="preserve"> Oficio del Agente Fiscal de la Agencia No. 32 dirigido </w:t>
      </w:r>
      <w:r w:rsidRPr="008C23D3">
        <w:rPr>
          <w:rFonts w:ascii="Verdana" w:hAnsi="Verdana"/>
          <w:sz w:val="16"/>
          <w:szCs w:val="16"/>
          <w:lang w:val="es-CR"/>
        </w:rPr>
        <w:t>al Fiscal Distrital Adjunto de la Fiscalía Municipal de Mixco, de 17 de mayo de 2002 (expediente de anexos al escrito de solicitudes</w:t>
      </w:r>
      <w:r w:rsidRPr="001D253C">
        <w:rPr>
          <w:rFonts w:ascii="Verdana" w:hAnsi="Verdana"/>
          <w:sz w:val="16"/>
          <w:szCs w:val="16"/>
          <w:lang w:val="es-CR"/>
        </w:rPr>
        <w:t xml:space="preserve"> y argumentos, tomo I, Anexo 15, fs. 5</w:t>
      </w:r>
      <w:r>
        <w:rPr>
          <w:rFonts w:ascii="Verdana" w:hAnsi="Verdana"/>
          <w:sz w:val="16"/>
          <w:szCs w:val="16"/>
          <w:lang w:val="es-CR"/>
        </w:rPr>
        <w:t>,</w:t>
      </w:r>
      <w:r w:rsidRPr="001D253C">
        <w:rPr>
          <w:rFonts w:ascii="Verdana" w:hAnsi="Verdana"/>
          <w:sz w:val="16"/>
          <w:szCs w:val="16"/>
          <w:lang w:val="es-CR"/>
        </w:rPr>
        <w:t>351 y 5</w:t>
      </w:r>
      <w:r>
        <w:rPr>
          <w:rFonts w:ascii="Verdana" w:hAnsi="Verdana"/>
          <w:sz w:val="16"/>
          <w:szCs w:val="16"/>
          <w:lang w:val="es-CR"/>
        </w:rPr>
        <w:t>,</w:t>
      </w:r>
      <w:r w:rsidRPr="001D253C">
        <w:rPr>
          <w:rFonts w:ascii="Verdana" w:hAnsi="Verdana"/>
          <w:sz w:val="16"/>
          <w:szCs w:val="16"/>
          <w:lang w:val="es-CR"/>
        </w:rPr>
        <w:t>352).</w:t>
      </w:r>
    </w:p>
  </w:footnote>
  <w:footnote w:id="140">
    <w:p w:rsidR="0081535F" w:rsidRPr="007802D0" w:rsidRDefault="0081535F" w:rsidP="00422232">
      <w:pPr>
        <w:pStyle w:val="Textonotapie"/>
        <w:spacing w:line="19" w:lineRule="atLeast"/>
        <w:ind w:left="-180" w:right="-174"/>
        <w:jc w:val="both"/>
        <w:rPr>
          <w:rFonts w:ascii="Verdana" w:hAnsi="Verdana"/>
          <w:sz w:val="16"/>
          <w:szCs w:val="16"/>
          <w:lang w:val="es-CR"/>
        </w:rPr>
      </w:pPr>
      <w:r w:rsidRPr="001D253C">
        <w:rPr>
          <w:rStyle w:val="Refdenotaalpie"/>
          <w:rFonts w:ascii="Verdana" w:hAnsi="Verdana"/>
          <w:sz w:val="16"/>
          <w:szCs w:val="16"/>
        </w:rPr>
        <w:footnoteRef/>
      </w:r>
      <w:r w:rsidRPr="001D253C">
        <w:rPr>
          <w:rFonts w:ascii="Verdana" w:hAnsi="Verdana"/>
          <w:i/>
          <w:sz w:val="16"/>
          <w:szCs w:val="16"/>
          <w:lang w:val="es-CR"/>
        </w:rPr>
        <w:t xml:space="preserve"> Cfr.</w:t>
      </w:r>
      <w:r w:rsidRPr="001D253C">
        <w:rPr>
          <w:rFonts w:ascii="Verdana" w:hAnsi="Verdana"/>
          <w:sz w:val="16"/>
          <w:szCs w:val="16"/>
          <w:lang w:val="es-CR"/>
        </w:rPr>
        <w:t xml:space="preserve"> Oficio REF. M.P. 7897-01 C 105-02-of6°</w:t>
      </w:r>
      <w:r w:rsidRPr="007802D0">
        <w:rPr>
          <w:rFonts w:ascii="Verdana" w:hAnsi="Verdana"/>
          <w:sz w:val="16"/>
          <w:szCs w:val="16"/>
          <w:lang w:val="es-CR"/>
        </w:rPr>
        <w:t xml:space="preserve"> emitido </w:t>
      </w:r>
      <w:r w:rsidRPr="008C23D3">
        <w:rPr>
          <w:rFonts w:ascii="Verdana" w:hAnsi="Verdana"/>
          <w:sz w:val="16"/>
          <w:szCs w:val="16"/>
          <w:lang w:val="es-CR"/>
        </w:rPr>
        <w:t>por el Agente Fiscal de la Agencia No. 5 Mixco de</w:t>
      </w:r>
      <w:r w:rsidRPr="007802D0">
        <w:rPr>
          <w:rFonts w:ascii="Verdana" w:hAnsi="Verdana"/>
          <w:sz w:val="16"/>
          <w:szCs w:val="16"/>
          <w:lang w:val="es-CR"/>
        </w:rPr>
        <w:t xml:space="preserve"> </w:t>
      </w:r>
      <w:r>
        <w:rPr>
          <w:rFonts w:ascii="Verdana" w:hAnsi="Verdana"/>
          <w:sz w:val="16"/>
          <w:szCs w:val="16"/>
          <w:lang w:val="es-CR"/>
        </w:rPr>
        <w:t>11 de marzo</w:t>
      </w:r>
      <w:r w:rsidRPr="007802D0">
        <w:rPr>
          <w:rFonts w:ascii="Verdana" w:hAnsi="Verdana"/>
          <w:sz w:val="16"/>
          <w:szCs w:val="16"/>
          <w:lang w:val="es-CR"/>
        </w:rPr>
        <w:t xml:space="preserve"> de 2002 (</w:t>
      </w:r>
      <w:r>
        <w:rPr>
          <w:rFonts w:ascii="Verdana" w:hAnsi="Verdana"/>
          <w:sz w:val="16"/>
          <w:szCs w:val="16"/>
          <w:lang w:val="es-CR"/>
        </w:rPr>
        <w:t>e</w:t>
      </w:r>
      <w:r w:rsidRPr="007802D0">
        <w:rPr>
          <w:rFonts w:ascii="Verdana" w:hAnsi="Verdana"/>
          <w:sz w:val="16"/>
          <w:szCs w:val="16"/>
          <w:lang w:val="es-CR"/>
        </w:rPr>
        <w:t>xpediente de anexos a la contestación, anexo 2, fs. 12</w:t>
      </w:r>
      <w:r>
        <w:rPr>
          <w:rFonts w:ascii="Verdana" w:hAnsi="Verdana"/>
          <w:sz w:val="16"/>
          <w:szCs w:val="16"/>
          <w:lang w:val="es-CR"/>
        </w:rPr>
        <w:t>,</w:t>
      </w:r>
      <w:r w:rsidRPr="007802D0">
        <w:rPr>
          <w:rFonts w:ascii="Verdana" w:hAnsi="Verdana"/>
          <w:sz w:val="16"/>
          <w:szCs w:val="16"/>
          <w:lang w:val="es-CR"/>
        </w:rPr>
        <w:t>878 a 12</w:t>
      </w:r>
      <w:r>
        <w:rPr>
          <w:rFonts w:ascii="Verdana" w:hAnsi="Verdana"/>
          <w:sz w:val="16"/>
          <w:szCs w:val="16"/>
          <w:lang w:val="es-CR"/>
        </w:rPr>
        <w:t>,</w:t>
      </w:r>
      <w:r w:rsidRPr="007802D0">
        <w:rPr>
          <w:rFonts w:ascii="Verdana" w:hAnsi="Verdana"/>
          <w:sz w:val="16"/>
          <w:szCs w:val="16"/>
          <w:lang w:val="es-CR"/>
        </w:rPr>
        <w:t xml:space="preserve">890). </w:t>
      </w:r>
    </w:p>
  </w:footnote>
  <w:footnote w:id="141">
    <w:p w:rsidR="0081535F" w:rsidRPr="007802D0" w:rsidRDefault="0081535F" w:rsidP="00422232">
      <w:pPr>
        <w:pStyle w:val="Prrafodelista"/>
        <w:spacing w:after="0" w:line="19" w:lineRule="atLeast"/>
        <w:ind w:left="-180" w:right="-174"/>
        <w:jc w:val="both"/>
        <w:rPr>
          <w:rFonts w:ascii="Verdana" w:hAnsi="Verdana"/>
          <w:b/>
          <w:strike/>
          <w:sz w:val="16"/>
          <w:szCs w:val="16"/>
          <w:lang w:val="es-CR"/>
        </w:rPr>
      </w:pPr>
      <w:r w:rsidRPr="007802D0">
        <w:rPr>
          <w:rStyle w:val="Refdenotaalpie"/>
          <w:rFonts w:ascii="Verdana" w:hAnsi="Verdana"/>
          <w:sz w:val="16"/>
          <w:szCs w:val="16"/>
        </w:rPr>
        <w:footnoteRef/>
      </w:r>
      <w:r w:rsidRPr="007802D0">
        <w:rPr>
          <w:rFonts w:ascii="Verdana" w:hAnsi="Verdana"/>
          <w:sz w:val="16"/>
          <w:szCs w:val="16"/>
          <w:lang w:val="es-CR"/>
        </w:rPr>
        <w:t xml:space="preserve"> </w:t>
      </w:r>
      <w:r w:rsidRPr="007802D0">
        <w:rPr>
          <w:rFonts w:ascii="Verdana" w:hAnsi="Verdana"/>
          <w:i/>
          <w:sz w:val="16"/>
          <w:szCs w:val="16"/>
          <w:lang w:val="es-CR"/>
        </w:rPr>
        <w:t>Cfr.</w:t>
      </w:r>
      <w:r w:rsidRPr="007802D0">
        <w:rPr>
          <w:rFonts w:ascii="Verdana" w:hAnsi="Verdana"/>
          <w:sz w:val="16"/>
          <w:szCs w:val="16"/>
          <w:lang w:val="es-CR"/>
        </w:rPr>
        <w:t xml:space="preserve"> Oficio emitido por el Juzgado Primero de Mixco de 2 de septiembre de 2002 (</w:t>
      </w:r>
      <w:r>
        <w:rPr>
          <w:rFonts w:ascii="Verdana" w:hAnsi="Verdana"/>
          <w:sz w:val="16"/>
          <w:szCs w:val="16"/>
          <w:lang w:val="es-CR"/>
        </w:rPr>
        <w:t>e</w:t>
      </w:r>
      <w:r w:rsidRPr="007802D0">
        <w:rPr>
          <w:rFonts w:ascii="Verdana" w:hAnsi="Verdana"/>
          <w:sz w:val="16"/>
          <w:szCs w:val="16"/>
          <w:lang w:val="es-CR"/>
        </w:rPr>
        <w:t>xpediente de anexos al Informe de Fondo, anexo 20, fs. 122 y 123).</w:t>
      </w:r>
      <w:r w:rsidRPr="007802D0">
        <w:rPr>
          <w:rFonts w:ascii="Verdana" w:hAnsi="Verdana" w:cs="Calibri"/>
          <w:sz w:val="16"/>
          <w:szCs w:val="16"/>
          <w:lang w:val="es-CR"/>
        </w:rPr>
        <w:t xml:space="preserve"> Cabe señalar que un agente de la Fiscalía de Mixco dirigió un oficio con fecha 16 de septiembre de 2002 al Subsecretario Ejecutivo del Ministerio Público indicando que había recibido el expediente el 3 de junio de 2002, pero que no se había continuado con la investigación en la Fiscalía debido a que recibió instrucciones de su superior jerárquico para no continuar con ésta, ya que no les correspondía. Señaló que una vez que el Juez resolviera la declinatoria de competencia se enviaría el expediente a la Agencia No. 5 de Mixco. De igual manera señaló que se le llamó la atención por atender a la madre de la víctima.</w:t>
      </w:r>
      <w:r w:rsidRPr="007802D0">
        <w:rPr>
          <w:rFonts w:ascii="Verdana" w:hAnsi="Verdana"/>
          <w:i/>
          <w:sz w:val="16"/>
          <w:szCs w:val="16"/>
          <w:lang w:val="es-CR"/>
        </w:rPr>
        <w:t xml:space="preserve"> Cfr.</w:t>
      </w:r>
      <w:r w:rsidRPr="007802D0">
        <w:rPr>
          <w:rFonts w:ascii="Verdana" w:hAnsi="Verdana"/>
          <w:sz w:val="16"/>
          <w:szCs w:val="16"/>
          <w:lang w:val="es-CR"/>
        </w:rPr>
        <w:t xml:space="preserve"> Oficio emitido por agente de la Fiscalía de Mixco para el Sub-Secretario Ejecutivo del Ministerio Público de 16 de septiembre de 2002 (</w:t>
      </w:r>
      <w:r>
        <w:rPr>
          <w:rFonts w:ascii="Verdana" w:hAnsi="Verdana"/>
          <w:sz w:val="16"/>
          <w:szCs w:val="16"/>
          <w:lang w:val="es-CR"/>
        </w:rPr>
        <w:t>e</w:t>
      </w:r>
      <w:r w:rsidRPr="007802D0">
        <w:rPr>
          <w:rFonts w:ascii="Verdana" w:hAnsi="Verdana"/>
          <w:sz w:val="16"/>
          <w:szCs w:val="16"/>
          <w:lang w:val="es-CR"/>
        </w:rPr>
        <w:t>xpediente de anexos al Informe de Fondo, anexo 19, fs. 117 a 120).</w:t>
      </w:r>
    </w:p>
  </w:footnote>
  <w:footnote w:id="142">
    <w:p w:rsidR="0081535F" w:rsidRPr="007802D0" w:rsidRDefault="0081535F" w:rsidP="00422232">
      <w:pPr>
        <w:pStyle w:val="Textonotapie"/>
        <w:spacing w:line="19" w:lineRule="atLeast"/>
        <w:ind w:left="-180" w:right="-174"/>
        <w:jc w:val="both"/>
        <w:rPr>
          <w:rFonts w:ascii="Verdana" w:hAnsi="Verdana"/>
          <w:sz w:val="16"/>
          <w:szCs w:val="16"/>
          <w:lang w:val="es-CR"/>
        </w:rPr>
      </w:pPr>
      <w:r w:rsidRPr="007802D0">
        <w:rPr>
          <w:rStyle w:val="Refdenotaalpie"/>
          <w:rFonts w:ascii="Verdana" w:hAnsi="Verdana"/>
          <w:sz w:val="16"/>
          <w:szCs w:val="16"/>
        </w:rPr>
        <w:footnoteRef/>
      </w:r>
      <w:r w:rsidRPr="007802D0">
        <w:rPr>
          <w:rFonts w:ascii="Verdana" w:hAnsi="Verdana"/>
          <w:i/>
          <w:sz w:val="16"/>
          <w:szCs w:val="16"/>
          <w:lang w:val="es-CR"/>
        </w:rPr>
        <w:t xml:space="preserve"> Cfr.</w:t>
      </w:r>
      <w:r w:rsidRPr="007802D0">
        <w:rPr>
          <w:rFonts w:ascii="Verdana" w:hAnsi="Verdana"/>
          <w:sz w:val="16"/>
          <w:szCs w:val="16"/>
          <w:lang w:val="es-CR"/>
        </w:rPr>
        <w:t xml:space="preserve"> Oficio emitido por el Juzgado Octavo de Guatemala de 25 de septiembre de 2002 (</w:t>
      </w:r>
      <w:r>
        <w:rPr>
          <w:rFonts w:ascii="Verdana" w:hAnsi="Verdana"/>
          <w:sz w:val="16"/>
          <w:szCs w:val="16"/>
          <w:lang w:val="es-CR"/>
        </w:rPr>
        <w:t>e</w:t>
      </w:r>
      <w:r w:rsidRPr="007802D0">
        <w:rPr>
          <w:rFonts w:ascii="Verdana" w:hAnsi="Verdana"/>
          <w:sz w:val="16"/>
          <w:szCs w:val="16"/>
          <w:lang w:val="es-CR"/>
        </w:rPr>
        <w:t>xpediente de anexos al Informe de Fondo, anexo 21, fs. 125 y 126).</w:t>
      </w:r>
    </w:p>
  </w:footnote>
  <w:footnote w:id="143">
    <w:p w:rsidR="0081535F" w:rsidRPr="007802D0" w:rsidRDefault="0081535F" w:rsidP="00422232">
      <w:pPr>
        <w:pStyle w:val="Textonotapie"/>
        <w:spacing w:line="19" w:lineRule="atLeast"/>
        <w:ind w:left="-180" w:right="-174"/>
        <w:jc w:val="both"/>
        <w:rPr>
          <w:rFonts w:ascii="Verdana" w:hAnsi="Verdana"/>
          <w:sz w:val="16"/>
          <w:szCs w:val="16"/>
          <w:lang w:val="es-CR"/>
        </w:rPr>
      </w:pPr>
      <w:r w:rsidRPr="007802D0">
        <w:rPr>
          <w:rStyle w:val="Refdenotaalpie"/>
          <w:rFonts w:ascii="Verdana" w:hAnsi="Verdana"/>
          <w:sz w:val="16"/>
          <w:szCs w:val="16"/>
        </w:rPr>
        <w:footnoteRef/>
      </w:r>
      <w:r w:rsidRPr="007802D0">
        <w:rPr>
          <w:rFonts w:ascii="Verdana" w:hAnsi="Verdana"/>
          <w:sz w:val="16"/>
          <w:szCs w:val="16"/>
          <w:lang w:val="es-CR"/>
        </w:rPr>
        <w:t xml:space="preserve"> </w:t>
      </w:r>
      <w:r w:rsidRPr="007802D0">
        <w:rPr>
          <w:rFonts w:ascii="Verdana" w:hAnsi="Verdana"/>
          <w:i/>
          <w:sz w:val="16"/>
          <w:szCs w:val="16"/>
          <w:lang w:val="es-CR"/>
        </w:rPr>
        <w:t>Cfr.</w:t>
      </w:r>
      <w:r w:rsidRPr="007802D0">
        <w:rPr>
          <w:rFonts w:ascii="Verdana" w:hAnsi="Verdana"/>
          <w:sz w:val="16"/>
          <w:szCs w:val="16"/>
          <w:lang w:val="es-CR"/>
        </w:rPr>
        <w:t xml:space="preserve"> </w:t>
      </w:r>
      <w:r>
        <w:rPr>
          <w:rFonts w:ascii="Verdana" w:hAnsi="Verdana"/>
          <w:sz w:val="16"/>
          <w:szCs w:val="16"/>
          <w:lang w:val="es-CR"/>
        </w:rPr>
        <w:t xml:space="preserve">Resolución </w:t>
      </w:r>
      <w:r w:rsidRPr="007802D0">
        <w:rPr>
          <w:rFonts w:ascii="Verdana" w:hAnsi="Verdana"/>
          <w:sz w:val="16"/>
          <w:szCs w:val="16"/>
          <w:lang w:val="es-CR"/>
        </w:rPr>
        <w:t>Duda de competencia No. 93-2002 emitida por la Corte Suprema de Justicia Cámara Penal el 21 de noviembre de 2002 (</w:t>
      </w:r>
      <w:r>
        <w:rPr>
          <w:rFonts w:ascii="Verdana" w:hAnsi="Verdana"/>
          <w:sz w:val="16"/>
          <w:szCs w:val="16"/>
          <w:lang w:val="es-CR"/>
        </w:rPr>
        <w:t>e</w:t>
      </w:r>
      <w:r w:rsidRPr="007802D0">
        <w:rPr>
          <w:rFonts w:ascii="Verdana" w:hAnsi="Verdana"/>
          <w:sz w:val="16"/>
          <w:szCs w:val="16"/>
          <w:lang w:val="es-CR"/>
        </w:rPr>
        <w:t>xpediente de anexos al Informe de Fondo, anexo 22, fs. 129 a 132).</w:t>
      </w:r>
    </w:p>
  </w:footnote>
  <w:footnote w:id="144">
    <w:p w:rsidR="0081535F" w:rsidRPr="007802D0" w:rsidRDefault="0081535F" w:rsidP="00422232">
      <w:pPr>
        <w:pStyle w:val="Textonotapie"/>
        <w:spacing w:line="19" w:lineRule="atLeast"/>
        <w:ind w:left="-180" w:right="-174"/>
        <w:jc w:val="both"/>
        <w:rPr>
          <w:rFonts w:ascii="Verdana" w:hAnsi="Verdana"/>
          <w:sz w:val="16"/>
          <w:szCs w:val="16"/>
          <w:lang w:val="es-CR"/>
        </w:rPr>
      </w:pPr>
      <w:r w:rsidRPr="007802D0">
        <w:rPr>
          <w:rStyle w:val="Refdenotaalpie"/>
          <w:rFonts w:ascii="Verdana" w:hAnsi="Verdana"/>
          <w:sz w:val="16"/>
          <w:szCs w:val="16"/>
        </w:rPr>
        <w:footnoteRef/>
      </w:r>
      <w:r w:rsidRPr="007802D0">
        <w:rPr>
          <w:rFonts w:ascii="Verdana" w:hAnsi="Verdana"/>
          <w:sz w:val="16"/>
          <w:szCs w:val="16"/>
          <w:lang w:val="es-CR"/>
        </w:rPr>
        <w:t xml:space="preserve"> </w:t>
      </w:r>
      <w:r w:rsidRPr="007802D0">
        <w:rPr>
          <w:rFonts w:ascii="Verdana" w:hAnsi="Verdana"/>
          <w:i/>
          <w:sz w:val="16"/>
          <w:szCs w:val="16"/>
          <w:lang w:val="es-CR"/>
        </w:rPr>
        <w:t>Cfr.</w:t>
      </w:r>
      <w:r w:rsidRPr="007802D0">
        <w:rPr>
          <w:rFonts w:ascii="Verdana" w:hAnsi="Verdana"/>
          <w:sz w:val="16"/>
          <w:szCs w:val="16"/>
          <w:lang w:val="es-CR"/>
        </w:rPr>
        <w:t xml:space="preserve"> Informe del </w:t>
      </w:r>
      <w:r>
        <w:rPr>
          <w:rFonts w:ascii="Verdana" w:hAnsi="Verdana"/>
          <w:sz w:val="16"/>
          <w:szCs w:val="16"/>
          <w:lang w:val="es-CR"/>
        </w:rPr>
        <w:t>técnico en i</w:t>
      </w:r>
      <w:r w:rsidRPr="007802D0">
        <w:rPr>
          <w:rFonts w:ascii="Verdana" w:hAnsi="Verdana"/>
          <w:sz w:val="16"/>
          <w:szCs w:val="16"/>
          <w:lang w:val="es-CR"/>
        </w:rPr>
        <w:t>nvestiga</w:t>
      </w:r>
      <w:r>
        <w:rPr>
          <w:rFonts w:ascii="Verdana" w:hAnsi="Verdana"/>
          <w:sz w:val="16"/>
          <w:szCs w:val="16"/>
          <w:lang w:val="es-CR"/>
        </w:rPr>
        <w:t>ciones criminalísticas</w:t>
      </w:r>
      <w:r w:rsidRPr="007802D0">
        <w:rPr>
          <w:rFonts w:ascii="Verdana" w:hAnsi="Verdana"/>
          <w:sz w:val="16"/>
          <w:szCs w:val="16"/>
          <w:lang w:val="es-CR"/>
        </w:rPr>
        <w:t xml:space="preserve"> </w:t>
      </w:r>
      <w:r>
        <w:rPr>
          <w:rFonts w:ascii="Verdana" w:hAnsi="Verdana"/>
          <w:sz w:val="16"/>
          <w:szCs w:val="16"/>
          <w:lang w:val="es-CR"/>
        </w:rPr>
        <w:t xml:space="preserve">dirigido a la Agencia Fiscal No. 32 de Guatemala de 3 de diciembre del </w:t>
      </w:r>
      <w:r w:rsidRPr="00F77273">
        <w:rPr>
          <w:rFonts w:ascii="Verdana" w:hAnsi="Verdana"/>
          <w:sz w:val="16"/>
          <w:szCs w:val="16"/>
          <w:lang w:val="es-CR"/>
        </w:rPr>
        <w:t>200</w:t>
      </w:r>
      <w:r>
        <w:rPr>
          <w:rFonts w:ascii="Verdana" w:hAnsi="Verdana"/>
          <w:sz w:val="16"/>
          <w:szCs w:val="16"/>
          <w:lang w:val="es-CR"/>
        </w:rPr>
        <w:t>2</w:t>
      </w:r>
      <w:r w:rsidRPr="007802D0">
        <w:rPr>
          <w:rFonts w:ascii="Verdana" w:hAnsi="Verdana"/>
          <w:sz w:val="16"/>
          <w:szCs w:val="16"/>
          <w:lang w:val="es-CR"/>
        </w:rPr>
        <w:t xml:space="preserve"> (</w:t>
      </w:r>
      <w:r>
        <w:rPr>
          <w:rFonts w:ascii="Verdana" w:hAnsi="Verdana"/>
          <w:sz w:val="16"/>
          <w:szCs w:val="16"/>
          <w:lang w:val="es-CR"/>
        </w:rPr>
        <w:t>e</w:t>
      </w:r>
      <w:r w:rsidRPr="007802D0">
        <w:rPr>
          <w:rFonts w:ascii="Verdana" w:hAnsi="Verdana"/>
          <w:sz w:val="16"/>
          <w:szCs w:val="16"/>
          <w:lang w:val="es-CR"/>
        </w:rPr>
        <w:t xml:space="preserve">xpediente de </w:t>
      </w:r>
      <w:r>
        <w:rPr>
          <w:rFonts w:ascii="Verdana" w:hAnsi="Verdana"/>
          <w:sz w:val="16"/>
          <w:szCs w:val="16"/>
          <w:lang w:val="es-CR"/>
        </w:rPr>
        <w:t>a</w:t>
      </w:r>
      <w:r w:rsidRPr="007802D0">
        <w:rPr>
          <w:rFonts w:ascii="Verdana" w:hAnsi="Verdana"/>
          <w:sz w:val="16"/>
          <w:szCs w:val="16"/>
          <w:lang w:val="es-CR"/>
        </w:rPr>
        <w:t xml:space="preserve">nexos al escrito de solicitudes y argumentos, tomo </w:t>
      </w:r>
      <w:r>
        <w:rPr>
          <w:rFonts w:ascii="Verdana" w:hAnsi="Verdana"/>
          <w:sz w:val="16"/>
          <w:szCs w:val="16"/>
          <w:lang w:val="es-CR"/>
        </w:rPr>
        <w:t>I</w:t>
      </w:r>
      <w:r w:rsidRPr="007802D0">
        <w:rPr>
          <w:rFonts w:ascii="Verdana" w:hAnsi="Verdana"/>
          <w:sz w:val="16"/>
          <w:szCs w:val="16"/>
          <w:lang w:val="es-CR"/>
        </w:rPr>
        <w:t>, anexo 18, f. 5</w:t>
      </w:r>
      <w:r>
        <w:rPr>
          <w:rFonts w:ascii="Verdana" w:hAnsi="Verdana"/>
          <w:sz w:val="16"/>
          <w:szCs w:val="16"/>
          <w:lang w:val="es-CR"/>
        </w:rPr>
        <w:t>,</w:t>
      </w:r>
      <w:r w:rsidRPr="007802D0">
        <w:rPr>
          <w:rFonts w:ascii="Verdana" w:hAnsi="Verdana"/>
          <w:sz w:val="16"/>
          <w:szCs w:val="16"/>
          <w:lang w:val="es-CR"/>
        </w:rPr>
        <w:t>378).</w:t>
      </w:r>
    </w:p>
  </w:footnote>
  <w:footnote w:id="145">
    <w:p w:rsidR="0081535F" w:rsidRPr="007802D0" w:rsidRDefault="0081535F" w:rsidP="00422232">
      <w:pPr>
        <w:pStyle w:val="Textonotapie"/>
        <w:spacing w:line="19" w:lineRule="atLeast"/>
        <w:ind w:left="-180" w:right="-174"/>
        <w:jc w:val="both"/>
        <w:rPr>
          <w:rFonts w:ascii="Verdana" w:hAnsi="Verdana"/>
          <w:sz w:val="16"/>
          <w:szCs w:val="16"/>
          <w:lang w:val="es-CR"/>
        </w:rPr>
      </w:pPr>
      <w:r w:rsidRPr="007802D0">
        <w:rPr>
          <w:rStyle w:val="Refdenotaalpie"/>
          <w:rFonts w:ascii="Verdana" w:hAnsi="Verdana"/>
          <w:sz w:val="16"/>
          <w:szCs w:val="16"/>
        </w:rPr>
        <w:footnoteRef/>
      </w:r>
      <w:r w:rsidRPr="007802D0">
        <w:rPr>
          <w:rFonts w:ascii="Verdana" w:hAnsi="Verdana"/>
          <w:sz w:val="16"/>
          <w:szCs w:val="16"/>
          <w:lang w:val="es-CR"/>
        </w:rPr>
        <w:t xml:space="preserve"> </w:t>
      </w:r>
      <w:r w:rsidRPr="007802D0">
        <w:rPr>
          <w:rFonts w:ascii="Verdana" w:hAnsi="Verdana"/>
          <w:i/>
          <w:sz w:val="16"/>
          <w:szCs w:val="16"/>
          <w:lang w:val="es-CR"/>
        </w:rPr>
        <w:t>Cfr.</w:t>
      </w:r>
      <w:r w:rsidRPr="007802D0">
        <w:rPr>
          <w:rFonts w:ascii="Verdana" w:hAnsi="Verdana"/>
          <w:sz w:val="16"/>
          <w:szCs w:val="16"/>
          <w:lang w:val="es-CR"/>
        </w:rPr>
        <w:t xml:space="preserve"> Informe de los técnicos en investigación criminalística</w:t>
      </w:r>
      <w:r>
        <w:rPr>
          <w:rFonts w:ascii="Verdana" w:hAnsi="Verdana"/>
          <w:sz w:val="16"/>
          <w:szCs w:val="16"/>
          <w:lang w:val="es-CR"/>
        </w:rPr>
        <w:t xml:space="preserve"> dirigido a la Agencia Fiscal No. 32 de Guatemala</w:t>
      </w:r>
      <w:r w:rsidRPr="007802D0">
        <w:rPr>
          <w:rFonts w:ascii="Verdana" w:hAnsi="Verdana"/>
          <w:sz w:val="16"/>
          <w:szCs w:val="16"/>
          <w:lang w:val="es-CR"/>
        </w:rPr>
        <w:t xml:space="preserve"> de 20 de febrero de 2002 (</w:t>
      </w:r>
      <w:r>
        <w:rPr>
          <w:rFonts w:ascii="Verdana" w:hAnsi="Verdana"/>
          <w:sz w:val="16"/>
          <w:szCs w:val="16"/>
          <w:lang w:val="es-CR"/>
        </w:rPr>
        <w:t>e</w:t>
      </w:r>
      <w:r w:rsidRPr="007802D0">
        <w:rPr>
          <w:rFonts w:ascii="Verdana" w:hAnsi="Verdana"/>
          <w:sz w:val="16"/>
          <w:szCs w:val="16"/>
          <w:lang w:val="es-CR"/>
        </w:rPr>
        <w:t xml:space="preserve">xpediente </w:t>
      </w:r>
      <w:r>
        <w:rPr>
          <w:rFonts w:ascii="Verdana" w:hAnsi="Verdana"/>
          <w:sz w:val="16"/>
          <w:szCs w:val="16"/>
          <w:lang w:val="es-CR"/>
        </w:rPr>
        <w:t>ante la Comisión</w:t>
      </w:r>
      <w:r w:rsidRPr="007802D0">
        <w:rPr>
          <w:rFonts w:ascii="Verdana" w:hAnsi="Verdana"/>
          <w:sz w:val="16"/>
          <w:szCs w:val="16"/>
          <w:lang w:val="es-CR"/>
        </w:rPr>
        <w:t xml:space="preserve">, </w:t>
      </w:r>
      <w:r>
        <w:rPr>
          <w:rFonts w:ascii="Verdana" w:hAnsi="Verdana"/>
          <w:sz w:val="16"/>
          <w:szCs w:val="16"/>
          <w:lang w:val="es-CR"/>
        </w:rPr>
        <w:t>e</w:t>
      </w:r>
      <w:r w:rsidRPr="007802D0">
        <w:rPr>
          <w:rFonts w:ascii="Verdana" w:hAnsi="Verdana"/>
          <w:sz w:val="16"/>
          <w:szCs w:val="16"/>
          <w:lang w:val="es-CR"/>
        </w:rPr>
        <w:t xml:space="preserve">xpediente </w:t>
      </w:r>
      <w:r>
        <w:rPr>
          <w:rFonts w:ascii="Verdana" w:hAnsi="Verdana"/>
          <w:sz w:val="16"/>
          <w:szCs w:val="16"/>
          <w:lang w:val="es-CR"/>
        </w:rPr>
        <w:t>j</w:t>
      </w:r>
      <w:r w:rsidRPr="007802D0">
        <w:rPr>
          <w:rFonts w:ascii="Verdana" w:hAnsi="Verdana"/>
          <w:sz w:val="16"/>
          <w:szCs w:val="16"/>
          <w:lang w:val="es-CR"/>
        </w:rPr>
        <w:t>udicial I</w:t>
      </w:r>
      <w:r>
        <w:rPr>
          <w:rFonts w:ascii="Verdana" w:hAnsi="Verdana"/>
          <w:sz w:val="16"/>
          <w:szCs w:val="16"/>
          <w:lang w:val="es-CR"/>
        </w:rPr>
        <w:t xml:space="preserve"> parte</w:t>
      </w:r>
      <w:r w:rsidRPr="007802D0">
        <w:rPr>
          <w:rFonts w:ascii="Verdana" w:hAnsi="Verdana"/>
          <w:sz w:val="16"/>
          <w:szCs w:val="16"/>
          <w:lang w:val="es-CR"/>
        </w:rPr>
        <w:t>, f</w:t>
      </w:r>
      <w:r>
        <w:rPr>
          <w:rFonts w:ascii="Verdana" w:hAnsi="Verdana"/>
          <w:sz w:val="16"/>
          <w:szCs w:val="16"/>
          <w:lang w:val="es-CR"/>
        </w:rPr>
        <w:t>s</w:t>
      </w:r>
      <w:r w:rsidRPr="007802D0">
        <w:rPr>
          <w:rFonts w:ascii="Verdana" w:hAnsi="Verdana"/>
          <w:sz w:val="16"/>
          <w:szCs w:val="16"/>
          <w:lang w:val="es-CR"/>
        </w:rPr>
        <w:t xml:space="preserve">. </w:t>
      </w:r>
      <w:r>
        <w:rPr>
          <w:rFonts w:ascii="Verdana" w:hAnsi="Verdana"/>
          <w:sz w:val="16"/>
          <w:szCs w:val="16"/>
          <w:lang w:val="es-CR"/>
        </w:rPr>
        <w:t xml:space="preserve">2,805 a </w:t>
      </w:r>
      <w:r w:rsidRPr="007802D0">
        <w:rPr>
          <w:rFonts w:ascii="Verdana" w:hAnsi="Verdana"/>
          <w:sz w:val="16"/>
          <w:szCs w:val="16"/>
          <w:lang w:val="es-CR"/>
        </w:rPr>
        <w:t>2</w:t>
      </w:r>
      <w:r>
        <w:rPr>
          <w:rFonts w:ascii="Verdana" w:hAnsi="Verdana"/>
          <w:sz w:val="16"/>
          <w:szCs w:val="16"/>
          <w:lang w:val="es-CR"/>
        </w:rPr>
        <w:t>,</w:t>
      </w:r>
      <w:r w:rsidRPr="007802D0">
        <w:rPr>
          <w:rFonts w:ascii="Verdana" w:hAnsi="Verdana"/>
          <w:sz w:val="16"/>
          <w:szCs w:val="16"/>
          <w:lang w:val="es-CR"/>
        </w:rPr>
        <w:t>810).</w:t>
      </w:r>
    </w:p>
  </w:footnote>
  <w:footnote w:id="146">
    <w:p w:rsidR="0081535F" w:rsidRDefault="0081535F" w:rsidP="00422232">
      <w:pPr>
        <w:pStyle w:val="Textonotapie"/>
        <w:ind w:left="-180" w:right="-174"/>
        <w:jc w:val="both"/>
        <w:rPr>
          <w:rFonts w:ascii="Verdana" w:hAnsi="Verdana"/>
          <w:i/>
          <w:sz w:val="16"/>
          <w:szCs w:val="16"/>
          <w:vertAlign w:val="superscript"/>
        </w:rPr>
      </w:pPr>
      <w:r w:rsidRPr="003622B1">
        <w:rPr>
          <w:rStyle w:val="Refdenotaalpie"/>
          <w:rFonts w:ascii="Verdana" w:hAnsi="Verdana"/>
          <w:sz w:val="16"/>
          <w:szCs w:val="16"/>
        </w:rPr>
        <w:footnoteRef/>
      </w:r>
      <w:r w:rsidRPr="003622B1">
        <w:rPr>
          <w:rFonts w:ascii="Verdana" w:hAnsi="Verdana"/>
          <w:sz w:val="16"/>
          <w:szCs w:val="16"/>
          <w:vertAlign w:val="superscript"/>
        </w:rPr>
        <w:t xml:space="preserve"> </w:t>
      </w:r>
      <w:r>
        <w:rPr>
          <w:rFonts w:ascii="Verdana" w:hAnsi="Verdana"/>
          <w:sz w:val="16"/>
          <w:szCs w:val="16"/>
          <w:vertAlign w:val="superscript"/>
        </w:rPr>
        <w:t xml:space="preserve"> </w:t>
      </w:r>
      <w:r w:rsidRPr="00353432">
        <w:rPr>
          <w:rFonts w:ascii="Verdana" w:hAnsi="Verdana"/>
          <w:i/>
          <w:sz w:val="16"/>
          <w:szCs w:val="16"/>
          <w:lang w:val="es-CR"/>
        </w:rPr>
        <w:t>Cfr.</w:t>
      </w:r>
      <w:r w:rsidRPr="00353432">
        <w:rPr>
          <w:rFonts w:ascii="Verdana" w:hAnsi="Verdana"/>
          <w:sz w:val="16"/>
          <w:szCs w:val="16"/>
          <w:lang w:val="es-CR"/>
        </w:rPr>
        <w:t xml:space="preserve"> </w:t>
      </w:r>
      <w:r>
        <w:rPr>
          <w:rFonts w:ascii="Verdana" w:hAnsi="Verdana"/>
          <w:sz w:val="16"/>
          <w:szCs w:val="16"/>
          <w:lang w:val="es-CR"/>
        </w:rPr>
        <w:t>Oficio 3.18.01/3 emitido por el Agente Fiscal de la Agencia No. 32 de Guatemala</w:t>
      </w:r>
      <w:r w:rsidRPr="00353432">
        <w:rPr>
          <w:rFonts w:ascii="Verdana" w:hAnsi="Verdana"/>
          <w:sz w:val="16"/>
          <w:szCs w:val="16"/>
          <w:lang w:val="es-CR"/>
        </w:rPr>
        <w:t xml:space="preserve"> </w:t>
      </w:r>
      <w:r>
        <w:rPr>
          <w:rFonts w:ascii="Verdana" w:hAnsi="Verdana"/>
          <w:sz w:val="16"/>
          <w:szCs w:val="16"/>
          <w:lang w:val="es-CR"/>
        </w:rPr>
        <w:t xml:space="preserve">de 3 de marzo de 2002 </w:t>
      </w:r>
      <w:r w:rsidRPr="00353432">
        <w:rPr>
          <w:rFonts w:ascii="Verdana" w:hAnsi="Verdana"/>
          <w:sz w:val="16"/>
          <w:szCs w:val="16"/>
          <w:lang w:val="es-CR"/>
        </w:rPr>
        <w:t>(</w:t>
      </w:r>
      <w:r>
        <w:rPr>
          <w:rFonts w:ascii="Verdana" w:hAnsi="Verdana"/>
          <w:sz w:val="16"/>
          <w:szCs w:val="16"/>
          <w:lang w:val="es-CR"/>
        </w:rPr>
        <w:t>e</w:t>
      </w:r>
      <w:r w:rsidRPr="00353432">
        <w:rPr>
          <w:rFonts w:ascii="Verdana" w:hAnsi="Verdana"/>
          <w:sz w:val="16"/>
          <w:szCs w:val="16"/>
          <w:lang w:val="es-CR"/>
        </w:rPr>
        <w:t xml:space="preserve">xpediente de anexos a la contestación, </w:t>
      </w:r>
      <w:r>
        <w:rPr>
          <w:rFonts w:ascii="Verdana" w:hAnsi="Verdana"/>
          <w:sz w:val="16"/>
          <w:szCs w:val="16"/>
          <w:lang w:val="es-CR"/>
        </w:rPr>
        <w:t>anexo 2,</w:t>
      </w:r>
      <w:r w:rsidRPr="00353432">
        <w:rPr>
          <w:rFonts w:ascii="Verdana" w:hAnsi="Verdana"/>
          <w:sz w:val="16"/>
          <w:szCs w:val="16"/>
          <w:lang w:val="es-CR"/>
        </w:rPr>
        <w:t xml:space="preserve"> fs. </w:t>
      </w:r>
      <w:r>
        <w:rPr>
          <w:rFonts w:ascii="Verdana" w:hAnsi="Verdana"/>
          <w:sz w:val="16"/>
          <w:szCs w:val="16"/>
          <w:lang w:val="es-CR"/>
        </w:rPr>
        <w:t>12,856 a 12,860</w:t>
      </w:r>
      <w:r w:rsidRPr="00353432">
        <w:rPr>
          <w:rFonts w:ascii="Verdana" w:hAnsi="Verdana"/>
          <w:sz w:val="16"/>
          <w:szCs w:val="16"/>
          <w:lang w:val="es-CR"/>
        </w:rPr>
        <w:t>).</w:t>
      </w:r>
    </w:p>
  </w:footnote>
  <w:footnote w:id="147">
    <w:p w:rsidR="0081535F" w:rsidRPr="007802D0" w:rsidRDefault="0081535F" w:rsidP="00422232">
      <w:pPr>
        <w:pStyle w:val="Textonotapie"/>
        <w:spacing w:line="19" w:lineRule="atLeast"/>
        <w:ind w:left="-180" w:right="-174"/>
        <w:jc w:val="both"/>
        <w:rPr>
          <w:rFonts w:ascii="Verdana" w:hAnsi="Verdana"/>
          <w:sz w:val="16"/>
          <w:szCs w:val="16"/>
          <w:lang w:val="es-CR"/>
        </w:rPr>
      </w:pPr>
      <w:r w:rsidRPr="007802D0">
        <w:rPr>
          <w:rStyle w:val="Refdenotaalpie"/>
          <w:rFonts w:ascii="Verdana" w:hAnsi="Verdana"/>
          <w:sz w:val="16"/>
          <w:szCs w:val="16"/>
        </w:rPr>
        <w:footnoteRef/>
      </w:r>
      <w:r w:rsidRPr="007802D0">
        <w:rPr>
          <w:rFonts w:ascii="Verdana" w:hAnsi="Verdana"/>
          <w:sz w:val="16"/>
          <w:szCs w:val="16"/>
          <w:lang w:val="es-CR"/>
        </w:rPr>
        <w:t xml:space="preserve"> </w:t>
      </w:r>
      <w:r w:rsidRPr="007802D0">
        <w:rPr>
          <w:rFonts w:ascii="Verdana" w:hAnsi="Verdana"/>
          <w:i/>
          <w:sz w:val="16"/>
          <w:szCs w:val="16"/>
          <w:lang w:val="es-CR"/>
        </w:rPr>
        <w:t>Cfr.</w:t>
      </w:r>
      <w:r w:rsidRPr="007802D0">
        <w:rPr>
          <w:rFonts w:ascii="Verdana" w:hAnsi="Verdana"/>
          <w:sz w:val="16"/>
          <w:szCs w:val="16"/>
          <w:lang w:val="es-CR"/>
        </w:rPr>
        <w:t xml:space="preserve"> Solicitud judicial </w:t>
      </w:r>
      <w:r>
        <w:rPr>
          <w:rFonts w:ascii="Verdana" w:hAnsi="Verdana"/>
          <w:sz w:val="16"/>
          <w:szCs w:val="16"/>
          <w:lang w:val="es-CR"/>
        </w:rPr>
        <w:t xml:space="preserve">dirigida al Gerente General de Telecomunicaciones de Guatemala S.A. de 1 de abril de 2002 </w:t>
      </w:r>
      <w:r w:rsidRPr="007802D0">
        <w:rPr>
          <w:rFonts w:ascii="Verdana" w:hAnsi="Verdana"/>
          <w:sz w:val="16"/>
          <w:szCs w:val="16"/>
          <w:lang w:val="es-CR"/>
        </w:rPr>
        <w:t>(</w:t>
      </w:r>
      <w:r>
        <w:rPr>
          <w:rFonts w:ascii="Verdana" w:hAnsi="Verdana"/>
          <w:sz w:val="16"/>
          <w:szCs w:val="16"/>
          <w:lang w:val="es-CR"/>
        </w:rPr>
        <w:t>e</w:t>
      </w:r>
      <w:r w:rsidRPr="007802D0">
        <w:rPr>
          <w:rFonts w:ascii="Verdana" w:hAnsi="Verdana"/>
          <w:sz w:val="16"/>
          <w:szCs w:val="16"/>
          <w:lang w:val="es-CR"/>
        </w:rPr>
        <w:t>xpediente de anexos al Informe de Fondo, anexo 24, fs. 139 y 140)</w:t>
      </w:r>
      <w:r>
        <w:rPr>
          <w:rFonts w:ascii="Verdana" w:hAnsi="Verdana"/>
          <w:sz w:val="16"/>
          <w:szCs w:val="16"/>
          <w:lang w:val="es-CR"/>
        </w:rPr>
        <w:t xml:space="preserve">, y </w:t>
      </w:r>
      <w:r w:rsidRPr="007802D0">
        <w:rPr>
          <w:rFonts w:ascii="Verdana" w:hAnsi="Verdana"/>
          <w:sz w:val="16"/>
          <w:szCs w:val="16"/>
          <w:lang w:val="es-CR"/>
        </w:rPr>
        <w:t>Ofici</w:t>
      </w:r>
      <w:r w:rsidRPr="001D253C">
        <w:rPr>
          <w:rFonts w:ascii="Verdana" w:hAnsi="Verdana"/>
          <w:sz w:val="16"/>
          <w:szCs w:val="16"/>
          <w:lang w:val="es-CR"/>
        </w:rPr>
        <w:t>o C-105-2002/6º emitido por el Juzgado de Primera Instancia de Mixco</w:t>
      </w:r>
      <w:r>
        <w:rPr>
          <w:rFonts w:ascii="Verdana" w:hAnsi="Verdana"/>
          <w:sz w:val="16"/>
          <w:szCs w:val="16"/>
          <w:lang w:val="es-CR"/>
        </w:rPr>
        <w:t xml:space="preserve">, </w:t>
      </w:r>
      <w:r>
        <w:rPr>
          <w:rFonts w:ascii="Verdana" w:hAnsi="Verdana"/>
          <w:i/>
          <w:sz w:val="16"/>
          <w:szCs w:val="16"/>
          <w:lang w:val="es-CR"/>
        </w:rPr>
        <w:t>supra</w:t>
      </w:r>
      <w:r w:rsidRPr="007802D0">
        <w:rPr>
          <w:rFonts w:ascii="Verdana" w:hAnsi="Verdana"/>
          <w:sz w:val="16"/>
          <w:szCs w:val="16"/>
          <w:lang w:val="es-CR"/>
        </w:rPr>
        <w:t>.</w:t>
      </w:r>
    </w:p>
  </w:footnote>
  <w:footnote w:id="148">
    <w:p w:rsidR="0081535F" w:rsidRPr="00FB575D" w:rsidRDefault="0081535F" w:rsidP="00422232">
      <w:pPr>
        <w:pStyle w:val="Textonotapie"/>
        <w:spacing w:line="19" w:lineRule="atLeast"/>
        <w:ind w:left="-180" w:right="-174"/>
        <w:jc w:val="both"/>
        <w:rPr>
          <w:rFonts w:ascii="Verdana" w:hAnsi="Verdana"/>
          <w:sz w:val="16"/>
          <w:szCs w:val="16"/>
          <w:lang w:val="es-CR"/>
        </w:rPr>
      </w:pPr>
      <w:r w:rsidRPr="007802D0">
        <w:rPr>
          <w:rStyle w:val="Refdenotaalpie"/>
          <w:rFonts w:ascii="Verdana" w:hAnsi="Verdana"/>
          <w:sz w:val="16"/>
          <w:szCs w:val="16"/>
        </w:rPr>
        <w:footnoteRef/>
      </w:r>
      <w:r w:rsidRPr="007802D0">
        <w:rPr>
          <w:rFonts w:ascii="Verdana" w:hAnsi="Verdana"/>
          <w:sz w:val="16"/>
          <w:szCs w:val="16"/>
          <w:lang w:val="es-CR"/>
        </w:rPr>
        <w:t xml:space="preserve"> </w:t>
      </w:r>
      <w:r w:rsidRPr="007802D0">
        <w:rPr>
          <w:rFonts w:ascii="Verdana" w:hAnsi="Verdana"/>
          <w:i/>
          <w:sz w:val="16"/>
          <w:szCs w:val="16"/>
          <w:lang w:val="es-CR"/>
        </w:rPr>
        <w:t>Cfr.</w:t>
      </w:r>
      <w:r w:rsidRPr="007802D0">
        <w:rPr>
          <w:rFonts w:ascii="Verdana" w:hAnsi="Verdana"/>
          <w:sz w:val="16"/>
          <w:szCs w:val="16"/>
          <w:lang w:val="es-CR"/>
        </w:rPr>
        <w:t xml:space="preserve"> Informe del desplegado de llamadas proporcionado por Telgua </w:t>
      </w:r>
      <w:r>
        <w:rPr>
          <w:rFonts w:ascii="Verdana" w:hAnsi="Verdana"/>
          <w:sz w:val="16"/>
          <w:szCs w:val="16"/>
          <w:lang w:val="es-CR"/>
        </w:rPr>
        <w:t xml:space="preserve">de 8 de junio de 2005 </w:t>
      </w:r>
      <w:r w:rsidRPr="007802D0">
        <w:rPr>
          <w:rFonts w:ascii="Verdana" w:hAnsi="Verdana"/>
          <w:sz w:val="16"/>
          <w:szCs w:val="16"/>
          <w:lang w:val="es-CR"/>
        </w:rPr>
        <w:t>(</w:t>
      </w:r>
      <w:r>
        <w:rPr>
          <w:rFonts w:ascii="Verdana" w:hAnsi="Verdana"/>
          <w:sz w:val="16"/>
          <w:szCs w:val="16"/>
          <w:lang w:val="es-CR"/>
        </w:rPr>
        <w:t>e</w:t>
      </w:r>
      <w:r w:rsidRPr="007802D0">
        <w:rPr>
          <w:rFonts w:ascii="Verdana" w:hAnsi="Verdana"/>
          <w:sz w:val="16"/>
          <w:szCs w:val="16"/>
          <w:lang w:val="es-CR"/>
        </w:rPr>
        <w:t xml:space="preserve">xpediente de anexos al Informe de </w:t>
      </w:r>
      <w:r w:rsidRPr="002440D3">
        <w:rPr>
          <w:rFonts w:ascii="Verdana" w:hAnsi="Verdana"/>
          <w:sz w:val="16"/>
          <w:szCs w:val="16"/>
          <w:lang w:val="es-CR"/>
        </w:rPr>
        <w:t>Fondo, anexo 27, fs. 148 a 149), y Solicitud de investigación a la Dirección de Investigaciones Criminalísticas de 20</w:t>
      </w:r>
      <w:r w:rsidRPr="00F77273">
        <w:rPr>
          <w:rFonts w:ascii="Verdana" w:hAnsi="Verdana"/>
          <w:sz w:val="16"/>
          <w:szCs w:val="16"/>
          <w:lang w:val="es-CR"/>
        </w:rPr>
        <w:t xml:space="preserve"> de junio de 2005</w:t>
      </w:r>
      <w:r>
        <w:rPr>
          <w:rFonts w:ascii="Verdana" w:hAnsi="Verdana"/>
          <w:sz w:val="16"/>
          <w:szCs w:val="16"/>
          <w:lang w:val="es-CR"/>
        </w:rPr>
        <w:t xml:space="preserve"> </w:t>
      </w:r>
      <w:r w:rsidRPr="007802D0">
        <w:rPr>
          <w:rFonts w:ascii="Verdana" w:hAnsi="Verdana"/>
          <w:sz w:val="16"/>
          <w:szCs w:val="16"/>
          <w:lang w:val="es-CR"/>
        </w:rPr>
        <w:t>(</w:t>
      </w:r>
      <w:r>
        <w:rPr>
          <w:rFonts w:ascii="Verdana" w:hAnsi="Verdana"/>
          <w:sz w:val="16"/>
          <w:szCs w:val="16"/>
          <w:lang w:val="es-CR"/>
        </w:rPr>
        <w:t>e</w:t>
      </w:r>
      <w:r w:rsidRPr="007802D0">
        <w:rPr>
          <w:rFonts w:ascii="Verdana" w:hAnsi="Verdana"/>
          <w:sz w:val="16"/>
          <w:szCs w:val="16"/>
          <w:lang w:val="es-CR"/>
        </w:rPr>
        <w:t xml:space="preserve">xpediente </w:t>
      </w:r>
      <w:r>
        <w:rPr>
          <w:rFonts w:ascii="Verdana" w:hAnsi="Verdana"/>
          <w:sz w:val="16"/>
          <w:szCs w:val="16"/>
          <w:lang w:val="es-CR"/>
        </w:rPr>
        <w:t>ante</w:t>
      </w:r>
      <w:r w:rsidRPr="007802D0">
        <w:rPr>
          <w:rFonts w:ascii="Verdana" w:hAnsi="Verdana"/>
          <w:sz w:val="16"/>
          <w:szCs w:val="16"/>
          <w:lang w:val="es-CR"/>
        </w:rPr>
        <w:t xml:space="preserve"> la Comisión, </w:t>
      </w:r>
      <w:r>
        <w:rPr>
          <w:rFonts w:ascii="Verdana" w:hAnsi="Verdana"/>
          <w:sz w:val="16"/>
          <w:szCs w:val="16"/>
          <w:lang w:val="es-CR"/>
        </w:rPr>
        <w:t>e</w:t>
      </w:r>
      <w:r w:rsidRPr="007802D0">
        <w:rPr>
          <w:rFonts w:ascii="Verdana" w:hAnsi="Verdana"/>
          <w:sz w:val="16"/>
          <w:szCs w:val="16"/>
          <w:lang w:val="es-CR"/>
        </w:rPr>
        <w:t xml:space="preserve">xpediente </w:t>
      </w:r>
      <w:r>
        <w:rPr>
          <w:rFonts w:ascii="Verdana" w:hAnsi="Verdana"/>
          <w:sz w:val="16"/>
          <w:szCs w:val="16"/>
          <w:lang w:val="es-CR"/>
        </w:rPr>
        <w:t>j</w:t>
      </w:r>
      <w:r w:rsidRPr="007802D0">
        <w:rPr>
          <w:rFonts w:ascii="Verdana" w:hAnsi="Verdana"/>
          <w:sz w:val="16"/>
          <w:szCs w:val="16"/>
          <w:lang w:val="es-CR"/>
        </w:rPr>
        <w:t xml:space="preserve">udicial I </w:t>
      </w:r>
      <w:r w:rsidRPr="00FB575D">
        <w:rPr>
          <w:rFonts w:ascii="Verdana" w:hAnsi="Verdana"/>
          <w:sz w:val="16"/>
          <w:szCs w:val="16"/>
          <w:lang w:val="es-CR"/>
        </w:rPr>
        <w:t>parte, fs. 2</w:t>
      </w:r>
      <w:r>
        <w:rPr>
          <w:rFonts w:ascii="Verdana" w:hAnsi="Verdana"/>
          <w:sz w:val="16"/>
          <w:szCs w:val="16"/>
          <w:lang w:val="es-CR"/>
        </w:rPr>
        <w:t>,</w:t>
      </w:r>
      <w:r w:rsidRPr="00FB575D">
        <w:rPr>
          <w:rFonts w:ascii="Verdana" w:hAnsi="Verdana"/>
          <w:sz w:val="16"/>
          <w:szCs w:val="16"/>
          <w:lang w:val="es-CR"/>
        </w:rPr>
        <w:t>843 a 2</w:t>
      </w:r>
      <w:r>
        <w:rPr>
          <w:rFonts w:ascii="Verdana" w:hAnsi="Verdana"/>
          <w:sz w:val="16"/>
          <w:szCs w:val="16"/>
          <w:lang w:val="es-CR"/>
        </w:rPr>
        <w:t>,</w:t>
      </w:r>
      <w:r w:rsidRPr="00FB575D">
        <w:rPr>
          <w:rFonts w:ascii="Verdana" w:hAnsi="Verdana"/>
          <w:sz w:val="16"/>
          <w:szCs w:val="16"/>
          <w:lang w:val="es-CR"/>
        </w:rPr>
        <w:t xml:space="preserve">846). </w:t>
      </w:r>
    </w:p>
  </w:footnote>
  <w:footnote w:id="149">
    <w:p w:rsidR="0081535F" w:rsidRPr="00697C37" w:rsidRDefault="0081535F" w:rsidP="00422232">
      <w:pPr>
        <w:pStyle w:val="Textonotapie"/>
        <w:spacing w:line="19" w:lineRule="atLeast"/>
        <w:ind w:left="-180" w:right="-174"/>
        <w:jc w:val="both"/>
        <w:rPr>
          <w:rFonts w:ascii="Verdana" w:hAnsi="Verdana"/>
          <w:i/>
          <w:sz w:val="16"/>
          <w:szCs w:val="16"/>
          <w:lang w:val="es-CR"/>
        </w:rPr>
      </w:pPr>
      <w:r w:rsidRPr="00FB575D">
        <w:rPr>
          <w:rStyle w:val="Refdenotaalpie"/>
          <w:rFonts w:ascii="Verdana" w:hAnsi="Verdana"/>
          <w:sz w:val="16"/>
          <w:szCs w:val="16"/>
        </w:rPr>
        <w:footnoteRef/>
      </w:r>
      <w:r w:rsidRPr="00FB575D">
        <w:rPr>
          <w:rFonts w:ascii="Verdana" w:hAnsi="Verdana"/>
          <w:i/>
          <w:sz w:val="16"/>
          <w:szCs w:val="16"/>
          <w:lang w:val="es-CR"/>
        </w:rPr>
        <w:t xml:space="preserve"> Cfr.</w:t>
      </w:r>
      <w:r w:rsidRPr="00FB575D">
        <w:rPr>
          <w:rFonts w:ascii="Verdana" w:hAnsi="Verdana"/>
          <w:sz w:val="16"/>
          <w:szCs w:val="16"/>
          <w:lang w:val="es-CR"/>
        </w:rPr>
        <w:t xml:space="preserve"> Informe de la Sección contra Homicidios del Servicio de Investigación Criminal de la Policía Nacional Civil, </w:t>
      </w:r>
      <w:r w:rsidRPr="00FB575D">
        <w:rPr>
          <w:rFonts w:ascii="Verdana" w:hAnsi="Verdana"/>
          <w:i/>
          <w:sz w:val="16"/>
          <w:szCs w:val="16"/>
          <w:lang w:val="es-CR"/>
        </w:rPr>
        <w:t>supra</w:t>
      </w:r>
      <w:r>
        <w:rPr>
          <w:rFonts w:ascii="Verdana" w:hAnsi="Verdana"/>
          <w:i/>
          <w:sz w:val="16"/>
          <w:szCs w:val="16"/>
          <w:lang w:val="es-CR"/>
        </w:rPr>
        <w:t>.</w:t>
      </w:r>
    </w:p>
  </w:footnote>
  <w:footnote w:id="150">
    <w:p w:rsidR="0081535F" w:rsidRDefault="0081535F" w:rsidP="00422232">
      <w:pPr>
        <w:pStyle w:val="Textonotapie"/>
        <w:spacing w:line="19" w:lineRule="atLeast"/>
        <w:ind w:left="-180" w:right="-174"/>
        <w:jc w:val="both"/>
        <w:rPr>
          <w:rFonts w:ascii="Verdana" w:hAnsi="Verdana"/>
          <w:sz w:val="16"/>
          <w:szCs w:val="16"/>
          <w:lang w:val="es-CR"/>
        </w:rPr>
      </w:pPr>
      <w:r w:rsidRPr="007802D0">
        <w:rPr>
          <w:rStyle w:val="Refdenotaalpie"/>
          <w:rFonts w:ascii="Verdana" w:hAnsi="Verdana"/>
          <w:sz w:val="16"/>
          <w:szCs w:val="16"/>
        </w:rPr>
        <w:footnoteRef/>
      </w:r>
      <w:r w:rsidRPr="007802D0">
        <w:rPr>
          <w:rFonts w:ascii="Verdana" w:hAnsi="Verdana"/>
          <w:sz w:val="16"/>
          <w:szCs w:val="16"/>
          <w:lang w:val="es-CR"/>
        </w:rPr>
        <w:t xml:space="preserve"> </w:t>
      </w:r>
      <w:r w:rsidRPr="007802D0">
        <w:rPr>
          <w:rFonts w:ascii="Verdana" w:hAnsi="Verdana"/>
          <w:i/>
          <w:sz w:val="16"/>
          <w:szCs w:val="16"/>
          <w:lang w:val="es-CR"/>
        </w:rPr>
        <w:t>Cfr.</w:t>
      </w:r>
      <w:r>
        <w:rPr>
          <w:rFonts w:ascii="Verdana" w:hAnsi="Verdana"/>
          <w:i/>
          <w:sz w:val="16"/>
          <w:szCs w:val="16"/>
          <w:lang w:val="es-CR"/>
        </w:rPr>
        <w:t xml:space="preserve"> </w:t>
      </w:r>
      <w:r>
        <w:rPr>
          <w:rFonts w:ascii="Verdana" w:hAnsi="Verdana"/>
          <w:sz w:val="16"/>
          <w:szCs w:val="16"/>
          <w:lang w:val="es-CR"/>
        </w:rPr>
        <w:t xml:space="preserve">Informe de la Sección contra Homicidios del Servicio de Investigación Criminal de la Policía Nacional Civil, </w:t>
      </w:r>
      <w:r>
        <w:rPr>
          <w:rFonts w:ascii="Verdana" w:hAnsi="Verdana"/>
          <w:i/>
          <w:sz w:val="16"/>
          <w:szCs w:val="16"/>
          <w:lang w:val="es-CR"/>
        </w:rPr>
        <w:t>supra</w:t>
      </w:r>
      <w:r w:rsidRPr="007802D0">
        <w:rPr>
          <w:rFonts w:ascii="Verdana" w:hAnsi="Verdana"/>
          <w:sz w:val="16"/>
          <w:szCs w:val="16"/>
          <w:lang w:val="es-CR"/>
        </w:rPr>
        <w:t>, y Solicitud de autorización para diligencia de allanamiento emitida el 26 de junio de 2006 (</w:t>
      </w:r>
      <w:r>
        <w:rPr>
          <w:rFonts w:ascii="Verdana" w:hAnsi="Verdana"/>
          <w:sz w:val="16"/>
          <w:szCs w:val="16"/>
          <w:lang w:val="es-CR"/>
        </w:rPr>
        <w:t>e</w:t>
      </w:r>
      <w:r w:rsidRPr="007802D0">
        <w:rPr>
          <w:rFonts w:ascii="Verdana" w:hAnsi="Verdana"/>
          <w:sz w:val="16"/>
          <w:szCs w:val="16"/>
          <w:lang w:val="es-CR"/>
        </w:rPr>
        <w:t xml:space="preserve">xpediente de </w:t>
      </w:r>
      <w:r>
        <w:rPr>
          <w:rFonts w:ascii="Verdana" w:hAnsi="Verdana"/>
          <w:sz w:val="16"/>
          <w:szCs w:val="16"/>
          <w:lang w:val="es-CR"/>
        </w:rPr>
        <w:t>a</w:t>
      </w:r>
      <w:r w:rsidRPr="007802D0">
        <w:rPr>
          <w:rFonts w:ascii="Verdana" w:hAnsi="Verdana"/>
          <w:sz w:val="16"/>
          <w:szCs w:val="16"/>
          <w:lang w:val="es-CR"/>
        </w:rPr>
        <w:t xml:space="preserve">nexos al escrito de solicitudes y argumentos, </w:t>
      </w:r>
      <w:r>
        <w:rPr>
          <w:rFonts w:ascii="Verdana" w:hAnsi="Verdana"/>
          <w:sz w:val="16"/>
          <w:szCs w:val="16"/>
          <w:lang w:val="es-CR"/>
        </w:rPr>
        <w:t xml:space="preserve">tomo I, </w:t>
      </w:r>
      <w:r w:rsidRPr="007802D0">
        <w:rPr>
          <w:rFonts w:ascii="Verdana" w:hAnsi="Verdana"/>
          <w:sz w:val="16"/>
          <w:szCs w:val="16"/>
          <w:lang w:val="es-CR"/>
        </w:rPr>
        <w:t>anexo 20, f. 5</w:t>
      </w:r>
      <w:r>
        <w:rPr>
          <w:rFonts w:ascii="Verdana" w:hAnsi="Verdana"/>
          <w:sz w:val="16"/>
          <w:szCs w:val="16"/>
          <w:lang w:val="es-CR"/>
        </w:rPr>
        <w:t>,</w:t>
      </w:r>
      <w:r w:rsidRPr="007802D0">
        <w:rPr>
          <w:rFonts w:ascii="Verdana" w:hAnsi="Verdana"/>
          <w:sz w:val="16"/>
          <w:szCs w:val="16"/>
          <w:lang w:val="es-CR"/>
        </w:rPr>
        <w:t>383).</w:t>
      </w:r>
    </w:p>
  </w:footnote>
  <w:footnote w:id="151">
    <w:p w:rsidR="0081535F" w:rsidRPr="007802D0" w:rsidRDefault="0081535F" w:rsidP="00422232">
      <w:pPr>
        <w:pStyle w:val="Textonotapie"/>
        <w:spacing w:line="19" w:lineRule="atLeast"/>
        <w:ind w:left="-180" w:right="-174"/>
        <w:jc w:val="both"/>
        <w:rPr>
          <w:rFonts w:ascii="Verdana" w:hAnsi="Verdana"/>
          <w:sz w:val="16"/>
          <w:szCs w:val="16"/>
          <w:lang w:val="es-CR"/>
        </w:rPr>
      </w:pPr>
      <w:r w:rsidRPr="007802D0">
        <w:rPr>
          <w:rStyle w:val="Refdenotaalpie"/>
          <w:rFonts w:ascii="Verdana" w:hAnsi="Verdana"/>
          <w:sz w:val="16"/>
          <w:szCs w:val="16"/>
        </w:rPr>
        <w:footnoteRef/>
      </w:r>
      <w:r w:rsidRPr="007802D0">
        <w:rPr>
          <w:rFonts w:ascii="Verdana" w:hAnsi="Verdana"/>
          <w:sz w:val="16"/>
          <w:szCs w:val="16"/>
          <w:lang w:val="es-CR"/>
        </w:rPr>
        <w:t xml:space="preserve"> </w:t>
      </w:r>
      <w:r w:rsidRPr="007802D0">
        <w:rPr>
          <w:rFonts w:ascii="Verdana" w:hAnsi="Verdana"/>
          <w:i/>
          <w:sz w:val="16"/>
          <w:szCs w:val="16"/>
          <w:lang w:val="es-CR"/>
        </w:rPr>
        <w:t>Cfr.</w:t>
      </w:r>
      <w:r w:rsidRPr="007802D0">
        <w:rPr>
          <w:rFonts w:ascii="Verdana" w:hAnsi="Verdana"/>
          <w:sz w:val="16"/>
          <w:szCs w:val="16"/>
          <w:lang w:val="es-CR"/>
        </w:rPr>
        <w:t xml:space="preserve"> Dictamen de la Auxiliar Fiscal I </w:t>
      </w:r>
      <w:r>
        <w:rPr>
          <w:rFonts w:ascii="Verdana" w:hAnsi="Verdana"/>
          <w:sz w:val="16"/>
          <w:szCs w:val="16"/>
          <w:lang w:val="es-CR"/>
        </w:rPr>
        <w:t>de la Agencia No. 5</w:t>
      </w:r>
      <w:r w:rsidRPr="007802D0">
        <w:rPr>
          <w:rFonts w:ascii="Verdana" w:hAnsi="Verdana"/>
          <w:sz w:val="16"/>
          <w:szCs w:val="16"/>
          <w:lang w:val="es-CR"/>
        </w:rPr>
        <w:t xml:space="preserve"> de Mixco </w:t>
      </w:r>
      <w:r>
        <w:rPr>
          <w:rFonts w:ascii="Verdana" w:hAnsi="Verdana"/>
          <w:sz w:val="16"/>
          <w:szCs w:val="16"/>
          <w:lang w:val="es-CR"/>
        </w:rPr>
        <w:t>de</w:t>
      </w:r>
      <w:r w:rsidRPr="007802D0">
        <w:rPr>
          <w:rFonts w:ascii="Verdana" w:hAnsi="Verdana"/>
          <w:sz w:val="16"/>
          <w:szCs w:val="16"/>
          <w:lang w:val="es-CR"/>
        </w:rPr>
        <w:t xml:space="preserve"> 8 de julio de 2003 (</w:t>
      </w:r>
      <w:r>
        <w:rPr>
          <w:rFonts w:ascii="Verdana" w:hAnsi="Verdana"/>
          <w:sz w:val="16"/>
          <w:szCs w:val="16"/>
          <w:lang w:val="es-CR"/>
        </w:rPr>
        <w:t>e</w:t>
      </w:r>
      <w:r w:rsidRPr="007802D0">
        <w:rPr>
          <w:rFonts w:ascii="Verdana" w:hAnsi="Verdana"/>
          <w:sz w:val="16"/>
          <w:szCs w:val="16"/>
          <w:lang w:val="es-CR"/>
        </w:rPr>
        <w:t xml:space="preserve">xpediente de anexos al Informe de Fondo, anexo 17, f. 112), y </w:t>
      </w:r>
      <w:r w:rsidRPr="007802D0">
        <w:rPr>
          <w:rFonts w:ascii="Verdana" w:hAnsi="Verdana" w:cs="Arial"/>
          <w:sz w:val="16"/>
          <w:szCs w:val="16"/>
          <w:lang w:val="es-CR"/>
        </w:rPr>
        <w:t>Resolución</w:t>
      </w:r>
      <w:r w:rsidRPr="007802D0">
        <w:rPr>
          <w:rFonts w:ascii="Verdana" w:hAnsi="Verdana" w:cs="Arial"/>
          <w:spacing w:val="34"/>
          <w:sz w:val="16"/>
          <w:szCs w:val="16"/>
          <w:lang w:val="es-CR"/>
        </w:rPr>
        <w:t xml:space="preserve"> </w:t>
      </w:r>
      <w:r w:rsidRPr="007802D0">
        <w:rPr>
          <w:rFonts w:ascii="Verdana" w:hAnsi="Verdana" w:cs="Arial"/>
          <w:sz w:val="16"/>
          <w:szCs w:val="16"/>
          <w:lang w:val="es-CR"/>
        </w:rPr>
        <w:t>del</w:t>
      </w:r>
      <w:r w:rsidRPr="007802D0">
        <w:rPr>
          <w:rFonts w:ascii="Verdana" w:hAnsi="Verdana" w:cs="Arial"/>
          <w:spacing w:val="49"/>
          <w:sz w:val="16"/>
          <w:szCs w:val="16"/>
          <w:lang w:val="es-CR"/>
        </w:rPr>
        <w:t xml:space="preserve"> </w:t>
      </w:r>
      <w:r w:rsidRPr="007802D0">
        <w:rPr>
          <w:rFonts w:ascii="Verdana" w:hAnsi="Verdana" w:cs="Arial"/>
          <w:sz w:val="16"/>
          <w:szCs w:val="16"/>
          <w:lang w:val="es-CR"/>
        </w:rPr>
        <w:t>Juzgado</w:t>
      </w:r>
      <w:r w:rsidRPr="007802D0">
        <w:rPr>
          <w:rFonts w:ascii="Verdana" w:hAnsi="Verdana" w:cs="Arial"/>
          <w:spacing w:val="38"/>
          <w:sz w:val="16"/>
          <w:szCs w:val="16"/>
          <w:lang w:val="es-CR"/>
        </w:rPr>
        <w:t xml:space="preserve"> </w:t>
      </w:r>
      <w:r w:rsidRPr="007802D0">
        <w:rPr>
          <w:rFonts w:ascii="Verdana" w:hAnsi="Verdana" w:cs="Arial"/>
          <w:sz w:val="16"/>
          <w:szCs w:val="16"/>
          <w:lang w:val="es-CR"/>
        </w:rPr>
        <w:t>de</w:t>
      </w:r>
      <w:r w:rsidRPr="007802D0">
        <w:rPr>
          <w:rFonts w:ascii="Verdana" w:hAnsi="Verdana" w:cs="Arial"/>
          <w:spacing w:val="8"/>
          <w:sz w:val="16"/>
          <w:szCs w:val="16"/>
          <w:lang w:val="es-CR"/>
        </w:rPr>
        <w:t xml:space="preserve"> </w:t>
      </w:r>
      <w:r w:rsidRPr="007802D0">
        <w:rPr>
          <w:rFonts w:ascii="Verdana" w:hAnsi="Verdana" w:cs="Arial"/>
          <w:sz w:val="16"/>
          <w:szCs w:val="16"/>
          <w:lang w:val="es-CR"/>
        </w:rPr>
        <w:t>Primera</w:t>
      </w:r>
      <w:r w:rsidRPr="007802D0">
        <w:rPr>
          <w:rFonts w:ascii="Verdana" w:hAnsi="Verdana" w:cs="Arial"/>
          <w:spacing w:val="34"/>
          <w:sz w:val="16"/>
          <w:szCs w:val="16"/>
          <w:lang w:val="es-CR"/>
        </w:rPr>
        <w:t xml:space="preserve"> </w:t>
      </w:r>
      <w:r w:rsidRPr="007802D0">
        <w:rPr>
          <w:rFonts w:ascii="Verdana" w:hAnsi="Verdana" w:cs="Arial"/>
          <w:sz w:val="16"/>
          <w:szCs w:val="16"/>
          <w:lang w:val="es-CR"/>
        </w:rPr>
        <w:t>Instancia de Mixco de 8 de octubre de 2009</w:t>
      </w:r>
      <w:r w:rsidRPr="007802D0">
        <w:rPr>
          <w:rFonts w:ascii="Verdana" w:hAnsi="Verdana" w:cs="Arial"/>
          <w:w w:val="96"/>
          <w:position w:val="-1"/>
          <w:sz w:val="16"/>
          <w:szCs w:val="16"/>
          <w:lang w:val="es-CR"/>
        </w:rPr>
        <w:t xml:space="preserve"> </w:t>
      </w:r>
      <w:r w:rsidRPr="007802D0">
        <w:rPr>
          <w:rFonts w:ascii="Verdana" w:hAnsi="Verdana"/>
          <w:sz w:val="16"/>
          <w:szCs w:val="16"/>
          <w:lang w:val="es-CR"/>
        </w:rPr>
        <w:t>(</w:t>
      </w:r>
      <w:r>
        <w:rPr>
          <w:rFonts w:ascii="Verdana" w:hAnsi="Verdana"/>
          <w:sz w:val="16"/>
          <w:szCs w:val="16"/>
          <w:lang w:val="es-CR"/>
        </w:rPr>
        <w:t>e</w:t>
      </w:r>
      <w:r w:rsidRPr="007802D0">
        <w:rPr>
          <w:rFonts w:ascii="Verdana" w:hAnsi="Verdana"/>
          <w:sz w:val="16"/>
          <w:szCs w:val="16"/>
          <w:lang w:val="es-CR"/>
        </w:rPr>
        <w:t xml:space="preserve">xpediente de anexos al escrito de solicitudes y argumentos, </w:t>
      </w:r>
      <w:r>
        <w:rPr>
          <w:rFonts w:ascii="Verdana" w:hAnsi="Verdana"/>
          <w:sz w:val="16"/>
          <w:szCs w:val="16"/>
          <w:lang w:val="es-CR"/>
        </w:rPr>
        <w:t xml:space="preserve">tomo I, </w:t>
      </w:r>
      <w:r w:rsidRPr="007802D0">
        <w:rPr>
          <w:rFonts w:ascii="Verdana" w:hAnsi="Verdana"/>
          <w:sz w:val="16"/>
          <w:szCs w:val="16"/>
          <w:lang w:val="es-CR"/>
        </w:rPr>
        <w:t>anexo 27, f. 5</w:t>
      </w:r>
      <w:r>
        <w:rPr>
          <w:rFonts w:ascii="Verdana" w:hAnsi="Verdana"/>
          <w:sz w:val="16"/>
          <w:szCs w:val="16"/>
          <w:lang w:val="es-CR"/>
        </w:rPr>
        <w:t>,</w:t>
      </w:r>
      <w:r w:rsidRPr="007802D0">
        <w:rPr>
          <w:rFonts w:ascii="Verdana" w:hAnsi="Verdana"/>
          <w:sz w:val="16"/>
          <w:szCs w:val="16"/>
          <w:lang w:val="es-CR"/>
        </w:rPr>
        <w:t>411).</w:t>
      </w:r>
    </w:p>
  </w:footnote>
  <w:footnote w:id="152">
    <w:p w:rsidR="0081535F" w:rsidRPr="007802D0" w:rsidRDefault="0081535F" w:rsidP="00422232">
      <w:pPr>
        <w:pStyle w:val="Textonotapie"/>
        <w:spacing w:line="19" w:lineRule="atLeast"/>
        <w:ind w:left="-180" w:right="-174"/>
        <w:jc w:val="both"/>
        <w:rPr>
          <w:rFonts w:ascii="Verdana" w:hAnsi="Verdana"/>
          <w:sz w:val="16"/>
          <w:szCs w:val="16"/>
          <w:lang w:val="es-CR"/>
        </w:rPr>
      </w:pPr>
      <w:r w:rsidRPr="007802D0">
        <w:rPr>
          <w:rStyle w:val="Refdenotaalpie"/>
          <w:rFonts w:ascii="Verdana" w:hAnsi="Verdana"/>
          <w:sz w:val="16"/>
          <w:szCs w:val="16"/>
        </w:rPr>
        <w:footnoteRef/>
      </w:r>
      <w:r w:rsidRPr="007802D0">
        <w:rPr>
          <w:rFonts w:ascii="Verdana" w:hAnsi="Verdana"/>
          <w:sz w:val="16"/>
          <w:szCs w:val="16"/>
          <w:lang w:val="es-CR"/>
        </w:rPr>
        <w:t xml:space="preserve"> </w:t>
      </w:r>
      <w:r w:rsidRPr="007802D0">
        <w:rPr>
          <w:rFonts w:ascii="Verdana" w:hAnsi="Verdana"/>
          <w:i/>
          <w:sz w:val="16"/>
          <w:szCs w:val="16"/>
          <w:lang w:val="es-CR"/>
        </w:rPr>
        <w:t>Cfr.</w:t>
      </w:r>
      <w:r w:rsidRPr="007802D0">
        <w:rPr>
          <w:rFonts w:ascii="Verdana" w:hAnsi="Verdana"/>
          <w:sz w:val="16"/>
          <w:szCs w:val="16"/>
          <w:lang w:val="es-CR"/>
        </w:rPr>
        <w:t xml:space="preserve"> Informe del desplegado de llamadas proporcionado por Telgua</w:t>
      </w:r>
      <w:r>
        <w:rPr>
          <w:rFonts w:ascii="Verdana" w:hAnsi="Verdana"/>
          <w:sz w:val="16"/>
          <w:szCs w:val="16"/>
          <w:lang w:val="es-CR"/>
        </w:rPr>
        <w:t xml:space="preserve">, </w:t>
      </w:r>
      <w:r>
        <w:rPr>
          <w:rFonts w:ascii="Verdana" w:hAnsi="Verdana"/>
          <w:i/>
          <w:sz w:val="16"/>
          <w:szCs w:val="16"/>
          <w:lang w:val="es-CR"/>
        </w:rPr>
        <w:t>supra;</w:t>
      </w:r>
      <w:r w:rsidRPr="005F0D03" w:rsidDel="00C47A92">
        <w:rPr>
          <w:rFonts w:ascii="Verdana" w:hAnsi="Verdana"/>
          <w:sz w:val="16"/>
          <w:szCs w:val="16"/>
          <w:lang w:val="es-CR"/>
        </w:rPr>
        <w:t xml:space="preserve"> </w:t>
      </w:r>
      <w:r w:rsidRPr="007802D0">
        <w:rPr>
          <w:rFonts w:ascii="Verdana" w:hAnsi="Verdana"/>
          <w:sz w:val="16"/>
          <w:szCs w:val="16"/>
          <w:lang w:val="es-CR"/>
        </w:rPr>
        <w:t>Solicitud de investigación a la Dirección de Investigaciones Criminalísticas</w:t>
      </w:r>
      <w:r>
        <w:rPr>
          <w:rFonts w:ascii="Verdana" w:hAnsi="Verdana"/>
          <w:sz w:val="16"/>
          <w:szCs w:val="16"/>
          <w:lang w:val="es-CR"/>
        </w:rPr>
        <w:t xml:space="preserve">, </w:t>
      </w:r>
      <w:r>
        <w:rPr>
          <w:rFonts w:ascii="Verdana" w:hAnsi="Verdana"/>
          <w:i/>
          <w:sz w:val="16"/>
          <w:szCs w:val="16"/>
          <w:lang w:val="es-CR"/>
        </w:rPr>
        <w:t>supra</w:t>
      </w:r>
      <w:r>
        <w:rPr>
          <w:rFonts w:ascii="Verdana" w:hAnsi="Verdana"/>
          <w:sz w:val="16"/>
          <w:szCs w:val="16"/>
          <w:lang w:val="es-CR"/>
        </w:rPr>
        <w:t xml:space="preserve">, y </w:t>
      </w:r>
      <w:r w:rsidRPr="007802D0">
        <w:rPr>
          <w:rFonts w:ascii="Verdana" w:hAnsi="Verdana"/>
          <w:sz w:val="16"/>
          <w:szCs w:val="16"/>
          <w:lang w:val="es-CR"/>
        </w:rPr>
        <w:t>Oficio de la Fiscal de Distrito</w:t>
      </w:r>
      <w:r>
        <w:rPr>
          <w:rFonts w:ascii="Verdana" w:hAnsi="Verdana"/>
          <w:sz w:val="16"/>
          <w:szCs w:val="16"/>
          <w:lang w:val="es-CR"/>
        </w:rPr>
        <w:t xml:space="preserve"> del municipio de Mixco</w:t>
      </w:r>
      <w:r w:rsidRPr="007802D0">
        <w:rPr>
          <w:rFonts w:ascii="Verdana" w:hAnsi="Verdana"/>
          <w:sz w:val="16"/>
          <w:szCs w:val="16"/>
          <w:lang w:val="es-CR"/>
        </w:rPr>
        <w:t xml:space="preserve"> de 5 de agosto de 2005 (</w:t>
      </w:r>
      <w:r>
        <w:rPr>
          <w:rFonts w:ascii="Verdana" w:hAnsi="Verdana"/>
          <w:sz w:val="16"/>
          <w:szCs w:val="16"/>
          <w:lang w:val="es-CR"/>
        </w:rPr>
        <w:t>e</w:t>
      </w:r>
      <w:r w:rsidRPr="007802D0">
        <w:rPr>
          <w:rFonts w:ascii="Verdana" w:hAnsi="Verdana"/>
          <w:sz w:val="16"/>
          <w:szCs w:val="16"/>
          <w:lang w:val="es-CR"/>
        </w:rPr>
        <w:t xml:space="preserve">xpediente de anexos al escrito de solicitudes y argumentos, tomo </w:t>
      </w:r>
      <w:r>
        <w:rPr>
          <w:rFonts w:ascii="Verdana" w:hAnsi="Verdana"/>
          <w:sz w:val="16"/>
          <w:szCs w:val="16"/>
          <w:lang w:val="es-CR"/>
        </w:rPr>
        <w:t>I</w:t>
      </w:r>
      <w:r w:rsidRPr="007802D0">
        <w:rPr>
          <w:rFonts w:ascii="Verdana" w:hAnsi="Verdana"/>
          <w:sz w:val="16"/>
          <w:szCs w:val="16"/>
          <w:lang w:val="es-CR"/>
        </w:rPr>
        <w:t>, anexo 24, f. 5</w:t>
      </w:r>
      <w:r>
        <w:rPr>
          <w:rFonts w:ascii="Verdana" w:hAnsi="Verdana"/>
          <w:sz w:val="16"/>
          <w:szCs w:val="16"/>
          <w:lang w:val="es-CR"/>
        </w:rPr>
        <w:t>,</w:t>
      </w:r>
      <w:r w:rsidRPr="007802D0">
        <w:rPr>
          <w:rFonts w:ascii="Verdana" w:hAnsi="Verdana"/>
          <w:sz w:val="16"/>
          <w:szCs w:val="16"/>
          <w:lang w:val="es-CR"/>
        </w:rPr>
        <w:t>405).</w:t>
      </w:r>
    </w:p>
  </w:footnote>
  <w:footnote w:id="153">
    <w:p w:rsidR="0081535F" w:rsidRPr="001C2715" w:rsidRDefault="0081535F" w:rsidP="00422232">
      <w:pPr>
        <w:pStyle w:val="Textonotapie"/>
        <w:spacing w:line="19" w:lineRule="atLeast"/>
        <w:ind w:left="-180" w:right="-174"/>
        <w:jc w:val="both"/>
        <w:rPr>
          <w:rFonts w:ascii="Verdana" w:hAnsi="Verdana"/>
          <w:i/>
          <w:sz w:val="16"/>
          <w:szCs w:val="16"/>
          <w:lang w:val="es-CR"/>
        </w:rPr>
      </w:pPr>
      <w:r w:rsidRPr="007802D0">
        <w:rPr>
          <w:rStyle w:val="Refdenotaalpie"/>
          <w:rFonts w:ascii="Verdana" w:hAnsi="Verdana"/>
          <w:sz w:val="16"/>
          <w:szCs w:val="16"/>
        </w:rPr>
        <w:footnoteRef/>
      </w:r>
      <w:r w:rsidRPr="007802D0">
        <w:rPr>
          <w:rFonts w:ascii="Verdana" w:hAnsi="Verdana"/>
          <w:sz w:val="16"/>
          <w:szCs w:val="16"/>
          <w:lang w:val="es-CR"/>
        </w:rPr>
        <w:t xml:space="preserve"> </w:t>
      </w:r>
      <w:r w:rsidRPr="007802D0">
        <w:rPr>
          <w:rFonts w:ascii="Verdana" w:hAnsi="Verdana"/>
          <w:i/>
          <w:sz w:val="16"/>
          <w:szCs w:val="16"/>
          <w:lang w:val="es-CR"/>
        </w:rPr>
        <w:t>Cfr.</w:t>
      </w:r>
      <w:r w:rsidRPr="007802D0">
        <w:rPr>
          <w:rFonts w:ascii="Verdana" w:hAnsi="Verdana"/>
          <w:sz w:val="16"/>
          <w:szCs w:val="16"/>
          <w:lang w:val="es-CR"/>
        </w:rPr>
        <w:t xml:space="preserve"> Dictamen de</w:t>
      </w:r>
      <w:r w:rsidRPr="007802D0">
        <w:rPr>
          <w:rFonts w:ascii="Verdana" w:hAnsi="Verdana" w:cs="Calibri"/>
          <w:sz w:val="16"/>
          <w:szCs w:val="16"/>
          <w:lang w:val="es-CR"/>
        </w:rPr>
        <w:t xml:space="preserve"> la Técnica en Investigaciones Criminalísticas I</w:t>
      </w:r>
      <w:r>
        <w:rPr>
          <w:rFonts w:ascii="Verdana" w:hAnsi="Verdana" w:cs="Calibri"/>
          <w:sz w:val="16"/>
          <w:szCs w:val="16"/>
          <w:lang w:val="es-CR"/>
        </w:rPr>
        <w:t xml:space="preserve">, </w:t>
      </w:r>
      <w:r>
        <w:rPr>
          <w:rFonts w:ascii="Verdana" w:hAnsi="Verdana" w:cs="Calibri"/>
          <w:i/>
          <w:sz w:val="16"/>
          <w:szCs w:val="16"/>
          <w:lang w:val="es-CR"/>
        </w:rPr>
        <w:t>supra.</w:t>
      </w:r>
    </w:p>
  </w:footnote>
  <w:footnote w:id="154">
    <w:p w:rsidR="0081535F" w:rsidRPr="007802D0" w:rsidRDefault="0081535F" w:rsidP="00422232">
      <w:pPr>
        <w:pStyle w:val="Textonotapie"/>
        <w:spacing w:line="19" w:lineRule="atLeast"/>
        <w:ind w:left="-180" w:right="-174"/>
        <w:jc w:val="both"/>
        <w:rPr>
          <w:rFonts w:ascii="Verdana" w:hAnsi="Verdana" w:cs="Calibri"/>
          <w:sz w:val="16"/>
          <w:szCs w:val="16"/>
          <w:lang w:val="es-CR"/>
        </w:rPr>
      </w:pPr>
      <w:r w:rsidRPr="007802D0">
        <w:rPr>
          <w:rStyle w:val="Refdenotaalpie"/>
          <w:rFonts w:ascii="Verdana" w:hAnsi="Verdana"/>
          <w:sz w:val="16"/>
          <w:szCs w:val="16"/>
        </w:rPr>
        <w:footnoteRef/>
      </w:r>
      <w:r w:rsidRPr="007802D0">
        <w:rPr>
          <w:rFonts w:ascii="Verdana" w:hAnsi="Verdana"/>
          <w:sz w:val="16"/>
          <w:szCs w:val="16"/>
          <w:lang w:val="es-MX"/>
        </w:rPr>
        <w:t xml:space="preserve"> </w:t>
      </w:r>
      <w:r w:rsidRPr="007802D0">
        <w:rPr>
          <w:rFonts w:ascii="Verdana" w:hAnsi="Verdana" w:cs="Calibri"/>
          <w:sz w:val="16"/>
          <w:szCs w:val="16"/>
          <w:lang w:val="es-CR"/>
        </w:rPr>
        <w:t>Según el dictamen presentado, los análisis practicados a la ropa de María Isabel consistieron en pruebas de fenolftaleína, prueba para la determinación del origen de la especie, prueba de determinación del g</w:t>
      </w:r>
      <w:r>
        <w:rPr>
          <w:rFonts w:ascii="Verdana" w:hAnsi="Verdana" w:cs="Calibri"/>
          <w:sz w:val="16"/>
          <w:szCs w:val="16"/>
          <w:lang w:val="es-CR"/>
        </w:rPr>
        <w:t xml:space="preserve">rupo sanguíneo en sangre seca, </w:t>
      </w:r>
      <w:r w:rsidRPr="007802D0">
        <w:rPr>
          <w:rFonts w:ascii="Verdana" w:hAnsi="Verdana" w:cs="Calibri"/>
          <w:sz w:val="16"/>
          <w:szCs w:val="16"/>
          <w:lang w:val="es-CR"/>
        </w:rPr>
        <w:t>pruebas orientativas de luminiscencia con lámpara UV y Fosfatasa Acida, y prueba de detección de la proteína seminal P-30.</w:t>
      </w:r>
    </w:p>
  </w:footnote>
  <w:footnote w:id="155">
    <w:p w:rsidR="0081535F" w:rsidRPr="007802D0" w:rsidRDefault="0081535F" w:rsidP="00422232">
      <w:pPr>
        <w:pStyle w:val="Textonotapie"/>
        <w:spacing w:line="19" w:lineRule="atLeast"/>
        <w:ind w:left="-180" w:right="-174"/>
        <w:jc w:val="both"/>
        <w:rPr>
          <w:rFonts w:ascii="Verdana" w:hAnsi="Verdana"/>
          <w:sz w:val="16"/>
          <w:szCs w:val="16"/>
          <w:lang w:val="es-CR"/>
        </w:rPr>
      </w:pPr>
      <w:r w:rsidRPr="007802D0">
        <w:rPr>
          <w:rStyle w:val="Refdenotaalpie"/>
          <w:rFonts w:ascii="Verdana" w:hAnsi="Verdana"/>
          <w:sz w:val="16"/>
          <w:szCs w:val="16"/>
        </w:rPr>
        <w:footnoteRef/>
      </w:r>
      <w:r w:rsidRPr="007802D0">
        <w:rPr>
          <w:rFonts w:ascii="Verdana" w:hAnsi="Verdana"/>
          <w:i/>
          <w:sz w:val="16"/>
          <w:szCs w:val="16"/>
          <w:lang w:val="es-CR"/>
        </w:rPr>
        <w:t xml:space="preserve"> Cfr.</w:t>
      </w:r>
      <w:r>
        <w:rPr>
          <w:rFonts w:ascii="Verdana" w:hAnsi="Verdana"/>
          <w:sz w:val="16"/>
          <w:szCs w:val="16"/>
          <w:lang w:val="es-CR"/>
        </w:rPr>
        <w:t xml:space="preserve"> </w:t>
      </w:r>
      <w:r w:rsidRPr="007802D0">
        <w:rPr>
          <w:rFonts w:ascii="Verdana" w:hAnsi="Verdana"/>
          <w:sz w:val="16"/>
          <w:szCs w:val="16"/>
          <w:lang w:val="es-CR"/>
        </w:rPr>
        <w:t xml:space="preserve">Dictamen </w:t>
      </w:r>
      <w:r>
        <w:rPr>
          <w:rFonts w:ascii="Verdana" w:hAnsi="Verdana"/>
          <w:sz w:val="16"/>
          <w:szCs w:val="16"/>
          <w:lang w:val="es-CR"/>
        </w:rPr>
        <w:t>No. BIOL-01-1512 de la Sección de Biología de la Dirección de Investigaciones Criminalísticas de 4 de enero de 2002</w:t>
      </w:r>
      <w:r w:rsidRPr="007802D0">
        <w:rPr>
          <w:rFonts w:ascii="Verdana" w:hAnsi="Verdana"/>
          <w:sz w:val="16"/>
          <w:szCs w:val="16"/>
          <w:lang w:val="es-CR"/>
        </w:rPr>
        <w:t xml:space="preserve"> (</w:t>
      </w:r>
      <w:r>
        <w:rPr>
          <w:rFonts w:ascii="Verdana" w:hAnsi="Verdana"/>
          <w:sz w:val="16"/>
          <w:szCs w:val="16"/>
          <w:lang w:val="es-CR"/>
        </w:rPr>
        <w:t>e</w:t>
      </w:r>
      <w:r w:rsidRPr="007802D0">
        <w:rPr>
          <w:rFonts w:ascii="Verdana" w:hAnsi="Verdana"/>
          <w:sz w:val="16"/>
          <w:szCs w:val="16"/>
          <w:lang w:val="es-CR"/>
        </w:rPr>
        <w:t xml:space="preserve">xpediente de </w:t>
      </w:r>
      <w:r>
        <w:rPr>
          <w:rFonts w:ascii="Verdana" w:hAnsi="Verdana"/>
          <w:sz w:val="16"/>
          <w:szCs w:val="16"/>
          <w:lang w:val="es-CR"/>
        </w:rPr>
        <w:t>a</w:t>
      </w:r>
      <w:r w:rsidRPr="007802D0">
        <w:rPr>
          <w:rFonts w:ascii="Verdana" w:hAnsi="Verdana"/>
          <w:sz w:val="16"/>
          <w:szCs w:val="16"/>
          <w:lang w:val="es-CR"/>
        </w:rPr>
        <w:t>nexos a</w:t>
      </w:r>
      <w:r>
        <w:rPr>
          <w:rFonts w:ascii="Verdana" w:hAnsi="Verdana"/>
          <w:sz w:val="16"/>
          <w:szCs w:val="16"/>
          <w:lang w:val="es-CR"/>
        </w:rPr>
        <w:t>l escrito de solicitudes y argumentos, tomo I, anexo 11, fs. 5,330 a 5,332).</w:t>
      </w:r>
    </w:p>
  </w:footnote>
  <w:footnote w:id="156">
    <w:p w:rsidR="0081535F" w:rsidRPr="00361E27" w:rsidRDefault="0081535F" w:rsidP="00422232">
      <w:pPr>
        <w:pStyle w:val="Textonotapie"/>
        <w:spacing w:line="19" w:lineRule="atLeast"/>
        <w:ind w:left="-180" w:right="-174"/>
        <w:jc w:val="both"/>
        <w:rPr>
          <w:rFonts w:ascii="Verdana" w:hAnsi="Verdana"/>
          <w:color w:val="FF0000"/>
          <w:sz w:val="16"/>
          <w:szCs w:val="16"/>
          <w:lang w:val="es-CR"/>
        </w:rPr>
      </w:pPr>
      <w:r w:rsidRPr="007802D0">
        <w:rPr>
          <w:rStyle w:val="Refdenotaalpie"/>
          <w:rFonts w:ascii="Verdana" w:hAnsi="Verdana"/>
          <w:sz w:val="16"/>
          <w:szCs w:val="16"/>
        </w:rPr>
        <w:footnoteRef/>
      </w:r>
      <w:r w:rsidRPr="007802D0">
        <w:rPr>
          <w:rFonts w:ascii="Verdana" w:hAnsi="Verdana"/>
          <w:sz w:val="16"/>
          <w:szCs w:val="16"/>
          <w:lang w:val="es-CR"/>
        </w:rPr>
        <w:t xml:space="preserve"> </w:t>
      </w:r>
      <w:r w:rsidRPr="007802D0">
        <w:rPr>
          <w:rFonts w:ascii="Verdana" w:hAnsi="Verdana"/>
          <w:i/>
          <w:sz w:val="16"/>
          <w:szCs w:val="16"/>
          <w:lang w:val="es-CR"/>
        </w:rPr>
        <w:t>Cfr.</w:t>
      </w:r>
      <w:r w:rsidRPr="007802D0">
        <w:rPr>
          <w:rFonts w:ascii="Verdana" w:hAnsi="Verdana"/>
          <w:sz w:val="16"/>
          <w:szCs w:val="16"/>
          <w:lang w:val="es-CR"/>
        </w:rPr>
        <w:t xml:space="preserve"> </w:t>
      </w:r>
      <w:r w:rsidRPr="00361E27">
        <w:rPr>
          <w:rFonts w:ascii="Verdana" w:hAnsi="Verdana"/>
          <w:sz w:val="16"/>
          <w:szCs w:val="16"/>
          <w:lang w:val="es-CL"/>
        </w:rPr>
        <w:t xml:space="preserve">Dictamen No. BIOL-01-1510 </w:t>
      </w:r>
      <w:r>
        <w:rPr>
          <w:rFonts w:ascii="Verdana" w:hAnsi="Verdana"/>
          <w:sz w:val="16"/>
          <w:szCs w:val="16"/>
          <w:lang w:val="es-CR"/>
        </w:rPr>
        <w:t>de la Sección de B</w:t>
      </w:r>
      <w:r w:rsidRPr="00361E27">
        <w:rPr>
          <w:rFonts w:ascii="Verdana" w:hAnsi="Verdana"/>
          <w:sz w:val="16"/>
          <w:szCs w:val="16"/>
          <w:lang w:val="es-CR"/>
        </w:rPr>
        <w:t>iología de la Dirección de Investigaciones Criminalísticas de 4 de enero de 2002</w:t>
      </w:r>
      <w:r w:rsidRPr="00361E27">
        <w:rPr>
          <w:rFonts w:ascii="Verdana" w:hAnsi="Verdana" w:cs="Calibri"/>
          <w:sz w:val="16"/>
          <w:szCs w:val="16"/>
          <w:lang w:val="es-CR"/>
        </w:rPr>
        <w:t xml:space="preserve"> (</w:t>
      </w:r>
      <w:r w:rsidRPr="00361E27">
        <w:rPr>
          <w:rFonts w:ascii="Verdana" w:hAnsi="Verdana"/>
          <w:sz w:val="16"/>
          <w:szCs w:val="16"/>
          <w:lang w:val="es-CR"/>
        </w:rPr>
        <w:t xml:space="preserve">expediente de anexos al Informe de Fondo, anexo 15, f. 103). </w:t>
      </w:r>
    </w:p>
  </w:footnote>
  <w:footnote w:id="157">
    <w:p w:rsidR="0081535F" w:rsidRPr="007802D0" w:rsidRDefault="0081535F" w:rsidP="00422232">
      <w:pPr>
        <w:pStyle w:val="Textonotapie"/>
        <w:spacing w:line="19" w:lineRule="atLeast"/>
        <w:ind w:left="-180" w:right="-174"/>
        <w:jc w:val="both"/>
        <w:rPr>
          <w:rFonts w:ascii="Verdana" w:hAnsi="Verdana" w:cs="Calibri"/>
          <w:sz w:val="16"/>
          <w:szCs w:val="16"/>
          <w:lang w:val="es-CR"/>
        </w:rPr>
      </w:pPr>
      <w:r w:rsidRPr="00361E27">
        <w:rPr>
          <w:rStyle w:val="Refdenotaalpie"/>
          <w:rFonts w:ascii="Verdana" w:hAnsi="Verdana"/>
          <w:sz w:val="16"/>
          <w:szCs w:val="16"/>
        </w:rPr>
        <w:footnoteRef/>
      </w:r>
      <w:r w:rsidRPr="00361E27">
        <w:rPr>
          <w:rFonts w:ascii="Verdana" w:hAnsi="Verdana"/>
          <w:sz w:val="16"/>
          <w:szCs w:val="16"/>
        </w:rPr>
        <w:t xml:space="preserve"> </w:t>
      </w:r>
      <w:r w:rsidRPr="00361E27">
        <w:rPr>
          <w:rFonts w:ascii="Verdana" w:hAnsi="Verdana" w:cs="Calibri"/>
          <w:sz w:val="16"/>
          <w:szCs w:val="16"/>
          <w:lang w:val="es-CR"/>
        </w:rPr>
        <w:t>Según el dictamen presentado</w:t>
      </w:r>
      <w:r w:rsidRPr="007802D0">
        <w:rPr>
          <w:rFonts w:ascii="Verdana" w:hAnsi="Verdana" w:cs="Calibri"/>
          <w:sz w:val="16"/>
          <w:szCs w:val="16"/>
          <w:lang w:val="es-CR"/>
        </w:rPr>
        <w:t>, los elementos pilosos se midieron y posteriormente se fijaron con elementos químicos en láminas de vidrio para observar sus características microscópicas.</w:t>
      </w:r>
    </w:p>
  </w:footnote>
  <w:footnote w:id="158">
    <w:p w:rsidR="0081535F" w:rsidRPr="007802D0" w:rsidRDefault="0081535F" w:rsidP="00422232">
      <w:pPr>
        <w:pStyle w:val="Textonotapie"/>
        <w:spacing w:line="19" w:lineRule="atLeast"/>
        <w:ind w:left="-180" w:right="-174"/>
        <w:jc w:val="both"/>
        <w:rPr>
          <w:rFonts w:ascii="Verdana" w:hAnsi="Verdana"/>
          <w:sz w:val="16"/>
          <w:szCs w:val="16"/>
          <w:lang w:val="es-CR"/>
        </w:rPr>
      </w:pPr>
      <w:r w:rsidRPr="007802D0">
        <w:rPr>
          <w:rStyle w:val="Refdenotaalpie"/>
          <w:rFonts w:ascii="Verdana" w:hAnsi="Verdana"/>
          <w:sz w:val="16"/>
          <w:szCs w:val="16"/>
        </w:rPr>
        <w:footnoteRef/>
      </w:r>
      <w:r w:rsidRPr="007802D0">
        <w:rPr>
          <w:rFonts w:ascii="Verdana" w:hAnsi="Verdana"/>
          <w:sz w:val="16"/>
          <w:szCs w:val="16"/>
          <w:lang w:val="es-CR"/>
        </w:rPr>
        <w:t xml:space="preserve"> </w:t>
      </w:r>
      <w:r w:rsidRPr="007802D0">
        <w:rPr>
          <w:rFonts w:ascii="Verdana" w:hAnsi="Verdana"/>
          <w:i/>
          <w:sz w:val="16"/>
          <w:szCs w:val="16"/>
          <w:lang w:val="es-CR"/>
        </w:rPr>
        <w:t>Cfr.</w:t>
      </w:r>
      <w:r>
        <w:rPr>
          <w:rFonts w:ascii="Verdana" w:hAnsi="Verdana"/>
          <w:sz w:val="16"/>
          <w:szCs w:val="16"/>
          <w:lang w:val="es-CR"/>
        </w:rPr>
        <w:t xml:space="preserve"> </w:t>
      </w:r>
      <w:r w:rsidRPr="00361E27">
        <w:rPr>
          <w:rFonts w:ascii="Verdana" w:hAnsi="Verdana"/>
          <w:sz w:val="16"/>
          <w:szCs w:val="16"/>
          <w:lang w:val="es-CR"/>
        </w:rPr>
        <w:t>Dictamen No. BIOL-01-15-12</w:t>
      </w:r>
      <w:r w:rsidRPr="00361E27">
        <w:rPr>
          <w:rFonts w:ascii="Verdana" w:hAnsi="Verdana" w:cs="Calibri"/>
          <w:sz w:val="16"/>
          <w:szCs w:val="16"/>
          <w:lang w:val="es-CR"/>
        </w:rPr>
        <w:t xml:space="preserve"> </w:t>
      </w:r>
      <w:r>
        <w:rPr>
          <w:rFonts w:ascii="Verdana" w:hAnsi="Verdana" w:cs="Calibri"/>
          <w:sz w:val="16"/>
          <w:szCs w:val="16"/>
          <w:lang w:val="es-CR"/>
        </w:rPr>
        <w:t xml:space="preserve">de la Sección de biología de la Dirección de Investigaciones Criminalísticas, </w:t>
      </w:r>
      <w:r>
        <w:rPr>
          <w:rFonts w:ascii="Verdana" w:hAnsi="Verdana" w:cs="Calibri"/>
          <w:i/>
          <w:sz w:val="16"/>
          <w:szCs w:val="16"/>
          <w:lang w:val="es-CR"/>
        </w:rPr>
        <w:t>supra</w:t>
      </w:r>
      <w:r>
        <w:rPr>
          <w:rFonts w:ascii="Verdana" w:hAnsi="Verdana"/>
          <w:sz w:val="16"/>
          <w:szCs w:val="16"/>
          <w:lang w:val="es-CR"/>
        </w:rPr>
        <w:t>.</w:t>
      </w:r>
    </w:p>
  </w:footnote>
  <w:footnote w:id="159">
    <w:p w:rsidR="0081535F" w:rsidRPr="00361E27" w:rsidRDefault="0081535F" w:rsidP="00422232">
      <w:pPr>
        <w:pStyle w:val="Textonotapie"/>
        <w:spacing w:line="19" w:lineRule="atLeast"/>
        <w:ind w:left="-180" w:right="-174"/>
        <w:jc w:val="both"/>
        <w:rPr>
          <w:rFonts w:ascii="Verdana" w:hAnsi="Verdana"/>
          <w:sz w:val="16"/>
          <w:szCs w:val="16"/>
          <w:lang w:val="es-CR"/>
        </w:rPr>
      </w:pPr>
      <w:r w:rsidRPr="007802D0">
        <w:rPr>
          <w:rStyle w:val="Refdenotaalpie"/>
          <w:rFonts w:ascii="Verdana" w:hAnsi="Verdana"/>
          <w:sz w:val="16"/>
          <w:szCs w:val="16"/>
        </w:rPr>
        <w:footnoteRef/>
      </w:r>
      <w:r w:rsidRPr="007802D0">
        <w:rPr>
          <w:rFonts w:ascii="Verdana" w:hAnsi="Verdana"/>
          <w:sz w:val="16"/>
          <w:szCs w:val="16"/>
          <w:lang w:val="es-CR"/>
        </w:rPr>
        <w:t xml:space="preserve"> </w:t>
      </w:r>
      <w:r w:rsidRPr="007802D0">
        <w:rPr>
          <w:rFonts w:ascii="Verdana" w:hAnsi="Verdana"/>
          <w:i/>
          <w:sz w:val="16"/>
          <w:szCs w:val="16"/>
          <w:lang w:val="es-CR"/>
        </w:rPr>
        <w:t>Cfr.</w:t>
      </w:r>
      <w:r w:rsidRPr="007802D0">
        <w:rPr>
          <w:rFonts w:ascii="Verdana" w:hAnsi="Verdana"/>
          <w:sz w:val="16"/>
          <w:szCs w:val="16"/>
          <w:lang w:val="es-CR"/>
        </w:rPr>
        <w:t xml:space="preserve"> Informe de la Sección de Toxicología emitido por la Química farmacéutica del Ministerio Público el 19 de febrero de 2002 (</w:t>
      </w:r>
      <w:r>
        <w:rPr>
          <w:rFonts w:ascii="Verdana" w:hAnsi="Verdana"/>
          <w:sz w:val="16"/>
          <w:szCs w:val="16"/>
          <w:lang w:val="es-CR"/>
        </w:rPr>
        <w:t>e</w:t>
      </w:r>
      <w:r w:rsidRPr="007802D0">
        <w:rPr>
          <w:rFonts w:ascii="Verdana" w:hAnsi="Verdana"/>
          <w:sz w:val="16"/>
          <w:szCs w:val="16"/>
          <w:lang w:val="es-CR"/>
        </w:rPr>
        <w:t xml:space="preserve">xpediente de anexos al escrito de </w:t>
      </w:r>
      <w:r w:rsidRPr="00361E27">
        <w:rPr>
          <w:rFonts w:ascii="Verdana" w:hAnsi="Verdana"/>
          <w:sz w:val="16"/>
          <w:szCs w:val="16"/>
          <w:lang w:val="es-CR"/>
        </w:rPr>
        <w:t>solicitudes y argumentos, tomo I, anexo 12, f. 5</w:t>
      </w:r>
      <w:r>
        <w:rPr>
          <w:rFonts w:ascii="Verdana" w:hAnsi="Verdana"/>
          <w:sz w:val="16"/>
          <w:szCs w:val="16"/>
          <w:lang w:val="es-CR"/>
        </w:rPr>
        <w:t>,</w:t>
      </w:r>
      <w:r w:rsidRPr="00361E27">
        <w:rPr>
          <w:rFonts w:ascii="Verdana" w:hAnsi="Verdana"/>
          <w:sz w:val="16"/>
          <w:szCs w:val="16"/>
          <w:lang w:val="es-CR"/>
        </w:rPr>
        <w:t>334).</w:t>
      </w:r>
    </w:p>
  </w:footnote>
  <w:footnote w:id="160">
    <w:p w:rsidR="0081535F" w:rsidRPr="00494EB2" w:rsidRDefault="0081535F" w:rsidP="00422232">
      <w:pPr>
        <w:pStyle w:val="Textonotapie"/>
        <w:spacing w:line="19" w:lineRule="atLeast"/>
        <w:ind w:left="-180" w:right="-174"/>
        <w:jc w:val="both"/>
        <w:rPr>
          <w:rFonts w:ascii="Verdana" w:hAnsi="Verdana"/>
          <w:sz w:val="16"/>
          <w:szCs w:val="16"/>
          <w:lang w:val="es-CR"/>
        </w:rPr>
      </w:pPr>
      <w:r w:rsidRPr="00361E27">
        <w:rPr>
          <w:rStyle w:val="Refdenotaalpie"/>
          <w:rFonts w:ascii="Verdana" w:hAnsi="Verdana"/>
          <w:sz w:val="16"/>
          <w:szCs w:val="16"/>
        </w:rPr>
        <w:footnoteRef/>
      </w:r>
      <w:r w:rsidRPr="00361E27">
        <w:rPr>
          <w:rFonts w:ascii="Verdana" w:hAnsi="Verdana"/>
          <w:sz w:val="16"/>
          <w:szCs w:val="16"/>
          <w:lang w:val="es-CR"/>
        </w:rPr>
        <w:t xml:space="preserve"> </w:t>
      </w:r>
      <w:r w:rsidRPr="00361E27">
        <w:rPr>
          <w:rFonts w:ascii="Verdana" w:hAnsi="Verdana"/>
          <w:i/>
          <w:sz w:val="16"/>
          <w:szCs w:val="16"/>
          <w:lang w:val="es-CR"/>
        </w:rPr>
        <w:t>Cfr.</w:t>
      </w:r>
      <w:r w:rsidRPr="00361E27">
        <w:rPr>
          <w:rFonts w:ascii="Verdana" w:hAnsi="Verdana"/>
          <w:sz w:val="16"/>
          <w:szCs w:val="16"/>
          <w:lang w:val="es-CR"/>
        </w:rPr>
        <w:t xml:space="preserve"> Dictamen No. BIOL-01-15-12</w:t>
      </w:r>
      <w:r w:rsidRPr="00361E27">
        <w:rPr>
          <w:rFonts w:ascii="Verdana" w:hAnsi="Verdana" w:cs="Calibri"/>
          <w:sz w:val="16"/>
          <w:szCs w:val="16"/>
          <w:lang w:val="es-CR"/>
        </w:rPr>
        <w:t xml:space="preserve"> </w:t>
      </w:r>
      <w:r>
        <w:rPr>
          <w:rFonts w:ascii="Verdana" w:hAnsi="Verdana" w:cs="Calibri"/>
          <w:sz w:val="16"/>
          <w:szCs w:val="16"/>
          <w:lang w:val="es-CR"/>
        </w:rPr>
        <w:t xml:space="preserve">de la Sección de biología de la Dirección de Investigaciones Criminalísticas, </w:t>
      </w:r>
      <w:r>
        <w:rPr>
          <w:rFonts w:ascii="Verdana" w:hAnsi="Verdana" w:cs="Calibri"/>
          <w:i/>
          <w:sz w:val="16"/>
          <w:szCs w:val="16"/>
          <w:lang w:val="es-CR"/>
        </w:rPr>
        <w:t>supra</w:t>
      </w:r>
      <w:r>
        <w:rPr>
          <w:rFonts w:ascii="Verdana" w:hAnsi="Verdana"/>
          <w:sz w:val="16"/>
          <w:szCs w:val="16"/>
          <w:lang w:val="es-CR"/>
        </w:rPr>
        <w:t>.</w:t>
      </w:r>
    </w:p>
  </w:footnote>
  <w:footnote w:id="161">
    <w:p w:rsidR="0081535F" w:rsidRPr="00507192" w:rsidRDefault="0081535F" w:rsidP="00422232">
      <w:pPr>
        <w:pStyle w:val="Textonotapie"/>
        <w:spacing w:line="19" w:lineRule="atLeast"/>
        <w:ind w:left="-180" w:right="-174"/>
        <w:jc w:val="both"/>
        <w:rPr>
          <w:rFonts w:ascii="Verdana" w:hAnsi="Verdana"/>
          <w:sz w:val="16"/>
          <w:szCs w:val="16"/>
          <w:lang w:val="es-CR"/>
        </w:rPr>
      </w:pPr>
      <w:r w:rsidRPr="00507192">
        <w:rPr>
          <w:rStyle w:val="Refdenotaalpie"/>
          <w:rFonts w:ascii="Verdana" w:hAnsi="Verdana"/>
          <w:sz w:val="16"/>
          <w:szCs w:val="16"/>
        </w:rPr>
        <w:footnoteRef/>
      </w:r>
      <w:r w:rsidRPr="00507192">
        <w:rPr>
          <w:rFonts w:ascii="Verdana" w:hAnsi="Verdana"/>
          <w:sz w:val="16"/>
          <w:szCs w:val="16"/>
          <w:lang w:val="es-CR"/>
        </w:rPr>
        <w:t xml:space="preserve"> Oficio </w:t>
      </w:r>
      <w:r>
        <w:rPr>
          <w:rFonts w:ascii="Verdana" w:hAnsi="Verdana"/>
          <w:sz w:val="16"/>
          <w:szCs w:val="16"/>
          <w:lang w:val="es-CR"/>
        </w:rPr>
        <w:t xml:space="preserve">emitido por la Auxiliar Fiscal I de la Agencia No. 5 de Mixco </w:t>
      </w:r>
      <w:r w:rsidRPr="00507192">
        <w:rPr>
          <w:rFonts w:ascii="Verdana" w:hAnsi="Verdana"/>
          <w:sz w:val="16"/>
          <w:szCs w:val="16"/>
          <w:lang w:val="es-CR"/>
        </w:rPr>
        <w:t>dirigido al Médico Forense de 27 de febrero de 200</w:t>
      </w:r>
      <w:r>
        <w:rPr>
          <w:rFonts w:ascii="Verdana" w:hAnsi="Verdana"/>
          <w:sz w:val="16"/>
          <w:szCs w:val="16"/>
          <w:lang w:val="es-CR"/>
        </w:rPr>
        <w:t>6</w:t>
      </w:r>
      <w:r w:rsidRPr="00507192">
        <w:rPr>
          <w:rFonts w:ascii="Verdana" w:hAnsi="Verdana"/>
          <w:sz w:val="16"/>
          <w:szCs w:val="16"/>
          <w:lang w:val="es-CR"/>
        </w:rPr>
        <w:t xml:space="preserve"> (</w:t>
      </w:r>
      <w:r>
        <w:rPr>
          <w:rFonts w:ascii="Verdana" w:hAnsi="Verdana"/>
          <w:sz w:val="16"/>
          <w:szCs w:val="16"/>
          <w:lang w:val="es-CR"/>
        </w:rPr>
        <w:t>e</w:t>
      </w:r>
      <w:r w:rsidRPr="00507192">
        <w:rPr>
          <w:rFonts w:ascii="Verdana" w:hAnsi="Verdana"/>
          <w:sz w:val="16"/>
          <w:szCs w:val="16"/>
          <w:lang w:val="es-CR"/>
        </w:rPr>
        <w:t>xpediente de anexos al Informe de Fondo, anexo 10, f. 90).</w:t>
      </w:r>
    </w:p>
  </w:footnote>
  <w:footnote w:id="162">
    <w:p w:rsidR="0081535F" w:rsidRPr="00507192" w:rsidRDefault="0081535F" w:rsidP="00422232">
      <w:pPr>
        <w:pStyle w:val="Textonotapie"/>
        <w:spacing w:line="19" w:lineRule="atLeast"/>
        <w:ind w:left="-180" w:right="-174"/>
        <w:jc w:val="both"/>
        <w:rPr>
          <w:rFonts w:ascii="Verdana" w:hAnsi="Verdana"/>
          <w:sz w:val="16"/>
          <w:szCs w:val="16"/>
          <w:lang w:val="es-CR"/>
        </w:rPr>
      </w:pPr>
      <w:r w:rsidRPr="00507192">
        <w:rPr>
          <w:rStyle w:val="Refdenotaalpie"/>
          <w:rFonts w:ascii="Verdana" w:hAnsi="Verdana"/>
          <w:sz w:val="16"/>
          <w:szCs w:val="16"/>
        </w:rPr>
        <w:footnoteRef/>
      </w:r>
      <w:r w:rsidRPr="00507192">
        <w:rPr>
          <w:rFonts w:ascii="Verdana" w:hAnsi="Verdana"/>
          <w:sz w:val="16"/>
          <w:szCs w:val="16"/>
          <w:lang w:val="es-CR"/>
        </w:rPr>
        <w:t xml:space="preserve"> </w:t>
      </w:r>
      <w:r w:rsidRPr="00507192">
        <w:rPr>
          <w:rFonts w:ascii="Verdana" w:hAnsi="Verdana"/>
          <w:i/>
          <w:sz w:val="16"/>
          <w:szCs w:val="16"/>
          <w:lang w:val="es-CR"/>
        </w:rPr>
        <w:t>Cfr.</w:t>
      </w:r>
      <w:r w:rsidRPr="00507192">
        <w:rPr>
          <w:rFonts w:ascii="Verdana" w:hAnsi="Verdana"/>
          <w:sz w:val="16"/>
          <w:szCs w:val="16"/>
          <w:lang w:val="es-CR"/>
        </w:rPr>
        <w:t xml:space="preserve"> Oficio emitido por el Médico Forense </w:t>
      </w:r>
      <w:r>
        <w:rPr>
          <w:rFonts w:ascii="Verdana" w:hAnsi="Verdana"/>
          <w:sz w:val="16"/>
          <w:szCs w:val="16"/>
          <w:lang w:val="es-CR"/>
        </w:rPr>
        <w:t xml:space="preserve">dirigido a la Auxiliar Fiscal I de la Fiscalía Municipal de Mixco </w:t>
      </w:r>
      <w:r w:rsidRPr="00507192">
        <w:rPr>
          <w:rFonts w:ascii="Verdana" w:hAnsi="Verdana"/>
          <w:sz w:val="16"/>
          <w:szCs w:val="16"/>
          <w:lang w:val="es-CR"/>
        </w:rPr>
        <w:t>de 9 de marzo de 200</w:t>
      </w:r>
      <w:r>
        <w:rPr>
          <w:rFonts w:ascii="Verdana" w:hAnsi="Verdana"/>
          <w:sz w:val="16"/>
          <w:szCs w:val="16"/>
          <w:lang w:val="es-CR"/>
        </w:rPr>
        <w:t>6</w:t>
      </w:r>
      <w:r w:rsidRPr="00507192">
        <w:rPr>
          <w:rFonts w:ascii="Verdana" w:hAnsi="Verdana"/>
          <w:sz w:val="16"/>
          <w:szCs w:val="16"/>
          <w:lang w:val="es-CR"/>
        </w:rPr>
        <w:t xml:space="preserve"> (</w:t>
      </w:r>
      <w:r>
        <w:rPr>
          <w:rFonts w:ascii="Verdana" w:hAnsi="Verdana"/>
          <w:sz w:val="16"/>
          <w:szCs w:val="16"/>
          <w:lang w:val="es-CR"/>
        </w:rPr>
        <w:t>e</w:t>
      </w:r>
      <w:r w:rsidRPr="00507192">
        <w:rPr>
          <w:rFonts w:ascii="Verdana" w:hAnsi="Verdana"/>
          <w:sz w:val="16"/>
          <w:szCs w:val="16"/>
          <w:lang w:val="es-CR"/>
        </w:rPr>
        <w:t>xpediente de anexos al Informe de Fondo, anexo 11, f. 92).</w:t>
      </w:r>
    </w:p>
  </w:footnote>
  <w:footnote w:id="163">
    <w:p w:rsidR="0081535F" w:rsidRPr="0052493C" w:rsidRDefault="0081535F" w:rsidP="00422232">
      <w:pPr>
        <w:pStyle w:val="Textonotapie"/>
        <w:spacing w:line="19" w:lineRule="atLeast"/>
        <w:ind w:left="-180" w:right="-174"/>
        <w:jc w:val="both"/>
        <w:rPr>
          <w:rFonts w:ascii="Verdana" w:hAnsi="Verdana"/>
          <w:sz w:val="16"/>
          <w:szCs w:val="16"/>
          <w:lang w:val="es-CR"/>
        </w:rPr>
      </w:pPr>
      <w:r w:rsidRPr="00353432">
        <w:rPr>
          <w:rStyle w:val="Refdenotaalpie"/>
          <w:rFonts w:ascii="Verdana" w:hAnsi="Verdana"/>
          <w:sz w:val="16"/>
          <w:szCs w:val="16"/>
        </w:rPr>
        <w:footnoteRef/>
      </w:r>
      <w:r w:rsidRPr="00353432">
        <w:rPr>
          <w:rFonts w:ascii="Verdana" w:hAnsi="Verdana"/>
          <w:sz w:val="16"/>
          <w:szCs w:val="16"/>
          <w:lang w:val="es-CR"/>
        </w:rPr>
        <w:t xml:space="preserve"> </w:t>
      </w:r>
      <w:r w:rsidRPr="00AA5F26">
        <w:rPr>
          <w:rFonts w:ascii="Verdana" w:hAnsi="Verdana"/>
          <w:sz w:val="16"/>
          <w:szCs w:val="16"/>
          <w:lang w:val="es-CR"/>
        </w:rPr>
        <w:t>Protocolo de Necropsia No. 2865/2001 de 13 de febrero de 2002 (</w:t>
      </w:r>
      <w:r>
        <w:rPr>
          <w:rFonts w:ascii="Verdana" w:hAnsi="Verdana"/>
          <w:sz w:val="16"/>
          <w:szCs w:val="16"/>
          <w:lang w:val="es-CR"/>
        </w:rPr>
        <w:t>e</w:t>
      </w:r>
      <w:r w:rsidRPr="00AA5F26">
        <w:rPr>
          <w:rFonts w:ascii="Verdana" w:hAnsi="Verdana"/>
          <w:sz w:val="16"/>
          <w:szCs w:val="16"/>
          <w:lang w:val="es-CR"/>
        </w:rPr>
        <w:t xml:space="preserve">xpediente de anexos al Informe de Fondo, anexo 4, f. 62), el cual señala: </w:t>
      </w:r>
    </w:p>
    <w:p w:rsidR="0081535F" w:rsidRDefault="0081535F" w:rsidP="00422232">
      <w:pPr>
        <w:pStyle w:val="Textonotapie"/>
        <w:spacing w:line="19" w:lineRule="atLeast"/>
        <w:ind w:left="-180" w:right="-174"/>
        <w:jc w:val="both"/>
        <w:rPr>
          <w:rFonts w:ascii="Verdana" w:hAnsi="Verdana"/>
          <w:sz w:val="16"/>
          <w:szCs w:val="16"/>
          <w:highlight w:val="yellow"/>
          <w:lang w:val="es-CR"/>
        </w:rPr>
      </w:pPr>
      <w:r w:rsidRPr="00AA5F26">
        <w:rPr>
          <w:rFonts w:ascii="Verdana" w:hAnsi="Verdana"/>
          <w:sz w:val="16"/>
          <w:szCs w:val="16"/>
          <w:lang w:val="es-CR"/>
        </w:rPr>
        <w:t xml:space="preserve">“EXAMEN EXTERNO: </w:t>
      </w:r>
      <w:r>
        <w:rPr>
          <w:rFonts w:ascii="Verdana" w:hAnsi="Verdana"/>
          <w:sz w:val="16"/>
          <w:szCs w:val="16"/>
          <w:lang w:val="es-CR"/>
        </w:rPr>
        <w:t xml:space="preserve">[…] </w:t>
      </w:r>
      <w:r w:rsidRPr="00AA5F26">
        <w:rPr>
          <w:rFonts w:ascii="Verdana" w:hAnsi="Verdana"/>
          <w:sz w:val="16"/>
          <w:szCs w:val="16"/>
          <w:lang w:val="es-CR"/>
        </w:rPr>
        <w:t>Livideces: en región dorsal del cuerpo. Rigidez: establecida y generalizada. Putrefacción: no iniciada aparentemente. LESIONES: presenta herida contusa de seis por seis centímetros de bordes irregulares en cuero cabelludo parietal izquierdo, otra herida de cuatro por seis centímetros de tipo contuso de bordes irregulares que provoca fractura en temporo-occipital izquierdo. Presenta escoriaciones de color violáceo en hombro y cuello lado derecho, en la parte posterior del cuello (nuca), presenta equimosis violácea en toda esa región más infiltrado hemorrágico, así</w:t>
      </w:r>
      <w:r>
        <w:rPr>
          <w:rFonts w:ascii="Verdana" w:hAnsi="Verdana"/>
          <w:sz w:val="16"/>
          <w:szCs w:val="16"/>
          <w:lang w:val="es-CR"/>
        </w:rPr>
        <w:t xml:space="preserve"> como escoriaciones en el hombro</w:t>
      </w:r>
      <w:r w:rsidRPr="00AA5F26">
        <w:rPr>
          <w:rFonts w:ascii="Verdana" w:hAnsi="Verdana"/>
          <w:sz w:val="16"/>
          <w:szCs w:val="16"/>
          <w:lang w:val="es-CR"/>
        </w:rPr>
        <w:t>, tórax posterior derecho e izquierdo bilateral, hay desfacelamiento en tórax posterior derecho y parte posterior de brazo derecho, equimosis más zona de contusión en pabellón de la oreja izquierda, la escoriación en cuello y brazo derechos guardan un patrón repetitivo como muesca dentaria. CRÁNEO: infiltrado sanguíneo en todo el cuero cabelludo con hematoma sub-aponeurótico en región temporo-parietal izquierdo con fractura en occipito-temporal derecha y fractura de la base lado derecho. Cerebro: contusionado, hemorrágico, hematoma epidural lado izquierdo al corte consistencia firme. Cerebelo: contusionado y hemorrágico.</w:t>
      </w:r>
      <w:r>
        <w:rPr>
          <w:rFonts w:ascii="Verdana" w:hAnsi="Verdana"/>
          <w:sz w:val="16"/>
          <w:szCs w:val="16"/>
          <w:lang w:val="es-CR"/>
        </w:rPr>
        <w:t>[…]</w:t>
      </w:r>
      <w:r w:rsidRPr="00AA5F26">
        <w:rPr>
          <w:rFonts w:ascii="Verdana" w:hAnsi="Verdana"/>
          <w:sz w:val="16"/>
          <w:szCs w:val="16"/>
          <w:lang w:val="es-CR"/>
        </w:rPr>
        <w:t>Órganos genitales: normales. NOTA. Se envió muestras al laboratorio de Toxicología para análisis de sangre más vísceras. CONCLUSIONES: a) trauma cráneo de cuarto grado; b)hematoma epidural; c)</w:t>
      </w:r>
      <w:r>
        <w:rPr>
          <w:rFonts w:ascii="Verdana" w:hAnsi="Verdana"/>
          <w:sz w:val="16"/>
          <w:szCs w:val="16"/>
          <w:lang w:val="es-CR"/>
        </w:rPr>
        <w:t xml:space="preserve"> </w:t>
      </w:r>
      <w:r w:rsidRPr="00AA5F26">
        <w:rPr>
          <w:rFonts w:ascii="Verdana" w:hAnsi="Verdana"/>
          <w:sz w:val="16"/>
          <w:szCs w:val="16"/>
          <w:lang w:val="es-CR"/>
        </w:rPr>
        <w:t>Edema cerebral; d) fractura de cráneo; e)</w:t>
      </w:r>
      <w:r>
        <w:rPr>
          <w:rFonts w:ascii="Verdana" w:hAnsi="Verdana"/>
          <w:sz w:val="16"/>
          <w:szCs w:val="16"/>
          <w:lang w:val="es-CR"/>
        </w:rPr>
        <w:t xml:space="preserve"> </w:t>
      </w:r>
      <w:r w:rsidRPr="00AA5F26">
        <w:rPr>
          <w:rFonts w:ascii="Verdana" w:hAnsi="Verdana"/>
          <w:sz w:val="16"/>
          <w:szCs w:val="16"/>
          <w:lang w:val="es-CR"/>
        </w:rPr>
        <w:t>síndrome asfíctico; f)</w:t>
      </w:r>
      <w:r>
        <w:rPr>
          <w:rFonts w:ascii="Verdana" w:hAnsi="Verdana"/>
          <w:sz w:val="16"/>
          <w:szCs w:val="16"/>
          <w:lang w:val="es-CR"/>
        </w:rPr>
        <w:t xml:space="preserve"> </w:t>
      </w:r>
      <w:r w:rsidRPr="00AA5F26">
        <w:rPr>
          <w:rFonts w:ascii="Verdana" w:hAnsi="Verdana"/>
          <w:sz w:val="16"/>
          <w:szCs w:val="16"/>
          <w:lang w:val="es-CR"/>
        </w:rPr>
        <w:t>hallazgos descritos. CAUSA DE LA MUERTE: hematoma epidural secundario a trauma cráneo de cuarto grado”.</w:t>
      </w:r>
    </w:p>
  </w:footnote>
  <w:footnote w:id="164">
    <w:p w:rsidR="0081535F" w:rsidRPr="00353432" w:rsidRDefault="0081535F" w:rsidP="00422232">
      <w:pPr>
        <w:pStyle w:val="Textonotapie"/>
        <w:spacing w:line="19" w:lineRule="atLeast"/>
        <w:ind w:left="-180" w:right="-174"/>
        <w:jc w:val="both"/>
        <w:rPr>
          <w:rFonts w:ascii="Verdana" w:hAnsi="Verdana"/>
          <w:sz w:val="16"/>
          <w:szCs w:val="16"/>
          <w:lang w:val="es-CR"/>
        </w:rPr>
      </w:pPr>
      <w:r w:rsidRPr="00353432">
        <w:rPr>
          <w:rStyle w:val="Refdenotaalpie"/>
          <w:rFonts w:ascii="Verdana" w:hAnsi="Verdana"/>
          <w:sz w:val="16"/>
          <w:szCs w:val="16"/>
        </w:rPr>
        <w:footnoteRef/>
      </w:r>
      <w:r>
        <w:rPr>
          <w:rFonts w:ascii="Verdana" w:hAnsi="Verdana"/>
          <w:sz w:val="16"/>
          <w:szCs w:val="16"/>
          <w:lang w:val="es-CR"/>
        </w:rPr>
        <w:t xml:space="preserve"> </w:t>
      </w:r>
      <w:r w:rsidRPr="00353432">
        <w:rPr>
          <w:rFonts w:ascii="Verdana" w:hAnsi="Verdana"/>
          <w:i/>
          <w:sz w:val="16"/>
          <w:szCs w:val="16"/>
          <w:lang w:val="es-CR"/>
        </w:rPr>
        <w:t>Cfr.</w:t>
      </w:r>
      <w:r w:rsidRPr="00353432">
        <w:rPr>
          <w:rFonts w:ascii="Verdana" w:hAnsi="Verdana"/>
          <w:sz w:val="16"/>
          <w:szCs w:val="16"/>
          <w:lang w:val="es-CR"/>
        </w:rPr>
        <w:t xml:space="preserve"> Oficio de solicitud al Jefe del </w:t>
      </w:r>
      <w:r>
        <w:rPr>
          <w:rFonts w:ascii="Verdana" w:hAnsi="Verdana"/>
          <w:sz w:val="16"/>
          <w:szCs w:val="16"/>
          <w:lang w:val="es-CR"/>
        </w:rPr>
        <w:t xml:space="preserve">Instituto de Ciencias Forenses </w:t>
      </w:r>
      <w:r w:rsidRPr="00353432">
        <w:rPr>
          <w:rFonts w:ascii="Verdana" w:hAnsi="Verdana"/>
          <w:sz w:val="16"/>
          <w:szCs w:val="16"/>
          <w:lang w:val="es-CR"/>
        </w:rPr>
        <w:t>de 2 de agosto de 2011 (</w:t>
      </w:r>
      <w:r>
        <w:rPr>
          <w:rFonts w:ascii="Verdana" w:hAnsi="Verdana"/>
          <w:sz w:val="16"/>
          <w:szCs w:val="16"/>
          <w:lang w:val="es-CR"/>
        </w:rPr>
        <w:t>e</w:t>
      </w:r>
      <w:r w:rsidRPr="00353432">
        <w:rPr>
          <w:rFonts w:ascii="Verdana" w:hAnsi="Verdana"/>
          <w:sz w:val="16"/>
          <w:szCs w:val="16"/>
          <w:lang w:val="es-CR"/>
        </w:rPr>
        <w:t>xpediente de anexos al escrito de solicitudes y argumentos</w:t>
      </w:r>
      <w:r>
        <w:rPr>
          <w:rFonts w:ascii="Verdana" w:hAnsi="Verdana"/>
          <w:sz w:val="16"/>
          <w:szCs w:val="16"/>
          <w:lang w:val="es-CR"/>
        </w:rPr>
        <w:t>, tomo I</w:t>
      </w:r>
      <w:r w:rsidRPr="00353432">
        <w:rPr>
          <w:rFonts w:ascii="Verdana" w:hAnsi="Verdana"/>
          <w:sz w:val="16"/>
          <w:szCs w:val="16"/>
          <w:lang w:val="es-CR"/>
        </w:rPr>
        <w:t>, anexo 46, f. 5</w:t>
      </w:r>
      <w:r>
        <w:rPr>
          <w:rFonts w:ascii="Verdana" w:hAnsi="Verdana"/>
          <w:sz w:val="16"/>
          <w:szCs w:val="16"/>
          <w:lang w:val="es-CR"/>
        </w:rPr>
        <w:t>,</w:t>
      </w:r>
      <w:r w:rsidRPr="00353432">
        <w:rPr>
          <w:rFonts w:ascii="Verdana" w:hAnsi="Verdana"/>
          <w:sz w:val="16"/>
          <w:szCs w:val="16"/>
          <w:lang w:val="es-CR"/>
        </w:rPr>
        <w:t>461).</w:t>
      </w:r>
    </w:p>
  </w:footnote>
  <w:footnote w:id="165">
    <w:p w:rsidR="0081535F" w:rsidRPr="00353432" w:rsidRDefault="0081535F" w:rsidP="00422232">
      <w:pPr>
        <w:pStyle w:val="Textonotapie"/>
        <w:spacing w:line="19" w:lineRule="atLeast"/>
        <w:ind w:left="-180" w:right="-174"/>
        <w:jc w:val="both"/>
        <w:rPr>
          <w:rFonts w:ascii="Verdana" w:hAnsi="Verdana"/>
          <w:sz w:val="16"/>
          <w:szCs w:val="16"/>
          <w:lang w:val="es-CR"/>
        </w:rPr>
      </w:pPr>
      <w:r w:rsidRPr="00353432">
        <w:rPr>
          <w:rStyle w:val="Refdenotaalpie"/>
          <w:rFonts w:ascii="Verdana" w:hAnsi="Verdana"/>
          <w:sz w:val="16"/>
          <w:szCs w:val="16"/>
        </w:rPr>
        <w:footnoteRef/>
      </w:r>
      <w:r>
        <w:rPr>
          <w:rFonts w:ascii="Verdana" w:hAnsi="Verdana"/>
          <w:i/>
          <w:sz w:val="16"/>
          <w:szCs w:val="16"/>
          <w:lang w:val="es-CR"/>
        </w:rPr>
        <w:t xml:space="preserve"> </w:t>
      </w:r>
      <w:r w:rsidRPr="00353432">
        <w:rPr>
          <w:rFonts w:ascii="Verdana" w:hAnsi="Verdana"/>
          <w:i/>
          <w:sz w:val="16"/>
          <w:szCs w:val="16"/>
          <w:lang w:val="es-CR"/>
        </w:rPr>
        <w:t>Cfr.</w:t>
      </w:r>
      <w:r w:rsidRPr="00353432">
        <w:rPr>
          <w:rFonts w:ascii="Verdana" w:hAnsi="Verdana"/>
          <w:sz w:val="16"/>
          <w:szCs w:val="16"/>
          <w:lang w:val="es-CR"/>
        </w:rPr>
        <w:t xml:space="preserve"> Peritaje rendido por el perito </w:t>
      </w:r>
      <w:r>
        <w:rPr>
          <w:rFonts w:ascii="Verdana" w:hAnsi="Verdana"/>
          <w:sz w:val="16"/>
          <w:szCs w:val="16"/>
          <w:lang w:val="es-CR"/>
        </w:rPr>
        <w:t xml:space="preserve">profesional de la medicina del Instituto de Ciencias Forenses </w:t>
      </w:r>
      <w:r w:rsidRPr="00353432">
        <w:rPr>
          <w:rFonts w:ascii="Verdana" w:hAnsi="Verdana"/>
          <w:sz w:val="16"/>
          <w:szCs w:val="16"/>
          <w:lang w:val="es-CR"/>
        </w:rPr>
        <w:t xml:space="preserve"> de 4 de agosto de 2011 (</w:t>
      </w:r>
      <w:r>
        <w:rPr>
          <w:rFonts w:ascii="Verdana" w:hAnsi="Verdana"/>
          <w:sz w:val="16"/>
          <w:szCs w:val="16"/>
          <w:lang w:val="es-CR"/>
        </w:rPr>
        <w:t>e</w:t>
      </w:r>
      <w:r w:rsidRPr="00353432">
        <w:rPr>
          <w:rFonts w:ascii="Verdana" w:hAnsi="Verdana"/>
          <w:sz w:val="16"/>
          <w:szCs w:val="16"/>
          <w:lang w:val="es-CR"/>
        </w:rPr>
        <w:t xml:space="preserve">xpediente de anexos al escrito de solicitudes y argumentos, </w:t>
      </w:r>
      <w:r>
        <w:rPr>
          <w:rFonts w:ascii="Verdana" w:hAnsi="Verdana"/>
          <w:sz w:val="16"/>
          <w:szCs w:val="16"/>
          <w:lang w:val="es-CR"/>
        </w:rPr>
        <w:t xml:space="preserve">tomo I, </w:t>
      </w:r>
      <w:r w:rsidRPr="00353432">
        <w:rPr>
          <w:rFonts w:ascii="Verdana" w:hAnsi="Verdana"/>
          <w:sz w:val="16"/>
          <w:szCs w:val="16"/>
          <w:lang w:val="es-CR"/>
        </w:rPr>
        <w:t>anexo 47, f. 5</w:t>
      </w:r>
      <w:r>
        <w:rPr>
          <w:rFonts w:ascii="Verdana" w:hAnsi="Verdana"/>
          <w:sz w:val="16"/>
          <w:szCs w:val="16"/>
          <w:lang w:val="es-CR"/>
        </w:rPr>
        <w:t>,</w:t>
      </w:r>
      <w:r w:rsidRPr="00353432">
        <w:rPr>
          <w:rFonts w:ascii="Verdana" w:hAnsi="Verdana"/>
          <w:sz w:val="16"/>
          <w:szCs w:val="16"/>
          <w:lang w:val="es-CR"/>
        </w:rPr>
        <w:t>463).</w:t>
      </w:r>
    </w:p>
  </w:footnote>
  <w:footnote w:id="166">
    <w:p w:rsidR="0081535F" w:rsidRPr="00353432" w:rsidRDefault="0081535F" w:rsidP="00291523">
      <w:pPr>
        <w:pStyle w:val="Textonotapie"/>
        <w:spacing w:line="19" w:lineRule="atLeast"/>
        <w:ind w:left="-180" w:right="-174"/>
        <w:jc w:val="both"/>
        <w:rPr>
          <w:rFonts w:ascii="Verdana" w:hAnsi="Verdana"/>
          <w:sz w:val="16"/>
          <w:szCs w:val="16"/>
          <w:lang w:val="es-CR"/>
        </w:rPr>
      </w:pPr>
      <w:r w:rsidRPr="00353432">
        <w:rPr>
          <w:rStyle w:val="Refdenotaalpie"/>
          <w:rFonts w:ascii="Verdana" w:hAnsi="Verdana"/>
          <w:sz w:val="16"/>
          <w:szCs w:val="16"/>
        </w:rPr>
        <w:footnoteRef/>
      </w:r>
      <w:r w:rsidRPr="00353432">
        <w:rPr>
          <w:rFonts w:ascii="Verdana" w:hAnsi="Verdana"/>
          <w:sz w:val="16"/>
          <w:szCs w:val="16"/>
          <w:lang w:val="es-CR"/>
        </w:rPr>
        <w:t xml:space="preserve"> </w:t>
      </w:r>
      <w:r w:rsidRPr="00353432">
        <w:rPr>
          <w:rFonts w:ascii="Verdana" w:hAnsi="Verdana"/>
          <w:i/>
          <w:sz w:val="16"/>
          <w:szCs w:val="16"/>
          <w:lang w:val="es-CR"/>
        </w:rPr>
        <w:t>Cfr.</w:t>
      </w:r>
      <w:r w:rsidRPr="00353432">
        <w:rPr>
          <w:rFonts w:ascii="Verdana" w:hAnsi="Verdana"/>
          <w:sz w:val="16"/>
          <w:szCs w:val="16"/>
          <w:lang w:val="es-CR"/>
        </w:rPr>
        <w:t xml:space="preserve"> </w:t>
      </w:r>
      <w:r>
        <w:rPr>
          <w:rFonts w:ascii="Verdana" w:hAnsi="Verdana"/>
          <w:sz w:val="16"/>
          <w:szCs w:val="16"/>
          <w:lang w:val="es-CR"/>
        </w:rPr>
        <w:t>Informe del investigador del Servicio de Investigación Criminal de la Sección contra Homicidios de la Policía Nacional Civil</w:t>
      </w:r>
      <w:r w:rsidRPr="00353432">
        <w:rPr>
          <w:rFonts w:ascii="Verdana" w:hAnsi="Verdana"/>
          <w:sz w:val="16"/>
          <w:szCs w:val="16"/>
          <w:lang w:val="es-CR"/>
        </w:rPr>
        <w:t xml:space="preserve"> de </w:t>
      </w:r>
      <w:r>
        <w:rPr>
          <w:rFonts w:ascii="Verdana" w:hAnsi="Verdana"/>
          <w:sz w:val="16"/>
          <w:szCs w:val="16"/>
          <w:lang w:val="es-CR"/>
        </w:rPr>
        <w:t>11 d</w:t>
      </w:r>
      <w:r w:rsidRPr="00353432">
        <w:rPr>
          <w:rFonts w:ascii="Verdana" w:hAnsi="Verdana"/>
          <w:sz w:val="16"/>
          <w:szCs w:val="16"/>
          <w:lang w:val="es-CR"/>
        </w:rPr>
        <w:t>e enero de 2002 (</w:t>
      </w:r>
      <w:r>
        <w:rPr>
          <w:rFonts w:ascii="Verdana" w:hAnsi="Verdana"/>
          <w:sz w:val="16"/>
          <w:szCs w:val="16"/>
          <w:lang w:val="es-CR"/>
        </w:rPr>
        <w:t>e</w:t>
      </w:r>
      <w:r w:rsidRPr="00353432">
        <w:rPr>
          <w:rFonts w:ascii="Verdana" w:hAnsi="Verdana"/>
          <w:sz w:val="16"/>
          <w:szCs w:val="16"/>
          <w:lang w:val="es-CR"/>
        </w:rPr>
        <w:t xml:space="preserve">xpediente de anexos a la contestación, </w:t>
      </w:r>
      <w:r>
        <w:rPr>
          <w:rFonts w:ascii="Verdana" w:hAnsi="Verdana"/>
          <w:sz w:val="16"/>
          <w:szCs w:val="16"/>
          <w:lang w:val="es-CR"/>
        </w:rPr>
        <w:t>anexos 3-3b,</w:t>
      </w:r>
      <w:r w:rsidRPr="00353432">
        <w:rPr>
          <w:rFonts w:ascii="Verdana" w:hAnsi="Verdana"/>
          <w:sz w:val="16"/>
          <w:szCs w:val="16"/>
          <w:lang w:val="es-CR"/>
        </w:rPr>
        <w:t xml:space="preserve"> fs. 13</w:t>
      </w:r>
      <w:r>
        <w:rPr>
          <w:rFonts w:ascii="Verdana" w:hAnsi="Verdana"/>
          <w:sz w:val="16"/>
          <w:szCs w:val="16"/>
          <w:lang w:val="es-CR"/>
        </w:rPr>
        <w:t>,</w:t>
      </w:r>
      <w:r w:rsidRPr="00353432">
        <w:rPr>
          <w:rFonts w:ascii="Verdana" w:hAnsi="Verdana"/>
          <w:sz w:val="16"/>
          <w:szCs w:val="16"/>
          <w:lang w:val="es-CR"/>
        </w:rPr>
        <w:t>0</w:t>
      </w:r>
      <w:r>
        <w:rPr>
          <w:rFonts w:ascii="Verdana" w:hAnsi="Verdana"/>
          <w:sz w:val="16"/>
          <w:szCs w:val="16"/>
          <w:lang w:val="es-CR"/>
        </w:rPr>
        <w:t>47</w:t>
      </w:r>
      <w:r w:rsidRPr="00353432">
        <w:rPr>
          <w:rFonts w:ascii="Verdana" w:hAnsi="Verdana"/>
          <w:sz w:val="16"/>
          <w:szCs w:val="16"/>
          <w:lang w:val="es-CR"/>
        </w:rPr>
        <w:t xml:space="preserve"> </w:t>
      </w:r>
      <w:r>
        <w:rPr>
          <w:rFonts w:ascii="Verdana" w:hAnsi="Verdana"/>
          <w:sz w:val="16"/>
          <w:szCs w:val="16"/>
          <w:lang w:val="es-CR"/>
        </w:rPr>
        <w:t>y</w:t>
      </w:r>
      <w:r w:rsidRPr="00353432">
        <w:rPr>
          <w:rFonts w:ascii="Verdana" w:hAnsi="Verdana"/>
          <w:sz w:val="16"/>
          <w:szCs w:val="16"/>
          <w:lang w:val="es-CR"/>
        </w:rPr>
        <w:t xml:space="preserve"> 13</w:t>
      </w:r>
      <w:r>
        <w:rPr>
          <w:rFonts w:ascii="Verdana" w:hAnsi="Verdana"/>
          <w:sz w:val="16"/>
          <w:szCs w:val="16"/>
          <w:lang w:val="es-CR"/>
        </w:rPr>
        <w:t>,048</w:t>
      </w:r>
      <w:r w:rsidRPr="00353432">
        <w:rPr>
          <w:rFonts w:ascii="Verdana" w:hAnsi="Verdana"/>
          <w:sz w:val="16"/>
          <w:szCs w:val="16"/>
          <w:lang w:val="es-CR"/>
        </w:rPr>
        <w:t>).</w:t>
      </w:r>
    </w:p>
  </w:footnote>
  <w:footnote w:id="167">
    <w:p w:rsidR="0081535F" w:rsidRDefault="0081535F" w:rsidP="00422232">
      <w:pPr>
        <w:pStyle w:val="Textonotapie"/>
        <w:spacing w:line="19" w:lineRule="atLeast"/>
        <w:ind w:left="-180" w:right="-174"/>
        <w:jc w:val="both"/>
        <w:rPr>
          <w:rFonts w:ascii="Verdana" w:hAnsi="Verdana"/>
          <w:sz w:val="16"/>
          <w:szCs w:val="16"/>
          <w:lang w:val="es-CR"/>
        </w:rPr>
      </w:pPr>
      <w:r w:rsidRPr="00353432">
        <w:rPr>
          <w:rStyle w:val="Refdenotaalpie"/>
          <w:rFonts w:ascii="Verdana" w:hAnsi="Verdana"/>
          <w:sz w:val="16"/>
          <w:szCs w:val="16"/>
        </w:rPr>
        <w:footnoteRef/>
      </w:r>
      <w:r w:rsidRPr="00353432">
        <w:rPr>
          <w:rFonts w:ascii="Verdana" w:hAnsi="Verdana"/>
          <w:sz w:val="16"/>
          <w:szCs w:val="16"/>
          <w:lang w:val="es-CR"/>
        </w:rPr>
        <w:t xml:space="preserve"> </w:t>
      </w:r>
      <w:r w:rsidRPr="00353432">
        <w:rPr>
          <w:rFonts w:ascii="Verdana" w:hAnsi="Verdana"/>
          <w:i/>
          <w:sz w:val="16"/>
          <w:szCs w:val="16"/>
          <w:lang w:val="es-CR"/>
        </w:rPr>
        <w:t>Cfr.</w:t>
      </w:r>
      <w:r w:rsidRPr="00353432">
        <w:rPr>
          <w:rFonts w:ascii="Verdana" w:hAnsi="Verdana"/>
          <w:sz w:val="16"/>
          <w:szCs w:val="16"/>
          <w:lang w:val="es-CR"/>
        </w:rPr>
        <w:t xml:space="preserve"> </w:t>
      </w:r>
      <w:r>
        <w:rPr>
          <w:rFonts w:ascii="Verdana" w:hAnsi="Verdana"/>
          <w:sz w:val="16"/>
          <w:szCs w:val="16"/>
          <w:lang w:val="es-CR"/>
        </w:rPr>
        <w:t xml:space="preserve">Informe de la Sección contra Homicidios del Servicio de Investigación Criminal de la Policía Nacional Civil, </w:t>
      </w:r>
      <w:r>
        <w:rPr>
          <w:rFonts w:ascii="Verdana" w:hAnsi="Verdana"/>
          <w:i/>
          <w:sz w:val="16"/>
          <w:szCs w:val="16"/>
          <w:lang w:val="es-CR"/>
        </w:rPr>
        <w:t>supra</w:t>
      </w:r>
      <w:r w:rsidRPr="00122C63">
        <w:rPr>
          <w:rFonts w:ascii="Verdana" w:hAnsi="Verdana"/>
          <w:sz w:val="16"/>
          <w:szCs w:val="16"/>
          <w:lang w:val="es-CR"/>
        </w:rPr>
        <w:t>.</w:t>
      </w:r>
    </w:p>
  </w:footnote>
  <w:footnote w:id="168">
    <w:p w:rsidR="0081535F" w:rsidRPr="00353432" w:rsidRDefault="0081535F" w:rsidP="00422232">
      <w:pPr>
        <w:pStyle w:val="Textonotapie"/>
        <w:spacing w:line="19" w:lineRule="atLeast"/>
        <w:ind w:left="-180" w:right="-174"/>
        <w:jc w:val="both"/>
        <w:rPr>
          <w:rFonts w:ascii="Verdana" w:hAnsi="Verdana"/>
          <w:sz w:val="16"/>
          <w:szCs w:val="16"/>
          <w:lang w:val="es-CR"/>
        </w:rPr>
      </w:pPr>
      <w:r w:rsidRPr="00353432">
        <w:rPr>
          <w:rStyle w:val="Refdenotaalpie"/>
          <w:rFonts w:ascii="Verdana" w:hAnsi="Verdana"/>
          <w:sz w:val="16"/>
          <w:szCs w:val="16"/>
        </w:rPr>
        <w:footnoteRef/>
      </w:r>
      <w:r w:rsidRPr="00353432">
        <w:rPr>
          <w:rFonts w:ascii="Verdana" w:hAnsi="Verdana"/>
          <w:sz w:val="16"/>
          <w:szCs w:val="16"/>
          <w:lang w:val="es-MX"/>
        </w:rPr>
        <w:t xml:space="preserve"> </w:t>
      </w:r>
      <w:r w:rsidRPr="00353432">
        <w:rPr>
          <w:rFonts w:ascii="Verdana" w:hAnsi="Verdana"/>
          <w:i/>
          <w:sz w:val="16"/>
          <w:szCs w:val="16"/>
          <w:lang w:val="es-CR"/>
        </w:rPr>
        <w:t>Cfr.</w:t>
      </w:r>
      <w:r w:rsidRPr="00353432">
        <w:rPr>
          <w:rFonts w:ascii="Verdana" w:hAnsi="Verdana"/>
          <w:sz w:val="16"/>
          <w:szCs w:val="16"/>
          <w:lang w:val="es-CR"/>
        </w:rPr>
        <w:t xml:space="preserve"> Informe No. 169</w:t>
      </w:r>
      <w:r>
        <w:rPr>
          <w:rFonts w:ascii="Verdana" w:hAnsi="Verdana"/>
          <w:sz w:val="16"/>
          <w:szCs w:val="16"/>
          <w:lang w:val="es-CR"/>
        </w:rPr>
        <w:t>A</w:t>
      </w:r>
      <w:r w:rsidRPr="00353432">
        <w:rPr>
          <w:rFonts w:ascii="Verdana" w:hAnsi="Verdana"/>
          <w:sz w:val="16"/>
          <w:szCs w:val="16"/>
          <w:lang w:val="es-CR"/>
        </w:rPr>
        <w:t>-2002-Fotorobot emitido por el Técnico en Investigaciones Criminalísticas I (</w:t>
      </w:r>
      <w:r>
        <w:rPr>
          <w:rFonts w:ascii="Verdana" w:hAnsi="Verdana"/>
          <w:sz w:val="16"/>
          <w:szCs w:val="16"/>
          <w:lang w:val="es-CR"/>
        </w:rPr>
        <w:t>e</w:t>
      </w:r>
      <w:r w:rsidRPr="00353432">
        <w:rPr>
          <w:rFonts w:ascii="Verdana" w:hAnsi="Verdana"/>
          <w:sz w:val="16"/>
          <w:szCs w:val="16"/>
          <w:lang w:val="es-CR"/>
        </w:rPr>
        <w:t xml:space="preserve">xpediente de anexos a la contestación, </w:t>
      </w:r>
      <w:r>
        <w:rPr>
          <w:rFonts w:ascii="Verdana" w:hAnsi="Verdana"/>
          <w:sz w:val="16"/>
          <w:szCs w:val="16"/>
          <w:lang w:val="es-CR"/>
        </w:rPr>
        <w:t xml:space="preserve">anexos 3-3b, </w:t>
      </w:r>
      <w:r w:rsidRPr="00353432">
        <w:rPr>
          <w:rFonts w:ascii="Verdana" w:hAnsi="Verdana"/>
          <w:sz w:val="16"/>
          <w:szCs w:val="16"/>
          <w:lang w:val="es-CR"/>
        </w:rPr>
        <w:t>fs. 13</w:t>
      </w:r>
      <w:r>
        <w:rPr>
          <w:rFonts w:ascii="Verdana" w:hAnsi="Verdana"/>
          <w:sz w:val="16"/>
          <w:szCs w:val="16"/>
          <w:lang w:val="es-CR"/>
        </w:rPr>
        <w:t>,</w:t>
      </w:r>
      <w:r w:rsidRPr="00353432">
        <w:rPr>
          <w:rFonts w:ascii="Verdana" w:hAnsi="Verdana"/>
          <w:sz w:val="16"/>
          <w:szCs w:val="16"/>
          <w:lang w:val="es-CR"/>
        </w:rPr>
        <w:t>1</w:t>
      </w:r>
      <w:r>
        <w:rPr>
          <w:rFonts w:ascii="Verdana" w:hAnsi="Verdana"/>
          <w:sz w:val="16"/>
          <w:szCs w:val="16"/>
          <w:lang w:val="es-CR"/>
        </w:rPr>
        <w:t>46</w:t>
      </w:r>
      <w:r w:rsidRPr="00353432">
        <w:rPr>
          <w:rFonts w:ascii="Verdana" w:hAnsi="Verdana"/>
          <w:sz w:val="16"/>
          <w:szCs w:val="16"/>
          <w:lang w:val="es-CR"/>
        </w:rPr>
        <w:t xml:space="preserve"> </w:t>
      </w:r>
      <w:r>
        <w:rPr>
          <w:rFonts w:ascii="Verdana" w:hAnsi="Verdana"/>
          <w:sz w:val="16"/>
          <w:szCs w:val="16"/>
          <w:lang w:val="es-CR"/>
        </w:rPr>
        <w:t>a</w:t>
      </w:r>
      <w:r w:rsidRPr="00353432">
        <w:rPr>
          <w:rFonts w:ascii="Verdana" w:hAnsi="Verdana"/>
          <w:sz w:val="16"/>
          <w:szCs w:val="16"/>
          <w:lang w:val="es-CR"/>
        </w:rPr>
        <w:t xml:space="preserve"> 13</w:t>
      </w:r>
      <w:r>
        <w:rPr>
          <w:rFonts w:ascii="Verdana" w:hAnsi="Verdana"/>
          <w:sz w:val="16"/>
          <w:szCs w:val="16"/>
          <w:lang w:val="es-CR"/>
        </w:rPr>
        <w:t>,</w:t>
      </w:r>
      <w:r w:rsidRPr="00353432">
        <w:rPr>
          <w:rFonts w:ascii="Verdana" w:hAnsi="Verdana"/>
          <w:sz w:val="16"/>
          <w:szCs w:val="16"/>
          <w:lang w:val="es-CR"/>
        </w:rPr>
        <w:t>1</w:t>
      </w:r>
      <w:r>
        <w:rPr>
          <w:rFonts w:ascii="Verdana" w:hAnsi="Verdana"/>
          <w:sz w:val="16"/>
          <w:szCs w:val="16"/>
          <w:lang w:val="es-CR"/>
        </w:rPr>
        <w:t>48</w:t>
      </w:r>
      <w:r w:rsidRPr="00353432">
        <w:rPr>
          <w:rFonts w:ascii="Verdana" w:hAnsi="Verdana"/>
          <w:sz w:val="16"/>
          <w:szCs w:val="16"/>
          <w:lang w:val="es-CR"/>
        </w:rPr>
        <w:t>).</w:t>
      </w:r>
    </w:p>
  </w:footnote>
  <w:footnote w:id="169">
    <w:p w:rsidR="0081535F" w:rsidRPr="00353432" w:rsidRDefault="0081535F" w:rsidP="00422232">
      <w:pPr>
        <w:pStyle w:val="Textonotapie"/>
        <w:spacing w:line="19" w:lineRule="atLeast"/>
        <w:ind w:left="-180" w:right="-174"/>
        <w:jc w:val="both"/>
        <w:rPr>
          <w:rFonts w:ascii="Verdana" w:hAnsi="Verdana"/>
          <w:sz w:val="16"/>
          <w:szCs w:val="16"/>
          <w:lang w:val="es-CR"/>
        </w:rPr>
      </w:pPr>
      <w:r w:rsidRPr="00353432">
        <w:rPr>
          <w:rStyle w:val="Refdenotaalpie"/>
          <w:rFonts w:ascii="Verdana" w:hAnsi="Verdana"/>
          <w:sz w:val="16"/>
          <w:szCs w:val="16"/>
        </w:rPr>
        <w:footnoteRef/>
      </w:r>
      <w:r w:rsidRPr="00353432">
        <w:rPr>
          <w:rFonts w:ascii="Verdana" w:hAnsi="Verdana"/>
          <w:sz w:val="16"/>
          <w:szCs w:val="16"/>
        </w:rPr>
        <w:t xml:space="preserve"> </w:t>
      </w:r>
      <w:r w:rsidRPr="00353432">
        <w:rPr>
          <w:rFonts w:ascii="Verdana" w:hAnsi="Verdana"/>
          <w:i/>
          <w:sz w:val="16"/>
          <w:szCs w:val="16"/>
          <w:lang w:val="es-CR"/>
        </w:rPr>
        <w:t>Cfr.</w:t>
      </w:r>
      <w:r w:rsidRPr="00353432">
        <w:rPr>
          <w:rFonts w:ascii="Verdana" w:hAnsi="Verdana"/>
          <w:sz w:val="16"/>
          <w:szCs w:val="16"/>
          <w:lang w:val="es-CR"/>
        </w:rPr>
        <w:t xml:space="preserve"> Informe del Técnico en Investigaciones Criminalísticas I de 10 de abril de 2002 (</w:t>
      </w:r>
      <w:r>
        <w:rPr>
          <w:rFonts w:ascii="Verdana" w:hAnsi="Verdana"/>
          <w:sz w:val="16"/>
          <w:szCs w:val="16"/>
          <w:lang w:val="es-CR"/>
        </w:rPr>
        <w:t>e</w:t>
      </w:r>
      <w:r w:rsidRPr="00353432">
        <w:rPr>
          <w:rFonts w:ascii="Verdana" w:hAnsi="Verdana"/>
          <w:sz w:val="16"/>
          <w:szCs w:val="16"/>
          <w:lang w:val="es-CR"/>
        </w:rPr>
        <w:t xml:space="preserve">xpediente </w:t>
      </w:r>
      <w:r w:rsidRPr="00575BCC">
        <w:rPr>
          <w:rFonts w:ascii="Verdana" w:hAnsi="Verdana"/>
          <w:sz w:val="16"/>
          <w:szCs w:val="16"/>
          <w:lang w:val="es-CR"/>
        </w:rPr>
        <w:t>ante la Comisión,</w:t>
      </w:r>
      <w:r w:rsidRPr="00353432">
        <w:rPr>
          <w:rFonts w:ascii="Verdana" w:hAnsi="Verdana"/>
          <w:sz w:val="16"/>
          <w:szCs w:val="16"/>
          <w:lang w:val="es-CR"/>
        </w:rPr>
        <w:t xml:space="preserve"> </w:t>
      </w:r>
      <w:r>
        <w:rPr>
          <w:rFonts w:ascii="Verdana" w:hAnsi="Verdana"/>
          <w:sz w:val="16"/>
          <w:szCs w:val="16"/>
          <w:lang w:val="es-CR"/>
        </w:rPr>
        <w:t>e</w:t>
      </w:r>
      <w:r w:rsidRPr="00353432">
        <w:rPr>
          <w:rFonts w:ascii="Verdana" w:hAnsi="Verdana"/>
          <w:sz w:val="16"/>
          <w:szCs w:val="16"/>
          <w:lang w:val="es-CR"/>
        </w:rPr>
        <w:t xml:space="preserve">xpediente </w:t>
      </w:r>
      <w:r>
        <w:rPr>
          <w:rFonts w:ascii="Verdana" w:hAnsi="Verdana"/>
          <w:sz w:val="16"/>
          <w:szCs w:val="16"/>
          <w:lang w:val="es-CR"/>
        </w:rPr>
        <w:t>j</w:t>
      </w:r>
      <w:r w:rsidRPr="00353432">
        <w:rPr>
          <w:rFonts w:ascii="Verdana" w:hAnsi="Verdana"/>
          <w:sz w:val="16"/>
          <w:szCs w:val="16"/>
          <w:lang w:val="es-CR"/>
        </w:rPr>
        <w:t>udicial</w:t>
      </w:r>
      <w:r>
        <w:rPr>
          <w:rFonts w:ascii="Verdana" w:hAnsi="Verdana"/>
          <w:sz w:val="16"/>
          <w:szCs w:val="16"/>
          <w:lang w:val="es-CR"/>
        </w:rPr>
        <w:t xml:space="preserve"> I parte</w:t>
      </w:r>
      <w:r w:rsidRPr="00353432">
        <w:rPr>
          <w:rFonts w:ascii="Verdana" w:hAnsi="Verdana"/>
          <w:sz w:val="16"/>
          <w:szCs w:val="16"/>
          <w:lang w:val="es-CR"/>
        </w:rPr>
        <w:t xml:space="preserve">, fs. </w:t>
      </w:r>
      <w:r>
        <w:rPr>
          <w:rFonts w:ascii="Verdana" w:hAnsi="Verdana"/>
          <w:sz w:val="16"/>
          <w:szCs w:val="16"/>
          <w:lang w:val="es-CR"/>
        </w:rPr>
        <w:t>2,838 a 2,840</w:t>
      </w:r>
      <w:r w:rsidRPr="00353432">
        <w:rPr>
          <w:rFonts w:ascii="Verdana" w:hAnsi="Verdana"/>
          <w:sz w:val="16"/>
          <w:szCs w:val="16"/>
          <w:lang w:val="es-CR"/>
        </w:rPr>
        <w:t>).</w:t>
      </w:r>
    </w:p>
  </w:footnote>
  <w:footnote w:id="170">
    <w:p w:rsidR="0081535F" w:rsidRPr="00507192" w:rsidRDefault="0081535F" w:rsidP="00422232">
      <w:pPr>
        <w:pStyle w:val="Textonotapie"/>
        <w:spacing w:line="19" w:lineRule="atLeast"/>
        <w:ind w:left="-180" w:right="-174"/>
        <w:jc w:val="both"/>
        <w:rPr>
          <w:rFonts w:ascii="Verdana" w:hAnsi="Verdana"/>
          <w:sz w:val="16"/>
          <w:szCs w:val="16"/>
          <w:lang w:val="es-CR"/>
        </w:rPr>
      </w:pPr>
      <w:r w:rsidRPr="00507192">
        <w:rPr>
          <w:rStyle w:val="Refdenotaalpie"/>
          <w:rFonts w:ascii="Verdana" w:hAnsi="Verdana"/>
          <w:sz w:val="16"/>
          <w:szCs w:val="16"/>
        </w:rPr>
        <w:footnoteRef/>
      </w:r>
      <w:r w:rsidRPr="00507192">
        <w:rPr>
          <w:rFonts w:ascii="Verdana" w:hAnsi="Verdana"/>
          <w:sz w:val="16"/>
          <w:szCs w:val="16"/>
          <w:lang w:val="es-CR"/>
        </w:rPr>
        <w:t xml:space="preserve"> </w:t>
      </w:r>
      <w:r w:rsidRPr="00507192">
        <w:rPr>
          <w:rFonts w:ascii="Verdana" w:hAnsi="Verdana"/>
          <w:i/>
          <w:sz w:val="16"/>
          <w:szCs w:val="16"/>
          <w:lang w:val="es-CR"/>
        </w:rPr>
        <w:t>Cfr.</w:t>
      </w:r>
      <w:r w:rsidRPr="00507192">
        <w:rPr>
          <w:rFonts w:ascii="Verdana" w:hAnsi="Verdana"/>
          <w:sz w:val="16"/>
          <w:szCs w:val="16"/>
          <w:lang w:val="es-CR"/>
        </w:rPr>
        <w:t xml:space="preserve"> Declaración del sospechoso conocido como “el cubano” de 15 de abril de 2002 (</w:t>
      </w:r>
      <w:r>
        <w:rPr>
          <w:rFonts w:ascii="Verdana" w:hAnsi="Verdana"/>
          <w:sz w:val="16"/>
          <w:szCs w:val="16"/>
          <w:lang w:val="es-CR"/>
        </w:rPr>
        <w:t>e</w:t>
      </w:r>
      <w:r w:rsidRPr="00507192">
        <w:rPr>
          <w:rFonts w:ascii="Verdana" w:hAnsi="Verdana"/>
          <w:sz w:val="16"/>
          <w:szCs w:val="16"/>
          <w:lang w:val="es-CR"/>
        </w:rPr>
        <w:t>xpediente de anexos a la contestación,</w:t>
      </w:r>
      <w:r>
        <w:rPr>
          <w:rFonts w:ascii="Verdana" w:hAnsi="Verdana"/>
          <w:sz w:val="16"/>
          <w:szCs w:val="16"/>
          <w:lang w:val="es-CR"/>
        </w:rPr>
        <w:t xml:space="preserve"> anexos 3-3b, fs. 13,155 y 13,156</w:t>
      </w:r>
      <w:r w:rsidRPr="00507192">
        <w:rPr>
          <w:rFonts w:ascii="Verdana" w:hAnsi="Verdana"/>
          <w:sz w:val="16"/>
          <w:szCs w:val="16"/>
          <w:lang w:val="es-CR"/>
        </w:rPr>
        <w:t>).</w:t>
      </w:r>
    </w:p>
  </w:footnote>
  <w:footnote w:id="171">
    <w:p w:rsidR="0081535F" w:rsidRPr="00507192" w:rsidRDefault="0081535F" w:rsidP="00422232">
      <w:pPr>
        <w:pStyle w:val="Prrafodelista"/>
        <w:spacing w:after="0" w:line="19" w:lineRule="atLeast"/>
        <w:ind w:left="-180" w:right="-174"/>
        <w:jc w:val="both"/>
        <w:rPr>
          <w:rFonts w:ascii="Verdana" w:eastAsia="Times" w:hAnsi="Verdana"/>
          <w:sz w:val="16"/>
          <w:szCs w:val="16"/>
          <w:lang w:val="es-CR"/>
        </w:rPr>
      </w:pPr>
      <w:r w:rsidRPr="00507192">
        <w:rPr>
          <w:rStyle w:val="Refdenotaalpie"/>
          <w:rFonts w:ascii="Verdana" w:hAnsi="Verdana"/>
          <w:sz w:val="16"/>
          <w:szCs w:val="16"/>
        </w:rPr>
        <w:footnoteRef/>
      </w:r>
      <w:r w:rsidRPr="00507192">
        <w:rPr>
          <w:rFonts w:ascii="Verdana" w:hAnsi="Verdana"/>
          <w:sz w:val="16"/>
          <w:szCs w:val="16"/>
        </w:rPr>
        <w:t xml:space="preserve"> </w:t>
      </w:r>
      <w:r w:rsidRPr="00507192">
        <w:rPr>
          <w:rFonts w:ascii="Verdana" w:eastAsia="Times" w:hAnsi="Verdana"/>
          <w:sz w:val="16"/>
          <w:szCs w:val="16"/>
          <w:lang w:val="es-CR"/>
        </w:rPr>
        <w:t>No o</w:t>
      </w:r>
      <w:r>
        <w:rPr>
          <w:rFonts w:ascii="Verdana" w:eastAsia="Times" w:hAnsi="Verdana"/>
          <w:sz w:val="16"/>
          <w:szCs w:val="16"/>
          <w:lang w:val="es-CR"/>
        </w:rPr>
        <w:t>bstante, el 21 de junio de 2006</w:t>
      </w:r>
      <w:r w:rsidRPr="00507192">
        <w:rPr>
          <w:rFonts w:ascii="Verdana" w:eastAsia="Times" w:hAnsi="Verdana"/>
          <w:sz w:val="16"/>
          <w:szCs w:val="16"/>
          <w:lang w:val="es-CR"/>
        </w:rPr>
        <w:t xml:space="preserve"> los Técnicos y Profesionales en Investigaciones Criminalísticas, remitieron al Fiscal de Distrito Adjunto de la Fiscalía del Municipio de Mixco el segundo informe de investigación del homicidio de María Isabel, en el cual se rel</w:t>
      </w:r>
      <w:r>
        <w:rPr>
          <w:rFonts w:ascii="Verdana" w:eastAsia="Times" w:hAnsi="Verdana"/>
          <w:sz w:val="16"/>
          <w:szCs w:val="16"/>
          <w:lang w:val="es-CR"/>
        </w:rPr>
        <w:t>ata que se intentó localizar al</w:t>
      </w:r>
      <w:r w:rsidRPr="00507192">
        <w:rPr>
          <w:rFonts w:ascii="Verdana" w:eastAsia="Times" w:hAnsi="Verdana"/>
          <w:sz w:val="16"/>
          <w:szCs w:val="16"/>
          <w:lang w:val="es-CR"/>
        </w:rPr>
        <w:t xml:space="preserve"> </w:t>
      </w:r>
      <w:r w:rsidRPr="00507192">
        <w:rPr>
          <w:rFonts w:ascii="Verdana" w:hAnsi="Verdana"/>
          <w:sz w:val="16"/>
          <w:szCs w:val="16"/>
          <w:lang w:val="es-CR"/>
        </w:rPr>
        <w:t>sospe</w:t>
      </w:r>
      <w:r>
        <w:rPr>
          <w:rFonts w:ascii="Verdana" w:hAnsi="Verdana"/>
          <w:sz w:val="16"/>
          <w:szCs w:val="16"/>
          <w:lang w:val="es-CR"/>
        </w:rPr>
        <w:t>choso conocido como “el cubano”</w:t>
      </w:r>
      <w:r w:rsidRPr="00507192" w:rsidDel="00147466">
        <w:rPr>
          <w:rFonts w:ascii="Verdana" w:eastAsia="Times" w:hAnsi="Verdana"/>
          <w:sz w:val="16"/>
          <w:szCs w:val="16"/>
          <w:lang w:val="es-CR"/>
        </w:rPr>
        <w:t xml:space="preserve"> </w:t>
      </w:r>
      <w:r w:rsidRPr="00507192">
        <w:rPr>
          <w:rFonts w:ascii="Verdana" w:eastAsia="Times" w:hAnsi="Verdana"/>
          <w:sz w:val="16"/>
          <w:szCs w:val="16"/>
          <w:lang w:val="es-CR"/>
        </w:rPr>
        <w:t xml:space="preserve">en la Federación de Lucha, pero que un trabajador de la Federación les informó vía telefónica que </w:t>
      </w:r>
      <w:r>
        <w:rPr>
          <w:rFonts w:ascii="Verdana" w:eastAsia="Times" w:hAnsi="Verdana"/>
          <w:sz w:val="16"/>
          <w:szCs w:val="16"/>
          <w:lang w:val="es-CR"/>
        </w:rPr>
        <w:t xml:space="preserve">este </w:t>
      </w:r>
      <w:r w:rsidRPr="00507192">
        <w:rPr>
          <w:rFonts w:ascii="Verdana" w:eastAsia="Times" w:hAnsi="Verdana"/>
          <w:sz w:val="16"/>
          <w:szCs w:val="16"/>
          <w:lang w:val="es-CR"/>
        </w:rPr>
        <w:t>sospechoso había frecuentado las instalaciones de la Federación por un lapso de aproximadamente dos años, pero que desde el año 2003 no lo vio más e ignoraba su paradero. Los investigadores refieren que se solicitó a la Dirección General de Migración un reporte del movimiento migratorio del sospechoso.</w:t>
      </w:r>
      <w:r>
        <w:rPr>
          <w:rFonts w:ascii="Verdana" w:eastAsia="Times" w:hAnsi="Verdana"/>
          <w:sz w:val="16"/>
          <w:szCs w:val="16"/>
          <w:lang w:val="es-CR"/>
        </w:rPr>
        <w:t xml:space="preserve"> </w:t>
      </w:r>
      <w:r>
        <w:rPr>
          <w:rFonts w:ascii="Verdana" w:eastAsia="Times" w:hAnsi="Verdana"/>
          <w:i/>
          <w:sz w:val="16"/>
          <w:szCs w:val="16"/>
          <w:lang w:val="es-CR"/>
        </w:rPr>
        <w:t>Cfr.</w:t>
      </w:r>
      <w:r w:rsidRPr="00507192">
        <w:rPr>
          <w:rFonts w:ascii="Verdana" w:eastAsia="Times" w:hAnsi="Verdana"/>
          <w:sz w:val="16"/>
          <w:szCs w:val="16"/>
          <w:lang w:val="es-CR"/>
        </w:rPr>
        <w:t xml:space="preserve"> </w:t>
      </w:r>
      <w:r>
        <w:rPr>
          <w:rFonts w:ascii="Verdana" w:eastAsia="Times" w:hAnsi="Verdana"/>
          <w:sz w:val="16"/>
          <w:szCs w:val="16"/>
          <w:lang w:val="es-CR"/>
        </w:rPr>
        <w:t>Segundo informe de investigación rendido por la Dirección de Investigaciones Criminalísticas del Ministerio Público de 21 de junio de 2006</w:t>
      </w:r>
      <w:r w:rsidRPr="00507192">
        <w:rPr>
          <w:rFonts w:ascii="Verdana" w:eastAsia="Times" w:hAnsi="Verdana"/>
          <w:sz w:val="16"/>
          <w:szCs w:val="16"/>
          <w:lang w:val="es-CR"/>
        </w:rPr>
        <w:t xml:space="preserve"> (</w:t>
      </w:r>
      <w:r>
        <w:rPr>
          <w:rFonts w:ascii="Verdana" w:eastAsia="Times" w:hAnsi="Verdana"/>
          <w:sz w:val="16"/>
          <w:szCs w:val="16"/>
          <w:lang w:val="es-CR"/>
        </w:rPr>
        <w:t>e</w:t>
      </w:r>
      <w:r w:rsidRPr="00507192">
        <w:rPr>
          <w:rFonts w:ascii="Verdana" w:eastAsia="Times" w:hAnsi="Verdana"/>
          <w:sz w:val="16"/>
          <w:szCs w:val="16"/>
          <w:lang w:val="es-CR"/>
        </w:rPr>
        <w:t xml:space="preserve">xpediente </w:t>
      </w:r>
      <w:r>
        <w:rPr>
          <w:rFonts w:ascii="Verdana" w:eastAsia="Times" w:hAnsi="Verdana"/>
          <w:sz w:val="16"/>
          <w:szCs w:val="16"/>
          <w:lang w:val="es-CR"/>
        </w:rPr>
        <w:t>ante</w:t>
      </w:r>
      <w:r w:rsidRPr="00507192">
        <w:rPr>
          <w:rFonts w:ascii="Verdana" w:eastAsia="Times" w:hAnsi="Verdana"/>
          <w:sz w:val="16"/>
          <w:szCs w:val="16"/>
          <w:lang w:val="es-CR"/>
        </w:rPr>
        <w:t xml:space="preserve"> la Comisión, </w:t>
      </w:r>
      <w:r>
        <w:rPr>
          <w:rFonts w:ascii="Verdana" w:eastAsia="Times" w:hAnsi="Verdana"/>
          <w:sz w:val="16"/>
          <w:szCs w:val="16"/>
          <w:lang w:val="es-CR"/>
        </w:rPr>
        <w:t>e</w:t>
      </w:r>
      <w:r w:rsidRPr="00507192">
        <w:rPr>
          <w:rFonts w:ascii="Verdana" w:eastAsia="Times" w:hAnsi="Verdana"/>
          <w:sz w:val="16"/>
          <w:szCs w:val="16"/>
          <w:lang w:val="es-CR"/>
        </w:rPr>
        <w:t xml:space="preserve">xpediente </w:t>
      </w:r>
      <w:r>
        <w:rPr>
          <w:rFonts w:ascii="Verdana" w:eastAsia="Times" w:hAnsi="Verdana"/>
          <w:sz w:val="16"/>
          <w:szCs w:val="16"/>
          <w:lang w:val="es-CR"/>
        </w:rPr>
        <w:t>j</w:t>
      </w:r>
      <w:r w:rsidRPr="00507192">
        <w:rPr>
          <w:rFonts w:ascii="Verdana" w:eastAsia="Times" w:hAnsi="Verdana"/>
          <w:sz w:val="16"/>
          <w:szCs w:val="16"/>
          <w:lang w:val="es-CR"/>
        </w:rPr>
        <w:t>udicial I parte, f</w:t>
      </w:r>
      <w:r>
        <w:rPr>
          <w:rFonts w:ascii="Verdana" w:eastAsia="Times" w:hAnsi="Verdana"/>
          <w:sz w:val="16"/>
          <w:szCs w:val="16"/>
          <w:lang w:val="es-CR"/>
        </w:rPr>
        <w:t>s</w:t>
      </w:r>
      <w:r w:rsidRPr="00507192">
        <w:rPr>
          <w:rFonts w:ascii="Verdana" w:eastAsia="Times" w:hAnsi="Verdana"/>
          <w:sz w:val="16"/>
          <w:szCs w:val="16"/>
          <w:lang w:val="es-CR"/>
        </w:rPr>
        <w:t xml:space="preserve">. </w:t>
      </w:r>
      <w:r>
        <w:rPr>
          <w:rFonts w:ascii="Verdana" w:eastAsia="Times" w:hAnsi="Verdana"/>
          <w:sz w:val="16"/>
          <w:szCs w:val="16"/>
          <w:lang w:val="es-CR"/>
        </w:rPr>
        <w:t>2,847 a 2,849</w:t>
      </w:r>
      <w:r w:rsidRPr="00507192">
        <w:rPr>
          <w:rFonts w:ascii="Verdana" w:eastAsia="Times" w:hAnsi="Verdana"/>
          <w:sz w:val="16"/>
          <w:szCs w:val="16"/>
          <w:lang w:val="es-CR"/>
        </w:rPr>
        <w:t>).</w:t>
      </w:r>
    </w:p>
  </w:footnote>
  <w:footnote w:id="172">
    <w:p w:rsidR="0081535F" w:rsidRPr="00507192" w:rsidRDefault="0081535F" w:rsidP="00422232">
      <w:pPr>
        <w:pStyle w:val="Textonotapie"/>
        <w:spacing w:line="19" w:lineRule="atLeast"/>
        <w:ind w:left="-180" w:right="-174"/>
        <w:jc w:val="both"/>
        <w:rPr>
          <w:rFonts w:ascii="Verdana" w:hAnsi="Verdana"/>
          <w:sz w:val="16"/>
          <w:szCs w:val="16"/>
          <w:lang w:val="es-CR"/>
        </w:rPr>
      </w:pPr>
      <w:r w:rsidRPr="00507192">
        <w:rPr>
          <w:rStyle w:val="Refdenotaalpie"/>
          <w:rFonts w:ascii="Verdana" w:hAnsi="Verdana"/>
          <w:sz w:val="16"/>
          <w:szCs w:val="16"/>
        </w:rPr>
        <w:footnoteRef/>
      </w:r>
      <w:r w:rsidRPr="00507192">
        <w:rPr>
          <w:rFonts w:ascii="Verdana" w:hAnsi="Verdana"/>
          <w:sz w:val="16"/>
          <w:szCs w:val="16"/>
          <w:lang w:val="es-CR"/>
        </w:rPr>
        <w:t xml:space="preserve"> </w:t>
      </w:r>
      <w:r w:rsidRPr="00507192">
        <w:rPr>
          <w:rFonts w:ascii="Verdana" w:hAnsi="Verdana"/>
          <w:i/>
          <w:sz w:val="16"/>
          <w:szCs w:val="16"/>
          <w:lang w:val="es-CR"/>
        </w:rPr>
        <w:t>Cfr.</w:t>
      </w:r>
      <w:r w:rsidRPr="00507192">
        <w:rPr>
          <w:rFonts w:ascii="Verdana" w:hAnsi="Verdana"/>
          <w:sz w:val="16"/>
          <w:szCs w:val="16"/>
          <w:lang w:val="es-CR"/>
        </w:rPr>
        <w:t xml:space="preserve"> </w:t>
      </w:r>
      <w:r>
        <w:rPr>
          <w:rFonts w:ascii="Verdana" w:hAnsi="Verdana"/>
          <w:sz w:val="16"/>
          <w:szCs w:val="16"/>
          <w:lang w:val="es-CR"/>
        </w:rPr>
        <w:t>Ampliación y conclusión de informe</w:t>
      </w:r>
      <w:r w:rsidRPr="00507192">
        <w:rPr>
          <w:rFonts w:ascii="Verdana" w:hAnsi="Verdana"/>
          <w:sz w:val="16"/>
          <w:szCs w:val="16"/>
          <w:lang w:val="es-CR"/>
        </w:rPr>
        <w:t xml:space="preserve"> rendid</w:t>
      </w:r>
      <w:r>
        <w:rPr>
          <w:rFonts w:ascii="Verdana" w:hAnsi="Verdana"/>
          <w:sz w:val="16"/>
          <w:szCs w:val="16"/>
          <w:lang w:val="es-CR"/>
        </w:rPr>
        <w:t>a</w:t>
      </w:r>
      <w:r w:rsidRPr="00507192">
        <w:rPr>
          <w:rFonts w:ascii="Verdana" w:hAnsi="Verdana"/>
          <w:sz w:val="16"/>
          <w:szCs w:val="16"/>
          <w:lang w:val="es-CR"/>
        </w:rPr>
        <w:t xml:space="preserve"> </w:t>
      </w:r>
      <w:r>
        <w:rPr>
          <w:rFonts w:ascii="Verdana" w:hAnsi="Verdana"/>
          <w:sz w:val="16"/>
          <w:szCs w:val="16"/>
          <w:lang w:val="es-CR"/>
        </w:rPr>
        <w:t>por el Técnico en Investigaciones Criminalísticas I de 30 de abril de 2002</w:t>
      </w:r>
      <w:r w:rsidRPr="00507192">
        <w:rPr>
          <w:rFonts w:ascii="Verdana" w:hAnsi="Verdana"/>
          <w:sz w:val="16"/>
          <w:szCs w:val="16"/>
          <w:lang w:val="es-CR"/>
        </w:rPr>
        <w:t xml:space="preserve"> (</w:t>
      </w:r>
      <w:r>
        <w:rPr>
          <w:rFonts w:ascii="Verdana" w:hAnsi="Verdana"/>
          <w:sz w:val="16"/>
          <w:szCs w:val="16"/>
          <w:lang w:val="es-CR"/>
        </w:rPr>
        <w:t>e</w:t>
      </w:r>
      <w:r w:rsidRPr="00507192">
        <w:rPr>
          <w:rFonts w:ascii="Verdana" w:hAnsi="Verdana"/>
          <w:sz w:val="16"/>
          <w:szCs w:val="16"/>
          <w:lang w:val="es-CR"/>
        </w:rPr>
        <w:t>xpediente de anexos al Informe de Fondo, anexo 9, fs. 86 a 88).</w:t>
      </w:r>
    </w:p>
  </w:footnote>
  <w:footnote w:id="173">
    <w:p w:rsidR="0081535F" w:rsidRPr="00494EB2" w:rsidRDefault="0081535F" w:rsidP="00422232">
      <w:pPr>
        <w:pStyle w:val="Textonotapie"/>
        <w:spacing w:line="19" w:lineRule="atLeast"/>
        <w:ind w:left="-180" w:right="-174"/>
        <w:jc w:val="both"/>
        <w:rPr>
          <w:rFonts w:ascii="Verdana" w:hAnsi="Verdana"/>
          <w:sz w:val="16"/>
          <w:szCs w:val="16"/>
          <w:lang w:val="es-CR"/>
        </w:rPr>
      </w:pPr>
      <w:r w:rsidRPr="00507192">
        <w:rPr>
          <w:rStyle w:val="Refdenotaalpie"/>
          <w:rFonts w:ascii="Verdana" w:hAnsi="Verdana"/>
          <w:sz w:val="16"/>
          <w:szCs w:val="16"/>
        </w:rPr>
        <w:footnoteRef/>
      </w:r>
      <w:r w:rsidRPr="00507192">
        <w:rPr>
          <w:rFonts w:ascii="Verdana" w:hAnsi="Verdana"/>
          <w:i/>
          <w:sz w:val="16"/>
          <w:szCs w:val="16"/>
          <w:lang w:val="es-CR"/>
        </w:rPr>
        <w:t xml:space="preserve"> Cfr.</w:t>
      </w:r>
      <w:r w:rsidRPr="00507192">
        <w:rPr>
          <w:rFonts w:ascii="Verdana" w:hAnsi="Verdana"/>
          <w:sz w:val="16"/>
          <w:szCs w:val="16"/>
          <w:lang w:val="es-CR"/>
        </w:rPr>
        <w:t xml:space="preserve">  Declaraciones de dos sospechosos rendidas ante la Agencia </w:t>
      </w:r>
      <w:r>
        <w:rPr>
          <w:rFonts w:ascii="Verdana" w:hAnsi="Verdana"/>
          <w:sz w:val="16"/>
          <w:szCs w:val="16"/>
          <w:lang w:val="es-CR"/>
        </w:rPr>
        <w:t xml:space="preserve">No. </w:t>
      </w:r>
      <w:r w:rsidRPr="00507192">
        <w:rPr>
          <w:rFonts w:ascii="Verdana" w:hAnsi="Verdana"/>
          <w:sz w:val="16"/>
          <w:szCs w:val="16"/>
          <w:lang w:val="es-CR"/>
        </w:rPr>
        <w:t xml:space="preserve">5 de Mixco el 21 de julio de 2003 </w:t>
      </w:r>
      <w:r>
        <w:rPr>
          <w:rFonts w:ascii="Verdana" w:hAnsi="Verdana"/>
          <w:sz w:val="16"/>
          <w:szCs w:val="16"/>
          <w:lang w:val="es-CR"/>
        </w:rPr>
        <w:t>(e</w:t>
      </w:r>
      <w:r w:rsidRPr="00507192">
        <w:rPr>
          <w:rFonts w:ascii="Verdana" w:hAnsi="Verdana"/>
          <w:sz w:val="16"/>
          <w:szCs w:val="16"/>
          <w:lang w:val="es-CR"/>
        </w:rPr>
        <w:t xml:space="preserve">xpediente de anexos a la contestación, </w:t>
      </w:r>
      <w:r>
        <w:rPr>
          <w:rFonts w:ascii="Verdana" w:hAnsi="Verdana"/>
          <w:sz w:val="16"/>
          <w:szCs w:val="16"/>
          <w:lang w:val="es-CR"/>
        </w:rPr>
        <w:t>a</w:t>
      </w:r>
      <w:r w:rsidRPr="00507192">
        <w:rPr>
          <w:rFonts w:ascii="Verdana" w:hAnsi="Verdana"/>
          <w:sz w:val="16"/>
          <w:szCs w:val="16"/>
          <w:lang w:val="es-CR"/>
        </w:rPr>
        <w:t xml:space="preserve">nexos 3-3b, </w:t>
      </w:r>
      <w:r>
        <w:rPr>
          <w:rFonts w:ascii="Verdana" w:hAnsi="Verdana"/>
          <w:sz w:val="16"/>
          <w:szCs w:val="16"/>
          <w:lang w:val="es-CR"/>
        </w:rPr>
        <w:t>fs. 13,326 a 13,333</w:t>
      </w:r>
      <w:r w:rsidRPr="00507192">
        <w:rPr>
          <w:rFonts w:ascii="Verdana" w:hAnsi="Verdana"/>
          <w:sz w:val="16"/>
          <w:szCs w:val="16"/>
          <w:lang w:val="es-CR"/>
        </w:rPr>
        <w:t>)</w:t>
      </w:r>
      <w:r>
        <w:rPr>
          <w:rFonts w:ascii="Verdana" w:hAnsi="Verdana"/>
          <w:sz w:val="16"/>
          <w:szCs w:val="16"/>
          <w:lang w:val="es-CR"/>
        </w:rPr>
        <w:t>.</w:t>
      </w:r>
    </w:p>
  </w:footnote>
  <w:footnote w:id="174">
    <w:p w:rsidR="0081535F" w:rsidRPr="00353432" w:rsidRDefault="0081535F" w:rsidP="00422232">
      <w:pPr>
        <w:pStyle w:val="Textonotapie"/>
        <w:spacing w:line="19" w:lineRule="atLeast"/>
        <w:ind w:left="-180" w:right="-174"/>
        <w:jc w:val="both"/>
        <w:rPr>
          <w:rFonts w:ascii="Verdana" w:hAnsi="Verdana"/>
          <w:sz w:val="16"/>
          <w:szCs w:val="16"/>
          <w:lang w:val="es-MX"/>
        </w:rPr>
      </w:pPr>
      <w:r w:rsidRPr="00353432">
        <w:rPr>
          <w:rStyle w:val="Refdenotaalpie"/>
          <w:rFonts w:ascii="Verdana" w:hAnsi="Verdana"/>
          <w:sz w:val="16"/>
          <w:szCs w:val="16"/>
        </w:rPr>
        <w:footnoteRef/>
      </w:r>
      <w:r w:rsidRPr="00353432">
        <w:rPr>
          <w:rFonts w:ascii="Verdana" w:hAnsi="Verdana"/>
          <w:sz w:val="16"/>
          <w:szCs w:val="16"/>
          <w:lang w:val="es-MX"/>
        </w:rPr>
        <w:t xml:space="preserve"> </w:t>
      </w:r>
      <w:r w:rsidRPr="00353432">
        <w:rPr>
          <w:rFonts w:ascii="Verdana" w:hAnsi="Verdana"/>
          <w:i/>
          <w:sz w:val="16"/>
          <w:szCs w:val="16"/>
          <w:lang w:val="es-CR"/>
        </w:rPr>
        <w:t>Cfr</w:t>
      </w:r>
      <w:r w:rsidRPr="00353432">
        <w:rPr>
          <w:rFonts w:ascii="Verdana" w:hAnsi="Verdana"/>
          <w:sz w:val="16"/>
          <w:szCs w:val="16"/>
          <w:lang w:val="es-MX"/>
        </w:rPr>
        <w:t xml:space="preserve">. Informe circunstanciado emitido por la Fiscal Distrital de Mixco de 19 de mayo de 2004 (expediente de anexos a la contestación, anexo </w:t>
      </w:r>
      <w:r>
        <w:rPr>
          <w:rFonts w:ascii="Verdana" w:hAnsi="Verdana"/>
          <w:sz w:val="16"/>
          <w:szCs w:val="16"/>
          <w:lang w:val="es-MX"/>
        </w:rPr>
        <w:t>3-</w:t>
      </w:r>
      <w:r w:rsidRPr="00353432">
        <w:rPr>
          <w:rFonts w:ascii="Verdana" w:hAnsi="Verdana"/>
          <w:sz w:val="16"/>
          <w:szCs w:val="16"/>
          <w:lang w:val="es-MX"/>
        </w:rPr>
        <w:t>3</w:t>
      </w:r>
      <w:r>
        <w:rPr>
          <w:rFonts w:ascii="Verdana" w:hAnsi="Verdana"/>
          <w:sz w:val="16"/>
          <w:szCs w:val="16"/>
          <w:lang w:val="es-MX"/>
        </w:rPr>
        <w:t>b</w:t>
      </w:r>
      <w:r w:rsidRPr="00353432">
        <w:rPr>
          <w:rFonts w:ascii="Verdana" w:hAnsi="Verdana"/>
          <w:sz w:val="16"/>
          <w:szCs w:val="16"/>
          <w:lang w:val="es-MX"/>
        </w:rPr>
        <w:t>, fs. 13</w:t>
      </w:r>
      <w:r>
        <w:rPr>
          <w:rFonts w:ascii="Verdana" w:hAnsi="Verdana"/>
          <w:sz w:val="16"/>
          <w:szCs w:val="16"/>
          <w:lang w:val="es-MX"/>
        </w:rPr>
        <w:t>,</w:t>
      </w:r>
      <w:r w:rsidRPr="00353432">
        <w:rPr>
          <w:rFonts w:ascii="Verdana" w:hAnsi="Verdana"/>
          <w:sz w:val="16"/>
          <w:szCs w:val="16"/>
          <w:lang w:val="es-MX"/>
        </w:rPr>
        <w:t>387 a 13</w:t>
      </w:r>
      <w:r>
        <w:rPr>
          <w:rFonts w:ascii="Verdana" w:hAnsi="Verdana"/>
          <w:sz w:val="16"/>
          <w:szCs w:val="16"/>
          <w:lang w:val="es-MX"/>
        </w:rPr>
        <w:t>,</w:t>
      </w:r>
      <w:r w:rsidRPr="00353432">
        <w:rPr>
          <w:rFonts w:ascii="Verdana" w:hAnsi="Verdana"/>
          <w:sz w:val="16"/>
          <w:szCs w:val="16"/>
          <w:lang w:val="es-MX"/>
        </w:rPr>
        <w:t>39</w:t>
      </w:r>
      <w:r>
        <w:rPr>
          <w:rFonts w:ascii="Verdana" w:hAnsi="Verdana"/>
          <w:sz w:val="16"/>
          <w:szCs w:val="16"/>
          <w:lang w:val="es-MX"/>
        </w:rPr>
        <w:t>5</w:t>
      </w:r>
      <w:r w:rsidRPr="00353432">
        <w:rPr>
          <w:rFonts w:ascii="Verdana" w:hAnsi="Verdana"/>
          <w:sz w:val="16"/>
          <w:szCs w:val="16"/>
          <w:lang w:val="es-MX"/>
        </w:rPr>
        <w:t xml:space="preserve">). </w:t>
      </w:r>
    </w:p>
  </w:footnote>
  <w:footnote w:id="175">
    <w:p w:rsidR="0081535F" w:rsidRPr="00353432" w:rsidRDefault="0081535F" w:rsidP="00422232">
      <w:pPr>
        <w:pStyle w:val="Prrafodelista"/>
        <w:spacing w:after="0" w:line="19" w:lineRule="atLeast"/>
        <w:ind w:left="-180" w:right="-174"/>
        <w:jc w:val="both"/>
        <w:rPr>
          <w:rFonts w:ascii="Verdana" w:eastAsia="Times" w:hAnsi="Verdana"/>
          <w:sz w:val="16"/>
          <w:szCs w:val="16"/>
          <w:lang w:val="es-CR"/>
        </w:rPr>
      </w:pPr>
      <w:r w:rsidRPr="00353432">
        <w:rPr>
          <w:rStyle w:val="Refdenotaalpie"/>
          <w:rFonts w:ascii="Verdana" w:hAnsi="Verdana"/>
          <w:sz w:val="16"/>
          <w:szCs w:val="16"/>
        </w:rPr>
        <w:footnoteRef/>
      </w:r>
      <w:r w:rsidRPr="00353432">
        <w:rPr>
          <w:rFonts w:ascii="Verdana" w:hAnsi="Verdana"/>
          <w:sz w:val="16"/>
          <w:szCs w:val="16"/>
          <w:lang w:val="es-CR"/>
        </w:rPr>
        <w:t xml:space="preserve"> </w:t>
      </w:r>
      <w:r>
        <w:rPr>
          <w:rFonts w:ascii="Verdana" w:hAnsi="Verdana"/>
          <w:i/>
          <w:sz w:val="16"/>
          <w:szCs w:val="16"/>
          <w:lang w:val="es-CR"/>
        </w:rPr>
        <w:t xml:space="preserve">Cfr. </w:t>
      </w:r>
      <w:r>
        <w:rPr>
          <w:rFonts w:ascii="Verdana" w:hAnsi="Verdana"/>
          <w:sz w:val="16"/>
          <w:szCs w:val="16"/>
          <w:lang w:val="es-CR"/>
        </w:rPr>
        <w:t>Informe del Técnico en Investigaciones Criminalísticas dirigido al Fiscal Distrital del Municipio de Mixco de</w:t>
      </w:r>
      <w:r w:rsidRPr="00353432">
        <w:rPr>
          <w:rFonts w:ascii="Verdana" w:eastAsia="Times" w:hAnsi="Verdana"/>
          <w:sz w:val="16"/>
          <w:szCs w:val="16"/>
          <w:lang w:val="es-CR"/>
        </w:rPr>
        <w:t xml:space="preserve"> 8 de febrero de 2007 (</w:t>
      </w:r>
      <w:r>
        <w:rPr>
          <w:rFonts w:ascii="Verdana" w:eastAsia="Times" w:hAnsi="Verdana"/>
          <w:sz w:val="16"/>
          <w:szCs w:val="16"/>
          <w:lang w:val="es-CR"/>
        </w:rPr>
        <w:t>e</w:t>
      </w:r>
      <w:r w:rsidRPr="00353432">
        <w:rPr>
          <w:rFonts w:ascii="Verdana" w:eastAsia="Times" w:hAnsi="Verdana"/>
          <w:sz w:val="16"/>
          <w:szCs w:val="16"/>
          <w:lang w:val="es-CR"/>
        </w:rPr>
        <w:t xml:space="preserve">xpediente de anexos al escrito de solicitudes y argumentos, tomo </w:t>
      </w:r>
      <w:r>
        <w:rPr>
          <w:rFonts w:ascii="Verdana" w:eastAsia="Times" w:hAnsi="Verdana"/>
          <w:sz w:val="16"/>
          <w:szCs w:val="16"/>
          <w:lang w:val="es-CR"/>
        </w:rPr>
        <w:t>I</w:t>
      </w:r>
      <w:r w:rsidRPr="00353432">
        <w:rPr>
          <w:rFonts w:ascii="Verdana" w:eastAsia="Times" w:hAnsi="Verdana"/>
          <w:sz w:val="16"/>
          <w:szCs w:val="16"/>
          <w:lang w:val="es-CR"/>
        </w:rPr>
        <w:t>, anexo 26, f. 5</w:t>
      </w:r>
      <w:r>
        <w:rPr>
          <w:rFonts w:ascii="Verdana" w:eastAsia="Times" w:hAnsi="Verdana"/>
          <w:sz w:val="16"/>
          <w:szCs w:val="16"/>
          <w:lang w:val="es-CR"/>
        </w:rPr>
        <w:t>,</w:t>
      </w:r>
      <w:r w:rsidRPr="00353432">
        <w:rPr>
          <w:rFonts w:ascii="Verdana" w:eastAsia="Times" w:hAnsi="Verdana"/>
          <w:sz w:val="16"/>
          <w:szCs w:val="16"/>
          <w:lang w:val="es-CR"/>
        </w:rPr>
        <w:t>409).</w:t>
      </w:r>
    </w:p>
  </w:footnote>
  <w:footnote w:id="176">
    <w:p w:rsidR="0081535F" w:rsidRPr="00353432" w:rsidRDefault="0081535F" w:rsidP="00422232">
      <w:pPr>
        <w:pStyle w:val="Textonotapie"/>
        <w:spacing w:line="19" w:lineRule="atLeast"/>
        <w:ind w:left="-180" w:right="-174"/>
        <w:jc w:val="both"/>
        <w:rPr>
          <w:rFonts w:ascii="Verdana" w:hAnsi="Verdana"/>
          <w:b/>
          <w:sz w:val="16"/>
          <w:szCs w:val="16"/>
          <w:lang w:val="es-CR"/>
        </w:rPr>
      </w:pPr>
      <w:r w:rsidRPr="00353432">
        <w:rPr>
          <w:rStyle w:val="Refdenotaalpie"/>
          <w:rFonts w:ascii="Verdana" w:hAnsi="Verdana"/>
          <w:sz w:val="16"/>
          <w:szCs w:val="16"/>
        </w:rPr>
        <w:footnoteRef/>
      </w:r>
      <w:r w:rsidRPr="00353432">
        <w:rPr>
          <w:rFonts w:ascii="Verdana" w:hAnsi="Verdana"/>
          <w:sz w:val="16"/>
          <w:szCs w:val="16"/>
          <w:lang w:val="es-CR"/>
        </w:rPr>
        <w:t xml:space="preserve"> </w:t>
      </w:r>
      <w:r w:rsidRPr="0066104A">
        <w:rPr>
          <w:rFonts w:ascii="Verdana" w:hAnsi="Verdana"/>
          <w:i/>
          <w:sz w:val="16"/>
          <w:szCs w:val="16"/>
          <w:lang w:val="es-CR"/>
        </w:rPr>
        <w:t>Cfr.</w:t>
      </w:r>
      <w:r>
        <w:rPr>
          <w:rFonts w:ascii="Verdana" w:hAnsi="Verdana"/>
          <w:sz w:val="16"/>
          <w:szCs w:val="16"/>
          <w:lang w:val="es-CR"/>
        </w:rPr>
        <w:t xml:space="preserve"> </w:t>
      </w:r>
      <w:r w:rsidRPr="00353432">
        <w:rPr>
          <w:rFonts w:ascii="Verdana" w:hAnsi="Verdana"/>
          <w:sz w:val="16"/>
          <w:szCs w:val="16"/>
          <w:lang w:val="es-CR"/>
        </w:rPr>
        <w:t xml:space="preserve">Declaración </w:t>
      </w:r>
      <w:r w:rsidRPr="00507192">
        <w:rPr>
          <w:rFonts w:ascii="Verdana" w:hAnsi="Verdana"/>
          <w:sz w:val="16"/>
          <w:szCs w:val="16"/>
          <w:lang w:val="es-CR"/>
        </w:rPr>
        <w:t>de un sospechoso</w:t>
      </w:r>
      <w:r>
        <w:rPr>
          <w:rFonts w:ascii="Verdana" w:hAnsi="Verdana"/>
          <w:b/>
          <w:sz w:val="16"/>
          <w:szCs w:val="16"/>
          <w:lang w:val="es-CR"/>
        </w:rPr>
        <w:t xml:space="preserve"> </w:t>
      </w:r>
      <w:r w:rsidRPr="00353432">
        <w:rPr>
          <w:rFonts w:ascii="Verdana" w:hAnsi="Verdana"/>
          <w:sz w:val="16"/>
          <w:szCs w:val="16"/>
          <w:lang w:val="es-CR"/>
        </w:rPr>
        <w:t xml:space="preserve">rendida ante la Agencia </w:t>
      </w:r>
      <w:r>
        <w:rPr>
          <w:rFonts w:ascii="Verdana" w:hAnsi="Verdana"/>
          <w:sz w:val="16"/>
          <w:szCs w:val="16"/>
          <w:lang w:val="es-CR"/>
        </w:rPr>
        <w:t xml:space="preserve">No. </w:t>
      </w:r>
      <w:r w:rsidRPr="00353432">
        <w:rPr>
          <w:rFonts w:ascii="Verdana" w:hAnsi="Verdana"/>
          <w:sz w:val="16"/>
          <w:szCs w:val="16"/>
          <w:lang w:val="es-CR"/>
        </w:rPr>
        <w:t>5 de Mixco el 31 de agosto de 2006 (</w:t>
      </w:r>
      <w:r>
        <w:rPr>
          <w:rFonts w:ascii="Verdana" w:hAnsi="Verdana"/>
          <w:sz w:val="16"/>
          <w:szCs w:val="16"/>
          <w:lang w:val="es-CR"/>
        </w:rPr>
        <w:t>e</w:t>
      </w:r>
      <w:r w:rsidRPr="00353432">
        <w:rPr>
          <w:rFonts w:ascii="Verdana" w:hAnsi="Verdana"/>
          <w:sz w:val="16"/>
          <w:szCs w:val="16"/>
          <w:lang w:val="es-CR"/>
        </w:rPr>
        <w:t xml:space="preserve">xpediente de anexos a la contestación, </w:t>
      </w:r>
      <w:r>
        <w:rPr>
          <w:rFonts w:ascii="Verdana" w:hAnsi="Verdana"/>
          <w:sz w:val="16"/>
          <w:szCs w:val="16"/>
          <w:lang w:val="es-CR"/>
        </w:rPr>
        <w:t>a</w:t>
      </w:r>
      <w:r w:rsidRPr="00353432">
        <w:rPr>
          <w:rFonts w:ascii="Verdana" w:hAnsi="Verdana"/>
          <w:sz w:val="16"/>
          <w:szCs w:val="16"/>
          <w:lang w:val="es-CR"/>
        </w:rPr>
        <w:t>nexo 3c, fs</w:t>
      </w:r>
      <w:r>
        <w:rPr>
          <w:rFonts w:ascii="Verdana" w:hAnsi="Verdana"/>
          <w:sz w:val="16"/>
          <w:szCs w:val="16"/>
          <w:lang w:val="es-CR"/>
        </w:rPr>
        <w:t>.</w:t>
      </w:r>
      <w:r w:rsidRPr="00353432">
        <w:rPr>
          <w:rFonts w:ascii="Verdana" w:hAnsi="Verdana"/>
          <w:sz w:val="16"/>
          <w:szCs w:val="16"/>
          <w:lang w:val="es-CR"/>
        </w:rPr>
        <w:t xml:space="preserve"> 13</w:t>
      </w:r>
      <w:r>
        <w:rPr>
          <w:rFonts w:ascii="Verdana" w:hAnsi="Verdana"/>
          <w:sz w:val="16"/>
          <w:szCs w:val="16"/>
          <w:lang w:val="es-CR"/>
        </w:rPr>
        <w:t>,</w:t>
      </w:r>
      <w:r w:rsidRPr="00353432">
        <w:rPr>
          <w:rFonts w:ascii="Verdana" w:hAnsi="Verdana"/>
          <w:sz w:val="16"/>
          <w:szCs w:val="16"/>
          <w:lang w:val="es-CR"/>
        </w:rPr>
        <w:t>701 y 13</w:t>
      </w:r>
      <w:r>
        <w:rPr>
          <w:rFonts w:ascii="Verdana" w:hAnsi="Verdana"/>
          <w:sz w:val="16"/>
          <w:szCs w:val="16"/>
          <w:lang w:val="es-CR"/>
        </w:rPr>
        <w:t>,</w:t>
      </w:r>
      <w:r w:rsidRPr="00353432">
        <w:rPr>
          <w:rFonts w:ascii="Verdana" w:hAnsi="Verdana"/>
          <w:sz w:val="16"/>
          <w:szCs w:val="16"/>
          <w:lang w:val="es-CR"/>
        </w:rPr>
        <w:t>702).</w:t>
      </w:r>
    </w:p>
  </w:footnote>
  <w:footnote w:id="177">
    <w:p w:rsidR="0081535F" w:rsidRPr="00507192" w:rsidRDefault="0081535F" w:rsidP="00422232">
      <w:pPr>
        <w:pStyle w:val="Textonotapie"/>
        <w:spacing w:line="19" w:lineRule="atLeast"/>
        <w:ind w:left="-180" w:right="-174"/>
        <w:jc w:val="both"/>
        <w:rPr>
          <w:rFonts w:ascii="Verdana" w:hAnsi="Verdana"/>
          <w:sz w:val="16"/>
          <w:szCs w:val="16"/>
        </w:rPr>
      </w:pPr>
      <w:r w:rsidRPr="00507192">
        <w:rPr>
          <w:rStyle w:val="Refdenotaalpie"/>
          <w:rFonts w:ascii="Verdana" w:hAnsi="Verdana"/>
          <w:sz w:val="16"/>
          <w:szCs w:val="16"/>
        </w:rPr>
        <w:footnoteRef/>
      </w:r>
      <w:r w:rsidRPr="00507192">
        <w:rPr>
          <w:rStyle w:val="Refdenotaalpie"/>
          <w:rFonts w:ascii="Verdana" w:hAnsi="Verdana"/>
          <w:sz w:val="16"/>
          <w:szCs w:val="16"/>
        </w:rPr>
        <w:t xml:space="preserve"> </w:t>
      </w:r>
      <w:r>
        <w:rPr>
          <w:rFonts w:ascii="Verdana" w:hAnsi="Verdana"/>
          <w:i/>
          <w:sz w:val="16"/>
          <w:szCs w:val="16"/>
        </w:rPr>
        <w:t xml:space="preserve">Cfr. </w:t>
      </w:r>
      <w:r w:rsidRPr="00507192">
        <w:rPr>
          <w:rFonts w:ascii="Verdana" w:hAnsi="Verdana"/>
          <w:sz w:val="16"/>
          <w:szCs w:val="16"/>
        </w:rPr>
        <w:t>Oficio de solicitud de información emitido por la Auxiliar Fiscal</w:t>
      </w:r>
      <w:r>
        <w:rPr>
          <w:rFonts w:ascii="Verdana" w:hAnsi="Verdana"/>
          <w:sz w:val="16"/>
          <w:szCs w:val="16"/>
        </w:rPr>
        <w:t xml:space="preserve"> de la Agencia No. 5 de Mixco</w:t>
      </w:r>
      <w:r w:rsidRPr="00507192">
        <w:rPr>
          <w:rFonts w:ascii="Verdana" w:hAnsi="Verdana"/>
          <w:sz w:val="16"/>
          <w:szCs w:val="16"/>
        </w:rPr>
        <w:t xml:space="preserve"> de 8 de febrero de 2007 </w:t>
      </w:r>
      <w:r>
        <w:rPr>
          <w:rFonts w:ascii="Verdana" w:hAnsi="Verdana"/>
          <w:sz w:val="16"/>
          <w:szCs w:val="16"/>
        </w:rPr>
        <w:t>(</w:t>
      </w:r>
      <w:r w:rsidRPr="00507192">
        <w:rPr>
          <w:rFonts w:ascii="Verdana" w:hAnsi="Verdana"/>
          <w:sz w:val="16"/>
          <w:szCs w:val="16"/>
        </w:rPr>
        <w:t xml:space="preserve">expediente de anexos a la </w:t>
      </w:r>
      <w:r>
        <w:rPr>
          <w:rFonts w:ascii="Verdana" w:hAnsi="Verdana"/>
          <w:sz w:val="16"/>
          <w:szCs w:val="16"/>
        </w:rPr>
        <w:t xml:space="preserve">contestación, </w:t>
      </w:r>
      <w:r w:rsidRPr="00507192">
        <w:rPr>
          <w:rFonts w:ascii="Verdana" w:hAnsi="Verdana"/>
          <w:sz w:val="16"/>
          <w:szCs w:val="16"/>
        </w:rPr>
        <w:t>anexo 3</w:t>
      </w:r>
      <w:r>
        <w:rPr>
          <w:rFonts w:ascii="Verdana" w:hAnsi="Verdana"/>
          <w:sz w:val="16"/>
          <w:szCs w:val="16"/>
        </w:rPr>
        <w:t>c,</w:t>
      </w:r>
      <w:r w:rsidRPr="00507192">
        <w:rPr>
          <w:rFonts w:ascii="Verdana" w:hAnsi="Verdana"/>
          <w:sz w:val="16"/>
          <w:szCs w:val="16"/>
        </w:rPr>
        <w:t xml:space="preserve"> f</w:t>
      </w:r>
      <w:r>
        <w:rPr>
          <w:rFonts w:ascii="Verdana" w:hAnsi="Verdana"/>
          <w:sz w:val="16"/>
          <w:szCs w:val="16"/>
        </w:rPr>
        <w:t>.</w:t>
      </w:r>
      <w:r w:rsidRPr="00507192">
        <w:rPr>
          <w:rFonts w:ascii="Verdana" w:hAnsi="Verdana"/>
          <w:sz w:val="16"/>
          <w:szCs w:val="16"/>
        </w:rPr>
        <w:t xml:space="preserve"> 13</w:t>
      </w:r>
      <w:r>
        <w:rPr>
          <w:rFonts w:ascii="Verdana" w:hAnsi="Verdana"/>
          <w:sz w:val="16"/>
          <w:szCs w:val="16"/>
        </w:rPr>
        <w:t>,</w:t>
      </w:r>
      <w:r w:rsidRPr="00507192">
        <w:rPr>
          <w:rFonts w:ascii="Verdana" w:hAnsi="Verdana"/>
          <w:sz w:val="16"/>
          <w:szCs w:val="16"/>
        </w:rPr>
        <w:t>732</w:t>
      </w:r>
      <w:r>
        <w:rPr>
          <w:rFonts w:ascii="Verdana" w:hAnsi="Verdana"/>
          <w:sz w:val="16"/>
          <w:szCs w:val="16"/>
        </w:rPr>
        <w:t>)</w:t>
      </w:r>
      <w:r w:rsidRPr="00507192">
        <w:rPr>
          <w:rFonts w:ascii="Verdana" w:hAnsi="Verdana"/>
          <w:sz w:val="16"/>
          <w:szCs w:val="16"/>
        </w:rPr>
        <w:t>.</w:t>
      </w:r>
    </w:p>
  </w:footnote>
  <w:footnote w:id="178">
    <w:p w:rsidR="0081535F" w:rsidRPr="00507192" w:rsidRDefault="0081535F" w:rsidP="00422232">
      <w:pPr>
        <w:pStyle w:val="Textonotapie"/>
        <w:spacing w:line="19" w:lineRule="atLeast"/>
        <w:ind w:left="-180" w:right="-174"/>
        <w:jc w:val="both"/>
        <w:rPr>
          <w:rFonts w:ascii="Verdana" w:hAnsi="Verdana"/>
          <w:sz w:val="16"/>
          <w:szCs w:val="16"/>
          <w:lang w:val="es-CR"/>
        </w:rPr>
      </w:pPr>
      <w:r w:rsidRPr="00507192">
        <w:rPr>
          <w:rStyle w:val="Refdenotaalpie"/>
          <w:rFonts w:ascii="Verdana" w:hAnsi="Verdana"/>
          <w:sz w:val="16"/>
          <w:szCs w:val="16"/>
        </w:rPr>
        <w:footnoteRef/>
      </w:r>
      <w:r w:rsidRPr="00507192">
        <w:rPr>
          <w:rFonts w:ascii="Verdana" w:hAnsi="Verdana"/>
          <w:sz w:val="16"/>
          <w:szCs w:val="16"/>
          <w:lang w:val="es-CR"/>
        </w:rPr>
        <w:t xml:space="preserve"> </w:t>
      </w:r>
      <w:r w:rsidRPr="00507192">
        <w:rPr>
          <w:rFonts w:ascii="Verdana" w:hAnsi="Verdana"/>
          <w:i/>
          <w:sz w:val="16"/>
          <w:szCs w:val="16"/>
          <w:lang w:val="es-CR"/>
        </w:rPr>
        <w:t>Cfr.</w:t>
      </w:r>
      <w:r w:rsidRPr="00507192">
        <w:rPr>
          <w:rFonts w:ascii="Verdana" w:hAnsi="Verdana"/>
          <w:sz w:val="16"/>
          <w:szCs w:val="16"/>
          <w:lang w:val="es-CR"/>
        </w:rPr>
        <w:t xml:space="preserve"> Acta de audiencia de prueba anticipada de 16 de diciembre de 2010 (</w:t>
      </w:r>
      <w:r>
        <w:rPr>
          <w:rFonts w:ascii="Verdana" w:hAnsi="Verdana"/>
          <w:sz w:val="16"/>
          <w:szCs w:val="16"/>
          <w:lang w:val="es-CR"/>
        </w:rPr>
        <w:t>e</w:t>
      </w:r>
      <w:r w:rsidRPr="00507192">
        <w:rPr>
          <w:rFonts w:ascii="Verdana" w:hAnsi="Verdana"/>
          <w:sz w:val="16"/>
          <w:szCs w:val="16"/>
          <w:lang w:val="es-CR"/>
        </w:rPr>
        <w:t>xpediente de anexos al escrito de solicitudes y argumentos,</w:t>
      </w:r>
      <w:r>
        <w:rPr>
          <w:rFonts w:ascii="Verdana" w:hAnsi="Verdana"/>
          <w:sz w:val="16"/>
          <w:szCs w:val="16"/>
          <w:lang w:val="es-CR"/>
        </w:rPr>
        <w:t xml:space="preserve"> tomo I,</w:t>
      </w:r>
      <w:r w:rsidRPr="00507192">
        <w:rPr>
          <w:rFonts w:ascii="Verdana" w:hAnsi="Verdana"/>
          <w:sz w:val="16"/>
          <w:szCs w:val="16"/>
          <w:lang w:val="es-CR"/>
        </w:rPr>
        <w:t xml:space="preserve"> anexo 36, f</w:t>
      </w:r>
      <w:r>
        <w:rPr>
          <w:rFonts w:ascii="Verdana" w:hAnsi="Verdana"/>
          <w:sz w:val="16"/>
          <w:szCs w:val="16"/>
          <w:lang w:val="es-CR"/>
        </w:rPr>
        <w:t>s</w:t>
      </w:r>
      <w:r w:rsidRPr="00507192">
        <w:rPr>
          <w:rFonts w:ascii="Verdana" w:hAnsi="Verdana"/>
          <w:sz w:val="16"/>
          <w:szCs w:val="16"/>
          <w:lang w:val="es-CR"/>
        </w:rPr>
        <w:t>. 5</w:t>
      </w:r>
      <w:r>
        <w:rPr>
          <w:rFonts w:ascii="Verdana" w:hAnsi="Verdana"/>
          <w:sz w:val="16"/>
          <w:szCs w:val="16"/>
          <w:lang w:val="es-CR"/>
        </w:rPr>
        <w:t>,</w:t>
      </w:r>
      <w:r w:rsidRPr="00507192">
        <w:rPr>
          <w:rFonts w:ascii="Verdana" w:hAnsi="Verdana"/>
          <w:sz w:val="16"/>
          <w:szCs w:val="16"/>
          <w:lang w:val="es-CR"/>
        </w:rPr>
        <w:t>435</w:t>
      </w:r>
      <w:r>
        <w:rPr>
          <w:rFonts w:ascii="Verdana" w:hAnsi="Verdana"/>
          <w:sz w:val="16"/>
          <w:szCs w:val="16"/>
          <w:lang w:val="es-CR"/>
        </w:rPr>
        <w:t xml:space="preserve"> y 5,436</w:t>
      </w:r>
      <w:r w:rsidRPr="00507192">
        <w:rPr>
          <w:rFonts w:ascii="Verdana" w:hAnsi="Verdana"/>
          <w:sz w:val="16"/>
          <w:szCs w:val="16"/>
          <w:lang w:val="es-CR"/>
        </w:rPr>
        <w:t>).</w:t>
      </w:r>
    </w:p>
  </w:footnote>
  <w:footnote w:id="179">
    <w:p w:rsidR="0081535F" w:rsidRPr="00507192" w:rsidRDefault="0081535F" w:rsidP="00422232">
      <w:pPr>
        <w:pStyle w:val="Textonotapie"/>
        <w:spacing w:line="19" w:lineRule="atLeast"/>
        <w:ind w:left="-180" w:right="-174"/>
        <w:jc w:val="both"/>
        <w:rPr>
          <w:rFonts w:ascii="Verdana" w:hAnsi="Verdana"/>
          <w:sz w:val="16"/>
          <w:szCs w:val="16"/>
          <w:lang w:val="es-CR"/>
        </w:rPr>
      </w:pPr>
      <w:r w:rsidRPr="00507192">
        <w:rPr>
          <w:rStyle w:val="Refdenotaalpie"/>
          <w:rFonts w:ascii="Verdana" w:hAnsi="Verdana"/>
          <w:sz w:val="16"/>
          <w:szCs w:val="16"/>
        </w:rPr>
        <w:footnoteRef/>
      </w:r>
      <w:r w:rsidRPr="00507192">
        <w:rPr>
          <w:rFonts w:ascii="Verdana" w:hAnsi="Verdana"/>
          <w:sz w:val="16"/>
          <w:szCs w:val="16"/>
          <w:lang w:val="es-CR"/>
        </w:rPr>
        <w:t xml:space="preserve"> </w:t>
      </w:r>
      <w:r w:rsidRPr="00507192">
        <w:rPr>
          <w:rFonts w:ascii="Verdana" w:hAnsi="Verdana"/>
          <w:i/>
          <w:sz w:val="16"/>
          <w:szCs w:val="16"/>
          <w:lang w:val="es-CR"/>
        </w:rPr>
        <w:t>Cfr.</w:t>
      </w:r>
      <w:r w:rsidRPr="00507192">
        <w:rPr>
          <w:rFonts w:ascii="Verdana" w:hAnsi="Verdana"/>
          <w:sz w:val="16"/>
          <w:szCs w:val="16"/>
          <w:lang w:val="es-CR"/>
        </w:rPr>
        <w:t xml:space="preserve"> Dictamen pericial de 16 de mayo de 2011 (</w:t>
      </w:r>
      <w:r>
        <w:rPr>
          <w:rFonts w:ascii="Verdana" w:hAnsi="Verdana"/>
          <w:sz w:val="16"/>
          <w:szCs w:val="16"/>
          <w:lang w:val="es-CR"/>
        </w:rPr>
        <w:t>e</w:t>
      </w:r>
      <w:r w:rsidRPr="00507192">
        <w:rPr>
          <w:rFonts w:ascii="Verdana" w:hAnsi="Verdana"/>
          <w:sz w:val="16"/>
          <w:szCs w:val="16"/>
          <w:lang w:val="es-CR"/>
        </w:rPr>
        <w:t xml:space="preserve">xpediente de anexos al escrito de solicitudes y argumentos, </w:t>
      </w:r>
      <w:r>
        <w:rPr>
          <w:rFonts w:ascii="Verdana" w:hAnsi="Verdana"/>
          <w:sz w:val="16"/>
          <w:szCs w:val="16"/>
          <w:lang w:val="es-CR"/>
        </w:rPr>
        <w:t xml:space="preserve">tomo I, </w:t>
      </w:r>
      <w:r w:rsidRPr="00507192">
        <w:rPr>
          <w:rFonts w:ascii="Verdana" w:hAnsi="Verdana"/>
          <w:sz w:val="16"/>
          <w:szCs w:val="16"/>
          <w:lang w:val="es-CR"/>
        </w:rPr>
        <w:t>anexo 42, f</w:t>
      </w:r>
      <w:r>
        <w:rPr>
          <w:rFonts w:ascii="Verdana" w:hAnsi="Verdana"/>
          <w:sz w:val="16"/>
          <w:szCs w:val="16"/>
          <w:lang w:val="es-CR"/>
        </w:rPr>
        <w:t>s</w:t>
      </w:r>
      <w:r w:rsidRPr="00507192">
        <w:rPr>
          <w:rFonts w:ascii="Verdana" w:hAnsi="Verdana"/>
          <w:sz w:val="16"/>
          <w:szCs w:val="16"/>
          <w:lang w:val="es-CR"/>
        </w:rPr>
        <w:t>.</w:t>
      </w:r>
      <w:r>
        <w:rPr>
          <w:rFonts w:ascii="Verdana" w:hAnsi="Verdana"/>
          <w:sz w:val="16"/>
          <w:szCs w:val="16"/>
          <w:lang w:val="es-CR"/>
        </w:rPr>
        <w:t xml:space="preserve"> </w:t>
      </w:r>
      <w:r w:rsidRPr="00507192">
        <w:rPr>
          <w:rFonts w:ascii="Verdana" w:hAnsi="Verdana"/>
          <w:sz w:val="16"/>
          <w:szCs w:val="16"/>
          <w:lang w:val="es-CR"/>
        </w:rPr>
        <w:t>5</w:t>
      </w:r>
      <w:r>
        <w:rPr>
          <w:rFonts w:ascii="Verdana" w:hAnsi="Verdana"/>
          <w:sz w:val="16"/>
          <w:szCs w:val="16"/>
          <w:lang w:val="es-CR"/>
        </w:rPr>
        <w:t>,</w:t>
      </w:r>
      <w:r w:rsidRPr="00507192">
        <w:rPr>
          <w:rFonts w:ascii="Verdana" w:hAnsi="Verdana"/>
          <w:sz w:val="16"/>
          <w:szCs w:val="16"/>
          <w:lang w:val="es-CR"/>
        </w:rPr>
        <w:t>449</w:t>
      </w:r>
      <w:r>
        <w:rPr>
          <w:rFonts w:ascii="Verdana" w:hAnsi="Verdana"/>
          <w:sz w:val="16"/>
          <w:szCs w:val="16"/>
          <w:lang w:val="es-CR"/>
        </w:rPr>
        <w:t xml:space="preserve"> a 5451</w:t>
      </w:r>
      <w:r w:rsidRPr="00507192">
        <w:rPr>
          <w:rFonts w:ascii="Verdana" w:hAnsi="Verdana"/>
          <w:sz w:val="16"/>
          <w:szCs w:val="16"/>
          <w:lang w:val="es-CR"/>
        </w:rPr>
        <w:t>).</w:t>
      </w:r>
    </w:p>
  </w:footnote>
  <w:footnote w:id="180">
    <w:p w:rsidR="0081535F" w:rsidRPr="00353432" w:rsidRDefault="0081535F" w:rsidP="00422232">
      <w:pPr>
        <w:pStyle w:val="Textonotapie"/>
        <w:spacing w:line="19" w:lineRule="atLeast"/>
        <w:ind w:left="-180" w:right="-174"/>
        <w:jc w:val="both"/>
        <w:rPr>
          <w:rFonts w:ascii="Verdana" w:hAnsi="Verdana"/>
          <w:sz w:val="16"/>
          <w:szCs w:val="16"/>
          <w:lang w:val="es-CR"/>
        </w:rPr>
      </w:pPr>
      <w:r w:rsidRPr="00353432">
        <w:rPr>
          <w:rStyle w:val="Refdenotaalpie"/>
          <w:rFonts w:ascii="Verdana" w:hAnsi="Verdana"/>
          <w:sz w:val="16"/>
          <w:szCs w:val="16"/>
        </w:rPr>
        <w:footnoteRef/>
      </w:r>
      <w:r w:rsidRPr="00353432">
        <w:rPr>
          <w:rFonts w:ascii="Verdana" w:hAnsi="Verdana"/>
          <w:sz w:val="16"/>
          <w:szCs w:val="16"/>
          <w:lang w:val="es-CR"/>
        </w:rPr>
        <w:t xml:space="preserve"> </w:t>
      </w:r>
      <w:r w:rsidRPr="00353432">
        <w:rPr>
          <w:rFonts w:ascii="Verdana" w:hAnsi="Verdana"/>
          <w:i/>
          <w:sz w:val="16"/>
          <w:szCs w:val="16"/>
          <w:lang w:val="es-CR"/>
        </w:rPr>
        <w:t>Cfr.</w:t>
      </w:r>
      <w:r w:rsidRPr="00353432">
        <w:rPr>
          <w:rFonts w:ascii="Verdana" w:hAnsi="Verdana"/>
          <w:sz w:val="16"/>
          <w:szCs w:val="16"/>
          <w:lang w:val="es-CR"/>
        </w:rPr>
        <w:t xml:space="preserve"> Reportaje fotográfico No. 4791-2001 (</w:t>
      </w:r>
      <w:r>
        <w:rPr>
          <w:rFonts w:ascii="Verdana" w:hAnsi="Verdana"/>
          <w:sz w:val="16"/>
          <w:szCs w:val="16"/>
          <w:lang w:val="es-CR"/>
        </w:rPr>
        <w:t>e</w:t>
      </w:r>
      <w:r w:rsidRPr="00353432">
        <w:rPr>
          <w:rFonts w:ascii="Verdana" w:hAnsi="Verdana"/>
          <w:sz w:val="16"/>
          <w:szCs w:val="16"/>
          <w:lang w:val="es-CR"/>
        </w:rPr>
        <w:t xml:space="preserve">xpediente de anexos al escrito de solicitudes y argumentos, tomo </w:t>
      </w:r>
      <w:r>
        <w:rPr>
          <w:rFonts w:ascii="Verdana" w:hAnsi="Verdana"/>
          <w:sz w:val="16"/>
          <w:szCs w:val="16"/>
          <w:lang w:val="es-CR"/>
        </w:rPr>
        <w:t>I</w:t>
      </w:r>
      <w:r w:rsidRPr="00353432">
        <w:rPr>
          <w:rFonts w:ascii="Verdana" w:hAnsi="Verdana"/>
          <w:sz w:val="16"/>
          <w:szCs w:val="16"/>
          <w:lang w:val="es-CR"/>
        </w:rPr>
        <w:t>, anexo 8, f</w:t>
      </w:r>
      <w:r>
        <w:rPr>
          <w:rFonts w:ascii="Verdana" w:hAnsi="Verdana"/>
          <w:sz w:val="16"/>
          <w:szCs w:val="16"/>
          <w:lang w:val="es-CR"/>
        </w:rPr>
        <w:t>s</w:t>
      </w:r>
      <w:r w:rsidRPr="00353432">
        <w:rPr>
          <w:rFonts w:ascii="Verdana" w:hAnsi="Verdana"/>
          <w:sz w:val="16"/>
          <w:szCs w:val="16"/>
          <w:lang w:val="es-CR"/>
        </w:rPr>
        <w:t>. 5</w:t>
      </w:r>
      <w:r>
        <w:rPr>
          <w:rFonts w:ascii="Verdana" w:hAnsi="Verdana"/>
          <w:sz w:val="16"/>
          <w:szCs w:val="16"/>
          <w:lang w:val="es-CR"/>
        </w:rPr>
        <w:t>,</w:t>
      </w:r>
      <w:r w:rsidRPr="00353432">
        <w:rPr>
          <w:rFonts w:ascii="Verdana" w:hAnsi="Verdana"/>
          <w:sz w:val="16"/>
          <w:szCs w:val="16"/>
          <w:lang w:val="es-CR"/>
        </w:rPr>
        <w:t>313</w:t>
      </w:r>
      <w:r>
        <w:rPr>
          <w:rFonts w:ascii="Verdana" w:hAnsi="Verdana"/>
          <w:sz w:val="16"/>
          <w:szCs w:val="16"/>
          <w:lang w:val="es-CR"/>
        </w:rPr>
        <w:t xml:space="preserve"> a 5319</w:t>
      </w:r>
      <w:r w:rsidRPr="00353432">
        <w:rPr>
          <w:rFonts w:ascii="Verdana" w:hAnsi="Verdana"/>
          <w:sz w:val="16"/>
          <w:szCs w:val="16"/>
          <w:lang w:val="es-CR"/>
        </w:rPr>
        <w:t>).</w:t>
      </w:r>
    </w:p>
  </w:footnote>
  <w:footnote w:id="181">
    <w:p w:rsidR="0081535F" w:rsidRPr="00353432" w:rsidRDefault="0081535F" w:rsidP="00422232">
      <w:pPr>
        <w:pStyle w:val="Textonotapie"/>
        <w:spacing w:line="19" w:lineRule="atLeast"/>
        <w:ind w:left="-180" w:right="-174"/>
        <w:jc w:val="both"/>
        <w:rPr>
          <w:rFonts w:ascii="Verdana" w:hAnsi="Verdana"/>
          <w:sz w:val="16"/>
          <w:szCs w:val="16"/>
          <w:lang w:val="es-MX"/>
        </w:rPr>
      </w:pPr>
      <w:r w:rsidRPr="00353432">
        <w:rPr>
          <w:rStyle w:val="Refdenotaalpie"/>
          <w:rFonts w:ascii="Verdana" w:hAnsi="Verdana"/>
          <w:sz w:val="16"/>
          <w:szCs w:val="16"/>
        </w:rPr>
        <w:footnoteRef/>
      </w:r>
      <w:r w:rsidRPr="00353432">
        <w:rPr>
          <w:rFonts w:ascii="Verdana" w:hAnsi="Verdana"/>
          <w:sz w:val="16"/>
          <w:szCs w:val="16"/>
          <w:lang w:val="es-MX"/>
        </w:rPr>
        <w:t xml:space="preserve"> </w:t>
      </w:r>
      <w:r w:rsidRPr="00353432">
        <w:rPr>
          <w:rFonts w:ascii="Verdana" w:hAnsi="Verdana"/>
          <w:i/>
          <w:sz w:val="16"/>
          <w:szCs w:val="16"/>
          <w:lang w:val="es-MX"/>
        </w:rPr>
        <w:t>Cfr.</w:t>
      </w:r>
      <w:r w:rsidRPr="00353432">
        <w:rPr>
          <w:rFonts w:ascii="Verdana" w:hAnsi="Verdana"/>
          <w:sz w:val="16"/>
          <w:szCs w:val="16"/>
          <w:lang w:val="es-MX"/>
        </w:rPr>
        <w:t xml:space="preserve"> Informe emitido por la investigadora</w:t>
      </w:r>
      <w:r>
        <w:rPr>
          <w:rFonts w:ascii="Verdana" w:hAnsi="Verdana"/>
          <w:sz w:val="16"/>
          <w:szCs w:val="16"/>
          <w:lang w:val="es-MX"/>
        </w:rPr>
        <w:t xml:space="preserve"> de la Policía Nacional Civil</w:t>
      </w:r>
      <w:r w:rsidRPr="00353432">
        <w:rPr>
          <w:rFonts w:ascii="Verdana" w:hAnsi="Verdana"/>
          <w:sz w:val="16"/>
          <w:szCs w:val="16"/>
          <w:lang w:val="es-MX"/>
        </w:rPr>
        <w:t xml:space="preserve"> de 21 de mayo de 2004 (</w:t>
      </w:r>
      <w:r>
        <w:rPr>
          <w:rFonts w:ascii="Verdana" w:hAnsi="Verdana"/>
          <w:sz w:val="16"/>
          <w:szCs w:val="16"/>
          <w:lang w:val="es-MX"/>
        </w:rPr>
        <w:t>e</w:t>
      </w:r>
      <w:r w:rsidRPr="00353432">
        <w:rPr>
          <w:rFonts w:ascii="Verdana" w:hAnsi="Verdana"/>
          <w:sz w:val="16"/>
          <w:szCs w:val="16"/>
          <w:lang w:val="es-MX"/>
        </w:rPr>
        <w:t xml:space="preserve">xpediente de anexos al escrito de solicitudes y argumentos, tomo I, anexo 22, fs. 5388 </w:t>
      </w:r>
      <w:r>
        <w:rPr>
          <w:rFonts w:ascii="Verdana" w:hAnsi="Verdana"/>
          <w:sz w:val="16"/>
          <w:szCs w:val="16"/>
          <w:lang w:val="es-MX"/>
        </w:rPr>
        <w:t>a 5390</w:t>
      </w:r>
      <w:r w:rsidRPr="00353432">
        <w:rPr>
          <w:rFonts w:ascii="Verdana" w:hAnsi="Verdana"/>
          <w:sz w:val="16"/>
          <w:szCs w:val="16"/>
          <w:lang w:val="es-MX"/>
        </w:rPr>
        <w:t>).</w:t>
      </w:r>
    </w:p>
  </w:footnote>
  <w:footnote w:id="182">
    <w:p w:rsidR="0081535F" w:rsidRPr="00353432" w:rsidRDefault="0081535F" w:rsidP="00422232">
      <w:pPr>
        <w:pStyle w:val="Textonotapie"/>
        <w:spacing w:line="19" w:lineRule="atLeast"/>
        <w:ind w:left="-180" w:right="-174"/>
        <w:jc w:val="both"/>
        <w:rPr>
          <w:rFonts w:ascii="Verdana" w:hAnsi="Verdana"/>
          <w:b/>
          <w:sz w:val="16"/>
          <w:szCs w:val="16"/>
          <w:lang w:val="es-CR"/>
        </w:rPr>
      </w:pPr>
      <w:r w:rsidRPr="00353432">
        <w:rPr>
          <w:rStyle w:val="Refdenotaalpie"/>
          <w:rFonts w:ascii="Verdana" w:hAnsi="Verdana"/>
          <w:sz w:val="16"/>
          <w:szCs w:val="16"/>
        </w:rPr>
        <w:footnoteRef/>
      </w:r>
      <w:r w:rsidRPr="00353432">
        <w:rPr>
          <w:rFonts w:ascii="Verdana" w:hAnsi="Verdana"/>
          <w:sz w:val="16"/>
          <w:szCs w:val="16"/>
          <w:lang w:val="es-CR"/>
        </w:rPr>
        <w:t xml:space="preserve"> </w:t>
      </w:r>
      <w:r w:rsidRPr="00353432">
        <w:rPr>
          <w:rFonts w:ascii="Verdana" w:hAnsi="Verdana"/>
          <w:i/>
          <w:sz w:val="16"/>
          <w:szCs w:val="16"/>
          <w:lang w:val="es-MX"/>
        </w:rPr>
        <w:t>Cfr.</w:t>
      </w:r>
      <w:r w:rsidRPr="00353432">
        <w:rPr>
          <w:rFonts w:ascii="Verdana" w:hAnsi="Verdana"/>
          <w:sz w:val="16"/>
          <w:szCs w:val="16"/>
          <w:lang w:val="es-MX"/>
        </w:rPr>
        <w:t xml:space="preserve"> Ampliación de la </w:t>
      </w:r>
      <w:r w:rsidRPr="00507192">
        <w:rPr>
          <w:rFonts w:ascii="Verdana" w:hAnsi="Verdana"/>
          <w:sz w:val="16"/>
          <w:szCs w:val="16"/>
          <w:lang w:val="es-MX"/>
        </w:rPr>
        <w:t>declaración de una amiga de María Isabel de 3 de</w:t>
      </w:r>
      <w:r w:rsidRPr="00353432">
        <w:rPr>
          <w:rFonts w:ascii="Verdana" w:hAnsi="Verdana"/>
          <w:sz w:val="16"/>
          <w:szCs w:val="16"/>
          <w:lang w:val="es-MX"/>
        </w:rPr>
        <w:t xml:space="preserve"> septiembre de 2004 (expediente de anexos a la contestación, anexo 3</w:t>
      </w:r>
      <w:r>
        <w:rPr>
          <w:rFonts w:ascii="Verdana" w:hAnsi="Verdana"/>
          <w:sz w:val="16"/>
          <w:szCs w:val="16"/>
          <w:lang w:val="es-MX"/>
        </w:rPr>
        <w:t>-3b</w:t>
      </w:r>
      <w:r w:rsidRPr="00353432">
        <w:rPr>
          <w:rFonts w:ascii="Verdana" w:hAnsi="Verdana"/>
          <w:sz w:val="16"/>
          <w:szCs w:val="16"/>
          <w:lang w:val="es-MX"/>
        </w:rPr>
        <w:t>, f. 13</w:t>
      </w:r>
      <w:r>
        <w:rPr>
          <w:rFonts w:ascii="Verdana" w:hAnsi="Verdana"/>
          <w:sz w:val="16"/>
          <w:szCs w:val="16"/>
          <w:lang w:val="es-MX"/>
        </w:rPr>
        <w:t>,</w:t>
      </w:r>
      <w:r w:rsidRPr="00353432">
        <w:rPr>
          <w:rFonts w:ascii="Verdana" w:hAnsi="Verdana"/>
          <w:sz w:val="16"/>
          <w:szCs w:val="16"/>
          <w:lang w:val="es-MX"/>
        </w:rPr>
        <w:t xml:space="preserve">427). Manifestó </w:t>
      </w:r>
      <w:r w:rsidRPr="00353432">
        <w:rPr>
          <w:rFonts w:ascii="Verdana" w:hAnsi="Verdana" w:cs="Calibri"/>
          <w:sz w:val="16"/>
          <w:szCs w:val="16"/>
          <w:lang w:val="es-CR"/>
        </w:rPr>
        <w:t xml:space="preserve">que ninguno de los novios y amigos de María Isabel que ella había conocido coincidían con el rostro de la </w:t>
      </w:r>
      <w:r>
        <w:rPr>
          <w:rFonts w:ascii="Verdana" w:hAnsi="Verdana" w:cs="Calibri"/>
          <w:sz w:val="16"/>
          <w:szCs w:val="16"/>
          <w:lang w:val="es-CR"/>
        </w:rPr>
        <w:t>“</w:t>
      </w:r>
      <w:r w:rsidRPr="00353432">
        <w:rPr>
          <w:rFonts w:ascii="Verdana" w:hAnsi="Verdana" w:cs="Calibri"/>
          <w:sz w:val="16"/>
          <w:szCs w:val="16"/>
          <w:lang w:val="es-CR"/>
        </w:rPr>
        <w:t>foto robot</w:t>
      </w:r>
      <w:r>
        <w:rPr>
          <w:rFonts w:ascii="Verdana" w:hAnsi="Verdana" w:cs="Calibri"/>
          <w:sz w:val="16"/>
          <w:szCs w:val="16"/>
          <w:lang w:val="es-CR"/>
        </w:rPr>
        <w:t>”</w:t>
      </w:r>
      <w:r w:rsidRPr="00353432">
        <w:rPr>
          <w:rFonts w:ascii="Verdana" w:hAnsi="Verdana" w:cs="Calibri"/>
          <w:sz w:val="16"/>
          <w:szCs w:val="16"/>
          <w:lang w:val="es-CR"/>
        </w:rPr>
        <w:t>.</w:t>
      </w:r>
    </w:p>
  </w:footnote>
  <w:footnote w:id="183">
    <w:p w:rsidR="0081535F" w:rsidRDefault="0081535F" w:rsidP="00422232">
      <w:pPr>
        <w:pStyle w:val="Textonotapie"/>
        <w:ind w:left="-180" w:right="-174"/>
        <w:jc w:val="both"/>
        <w:rPr>
          <w:rFonts w:ascii="Verdana" w:hAnsi="Verdana"/>
          <w:sz w:val="16"/>
          <w:szCs w:val="16"/>
          <w:lang w:val="es-CL"/>
        </w:rPr>
      </w:pPr>
      <w:r w:rsidRPr="003622B1">
        <w:rPr>
          <w:rStyle w:val="Refdenotaalpie"/>
          <w:rFonts w:ascii="Verdana" w:hAnsi="Verdana"/>
          <w:sz w:val="16"/>
          <w:szCs w:val="16"/>
        </w:rPr>
        <w:footnoteRef/>
      </w:r>
      <w:r w:rsidRPr="003622B1">
        <w:rPr>
          <w:rFonts w:ascii="Verdana" w:hAnsi="Verdana"/>
          <w:sz w:val="16"/>
          <w:szCs w:val="16"/>
        </w:rPr>
        <w:t xml:space="preserve"> </w:t>
      </w:r>
      <w:r>
        <w:rPr>
          <w:rFonts w:ascii="Verdana" w:hAnsi="Verdana"/>
          <w:i/>
          <w:sz w:val="16"/>
          <w:szCs w:val="16"/>
        </w:rPr>
        <w:t xml:space="preserve">Cfr. </w:t>
      </w:r>
      <w:r>
        <w:rPr>
          <w:rFonts w:ascii="Verdana" w:hAnsi="Verdana"/>
          <w:sz w:val="16"/>
          <w:szCs w:val="16"/>
        </w:rPr>
        <w:t>Oficio emitido por la Auxiliar Fiscal I de la Agencia No. 5 de Mixco de 24 de agosto de 2004 (expediente de anexos a la contestaci</w:t>
      </w:r>
      <w:r>
        <w:rPr>
          <w:rFonts w:ascii="Verdana" w:hAnsi="Verdana"/>
          <w:sz w:val="16"/>
          <w:szCs w:val="16"/>
          <w:lang w:val="es-CL"/>
        </w:rPr>
        <w:t>ón, anexo 3-3b, fs. 13,417 y 13,418).</w:t>
      </w:r>
    </w:p>
  </w:footnote>
  <w:footnote w:id="184">
    <w:p w:rsidR="0081535F" w:rsidRPr="00353432" w:rsidRDefault="0081535F" w:rsidP="00422232">
      <w:pPr>
        <w:pStyle w:val="Textonotapie"/>
        <w:spacing w:line="19" w:lineRule="atLeast"/>
        <w:ind w:left="-180" w:right="-174"/>
        <w:jc w:val="both"/>
        <w:rPr>
          <w:rFonts w:ascii="Verdana" w:hAnsi="Verdana"/>
          <w:sz w:val="16"/>
          <w:szCs w:val="16"/>
          <w:lang w:val="es-MX"/>
        </w:rPr>
      </w:pPr>
      <w:r w:rsidRPr="00353432">
        <w:rPr>
          <w:rStyle w:val="Refdenotaalpie"/>
          <w:rFonts w:ascii="Verdana" w:hAnsi="Verdana"/>
          <w:sz w:val="16"/>
          <w:szCs w:val="16"/>
        </w:rPr>
        <w:footnoteRef/>
      </w:r>
      <w:r w:rsidRPr="00353432">
        <w:rPr>
          <w:rFonts w:ascii="Verdana" w:hAnsi="Verdana"/>
          <w:sz w:val="16"/>
          <w:szCs w:val="16"/>
          <w:lang w:val="es-MX"/>
        </w:rPr>
        <w:t xml:space="preserve"> </w:t>
      </w:r>
      <w:r w:rsidRPr="00353432">
        <w:rPr>
          <w:rFonts w:ascii="Verdana" w:hAnsi="Verdana"/>
          <w:i/>
          <w:sz w:val="16"/>
          <w:szCs w:val="16"/>
          <w:lang w:val="es-MX"/>
        </w:rPr>
        <w:t>Cfr.</w:t>
      </w:r>
      <w:r w:rsidRPr="00353432">
        <w:rPr>
          <w:rFonts w:ascii="Verdana" w:hAnsi="Verdana"/>
          <w:sz w:val="16"/>
          <w:szCs w:val="16"/>
          <w:lang w:val="es-MX"/>
        </w:rPr>
        <w:t xml:space="preserve"> Oficio </w:t>
      </w:r>
      <w:r>
        <w:rPr>
          <w:rFonts w:ascii="Verdana" w:hAnsi="Verdana"/>
          <w:sz w:val="16"/>
          <w:szCs w:val="16"/>
          <w:lang w:val="es-MX"/>
        </w:rPr>
        <w:t xml:space="preserve">emitido por la Auxiliar Fiscal I de la Agencia No. 5 de Mixco </w:t>
      </w:r>
      <w:r w:rsidRPr="00353432">
        <w:rPr>
          <w:rFonts w:ascii="Verdana" w:hAnsi="Verdana"/>
          <w:sz w:val="16"/>
          <w:szCs w:val="16"/>
          <w:lang w:val="es-MX"/>
        </w:rPr>
        <w:t xml:space="preserve">solicitando cambio </w:t>
      </w:r>
      <w:r w:rsidRPr="00F77273">
        <w:rPr>
          <w:rFonts w:ascii="Verdana" w:hAnsi="Verdana"/>
          <w:sz w:val="16"/>
          <w:szCs w:val="16"/>
          <w:lang w:val="es-MX"/>
        </w:rPr>
        <w:t>de Auxiliar Fiscal</w:t>
      </w:r>
      <w:r w:rsidRPr="00353432">
        <w:rPr>
          <w:rFonts w:ascii="Verdana" w:hAnsi="Verdana"/>
          <w:sz w:val="16"/>
          <w:szCs w:val="16"/>
          <w:lang w:val="es-MX"/>
        </w:rPr>
        <w:t xml:space="preserve"> de 8 de septiembre de 2004 (expediente de anexos a la contestación, </w:t>
      </w:r>
      <w:r>
        <w:rPr>
          <w:rFonts w:ascii="Verdana" w:hAnsi="Verdana"/>
          <w:sz w:val="16"/>
          <w:szCs w:val="16"/>
          <w:lang w:val="es-MX"/>
        </w:rPr>
        <w:t>anexo 3-3b, f. 13,430).</w:t>
      </w:r>
    </w:p>
  </w:footnote>
  <w:footnote w:id="185">
    <w:p w:rsidR="0081535F" w:rsidRPr="00353432" w:rsidRDefault="0081535F" w:rsidP="00422232">
      <w:pPr>
        <w:pStyle w:val="Textonotapie"/>
        <w:spacing w:line="19" w:lineRule="atLeast"/>
        <w:ind w:left="-180" w:right="-174"/>
        <w:jc w:val="both"/>
        <w:rPr>
          <w:rFonts w:ascii="Verdana" w:hAnsi="Verdana"/>
          <w:sz w:val="16"/>
          <w:szCs w:val="16"/>
          <w:lang w:val="es-MX"/>
        </w:rPr>
      </w:pPr>
      <w:r w:rsidRPr="00353432">
        <w:rPr>
          <w:rStyle w:val="Refdenotaalpie"/>
          <w:rFonts w:ascii="Verdana" w:hAnsi="Verdana"/>
          <w:sz w:val="16"/>
          <w:szCs w:val="16"/>
        </w:rPr>
        <w:footnoteRef/>
      </w:r>
      <w:r w:rsidRPr="00353432">
        <w:rPr>
          <w:rFonts w:ascii="Verdana" w:hAnsi="Verdana"/>
          <w:sz w:val="16"/>
          <w:szCs w:val="16"/>
          <w:lang w:val="es-MX"/>
        </w:rPr>
        <w:t xml:space="preserve"> </w:t>
      </w:r>
      <w:r w:rsidRPr="00353432">
        <w:rPr>
          <w:rFonts w:ascii="Verdana" w:hAnsi="Verdana"/>
          <w:i/>
          <w:sz w:val="16"/>
          <w:szCs w:val="16"/>
          <w:lang w:val="es-MX"/>
        </w:rPr>
        <w:t>Cfr.</w:t>
      </w:r>
      <w:r w:rsidRPr="00353432">
        <w:rPr>
          <w:rFonts w:ascii="Verdana" w:hAnsi="Verdana"/>
          <w:sz w:val="16"/>
          <w:szCs w:val="16"/>
          <w:lang w:val="es-MX"/>
        </w:rPr>
        <w:t xml:space="preserve"> Informe No. 534-2004 emitido por la supervisora Auxiliar del Ministerio Público de 13 de septiembre de 2004 (expediente de anexos a la contestación, anexo 3</w:t>
      </w:r>
      <w:r>
        <w:rPr>
          <w:rFonts w:ascii="Verdana" w:hAnsi="Verdana"/>
          <w:sz w:val="16"/>
          <w:szCs w:val="16"/>
          <w:lang w:val="es-MX"/>
        </w:rPr>
        <w:t>-3b</w:t>
      </w:r>
      <w:r w:rsidRPr="00353432">
        <w:rPr>
          <w:rFonts w:ascii="Verdana" w:hAnsi="Verdana"/>
          <w:sz w:val="16"/>
          <w:szCs w:val="16"/>
          <w:lang w:val="es-MX"/>
        </w:rPr>
        <w:t>, fs. 13</w:t>
      </w:r>
      <w:r>
        <w:rPr>
          <w:rFonts w:ascii="Verdana" w:hAnsi="Verdana"/>
          <w:sz w:val="16"/>
          <w:szCs w:val="16"/>
          <w:lang w:val="es-MX"/>
        </w:rPr>
        <w:t>,</w:t>
      </w:r>
      <w:r w:rsidRPr="00353432">
        <w:rPr>
          <w:rFonts w:ascii="Verdana" w:hAnsi="Verdana"/>
          <w:sz w:val="16"/>
          <w:szCs w:val="16"/>
          <w:lang w:val="es-MX"/>
        </w:rPr>
        <w:t>439 a 13</w:t>
      </w:r>
      <w:r>
        <w:rPr>
          <w:rFonts w:ascii="Verdana" w:hAnsi="Verdana"/>
          <w:sz w:val="16"/>
          <w:szCs w:val="16"/>
          <w:lang w:val="es-MX"/>
        </w:rPr>
        <w:t>,</w:t>
      </w:r>
      <w:r w:rsidRPr="00353432">
        <w:rPr>
          <w:rFonts w:ascii="Verdana" w:hAnsi="Verdana"/>
          <w:sz w:val="16"/>
          <w:szCs w:val="16"/>
          <w:lang w:val="es-MX"/>
        </w:rPr>
        <w:t>441).</w:t>
      </w:r>
    </w:p>
  </w:footnote>
  <w:footnote w:id="186">
    <w:p w:rsidR="0081535F" w:rsidRPr="00353432" w:rsidRDefault="0081535F" w:rsidP="00422232">
      <w:pPr>
        <w:pStyle w:val="Textonotapie"/>
        <w:spacing w:line="19" w:lineRule="atLeast"/>
        <w:ind w:left="-180" w:right="-174"/>
        <w:jc w:val="both"/>
        <w:rPr>
          <w:rFonts w:ascii="Verdana" w:hAnsi="Verdana"/>
          <w:sz w:val="16"/>
          <w:szCs w:val="16"/>
          <w:lang w:val="es-MX"/>
        </w:rPr>
      </w:pPr>
      <w:r w:rsidRPr="00353432">
        <w:rPr>
          <w:rStyle w:val="Refdenotaalpie"/>
          <w:rFonts w:ascii="Verdana" w:hAnsi="Verdana"/>
          <w:sz w:val="16"/>
          <w:szCs w:val="16"/>
        </w:rPr>
        <w:footnoteRef/>
      </w:r>
      <w:r w:rsidRPr="00353432">
        <w:rPr>
          <w:rFonts w:ascii="Verdana" w:hAnsi="Verdana"/>
          <w:sz w:val="16"/>
          <w:szCs w:val="16"/>
          <w:lang w:val="es-MX"/>
        </w:rPr>
        <w:t xml:space="preserve"> </w:t>
      </w:r>
      <w:r w:rsidRPr="00353432">
        <w:rPr>
          <w:rFonts w:ascii="Verdana" w:hAnsi="Verdana"/>
          <w:i/>
          <w:sz w:val="16"/>
          <w:szCs w:val="16"/>
          <w:lang w:val="es-MX"/>
        </w:rPr>
        <w:t>Cfr.</w:t>
      </w:r>
      <w:r w:rsidRPr="00353432">
        <w:rPr>
          <w:rFonts w:ascii="Verdana" w:hAnsi="Verdana"/>
          <w:sz w:val="16"/>
          <w:szCs w:val="16"/>
          <w:lang w:val="es-MX"/>
        </w:rPr>
        <w:t xml:space="preserve"> Oficio emitido por </w:t>
      </w:r>
      <w:r>
        <w:rPr>
          <w:rFonts w:ascii="Verdana" w:hAnsi="Verdana"/>
          <w:sz w:val="16"/>
          <w:szCs w:val="16"/>
          <w:lang w:val="es-MX"/>
        </w:rPr>
        <w:t>el Agente Fiscal de la Agencia No. 5 de Mixco</w:t>
      </w:r>
      <w:r w:rsidRPr="00353432">
        <w:rPr>
          <w:rFonts w:ascii="Verdana" w:hAnsi="Verdana"/>
          <w:sz w:val="16"/>
          <w:szCs w:val="16"/>
          <w:lang w:val="es-MX"/>
        </w:rPr>
        <w:t xml:space="preserve"> concediendo cambio de Auxiliar fiscal de 28 de octubre de 2004 (expediente de anexos a la contestación, anexo 3</w:t>
      </w:r>
      <w:r>
        <w:rPr>
          <w:rFonts w:ascii="Verdana" w:hAnsi="Verdana"/>
          <w:sz w:val="16"/>
          <w:szCs w:val="16"/>
          <w:lang w:val="es-MX"/>
        </w:rPr>
        <w:t>-3b</w:t>
      </w:r>
      <w:r w:rsidRPr="00353432">
        <w:rPr>
          <w:rFonts w:ascii="Verdana" w:hAnsi="Verdana"/>
          <w:sz w:val="16"/>
          <w:szCs w:val="16"/>
          <w:lang w:val="es-MX"/>
        </w:rPr>
        <w:t>, f. 13</w:t>
      </w:r>
      <w:r>
        <w:rPr>
          <w:rFonts w:ascii="Verdana" w:hAnsi="Verdana"/>
          <w:sz w:val="16"/>
          <w:szCs w:val="16"/>
          <w:lang w:val="es-MX"/>
        </w:rPr>
        <w:t>,</w:t>
      </w:r>
      <w:r w:rsidRPr="00353432">
        <w:rPr>
          <w:rFonts w:ascii="Verdana" w:hAnsi="Verdana"/>
          <w:sz w:val="16"/>
          <w:szCs w:val="16"/>
          <w:lang w:val="es-MX"/>
        </w:rPr>
        <w:t>443).</w:t>
      </w:r>
    </w:p>
  </w:footnote>
  <w:footnote w:id="187">
    <w:p w:rsidR="0081535F" w:rsidRPr="00507192" w:rsidRDefault="0081535F" w:rsidP="00422232">
      <w:pPr>
        <w:pStyle w:val="Textonotapie"/>
        <w:spacing w:line="19" w:lineRule="atLeast"/>
        <w:ind w:left="-180" w:right="-174"/>
        <w:jc w:val="both"/>
        <w:rPr>
          <w:rFonts w:ascii="Verdana" w:hAnsi="Verdana"/>
          <w:sz w:val="16"/>
          <w:szCs w:val="16"/>
        </w:rPr>
      </w:pPr>
      <w:r w:rsidRPr="00507192">
        <w:rPr>
          <w:rStyle w:val="Refdenotaalpie"/>
          <w:rFonts w:ascii="Verdana" w:hAnsi="Verdana"/>
          <w:sz w:val="16"/>
          <w:szCs w:val="16"/>
        </w:rPr>
        <w:footnoteRef/>
      </w:r>
      <w:r>
        <w:rPr>
          <w:rFonts w:ascii="Verdana" w:hAnsi="Verdana"/>
          <w:sz w:val="16"/>
          <w:szCs w:val="16"/>
        </w:rPr>
        <w:t xml:space="preserve"> </w:t>
      </w:r>
      <w:r>
        <w:rPr>
          <w:rFonts w:ascii="Verdana" w:hAnsi="Verdana"/>
          <w:i/>
          <w:sz w:val="16"/>
          <w:szCs w:val="16"/>
        </w:rPr>
        <w:t xml:space="preserve">Cfr. </w:t>
      </w:r>
      <w:r w:rsidRPr="00507192">
        <w:rPr>
          <w:rFonts w:ascii="Verdana" w:hAnsi="Verdana"/>
          <w:sz w:val="16"/>
          <w:szCs w:val="16"/>
        </w:rPr>
        <w:t>Oficio</w:t>
      </w:r>
      <w:r>
        <w:rPr>
          <w:rFonts w:ascii="Verdana" w:hAnsi="Verdana"/>
          <w:sz w:val="16"/>
          <w:szCs w:val="16"/>
        </w:rPr>
        <w:t xml:space="preserve"> de solicitud</w:t>
      </w:r>
      <w:r w:rsidRPr="00507192">
        <w:rPr>
          <w:rFonts w:ascii="Verdana" w:hAnsi="Verdana"/>
          <w:sz w:val="16"/>
          <w:szCs w:val="16"/>
        </w:rPr>
        <w:t xml:space="preserve"> </w:t>
      </w:r>
      <w:r>
        <w:rPr>
          <w:rFonts w:ascii="Verdana" w:hAnsi="Verdana"/>
          <w:sz w:val="16"/>
          <w:szCs w:val="16"/>
        </w:rPr>
        <w:t>emitido por la Fiscal de Distrito Adjunto de la Agencia No. 5 de Mixco de 31 de enero de 2006 (expediente de anexos a la contestación, anexo 3c, f. 13,671), y Oficio de lineamientos emitido por la Fiscal de Distrito Adjunto de la Agencia No. 5 de Mixco de 31 de enero de 2006 (expediente de anexos a la contestación, anexo 3c, f. 13,672).</w:t>
      </w:r>
    </w:p>
  </w:footnote>
  <w:footnote w:id="188">
    <w:p w:rsidR="0081535F" w:rsidRPr="00353432" w:rsidRDefault="0081535F" w:rsidP="00422232">
      <w:pPr>
        <w:pStyle w:val="Textonotapie"/>
        <w:spacing w:line="19" w:lineRule="atLeast"/>
        <w:ind w:left="-180" w:right="-174"/>
        <w:jc w:val="both"/>
        <w:rPr>
          <w:rFonts w:ascii="Verdana" w:hAnsi="Verdana"/>
          <w:sz w:val="16"/>
          <w:szCs w:val="16"/>
          <w:lang w:val="es-CR"/>
        </w:rPr>
      </w:pPr>
      <w:r w:rsidRPr="00353432">
        <w:rPr>
          <w:rStyle w:val="Refdenotaalpie"/>
          <w:rFonts w:ascii="Verdana" w:hAnsi="Verdana"/>
          <w:sz w:val="16"/>
          <w:szCs w:val="16"/>
        </w:rPr>
        <w:footnoteRef/>
      </w:r>
      <w:r w:rsidRPr="00353432">
        <w:rPr>
          <w:rFonts w:ascii="Verdana" w:hAnsi="Verdana"/>
          <w:sz w:val="16"/>
          <w:szCs w:val="16"/>
          <w:lang w:val="es-CR"/>
        </w:rPr>
        <w:t xml:space="preserve"> </w:t>
      </w:r>
      <w:r w:rsidRPr="00353432">
        <w:rPr>
          <w:rFonts w:ascii="Verdana" w:hAnsi="Verdana"/>
          <w:i/>
          <w:sz w:val="16"/>
          <w:szCs w:val="16"/>
          <w:lang w:val="es-CR"/>
        </w:rPr>
        <w:t>Cfr.</w:t>
      </w:r>
      <w:r w:rsidRPr="00353432">
        <w:rPr>
          <w:rFonts w:ascii="Verdana" w:hAnsi="Verdana"/>
          <w:sz w:val="16"/>
          <w:szCs w:val="16"/>
          <w:lang w:val="es-CR"/>
        </w:rPr>
        <w:t xml:space="preserve"> Auto del Procurador de los Derechos Humanos de 31 de enero de 2003 (</w:t>
      </w:r>
      <w:r>
        <w:rPr>
          <w:rFonts w:ascii="Verdana" w:hAnsi="Verdana"/>
          <w:sz w:val="16"/>
          <w:szCs w:val="16"/>
          <w:lang w:val="es-CR"/>
        </w:rPr>
        <w:t>e</w:t>
      </w:r>
      <w:r w:rsidRPr="00353432">
        <w:rPr>
          <w:rFonts w:ascii="Verdana" w:hAnsi="Verdana"/>
          <w:sz w:val="16"/>
          <w:szCs w:val="16"/>
          <w:lang w:val="es-CR"/>
        </w:rPr>
        <w:t xml:space="preserve">xpediente de anexos al escrito de solicitudes y argumentos, tomo I, </w:t>
      </w:r>
      <w:r>
        <w:rPr>
          <w:rFonts w:ascii="Verdana" w:hAnsi="Verdana"/>
          <w:sz w:val="16"/>
          <w:szCs w:val="16"/>
          <w:lang w:val="es-CR"/>
        </w:rPr>
        <w:t>a</w:t>
      </w:r>
      <w:r w:rsidRPr="00353432">
        <w:rPr>
          <w:rFonts w:ascii="Verdana" w:hAnsi="Verdana"/>
          <w:sz w:val="16"/>
          <w:szCs w:val="16"/>
          <w:lang w:val="es-CR"/>
        </w:rPr>
        <w:t>nexo 23, f. 5</w:t>
      </w:r>
      <w:r>
        <w:rPr>
          <w:rFonts w:ascii="Verdana" w:hAnsi="Verdana"/>
          <w:sz w:val="16"/>
          <w:szCs w:val="16"/>
          <w:lang w:val="es-CR"/>
        </w:rPr>
        <w:t>,</w:t>
      </w:r>
      <w:r w:rsidRPr="00353432">
        <w:rPr>
          <w:rFonts w:ascii="Verdana" w:hAnsi="Verdana"/>
          <w:sz w:val="16"/>
          <w:szCs w:val="16"/>
          <w:lang w:val="es-CR"/>
        </w:rPr>
        <w:t>392).</w:t>
      </w:r>
    </w:p>
  </w:footnote>
  <w:footnote w:id="189">
    <w:p w:rsidR="0081535F" w:rsidRPr="00494EB2" w:rsidRDefault="0081535F" w:rsidP="00422232">
      <w:pPr>
        <w:pStyle w:val="Textonotapie"/>
        <w:spacing w:line="19" w:lineRule="atLeast"/>
        <w:ind w:left="-180" w:right="-174"/>
        <w:jc w:val="both"/>
        <w:rPr>
          <w:rFonts w:ascii="Verdana" w:hAnsi="Verdana"/>
          <w:sz w:val="16"/>
          <w:szCs w:val="16"/>
          <w:lang w:val="es-CR"/>
        </w:rPr>
      </w:pPr>
      <w:r w:rsidRPr="00494EB2">
        <w:rPr>
          <w:rStyle w:val="Refdenotaalpie"/>
          <w:rFonts w:ascii="Verdana" w:hAnsi="Verdana"/>
          <w:sz w:val="16"/>
          <w:szCs w:val="16"/>
        </w:rPr>
        <w:footnoteRef/>
      </w:r>
      <w:r w:rsidRPr="00494EB2">
        <w:rPr>
          <w:rFonts w:ascii="Verdana" w:hAnsi="Verdana"/>
          <w:sz w:val="16"/>
          <w:szCs w:val="16"/>
          <w:lang w:val="es-CR"/>
        </w:rPr>
        <w:t xml:space="preserve"> </w:t>
      </w:r>
      <w:r w:rsidRPr="00494EB2">
        <w:rPr>
          <w:rFonts w:ascii="Verdana" w:hAnsi="Verdana"/>
          <w:i/>
          <w:sz w:val="16"/>
          <w:szCs w:val="16"/>
          <w:lang w:val="es-CR"/>
        </w:rPr>
        <w:t>Cfr.</w:t>
      </w:r>
      <w:r w:rsidRPr="00494EB2">
        <w:rPr>
          <w:rFonts w:ascii="Verdana" w:hAnsi="Verdana"/>
          <w:sz w:val="16"/>
          <w:szCs w:val="16"/>
          <w:lang w:val="es-CR"/>
        </w:rPr>
        <w:t xml:space="preserve"> Resolución del Procurador de los Derechos Humanos de Guatemala de 2 de noviembre de 2004 (</w:t>
      </w:r>
      <w:r>
        <w:rPr>
          <w:rFonts w:ascii="Verdana" w:hAnsi="Verdana"/>
          <w:sz w:val="16"/>
          <w:szCs w:val="16"/>
          <w:lang w:val="es-CR"/>
        </w:rPr>
        <w:t>e</w:t>
      </w:r>
      <w:r w:rsidRPr="00494EB2">
        <w:rPr>
          <w:rFonts w:ascii="Verdana" w:hAnsi="Verdana"/>
          <w:sz w:val="16"/>
          <w:szCs w:val="16"/>
          <w:lang w:val="es-CR"/>
        </w:rPr>
        <w:t>xpediente de anexos al Informe de Fondo, anexo 23, f</w:t>
      </w:r>
      <w:r>
        <w:rPr>
          <w:rFonts w:ascii="Verdana" w:hAnsi="Verdana"/>
          <w:sz w:val="16"/>
          <w:szCs w:val="16"/>
          <w:lang w:val="es-CR"/>
        </w:rPr>
        <w:t>s</w:t>
      </w:r>
      <w:r w:rsidRPr="00494EB2">
        <w:rPr>
          <w:rFonts w:ascii="Verdana" w:hAnsi="Verdana"/>
          <w:sz w:val="16"/>
          <w:szCs w:val="16"/>
          <w:lang w:val="es-CR"/>
        </w:rPr>
        <w:t>. 135 a 137).</w:t>
      </w:r>
    </w:p>
  </w:footnote>
  <w:footnote w:id="190">
    <w:p w:rsidR="0081535F" w:rsidRDefault="0081535F" w:rsidP="00422232">
      <w:pPr>
        <w:pStyle w:val="Textonotapie"/>
        <w:ind w:left="-180" w:right="-174"/>
        <w:jc w:val="both"/>
        <w:rPr>
          <w:rFonts w:ascii="Verdana" w:hAnsi="Verdana"/>
          <w:sz w:val="16"/>
          <w:szCs w:val="16"/>
          <w:lang w:val="es-CL"/>
        </w:rPr>
      </w:pPr>
      <w:r w:rsidRPr="00BA5EFA">
        <w:rPr>
          <w:rStyle w:val="Refdenotaalpie"/>
          <w:rFonts w:ascii="Verdana" w:hAnsi="Verdana"/>
          <w:sz w:val="16"/>
          <w:szCs w:val="16"/>
        </w:rPr>
        <w:footnoteRef/>
      </w:r>
      <w:r>
        <w:rPr>
          <w:rFonts w:ascii="Verdana" w:hAnsi="Verdana"/>
          <w:sz w:val="16"/>
          <w:szCs w:val="16"/>
          <w:lang w:val="es-CL"/>
        </w:rPr>
        <w:t xml:space="preserve"> </w:t>
      </w:r>
      <w:r>
        <w:rPr>
          <w:rFonts w:ascii="Verdana" w:hAnsi="Verdana"/>
          <w:i/>
          <w:sz w:val="16"/>
          <w:szCs w:val="16"/>
          <w:lang w:val="es-CL"/>
        </w:rPr>
        <w:t xml:space="preserve">Cfr. </w:t>
      </w:r>
      <w:r>
        <w:rPr>
          <w:rFonts w:ascii="Verdana" w:hAnsi="Verdana"/>
          <w:sz w:val="16"/>
          <w:szCs w:val="16"/>
          <w:lang w:val="es-CL"/>
        </w:rPr>
        <w:t xml:space="preserve">Oficio emitido por el Auxiliar Fiscal de la Agencia No. 1 de la Fiscalía Municipal de Mixco dirigido al Jefe de Bomberos Municipales de ciudad capital de 13 de julio de 2009 (expediente de anexos al escrito de solicitudes y </w:t>
      </w:r>
      <w:r w:rsidRPr="008707E4">
        <w:rPr>
          <w:rFonts w:ascii="Verdana" w:hAnsi="Verdana"/>
          <w:sz w:val="16"/>
          <w:szCs w:val="16"/>
          <w:lang w:val="es-CL"/>
        </w:rPr>
        <w:t>argumentos</w:t>
      </w:r>
      <w:r w:rsidRPr="00122C63">
        <w:rPr>
          <w:rFonts w:ascii="Verdana" w:hAnsi="Verdana"/>
          <w:sz w:val="16"/>
          <w:szCs w:val="16"/>
          <w:lang w:val="es-CL"/>
        </w:rPr>
        <w:t xml:space="preserve">, </w:t>
      </w:r>
      <w:r w:rsidRPr="008707E4">
        <w:rPr>
          <w:rFonts w:ascii="Verdana" w:hAnsi="Verdana"/>
          <w:sz w:val="16"/>
          <w:szCs w:val="16"/>
          <w:lang w:val="es-CL"/>
        </w:rPr>
        <w:t>anexo 113, f. 12</w:t>
      </w:r>
      <w:r>
        <w:rPr>
          <w:rFonts w:ascii="Verdana" w:hAnsi="Verdana"/>
          <w:sz w:val="16"/>
          <w:szCs w:val="16"/>
          <w:lang w:val="es-CL"/>
        </w:rPr>
        <w:t>,</w:t>
      </w:r>
      <w:r w:rsidRPr="008707E4">
        <w:rPr>
          <w:rFonts w:ascii="Verdana" w:hAnsi="Verdana"/>
          <w:sz w:val="16"/>
          <w:szCs w:val="16"/>
          <w:lang w:val="es-CL"/>
        </w:rPr>
        <w:t>644).</w:t>
      </w:r>
    </w:p>
  </w:footnote>
  <w:footnote w:id="191">
    <w:p w:rsidR="0081535F" w:rsidRDefault="0081535F" w:rsidP="00422232">
      <w:pPr>
        <w:pStyle w:val="Textonotapie"/>
        <w:ind w:left="-180" w:right="-174"/>
        <w:jc w:val="both"/>
        <w:rPr>
          <w:rFonts w:ascii="Verdana" w:hAnsi="Verdana"/>
          <w:sz w:val="16"/>
          <w:szCs w:val="16"/>
        </w:rPr>
      </w:pPr>
      <w:r w:rsidRPr="003622B1">
        <w:rPr>
          <w:rStyle w:val="Refdenotaalpie"/>
          <w:rFonts w:ascii="Verdana" w:hAnsi="Verdana"/>
          <w:sz w:val="16"/>
          <w:szCs w:val="16"/>
        </w:rPr>
        <w:footnoteRef/>
      </w:r>
      <w:r w:rsidRPr="003622B1">
        <w:rPr>
          <w:rFonts w:ascii="Verdana" w:hAnsi="Verdana"/>
          <w:sz w:val="16"/>
          <w:szCs w:val="16"/>
        </w:rPr>
        <w:t xml:space="preserve"> </w:t>
      </w:r>
      <w:r w:rsidRPr="003622B1">
        <w:rPr>
          <w:rFonts w:ascii="Verdana" w:hAnsi="Verdana"/>
          <w:i/>
          <w:sz w:val="16"/>
          <w:szCs w:val="16"/>
        </w:rPr>
        <w:t xml:space="preserve">Cfr. </w:t>
      </w:r>
      <w:r w:rsidRPr="003622B1">
        <w:rPr>
          <w:rFonts w:ascii="Verdana" w:hAnsi="Verdana"/>
          <w:sz w:val="16"/>
          <w:szCs w:val="16"/>
        </w:rPr>
        <w:t>Oficio emitido por el Auxiliar Fiscal</w:t>
      </w:r>
      <w:r>
        <w:rPr>
          <w:rFonts w:ascii="Verdana" w:hAnsi="Verdana"/>
          <w:sz w:val="16"/>
          <w:szCs w:val="16"/>
        </w:rPr>
        <w:t xml:space="preserve"> de la Agencia No. 1 de la Fiscalía Municipal de Mixco dirigido al Jefe del Almacén de Evidencias del Ministerio Público de 5 de enero de 2011 (expediente de anexos al escrito de solicitudes y argumentos, </w:t>
      </w:r>
      <w:r>
        <w:rPr>
          <w:rFonts w:ascii="Verdana" w:hAnsi="Verdana"/>
          <w:sz w:val="16"/>
          <w:szCs w:val="16"/>
          <w:lang w:val="es-CL"/>
        </w:rPr>
        <w:t xml:space="preserve">tomo I, </w:t>
      </w:r>
      <w:r>
        <w:rPr>
          <w:rFonts w:ascii="Verdana" w:hAnsi="Verdana"/>
          <w:sz w:val="16"/>
          <w:szCs w:val="16"/>
        </w:rPr>
        <w:t>anexo 37, f. 5,438).</w:t>
      </w:r>
    </w:p>
  </w:footnote>
  <w:footnote w:id="192">
    <w:p w:rsidR="0081535F" w:rsidRPr="00507192" w:rsidRDefault="0081535F" w:rsidP="00422232">
      <w:pPr>
        <w:pStyle w:val="Textonotapie"/>
        <w:spacing w:line="19" w:lineRule="atLeast"/>
        <w:ind w:left="-180" w:right="-174"/>
        <w:jc w:val="both"/>
        <w:rPr>
          <w:rFonts w:ascii="Verdana" w:hAnsi="Verdana"/>
          <w:sz w:val="16"/>
          <w:szCs w:val="16"/>
          <w:lang w:val="es-CR"/>
        </w:rPr>
      </w:pPr>
      <w:r w:rsidRPr="00507192">
        <w:rPr>
          <w:rStyle w:val="Refdenotaalpie"/>
          <w:rFonts w:ascii="Verdana" w:hAnsi="Verdana"/>
          <w:sz w:val="16"/>
          <w:szCs w:val="16"/>
        </w:rPr>
        <w:footnoteRef/>
      </w:r>
      <w:r w:rsidRPr="00507192">
        <w:rPr>
          <w:rFonts w:ascii="Verdana" w:hAnsi="Verdana"/>
          <w:sz w:val="16"/>
          <w:szCs w:val="16"/>
          <w:lang w:val="es-CR"/>
        </w:rPr>
        <w:t xml:space="preserve"> </w:t>
      </w:r>
      <w:r w:rsidRPr="00507192">
        <w:rPr>
          <w:rFonts w:ascii="Verdana" w:hAnsi="Verdana"/>
          <w:i/>
          <w:sz w:val="16"/>
          <w:szCs w:val="16"/>
          <w:lang w:val="es-CR"/>
        </w:rPr>
        <w:t>Cfr.</w:t>
      </w:r>
      <w:r w:rsidRPr="00507192">
        <w:rPr>
          <w:rFonts w:ascii="Verdana" w:hAnsi="Verdana"/>
          <w:sz w:val="16"/>
          <w:szCs w:val="16"/>
          <w:lang w:val="es-CR"/>
        </w:rPr>
        <w:t xml:space="preserve"> Oficio del Jefe del Almacén Central de Evidencias del Ministerio Público de 24 de enero de 2011 (</w:t>
      </w:r>
      <w:r>
        <w:rPr>
          <w:rFonts w:ascii="Verdana" w:hAnsi="Verdana"/>
          <w:sz w:val="16"/>
          <w:szCs w:val="16"/>
          <w:lang w:val="es-CR"/>
        </w:rPr>
        <w:t>e</w:t>
      </w:r>
      <w:r w:rsidRPr="00507192">
        <w:rPr>
          <w:rFonts w:ascii="Verdana" w:hAnsi="Verdana"/>
          <w:sz w:val="16"/>
          <w:szCs w:val="16"/>
          <w:lang w:val="es-CR"/>
        </w:rPr>
        <w:t xml:space="preserve">xpediente de anexos al escrito de solicitudes y argumentos, </w:t>
      </w:r>
      <w:r>
        <w:rPr>
          <w:rFonts w:ascii="Verdana" w:hAnsi="Verdana"/>
          <w:sz w:val="16"/>
          <w:szCs w:val="16"/>
          <w:lang w:val="es-CL"/>
        </w:rPr>
        <w:t xml:space="preserve">tomo I, </w:t>
      </w:r>
      <w:r w:rsidRPr="00507192">
        <w:rPr>
          <w:rFonts w:ascii="Verdana" w:hAnsi="Verdana"/>
          <w:sz w:val="16"/>
          <w:szCs w:val="16"/>
          <w:lang w:val="es-CR"/>
        </w:rPr>
        <w:t>anexo 39, f. 5</w:t>
      </w:r>
      <w:r>
        <w:rPr>
          <w:rFonts w:ascii="Verdana" w:hAnsi="Verdana"/>
          <w:sz w:val="16"/>
          <w:szCs w:val="16"/>
          <w:lang w:val="es-CR"/>
        </w:rPr>
        <w:t>,</w:t>
      </w:r>
      <w:r w:rsidRPr="00507192">
        <w:rPr>
          <w:rFonts w:ascii="Verdana" w:hAnsi="Verdana"/>
          <w:sz w:val="16"/>
          <w:szCs w:val="16"/>
          <w:lang w:val="es-CR"/>
        </w:rPr>
        <w:t>442).</w:t>
      </w:r>
    </w:p>
  </w:footnote>
  <w:footnote w:id="193">
    <w:p w:rsidR="0081535F" w:rsidRPr="00353432" w:rsidRDefault="0081535F" w:rsidP="00422232">
      <w:pPr>
        <w:pStyle w:val="Textonotapie"/>
        <w:spacing w:line="19" w:lineRule="atLeast"/>
        <w:ind w:left="-180" w:right="-174"/>
        <w:jc w:val="both"/>
        <w:rPr>
          <w:rFonts w:ascii="Verdana" w:hAnsi="Verdana"/>
          <w:sz w:val="16"/>
          <w:szCs w:val="16"/>
          <w:lang w:val="es-CR"/>
        </w:rPr>
      </w:pPr>
      <w:r w:rsidRPr="00507192">
        <w:rPr>
          <w:rStyle w:val="Refdenotaalpie"/>
          <w:rFonts w:ascii="Verdana" w:hAnsi="Verdana"/>
          <w:sz w:val="16"/>
          <w:szCs w:val="16"/>
        </w:rPr>
        <w:footnoteRef/>
      </w:r>
      <w:r w:rsidRPr="00507192">
        <w:rPr>
          <w:rFonts w:ascii="Verdana" w:hAnsi="Verdana"/>
          <w:sz w:val="16"/>
          <w:szCs w:val="16"/>
          <w:lang w:val="es-CR"/>
        </w:rPr>
        <w:t xml:space="preserve"> </w:t>
      </w:r>
      <w:r w:rsidRPr="00507192">
        <w:rPr>
          <w:rFonts w:ascii="Verdana" w:hAnsi="Verdana"/>
          <w:i/>
          <w:sz w:val="16"/>
          <w:szCs w:val="16"/>
          <w:lang w:val="es-CR"/>
        </w:rPr>
        <w:t>Cfr.</w:t>
      </w:r>
      <w:r w:rsidRPr="00507192">
        <w:rPr>
          <w:rFonts w:ascii="Verdana" w:hAnsi="Verdana"/>
          <w:sz w:val="16"/>
          <w:szCs w:val="16"/>
          <w:lang w:val="es-CR"/>
        </w:rPr>
        <w:t xml:space="preserve"> Solicitud de búsqueda de prueba de 14 de enero de 2011 (</w:t>
      </w:r>
      <w:r>
        <w:rPr>
          <w:rFonts w:ascii="Verdana" w:hAnsi="Verdana"/>
          <w:sz w:val="16"/>
          <w:szCs w:val="16"/>
          <w:lang w:val="es-CR"/>
        </w:rPr>
        <w:t>e</w:t>
      </w:r>
      <w:r w:rsidRPr="00507192">
        <w:rPr>
          <w:rFonts w:ascii="Verdana" w:hAnsi="Verdana"/>
          <w:sz w:val="16"/>
          <w:szCs w:val="16"/>
          <w:lang w:val="es-CR"/>
        </w:rPr>
        <w:t xml:space="preserve">xpediente de anexos al escrito de solicitudes y argumentos, </w:t>
      </w:r>
      <w:r>
        <w:rPr>
          <w:rFonts w:ascii="Verdana" w:hAnsi="Verdana"/>
          <w:sz w:val="16"/>
          <w:szCs w:val="16"/>
          <w:lang w:val="es-CL"/>
        </w:rPr>
        <w:t xml:space="preserve">tomo I, </w:t>
      </w:r>
      <w:r w:rsidRPr="00507192">
        <w:rPr>
          <w:rFonts w:ascii="Verdana" w:hAnsi="Verdana"/>
          <w:sz w:val="16"/>
          <w:szCs w:val="16"/>
          <w:lang w:val="es-CR"/>
        </w:rPr>
        <w:t>anexo 38, f. 5</w:t>
      </w:r>
      <w:r>
        <w:rPr>
          <w:rFonts w:ascii="Verdana" w:hAnsi="Verdana"/>
          <w:sz w:val="16"/>
          <w:szCs w:val="16"/>
          <w:lang w:val="es-CR"/>
        </w:rPr>
        <w:t>,</w:t>
      </w:r>
      <w:r w:rsidRPr="00507192">
        <w:rPr>
          <w:rFonts w:ascii="Verdana" w:hAnsi="Verdana"/>
          <w:sz w:val="16"/>
          <w:szCs w:val="16"/>
          <w:lang w:val="es-CR"/>
        </w:rPr>
        <w:t>44</w:t>
      </w:r>
      <w:r>
        <w:rPr>
          <w:rFonts w:ascii="Verdana" w:hAnsi="Verdana"/>
          <w:sz w:val="16"/>
          <w:szCs w:val="16"/>
          <w:lang w:val="es-CR"/>
        </w:rPr>
        <w:t>0</w:t>
      </w:r>
      <w:r w:rsidRPr="00507192">
        <w:rPr>
          <w:rFonts w:ascii="Verdana" w:hAnsi="Verdana"/>
          <w:sz w:val="16"/>
          <w:szCs w:val="16"/>
          <w:lang w:val="es-CR"/>
        </w:rPr>
        <w:t>).</w:t>
      </w:r>
    </w:p>
  </w:footnote>
  <w:footnote w:id="194">
    <w:p w:rsidR="0081535F" w:rsidRPr="00353432" w:rsidRDefault="0081535F" w:rsidP="00422232">
      <w:pPr>
        <w:pStyle w:val="Textonotapie"/>
        <w:spacing w:line="19" w:lineRule="atLeast"/>
        <w:ind w:left="-180" w:right="-174"/>
        <w:jc w:val="both"/>
        <w:rPr>
          <w:rFonts w:ascii="Verdana" w:hAnsi="Verdana"/>
          <w:sz w:val="16"/>
          <w:szCs w:val="16"/>
          <w:lang w:val="es-CR"/>
        </w:rPr>
      </w:pPr>
      <w:r w:rsidRPr="00353432">
        <w:rPr>
          <w:rStyle w:val="Refdenotaalpie"/>
          <w:rFonts w:ascii="Verdana" w:hAnsi="Verdana"/>
          <w:sz w:val="16"/>
          <w:szCs w:val="16"/>
        </w:rPr>
        <w:footnoteRef/>
      </w:r>
      <w:r>
        <w:rPr>
          <w:rFonts w:ascii="Verdana" w:hAnsi="Verdana"/>
          <w:sz w:val="16"/>
          <w:szCs w:val="16"/>
          <w:lang w:val="es-CR"/>
        </w:rPr>
        <w:t xml:space="preserve"> </w:t>
      </w:r>
      <w:r w:rsidRPr="00353432">
        <w:rPr>
          <w:rFonts w:ascii="Verdana" w:hAnsi="Verdana"/>
          <w:i/>
          <w:sz w:val="16"/>
          <w:szCs w:val="16"/>
          <w:lang w:val="es-CR"/>
        </w:rPr>
        <w:t>Cfr.</w:t>
      </w:r>
      <w:r w:rsidRPr="00353432">
        <w:rPr>
          <w:rFonts w:ascii="Verdana" w:hAnsi="Verdana"/>
          <w:sz w:val="16"/>
          <w:szCs w:val="16"/>
          <w:lang w:val="es-CR"/>
        </w:rPr>
        <w:t xml:space="preserve"> Solicitud de reiteración de prueba de 10 de junio de 2011 (</w:t>
      </w:r>
      <w:r>
        <w:rPr>
          <w:rFonts w:ascii="Verdana" w:hAnsi="Verdana"/>
          <w:sz w:val="16"/>
          <w:szCs w:val="16"/>
          <w:lang w:val="es-CR"/>
        </w:rPr>
        <w:t>e</w:t>
      </w:r>
      <w:r w:rsidRPr="00353432">
        <w:rPr>
          <w:rFonts w:ascii="Verdana" w:hAnsi="Verdana"/>
          <w:sz w:val="16"/>
          <w:szCs w:val="16"/>
          <w:lang w:val="es-CR"/>
        </w:rPr>
        <w:t xml:space="preserve">xpediente de anexos al escrito de solicitudes y argumentos, </w:t>
      </w:r>
      <w:r>
        <w:rPr>
          <w:rFonts w:ascii="Verdana" w:hAnsi="Verdana"/>
          <w:sz w:val="16"/>
          <w:szCs w:val="16"/>
          <w:lang w:val="es-CL"/>
        </w:rPr>
        <w:t xml:space="preserve">tomo I, </w:t>
      </w:r>
      <w:r w:rsidRPr="00353432">
        <w:rPr>
          <w:rFonts w:ascii="Verdana" w:hAnsi="Verdana"/>
          <w:sz w:val="16"/>
          <w:szCs w:val="16"/>
          <w:lang w:val="es-CR"/>
        </w:rPr>
        <w:t>anexo 43, f. 5</w:t>
      </w:r>
      <w:r>
        <w:rPr>
          <w:rFonts w:ascii="Verdana" w:hAnsi="Verdana"/>
          <w:sz w:val="16"/>
          <w:szCs w:val="16"/>
          <w:lang w:val="es-CR"/>
        </w:rPr>
        <w:t>,</w:t>
      </w:r>
      <w:r w:rsidRPr="00353432">
        <w:rPr>
          <w:rFonts w:ascii="Verdana" w:hAnsi="Verdana"/>
          <w:sz w:val="16"/>
          <w:szCs w:val="16"/>
          <w:lang w:val="es-CR"/>
        </w:rPr>
        <w:t>454).</w:t>
      </w:r>
    </w:p>
  </w:footnote>
  <w:footnote w:id="195">
    <w:p w:rsidR="0081535F" w:rsidRPr="00353432" w:rsidRDefault="0081535F" w:rsidP="00422232">
      <w:pPr>
        <w:pStyle w:val="Textonotapie"/>
        <w:spacing w:line="19" w:lineRule="atLeast"/>
        <w:ind w:left="-180" w:right="-174"/>
        <w:jc w:val="both"/>
        <w:rPr>
          <w:rFonts w:ascii="Verdana" w:hAnsi="Verdana"/>
          <w:sz w:val="16"/>
          <w:szCs w:val="16"/>
        </w:rPr>
      </w:pPr>
      <w:r w:rsidRPr="00353432">
        <w:rPr>
          <w:rStyle w:val="Refdenotaalpie"/>
          <w:rFonts w:ascii="Verdana" w:hAnsi="Verdana"/>
          <w:sz w:val="16"/>
          <w:szCs w:val="16"/>
        </w:rPr>
        <w:footnoteRef/>
      </w:r>
      <w:r>
        <w:rPr>
          <w:rFonts w:ascii="Verdana" w:hAnsi="Verdana"/>
          <w:sz w:val="16"/>
          <w:szCs w:val="16"/>
        </w:rPr>
        <w:t xml:space="preserve"> </w:t>
      </w:r>
      <w:r w:rsidRPr="00353432">
        <w:rPr>
          <w:rFonts w:ascii="Verdana" w:hAnsi="Verdana"/>
          <w:sz w:val="16"/>
          <w:szCs w:val="16"/>
        </w:rPr>
        <w:t xml:space="preserve">Es una unidad del Departamento Técnico Científico de la Dirección General del </w:t>
      </w:r>
      <w:r>
        <w:rPr>
          <w:rFonts w:ascii="Verdana" w:hAnsi="Verdana" w:cs="Calibri"/>
          <w:sz w:val="16"/>
          <w:szCs w:val="16"/>
          <w:lang w:val="es-CR"/>
        </w:rPr>
        <w:t>Instituto Nacional de Ciencias Forenses de Guatemala</w:t>
      </w:r>
      <w:r w:rsidRPr="00353432">
        <w:rPr>
          <w:rFonts w:ascii="Verdana" w:hAnsi="Verdana" w:cs="Calibri"/>
          <w:sz w:val="16"/>
          <w:szCs w:val="16"/>
          <w:lang w:val="es-CR"/>
        </w:rPr>
        <w:t>.</w:t>
      </w:r>
    </w:p>
  </w:footnote>
  <w:footnote w:id="196">
    <w:p w:rsidR="0081535F" w:rsidRPr="00353432" w:rsidRDefault="0081535F" w:rsidP="00422232">
      <w:pPr>
        <w:pStyle w:val="Textonotapie"/>
        <w:spacing w:line="19" w:lineRule="atLeast"/>
        <w:ind w:left="-180" w:right="-174"/>
        <w:jc w:val="both"/>
        <w:rPr>
          <w:rFonts w:ascii="Verdana" w:hAnsi="Verdana"/>
          <w:sz w:val="16"/>
          <w:szCs w:val="16"/>
          <w:lang w:val="es-CR"/>
        </w:rPr>
      </w:pPr>
      <w:r w:rsidRPr="00353432">
        <w:rPr>
          <w:rStyle w:val="Refdenotaalpie"/>
          <w:rFonts w:ascii="Verdana" w:hAnsi="Verdana"/>
          <w:sz w:val="16"/>
          <w:szCs w:val="16"/>
        </w:rPr>
        <w:footnoteRef/>
      </w:r>
      <w:r>
        <w:rPr>
          <w:rFonts w:ascii="Verdana" w:hAnsi="Verdana"/>
          <w:sz w:val="16"/>
          <w:szCs w:val="16"/>
          <w:lang w:val="es-CR"/>
        </w:rPr>
        <w:t xml:space="preserve"> </w:t>
      </w:r>
      <w:r w:rsidRPr="00353432">
        <w:rPr>
          <w:rFonts w:ascii="Verdana" w:hAnsi="Verdana"/>
          <w:i/>
          <w:sz w:val="16"/>
          <w:szCs w:val="16"/>
          <w:lang w:val="es-CR"/>
        </w:rPr>
        <w:t>Cfr.</w:t>
      </w:r>
      <w:r w:rsidRPr="00353432">
        <w:rPr>
          <w:rFonts w:ascii="Verdana" w:hAnsi="Verdana"/>
          <w:sz w:val="16"/>
          <w:szCs w:val="16"/>
          <w:lang w:val="es-CR"/>
        </w:rPr>
        <w:t xml:space="preserve"> Oficio </w:t>
      </w:r>
      <w:r>
        <w:rPr>
          <w:rFonts w:ascii="Verdana" w:hAnsi="Verdana"/>
          <w:sz w:val="16"/>
          <w:szCs w:val="16"/>
          <w:lang w:val="es-CR"/>
        </w:rPr>
        <w:t>Secretarí</w:t>
      </w:r>
      <w:r w:rsidRPr="00353432">
        <w:rPr>
          <w:rFonts w:ascii="Verdana" w:hAnsi="Verdana"/>
          <w:sz w:val="16"/>
          <w:szCs w:val="16"/>
          <w:lang w:val="es-CR"/>
        </w:rPr>
        <w:t xml:space="preserve">a General </w:t>
      </w:r>
      <w:r>
        <w:rPr>
          <w:rFonts w:ascii="Verdana" w:hAnsi="Verdana"/>
          <w:sz w:val="16"/>
          <w:szCs w:val="16"/>
          <w:lang w:val="es-CR"/>
        </w:rPr>
        <w:t>del Instituto Nacional de Ciencias Forenses de Guatemala</w:t>
      </w:r>
      <w:r w:rsidRPr="00353432">
        <w:rPr>
          <w:rFonts w:ascii="Verdana" w:hAnsi="Verdana"/>
          <w:sz w:val="16"/>
          <w:szCs w:val="16"/>
          <w:lang w:val="es-CR"/>
        </w:rPr>
        <w:t xml:space="preserve"> de 11 de julio de 2011 (</w:t>
      </w:r>
      <w:r>
        <w:rPr>
          <w:rFonts w:ascii="Verdana" w:hAnsi="Verdana"/>
          <w:sz w:val="16"/>
          <w:szCs w:val="16"/>
          <w:lang w:val="es-CR"/>
        </w:rPr>
        <w:t>e</w:t>
      </w:r>
      <w:r w:rsidRPr="00353432">
        <w:rPr>
          <w:rFonts w:ascii="Verdana" w:hAnsi="Verdana"/>
          <w:sz w:val="16"/>
          <w:szCs w:val="16"/>
          <w:lang w:val="es-CR"/>
        </w:rPr>
        <w:t xml:space="preserve">xpediente de anexos al escrito de solicitudes y argumentos, </w:t>
      </w:r>
      <w:r>
        <w:rPr>
          <w:rFonts w:ascii="Verdana" w:hAnsi="Verdana"/>
          <w:sz w:val="16"/>
          <w:szCs w:val="16"/>
          <w:lang w:val="es-CL"/>
        </w:rPr>
        <w:t xml:space="preserve">tomo I, </w:t>
      </w:r>
      <w:r w:rsidRPr="00353432">
        <w:rPr>
          <w:rFonts w:ascii="Verdana" w:hAnsi="Verdana"/>
          <w:sz w:val="16"/>
          <w:szCs w:val="16"/>
          <w:lang w:val="es-CR"/>
        </w:rPr>
        <w:t>anexo 45, f. 5</w:t>
      </w:r>
      <w:r>
        <w:rPr>
          <w:rFonts w:ascii="Verdana" w:hAnsi="Verdana"/>
          <w:sz w:val="16"/>
          <w:szCs w:val="16"/>
          <w:lang w:val="es-CR"/>
        </w:rPr>
        <w:t>,</w:t>
      </w:r>
      <w:r w:rsidRPr="00353432">
        <w:rPr>
          <w:rFonts w:ascii="Verdana" w:hAnsi="Verdana"/>
          <w:sz w:val="16"/>
          <w:szCs w:val="16"/>
          <w:lang w:val="es-CR"/>
        </w:rPr>
        <w:t>459).</w:t>
      </w:r>
    </w:p>
  </w:footnote>
  <w:footnote w:id="197">
    <w:p w:rsidR="0081535F" w:rsidRPr="00353432" w:rsidRDefault="0081535F" w:rsidP="00422232">
      <w:pPr>
        <w:pStyle w:val="Textonotapie"/>
        <w:spacing w:line="19" w:lineRule="atLeast"/>
        <w:ind w:left="-180" w:right="-174"/>
        <w:jc w:val="both"/>
        <w:rPr>
          <w:rFonts w:ascii="Verdana" w:hAnsi="Verdana"/>
          <w:sz w:val="16"/>
          <w:szCs w:val="16"/>
          <w:lang w:val="es-CR"/>
        </w:rPr>
      </w:pPr>
      <w:r w:rsidRPr="00353432">
        <w:rPr>
          <w:rStyle w:val="Refdenotaalpie"/>
          <w:rFonts w:ascii="Verdana" w:hAnsi="Verdana"/>
          <w:sz w:val="16"/>
          <w:szCs w:val="16"/>
        </w:rPr>
        <w:footnoteRef/>
      </w:r>
      <w:r>
        <w:rPr>
          <w:rFonts w:ascii="Verdana" w:hAnsi="Verdana"/>
          <w:sz w:val="16"/>
          <w:szCs w:val="16"/>
          <w:lang w:val="es-CR"/>
        </w:rPr>
        <w:t xml:space="preserve"> </w:t>
      </w:r>
      <w:r w:rsidRPr="00353432">
        <w:rPr>
          <w:rFonts w:ascii="Verdana" w:hAnsi="Verdana"/>
          <w:i/>
          <w:sz w:val="16"/>
          <w:szCs w:val="16"/>
          <w:lang w:val="es-CR"/>
        </w:rPr>
        <w:t>Cfr.</w:t>
      </w:r>
      <w:r w:rsidRPr="00353432">
        <w:rPr>
          <w:rFonts w:ascii="Verdana" w:hAnsi="Verdana"/>
          <w:sz w:val="16"/>
          <w:szCs w:val="16"/>
          <w:lang w:val="es-CR"/>
        </w:rPr>
        <w:t xml:space="preserve"> </w:t>
      </w:r>
      <w:r w:rsidRPr="007802D0">
        <w:rPr>
          <w:rFonts w:ascii="Verdana" w:hAnsi="Verdana"/>
          <w:sz w:val="16"/>
          <w:szCs w:val="16"/>
          <w:lang w:val="es-CR"/>
        </w:rPr>
        <w:t>Informe de los técnicos en investigación criminalística</w:t>
      </w:r>
      <w:r>
        <w:rPr>
          <w:rFonts w:ascii="Verdana" w:hAnsi="Verdana"/>
          <w:sz w:val="16"/>
          <w:szCs w:val="16"/>
          <w:lang w:val="es-CR"/>
        </w:rPr>
        <w:t xml:space="preserve"> dirigido a la Agencia Fiscal No. 32 de Guatemala, </w:t>
      </w:r>
      <w:r>
        <w:rPr>
          <w:rFonts w:ascii="Verdana" w:hAnsi="Verdana"/>
          <w:i/>
          <w:sz w:val="16"/>
          <w:szCs w:val="16"/>
          <w:lang w:val="es-CR"/>
        </w:rPr>
        <w:t>supra.</w:t>
      </w:r>
    </w:p>
  </w:footnote>
  <w:footnote w:id="198">
    <w:p w:rsidR="0081535F" w:rsidRPr="00122C63" w:rsidRDefault="0081535F" w:rsidP="00422232">
      <w:pPr>
        <w:pStyle w:val="Textonotapie"/>
        <w:spacing w:line="19" w:lineRule="atLeast"/>
        <w:ind w:left="-180" w:right="-174"/>
        <w:jc w:val="both"/>
        <w:rPr>
          <w:rFonts w:ascii="Verdana" w:hAnsi="Verdana"/>
          <w:i/>
          <w:sz w:val="16"/>
          <w:szCs w:val="16"/>
          <w:lang w:val="es-CR"/>
        </w:rPr>
      </w:pPr>
      <w:r w:rsidRPr="00353432">
        <w:rPr>
          <w:rStyle w:val="Refdenotaalpie"/>
          <w:rFonts w:ascii="Verdana" w:hAnsi="Verdana"/>
          <w:sz w:val="16"/>
          <w:szCs w:val="16"/>
        </w:rPr>
        <w:footnoteRef/>
      </w:r>
      <w:r>
        <w:rPr>
          <w:rFonts w:ascii="Verdana" w:hAnsi="Verdana"/>
          <w:i/>
          <w:sz w:val="16"/>
          <w:szCs w:val="16"/>
          <w:lang w:val="es-CR"/>
        </w:rPr>
        <w:t xml:space="preserve"> </w:t>
      </w:r>
      <w:r w:rsidRPr="00353432">
        <w:rPr>
          <w:rFonts w:ascii="Verdana" w:hAnsi="Verdana"/>
          <w:i/>
          <w:sz w:val="16"/>
          <w:szCs w:val="16"/>
          <w:lang w:val="es-CR"/>
        </w:rPr>
        <w:t>Cfr.</w:t>
      </w:r>
      <w:r w:rsidRPr="00353432">
        <w:rPr>
          <w:rFonts w:ascii="Verdana" w:hAnsi="Verdana"/>
          <w:sz w:val="16"/>
          <w:szCs w:val="16"/>
          <w:lang w:val="es-CR"/>
        </w:rPr>
        <w:t xml:space="preserve"> </w:t>
      </w:r>
      <w:r>
        <w:rPr>
          <w:rFonts w:ascii="Verdana" w:hAnsi="Verdana"/>
          <w:sz w:val="16"/>
          <w:szCs w:val="16"/>
          <w:lang w:val="es-CR"/>
        </w:rPr>
        <w:t xml:space="preserve">Informe de la Sección contra Homicidios del Servicio de Investigación Criminal de la Policía Nacional Civil, </w:t>
      </w:r>
      <w:r>
        <w:rPr>
          <w:rFonts w:ascii="Verdana" w:hAnsi="Verdana"/>
          <w:i/>
          <w:sz w:val="16"/>
          <w:szCs w:val="16"/>
          <w:lang w:val="es-CR"/>
        </w:rPr>
        <w:t>supra</w:t>
      </w:r>
      <w:r>
        <w:rPr>
          <w:rFonts w:ascii="Verdana" w:hAnsi="Verdana"/>
          <w:sz w:val="16"/>
          <w:szCs w:val="16"/>
          <w:lang w:val="es-CR"/>
        </w:rPr>
        <w:t>.</w:t>
      </w:r>
    </w:p>
  </w:footnote>
  <w:footnote w:id="199">
    <w:p w:rsidR="0081535F" w:rsidRPr="00353432" w:rsidRDefault="0081535F" w:rsidP="00422232">
      <w:pPr>
        <w:pStyle w:val="Textonotapie"/>
        <w:spacing w:line="19" w:lineRule="atLeast"/>
        <w:ind w:left="-180" w:right="-174"/>
        <w:jc w:val="both"/>
        <w:rPr>
          <w:rFonts w:ascii="Verdana" w:hAnsi="Verdana"/>
          <w:sz w:val="16"/>
          <w:szCs w:val="16"/>
          <w:lang w:val="es-CR"/>
        </w:rPr>
      </w:pPr>
      <w:r w:rsidRPr="00353432">
        <w:rPr>
          <w:rStyle w:val="Refdenotaalpie"/>
          <w:rFonts w:ascii="Verdana" w:hAnsi="Verdana"/>
          <w:sz w:val="16"/>
          <w:szCs w:val="16"/>
        </w:rPr>
        <w:footnoteRef/>
      </w:r>
      <w:r>
        <w:rPr>
          <w:rFonts w:ascii="Verdana" w:hAnsi="Verdana"/>
          <w:sz w:val="16"/>
          <w:szCs w:val="16"/>
          <w:lang w:val="es-CR"/>
        </w:rPr>
        <w:t xml:space="preserve"> </w:t>
      </w:r>
      <w:r w:rsidRPr="00353432">
        <w:rPr>
          <w:rFonts w:ascii="Verdana" w:hAnsi="Verdana"/>
          <w:i/>
          <w:sz w:val="16"/>
          <w:szCs w:val="16"/>
          <w:lang w:val="es-CR"/>
        </w:rPr>
        <w:t>Cfr.</w:t>
      </w:r>
      <w:r w:rsidRPr="00353432">
        <w:rPr>
          <w:rFonts w:ascii="Verdana" w:hAnsi="Verdana"/>
          <w:sz w:val="16"/>
          <w:szCs w:val="16"/>
          <w:lang w:val="es-CR"/>
        </w:rPr>
        <w:t xml:space="preserve"> Informe del </w:t>
      </w:r>
      <w:r>
        <w:rPr>
          <w:rFonts w:ascii="Verdana" w:hAnsi="Verdana"/>
          <w:sz w:val="16"/>
          <w:szCs w:val="16"/>
          <w:lang w:val="es-CR"/>
        </w:rPr>
        <w:t>Técnico en Investigaciones Criminalísticas</w:t>
      </w:r>
      <w:r w:rsidRPr="00353432">
        <w:rPr>
          <w:rFonts w:ascii="Verdana" w:hAnsi="Verdana"/>
          <w:sz w:val="16"/>
          <w:szCs w:val="16"/>
          <w:lang w:val="es-CR"/>
        </w:rPr>
        <w:t xml:space="preserve"> de 18 de marzo de 2003 (</w:t>
      </w:r>
      <w:r>
        <w:rPr>
          <w:rFonts w:ascii="Verdana" w:hAnsi="Verdana"/>
          <w:sz w:val="16"/>
          <w:szCs w:val="16"/>
          <w:lang w:val="es-CR"/>
        </w:rPr>
        <w:t>e</w:t>
      </w:r>
      <w:r w:rsidRPr="00353432">
        <w:rPr>
          <w:rFonts w:ascii="Verdana" w:hAnsi="Verdana"/>
          <w:sz w:val="16"/>
          <w:szCs w:val="16"/>
          <w:lang w:val="es-CR"/>
        </w:rPr>
        <w:t>xpediente de anexos al escrito de solicitudes y argumentos, anexo 19, f. 5</w:t>
      </w:r>
      <w:r>
        <w:rPr>
          <w:rFonts w:ascii="Verdana" w:hAnsi="Verdana"/>
          <w:sz w:val="16"/>
          <w:szCs w:val="16"/>
          <w:lang w:val="es-CR"/>
        </w:rPr>
        <w:t>,</w:t>
      </w:r>
      <w:r w:rsidRPr="00353432">
        <w:rPr>
          <w:rFonts w:ascii="Verdana" w:hAnsi="Verdana"/>
          <w:sz w:val="16"/>
          <w:szCs w:val="16"/>
          <w:lang w:val="es-CR"/>
        </w:rPr>
        <w:t xml:space="preserve">380). </w:t>
      </w:r>
    </w:p>
  </w:footnote>
  <w:footnote w:id="200">
    <w:p w:rsidR="0081535F" w:rsidRPr="00BB3679" w:rsidRDefault="0081535F" w:rsidP="00422232">
      <w:pPr>
        <w:pStyle w:val="Textonotapie"/>
        <w:spacing w:line="19" w:lineRule="atLeast"/>
        <w:ind w:left="-180" w:right="-174"/>
        <w:jc w:val="both"/>
        <w:rPr>
          <w:rFonts w:ascii="Verdana" w:hAnsi="Verdana"/>
          <w:sz w:val="16"/>
          <w:szCs w:val="16"/>
          <w:lang w:val="es-CR"/>
        </w:rPr>
      </w:pPr>
      <w:r w:rsidRPr="00353432">
        <w:rPr>
          <w:rStyle w:val="Refdenotaalpie"/>
          <w:rFonts w:ascii="Verdana" w:hAnsi="Verdana"/>
          <w:sz w:val="16"/>
          <w:szCs w:val="16"/>
        </w:rPr>
        <w:footnoteRef/>
      </w:r>
      <w:r>
        <w:rPr>
          <w:rFonts w:ascii="Verdana" w:hAnsi="Verdana"/>
          <w:i/>
          <w:sz w:val="16"/>
          <w:szCs w:val="16"/>
          <w:lang w:val="es-CR"/>
        </w:rPr>
        <w:t xml:space="preserve"> </w:t>
      </w:r>
      <w:r w:rsidRPr="00353432">
        <w:rPr>
          <w:rFonts w:ascii="Verdana" w:hAnsi="Verdana"/>
          <w:i/>
          <w:sz w:val="16"/>
          <w:szCs w:val="16"/>
          <w:lang w:val="es-CR"/>
        </w:rPr>
        <w:t>Cfr.</w:t>
      </w:r>
      <w:r w:rsidRPr="00353432">
        <w:rPr>
          <w:rFonts w:ascii="Verdana" w:hAnsi="Verdana"/>
          <w:sz w:val="16"/>
          <w:szCs w:val="16"/>
          <w:lang w:val="es-CR"/>
        </w:rPr>
        <w:t xml:space="preserve"> </w:t>
      </w:r>
      <w:r w:rsidRPr="00BB3679">
        <w:rPr>
          <w:rFonts w:ascii="Verdana" w:hAnsi="Verdana"/>
          <w:sz w:val="16"/>
          <w:szCs w:val="16"/>
          <w:lang w:val="es-CR"/>
        </w:rPr>
        <w:t xml:space="preserve">Escrito de Rosa Elvira Franco Sandoval dirigido al Fiscal General </w:t>
      </w:r>
      <w:r w:rsidRPr="00BB3679">
        <w:rPr>
          <w:rFonts w:ascii="Verdana" w:hAnsi="Verdana" w:cs="Arial"/>
          <w:sz w:val="16"/>
          <w:szCs w:val="16"/>
          <w:lang w:val="es-CR"/>
        </w:rPr>
        <w:t xml:space="preserve">y </w:t>
      </w:r>
      <w:r w:rsidRPr="00BB3679">
        <w:rPr>
          <w:rFonts w:ascii="Verdana" w:hAnsi="Verdana"/>
          <w:sz w:val="16"/>
          <w:szCs w:val="16"/>
          <w:lang w:val="es-CR"/>
        </w:rPr>
        <w:t xml:space="preserve">Jefe del Ministerio Público, </w:t>
      </w:r>
      <w:r w:rsidRPr="00BB3679">
        <w:rPr>
          <w:rFonts w:ascii="Verdana" w:hAnsi="Verdana"/>
          <w:i/>
          <w:sz w:val="16"/>
          <w:szCs w:val="16"/>
          <w:lang w:val="es-CR"/>
        </w:rPr>
        <w:t>supra.</w:t>
      </w:r>
    </w:p>
  </w:footnote>
  <w:footnote w:id="201">
    <w:p w:rsidR="0081535F" w:rsidRDefault="0081535F" w:rsidP="00422232">
      <w:pPr>
        <w:pStyle w:val="Textonotapie"/>
        <w:ind w:left="-180" w:right="-174"/>
        <w:jc w:val="both"/>
        <w:rPr>
          <w:rFonts w:ascii="Verdana" w:hAnsi="Verdana"/>
          <w:sz w:val="16"/>
          <w:szCs w:val="16"/>
          <w:lang w:val="es-CL"/>
        </w:rPr>
      </w:pPr>
      <w:r w:rsidRPr="00BB3679">
        <w:rPr>
          <w:rStyle w:val="Refdenotaalpie"/>
          <w:rFonts w:ascii="Verdana" w:hAnsi="Verdana"/>
          <w:sz w:val="16"/>
          <w:szCs w:val="16"/>
        </w:rPr>
        <w:footnoteRef/>
      </w:r>
      <w:r w:rsidRPr="00BB3679">
        <w:rPr>
          <w:rFonts w:ascii="Verdana" w:hAnsi="Verdana"/>
          <w:sz w:val="16"/>
          <w:szCs w:val="16"/>
        </w:rPr>
        <w:t xml:space="preserve"> </w:t>
      </w:r>
      <w:r w:rsidRPr="00BB3679">
        <w:rPr>
          <w:rFonts w:ascii="Verdana" w:hAnsi="Verdana"/>
          <w:i/>
          <w:sz w:val="16"/>
          <w:szCs w:val="16"/>
        </w:rPr>
        <w:t xml:space="preserve">Cfr. </w:t>
      </w:r>
      <w:r w:rsidRPr="00BB3679">
        <w:rPr>
          <w:rFonts w:ascii="Verdana" w:hAnsi="Verdana"/>
          <w:sz w:val="16"/>
          <w:szCs w:val="16"/>
        </w:rPr>
        <w:t>Escrito de Rosa Elvira Franco Sandoval</w:t>
      </w:r>
      <w:r>
        <w:rPr>
          <w:rFonts w:ascii="Verdana" w:hAnsi="Verdana"/>
          <w:sz w:val="16"/>
          <w:szCs w:val="16"/>
        </w:rPr>
        <w:t xml:space="preserve"> dirigido a la Comisión Interamericana de 27 de abril de 2007 (expediente ante la Comisión, expediente judicial I parte, fs. 2,811 a 2,815).</w:t>
      </w:r>
    </w:p>
  </w:footnote>
  <w:footnote w:id="202">
    <w:p w:rsidR="0081535F" w:rsidRPr="00353432" w:rsidRDefault="0081535F" w:rsidP="00422232">
      <w:pPr>
        <w:pStyle w:val="Textonotapie"/>
        <w:spacing w:line="19" w:lineRule="atLeast"/>
        <w:ind w:left="-180" w:right="-174"/>
        <w:jc w:val="both"/>
        <w:rPr>
          <w:rFonts w:ascii="Verdana" w:hAnsi="Verdana"/>
          <w:sz w:val="16"/>
          <w:szCs w:val="16"/>
        </w:rPr>
      </w:pPr>
      <w:r w:rsidRPr="00353432">
        <w:rPr>
          <w:rStyle w:val="Refdenotaalpie"/>
          <w:rFonts w:ascii="Verdana" w:hAnsi="Verdana"/>
          <w:sz w:val="16"/>
          <w:szCs w:val="16"/>
        </w:rPr>
        <w:footnoteRef/>
      </w:r>
      <w:r w:rsidRPr="00353432">
        <w:rPr>
          <w:rFonts w:ascii="Verdana" w:hAnsi="Verdana"/>
          <w:sz w:val="16"/>
          <w:szCs w:val="16"/>
        </w:rPr>
        <w:t xml:space="preserve"> </w:t>
      </w:r>
      <w:r>
        <w:rPr>
          <w:rFonts w:ascii="Verdana" w:hAnsi="Verdana"/>
          <w:i/>
          <w:sz w:val="16"/>
          <w:szCs w:val="16"/>
        </w:rPr>
        <w:t xml:space="preserve">Cfr. </w:t>
      </w:r>
      <w:r w:rsidRPr="00353432">
        <w:rPr>
          <w:rFonts w:ascii="Verdana" w:hAnsi="Verdana"/>
          <w:sz w:val="16"/>
          <w:szCs w:val="16"/>
        </w:rPr>
        <w:t xml:space="preserve">Dictamen </w:t>
      </w:r>
      <w:r>
        <w:rPr>
          <w:rFonts w:ascii="Verdana" w:hAnsi="Verdana"/>
          <w:sz w:val="16"/>
          <w:szCs w:val="16"/>
        </w:rPr>
        <w:t>emitido por el Área de Psiquiatría del Instituto Nacional de Ciencias Forenses de Guatemala de 14 de septiembre de 2011 (expediente de anexos al escrito de solicitudes y argumentos, tomo I, anexo 48, fs. 5,466 a 5,469).</w:t>
      </w:r>
      <w:r w:rsidRPr="00353432">
        <w:rPr>
          <w:rFonts w:ascii="Verdana" w:hAnsi="Verdana"/>
          <w:sz w:val="16"/>
          <w:szCs w:val="16"/>
        </w:rPr>
        <w:t xml:space="preserve"> </w:t>
      </w:r>
    </w:p>
  </w:footnote>
  <w:footnote w:id="203">
    <w:p w:rsidR="0081535F" w:rsidRPr="00507192" w:rsidRDefault="0081535F" w:rsidP="00422232">
      <w:pPr>
        <w:pStyle w:val="Textonotapie"/>
        <w:spacing w:line="19" w:lineRule="atLeast"/>
        <w:ind w:left="-180" w:right="-174"/>
        <w:jc w:val="both"/>
        <w:rPr>
          <w:rFonts w:ascii="Verdana" w:hAnsi="Verdana"/>
          <w:sz w:val="16"/>
          <w:szCs w:val="16"/>
          <w:lang w:val="es-CR"/>
        </w:rPr>
      </w:pPr>
      <w:r w:rsidRPr="00507192">
        <w:rPr>
          <w:rStyle w:val="Refdenotaalpie"/>
          <w:rFonts w:ascii="Verdana" w:hAnsi="Verdana"/>
          <w:sz w:val="16"/>
          <w:szCs w:val="16"/>
        </w:rPr>
        <w:footnoteRef/>
      </w:r>
      <w:r w:rsidRPr="00507192">
        <w:rPr>
          <w:rStyle w:val="Refdenotaalpie"/>
          <w:rFonts w:ascii="Verdana" w:hAnsi="Verdana"/>
          <w:sz w:val="16"/>
          <w:szCs w:val="16"/>
        </w:rPr>
        <w:t xml:space="preserve"> </w:t>
      </w:r>
      <w:r w:rsidRPr="003622B1">
        <w:rPr>
          <w:rFonts w:ascii="Verdana" w:hAnsi="Verdana"/>
          <w:i/>
          <w:sz w:val="16"/>
          <w:szCs w:val="16"/>
        </w:rPr>
        <w:t>Cfr.</w:t>
      </w:r>
      <w:r w:rsidRPr="00507192">
        <w:rPr>
          <w:rFonts w:ascii="Verdana" w:hAnsi="Verdana"/>
          <w:sz w:val="16"/>
          <w:szCs w:val="16"/>
        </w:rPr>
        <w:t xml:space="preserve"> </w:t>
      </w:r>
      <w:r>
        <w:rPr>
          <w:rFonts w:ascii="Verdana" w:hAnsi="Verdana"/>
          <w:sz w:val="16"/>
          <w:szCs w:val="16"/>
        </w:rPr>
        <w:t>Acuerdo del</w:t>
      </w:r>
      <w:r w:rsidRPr="00507192">
        <w:rPr>
          <w:rFonts w:ascii="Verdana" w:hAnsi="Verdana"/>
          <w:sz w:val="16"/>
          <w:szCs w:val="16"/>
        </w:rPr>
        <w:t xml:space="preserve"> Juzgado de Primera Instancia de Mixco de 12 de octubre de 2009 (</w:t>
      </w:r>
      <w:r>
        <w:rPr>
          <w:rFonts w:ascii="Verdana" w:hAnsi="Verdana"/>
          <w:sz w:val="16"/>
          <w:szCs w:val="16"/>
        </w:rPr>
        <w:t>e</w:t>
      </w:r>
      <w:r w:rsidRPr="00507192">
        <w:rPr>
          <w:rFonts w:ascii="Verdana" w:hAnsi="Verdana"/>
          <w:sz w:val="16"/>
          <w:szCs w:val="16"/>
        </w:rPr>
        <w:t>xpediente de anexos al escrito de solicitudes</w:t>
      </w:r>
      <w:r w:rsidRPr="00507192">
        <w:rPr>
          <w:rFonts w:ascii="Verdana" w:hAnsi="Verdana"/>
          <w:sz w:val="16"/>
          <w:szCs w:val="16"/>
          <w:lang w:val="es-CR"/>
        </w:rPr>
        <w:t xml:space="preserve"> y argumentos, </w:t>
      </w:r>
      <w:r>
        <w:rPr>
          <w:rFonts w:ascii="Verdana" w:hAnsi="Verdana"/>
          <w:sz w:val="16"/>
          <w:szCs w:val="16"/>
          <w:lang w:val="es-CR"/>
        </w:rPr>
        <w:t xml:space="preserve">tomo I, </w:t>
      </w:r>
      <w:r w:rsidRPr="00507192">
        <w:rPr>
          <w:rFonts w:ascii="Verdana" w:hAnsi="Verdana"/>
          <w:sz w:val="16"/>
          <w:szCs w:val="16"/>
          <w:lang w:val="es-CR"/>
        </w:rPr>
        <w:t>anexo 29, f. 5</w:t>
      </w:r>
      <w:r>
        <w:rPr>
          <w:rFonts w:ascii="Verdana" w:hAnsi="Verdana"/>
          <w:sz w:val="16"/>
          <w:szCs w:val="16"/>
          <w:lang w:val="es-CR"/>
        </w:rPr>
        <w:t>,</w:t>
      </w:r>
      <w:r w:rsidRPr="00507192">
        <w:rPr>
          <w:rFonts w:ascii="Verdana" w:hAnsi="Verdana"/>
          <w:sz w:val="16"/>
          <w:szCs w:val="16"/>
          <w:lang w:val="es-CR"/>
        </w:rPr>
        <w:t>415).</w:t>
      </w:r>
    </w:p>
  </w:footnote>
  <w:footnote w:id="204">
    <w:p w:rsidR="0081535F" w:rsidRPr="006F0C58" w:rsidRDefault="0081535F" w:rsidP="00422232">
      <w:pPr>
        <w:pStyle w:val="Textonotapie"/>
        <w:spacing w:line="19" w:lineRule="atLeast"/>
        <w:ind w:left="-180" w:right="-174"/>
        <w:jc w:val="both"/>
        <w:rPr>
          <w:rFonts w:ascii="Verdana" w:hAnsi="Verdana"/>
          <w:sz w:val="16"/>
          <w:szCs w:val="16"/>
          <w:lang w:val="es-CR"/>
        </w:rPr>
      </w:pPr>
      <w:r w:rsidRPr="00507192">
        <w:rPr>
          <w:rStyle w:val="Refdenotaalpie"/>
          <w:rFonts w:ascii="Verdana" w:hAnsi="Verdana"/>
          <w:sz w:val="16"/>
          <w:szCs w:val="16"/>
        </w:rPr>
        <w:footnoteRef/>
      </w:r>
      <w:r w:rsidRPr="00507192">
        <w:rPr>
          <w:rFonts w:ascii="Verdana" w:hAnsi="Verdana"/>
          <w:sz w:val="16"/>
          <w:szCs w:val="16"/>
          <w:lang w:val="es-CR"/>
        </w:rPr>
        <w:t xml:space="preserve"> </w:t>
      </w:r>
      <w:r w:rsidRPr="00507192">
        <w:rPr>
          <w:rFonts w:ascii="Verdana" w:hAnsi="Verdana"/>
          <w:i/>
          <w:sz w:val="16"/>
          <w:szCs w:val="16"/>
          <w:lang w:val="es-CR"/>
        </w:rPr>
        <w:t>Cfr.</w:t>
      </w:r>
      <w:r w:rsidRPr="00507192">
        <w:rPr>
          <w:rFonts w:ascii="Verdana" w:hAnsi="Verdana"/>
          <w:sz w:val="16"/>
          <w:szCs w:val="16"/>
          <w:lang w:val="es-CR"/>
        </w:rPr>
        <w:t xml:space="preserve"> Informe del </w:t>
      </w:r>
      <w:r w:rsidRPr="00F04D11">
        <w:rPr>
          <w:rFonts w:ascii="Verdana" w:hAnsi="Verdana"/>
          <w:sz w:val="16"/>
          <w:szCs w:val="16"/>
          <w:lang w:val="es-CR"/>
        </w:rPr>
        <w:t>Auxiliar</w:t>
      </w:r>
      <w:r w:rsidRPr="006F0C58">
        <w:rPr>
          <w:rFonts w:ascii="Verdana" w:hAnsi="Verdana"/>
          <w:sz w:val="16"/>
          <w:szCs w:val="16"/>
          <w:lang w:val="es-CR"/>
        </w:rPr>
        <w:t xml:space="preserve"> Fiscal de la Agencia No. 1 de la Fiscalía Municipal de Mixco de 21 de octubre de 2009 (expediente de anexos al escrito de solicitudes y argumentos, tomo I, anexo 30, fs. 5</w:t>
      </w:r>
      <w:r>
        <w:rPr>
          <w:rFonts w:ascii="Verdana" w:hAnsi="Verdana"/>
          <w:sz w:val="16"/>
          <w:szCs w:val="16"/>
          <w:lang w:val="es-CR"/>
        </w:rPr>
        <w:t>,</w:t>
      </w:r>
      <w:r w:rsidRPr="006F0C58">
        <w:rPr>
          <w:rFonts w:ascii="Verdana" w:hAnsi="Verdana"/>
          <w:sz w:val="16"/>
          <w:szCs w:val="16"/>
          <w:lang w:val="es-CR"/>
        </w:rPr>
        <w:t>417 y 5</w:t>
      </w:r>
      <w:r>
        <w:rPr>
          <w:rFonts w:ascii="Verdana" w:hAnsi="Verdana"/>
          <w:sz w:val="16"/>
          <w:szCs w:val="16"/>
          <w:lang w:val="es-CR"/>
        </w:rPr>
        <w:t>,</w:t>
      </w:r>
      <w:r w:rsidRPr="006F0C58">
        <w:rPr>
          <w:rFonts w:ascii="Verdana" w:hAnsi="Verdana"/>
          <w:sz w:val="16"/>
          <w:szCs w:val="16"/>
          <w:lang w:val="es-CR"/>
        </w:rPr>
        <w:t>418).</w:t>
      </w:r>
    </w:p>
  </w:footnote>
  <w:footnote w:id="205">
    <w:p w:rsidR="0081535F" w:rsidRPr="006F0C58" w:rsidRDefault="0081535F" w:rsidP="00422232">
      <w:pPr>
        <w:pStyle w:val="Textonotapie"/>
        <w:spacing w:line="19" w:lineRule="atLeast"/>
        <w:ind w:left="-180" w:right="-174"/>
        <w:jc w:val="both"/>
        <w:rPr>
          <w:rFonts w:ascii="Verdana" w:hAnsi="Verdana"/>
          <w:sz w:val="16"/>
          <w:szCs w:val="16"/>
          <w:lang w:val="es-CR"/>
        </w:rPr>
      </w:pPr>
      <w:r w:rsidRPr="006F0C58">
        <w:rPr>
          <w:rStyle w:val="Refdenotaalpie"/>
          <w:rFonts w:ascii="Verdana" w:hAnsi="Verdana"/>
          <w:sz w:val="16"/>
          <w:szCs w:val="16"/>
        </w:rPr>
        <w:footnoteRef/>
      </w:r>
      <w:r w:rsidRPr="006F0C58">
        <w:rPr>
          <w:rFonts w:ascii="Verdana" w:hAnsi="Verdana"/>
          <w:sz w:val="16"/>
          <w:szCs w:val="16"/>
          <w:lang w:val="es-CR"/>
        </w:rPr>
        <w:t xml:space="preserve"> </w:t>
      </w:r>
      <w:r w:rsidRPr="006F0C58">
        <w:rPr>
          <w:rFonts w:ascii="Verdana" w:hAnsi="Verdana"/>
          <w:i/>
          <w:sz w:val="16"/>
          <w:szCs w:val="16"/>
          <w:lang w:val="es-CR"/>
        </w:rPr>
        <w:t>Cfr.</w:t>
      </w:r>
      <w:r w:rsidRPr="006F0C58">
        <w:rPr>
          <w:rFonts w:ascii="Verdana" w:hAnsi="Verdana"/>
          <w:sz w:val="16"/>
          <w:szCs w:val="16"/>
          <w:lang w:val="es-CR"/>
        </w:rPr>
        <w:t xml:space="preserve"> Oficio emitido por el Agente Fiscal de la Agencia No. 1 de la Fiscalía Municipal de Mixco de 16 de mayo de 2012 (expediente de anexos al escrito de solicitudes y argumentos, tomo I, anexo 50, f. 5</w:t>
      </w:r>
      <w:r>
        <w:rPr>
          <w:rFonts w:ascii="Verdana" w:hAnsi="Verdana"/>
          <w:sz w:val="16"/>
          <w:szCs w:val="16"/>
          <w:lang w:val="es-CR"/>
        </w:rPr>
        <w:t>,</w:t>
      </w:r>
      <w:r w:rsidRPr="006F0C58">
        <w:rPr>
          <w:rFonts w:ascii="Verdana" w:hAnsi="Verdana"/>
          <w:sz w:val="16"/>
          <w:szCs w:val="16"/>
          <w:lang w:val="es-CR"/>
        </w:rPr>
        <w:t>473).</w:t>
      </w:r>
    </w:p>
  </w:footnote>
  <w:footnote w:id="206">
    <w:p w:rsidR="0081535F" w:rsidRPr="00353432" w:rsidRDefault="0081535F" w:rsidP="00422232">
      <w:pPr>
        <w:pStyle w:val="Textonotapie"/>
        <w:spacing w:line="19" w:lineRule="atLeast"/>
        <w:ind w:left="-180" w:right="-174"/>
        <w:jc w:val="both"/>
        <w:rPr>
          <w:rFonts w:ascii="Verdana" w:hAnsi="Verdana"/>
          <w:sz w:val="16"/>
          <w:szCs w:val="16"/>
          <w:lang w:val="es-CR"/>
        </w:rPr>
      </w:pPr>
      <w:r w:rsidRPr="006F0C58">
        <w:rPr>
          <w:rStyle w:val="Refdenotaalpie"/>
          <w:rFonts w:ascii="Verdana" w:hAnsi="Verdana"/>
          <w:sz w:val="16"/>
          <w:szCs w:val="16"/>
        </w:rPr>
        <w:footnoteRef/>
      </w:r>
      <w:r w:rsidRPr="006F0C58">
        <w:rPr>
          <w:rFonts w:ascii="Verdana" w:hAnsi="Verdana"/>
          <w:sz w:val="16"/>
          <w:szCs w:val="16"/>
          <w:lang w:val="es-CR"/>
        </w:rPr>
        <w:t xml:space="preserve"> </w:t>
      </w:r>
      <w:r w:rsidRPr="006F0C58">
        <w:rPr>
          <w:rFonts w:ascii="Verdana" w:hAnsi="Verdana"/>
          <w:i/>
          <w:sz w:val="16"/>
          <w:szCs w:val="16"/>
          <w:lang w:val="es-CR"/>
        </w:rPr>
        <w:t>Cfr.</w:t>
      </w:r>
      <w:r w:rsidRPr="006F0C58">
        <w:rPr>
          <w:rFonts w:ascii="Verdana" w:hAnsi="Verdana"/>
          <w:sz w:val="16"/>
          <w:szCs w:val="16"/>
          <w:lang w:val="es-CR"/>
        </w:rPr>
        <w:t xml:space="preserve"> Oficio emitido por el Agente Fiscal de la Agencia No. 1 de la Fiscalía Municipal de Mixco dirigido Juzgado</w:t>
      </w:r>
      <w:r>
        <w:rPr>
          <w:rFonts w:ascii="Verdana" w:hAnsi="Verdana"/>
          <w:sz w:val="16"/>
          <w:szCs w:val="16"/>
          <w:lang w:val="es-CR"/>
        </w:rPr>
        <w:t xml:space="preserve"> </w:t>
      </w:r>
      <w:r w:rsidRPr="006F0C58">
        <w:rPr>
          <w:rFonts w:ascii="Verdana" w:hAnsi="Verdana"/>
          <w:sz w:val="16"/>
          <w:szCs w:val="16"/>
          <w:lang w:val="es-CR"/>
        </w:rPr>
        <w:t>Primero de Mixco de 21 de marzo de 2012 (expediente de anexos al escrito de solicitudes y argumentos, anexo 120, fs. 12</w:t>
      </w:r>
      <w:r>
        <w:rPr>
          <w:rFonts w:ascii="Verdana" w:hAnsi="Verdana"/>
          <w:sz w:val="16"/>
          <w:szCs w:val="16"/>
          <w:lang w:val="es-CR"/>
        </w:rPr>
        <w:t>,</w:t>
      </w:r>
      <w:r w:rsidRPr="006F0C58">
        <w:rPr>
          <w:rFonts w:ascii="Verdana" w:hAnsi="Verdana"/>
          <w:sz w:val="16"/>
          <w:szCs w:val="16"/>
          <w:lang w:val="es-CR"/>
        </w:rPr>
        <w:t>660 y 12</w:t>
      </w:r>
      <w:r>
        <w:rPr>
          <w:rFonts w:ascii="Verdana" w:hAnsi="Verdana"/>
          <w:sz w:val="16"/>
          <w:szCs w:val="16"/>
          <w:lang w:val="es-CR"/>
        </w:rPr>
        <w:t>,</w:t>
      </w:r>
      <w:r w:rsidRPr="006F0C58">
        <w:rPr>
          <w:rFonts w:ascii="Verdana" w:hAnsi="Verdana"/>
          <w:sz w:val="16"/>
          <w:szCs w:val="16"/>
          <w:lang w:val="es-CR"/>
        </w:rPr>
        <w:t>661).</w:t>
      </w:r>
    </w:p>
  </w:footnote>
  <w:footnote w:id="207">
    <w:p w:rsidR="0081535F" w:rsidRPr="00315B30" w:rsidRDefault="0081535F" w:rsidP="00422232">
      <w:pPr>
        <w:pStyle w:val="Textonotapie"/>
        <w:spacing w:line="19" w:lineRule="atLeast"/>
        <w:ind w:left="-180" w:right="-174"/>
        <w:jc w:val="both"/>
        <w:rPr>
          <w:rFonts w:ascii="Verdana" w:hAnsi="Verdana"/>
          <w:i/>
          <w:sz w:val="16"/>
          <w:szCs w:val="16"/>
          <w:lang w:val="es-CR"/>
        </w:rPr>
      </w:pPr>
      <w:r w:rsidRPr="00353432">
        <w:rPr>
          <w:rStyle w:val="Refdenotaalpie"/>
          <w:rFonts w:ascii="Verdana" w:hAnsi="Verdana"/>
          <w:sz w:val="16"/>
          <w:szCs w:val="16"/>
        </w:rPr>
        <w:footnoteRef/>
      </w:r>
      <w:r w:rsidRPr="00353432">
        <w:rPr>
          <w:rFonts w:ascii="Verdana" w:hAnsi="Verdana"/>
          <w:sz w:val="16"/>
          <w:szCs w:val="16"/>
          <w:lang w:val="es-CR"/>
        </w:rPr>
        <w:t xml:space="preserve"> </w:t>
      </w:r>
      <w:r>
        <w:rPr>
          <w:rFonts w:ascii="Verdana" w:hAnsi="Verdana"/>
          <w:sz w:val="16"/>
          <w:szCs w:val="16"/>
        </w:rPr>
        <w:t xml:space="preserve">Acta de Audiencia Oral de Acto Conclusivo de 29 de septiembre de 2012 (anexos al escrito de alegatos finales del Estado, f. 14,729). </w:t>
      </w:r>
      <w:r w:rsidRPr="00315B30">
        <w:rPr>
          <w:rFonts w:ascii="Verdana" w:hAnsi="Verdana"/>
          <w:w w:val="95"/>
          <w:sz w:val="16"/>
          <w:szCs w:val="16"/>
        </w:rPr>
        <w:t xml:space="preserve">En su contestación, el Estado informó que “[c]on fecha </w:t>
      </w:r>
      <w:r w:rsidRPr="00315B30">
        <w:rPr>
          <w:rFonts w:ascii="Verdana" w:hAnsi="Verdana"/>
          <w:iCs/>
          <w:w w:val="95"/>
          <w:sz w:val="16"/>
          <w:szCs w:val="16"/>
        </w:rPr>
        <w:t xml:space="preserve">3 </w:t>
      </w:r>
      <w:r w:rsidRPr="00315B30">
        <w:rPr>
          <w:rFonts w:ascii="Verdana" w:hAnsi="Verdana"/>
          <w:w w:val="95"/>
          <w:sz w:val="16"/>
          <w:szCs w:val="16"/>
        </w:rPr>
        <w:t xml:space="preserve">de diciembre </w:t>
      </w:r>
      <w:r w:rsidRPr="00315B30">
        <w:rPr>
          <w:rFonts w:ascii="Verdana" w:hAnsi="Verdana"/>
          <w:iCs/>
          <w:w w:val="95"/>
          <w:sz w:val="16"/>
          <w:szCs w:val="16"/>
        </w:rPr>
        <w:t xml:space="preserve">de </w:t>
      </w:r>
      <w:r w:rsidRPr="00315B30">
        <w:rPr>
          <w:rFonts w:ascii="Verdana" w:hAnsi="Verdana"/>
          <w:w w:val="95"/>
          <w:sz w:val="16"/>
          <w:szCs w:val="16"/>
        </w:rPr>
        <w:t>2012 se celebró audiencia debido a que el juez citó a las partes para llevar a cabo el acto conclusivo. Nuevamente el Ministerio Público solicitó mantener abierto el proceso debido a que la investigación está activa”.</w:t>
      </w:r>
    </w:p>
  </w:footnote>
  <w:footnote w:id="208">
    <w:p w:rsidR="0081535F" w:rsidRPr="00353432" w:rsidRDefault="0081535F" w:rsidP="00422232">
      <w:pPr>
        <w:pStyle w:val="Textonotapie"/>
        <w:spacing w:line="19" w:lineRule="atLeast"/>
        <w:ind w:left="-180" w:right="-174"/>
        <w:jc w:val="both"/>
        <w:rPr>
          <w:rFonts w:ascii="Verdana" w:hAnsi="Verdana"/>
          <w:sz w:val="16"/>
          <w:szCs w:val="16"/>
        </w:rPr>
      </w:pPr>
      <w:r w:rsidRPr="00353432">
        <w:rPr>
          <w:rStyle w:val="Refdenotaalpie"/>
          <w:rFonts w:ascii="Verdana" w:hAnsi="Verdana"/>
          <w:sz w:val="16"/>
          <w:szCs w:val="16"/>
        </w:rPr>
        <w:footnoteRef/>
      </w:r>
      <w:r>
        <w:rPr>
          <w:rFonts w:ascii="Verdana" w:hAnsi="Verdana"/>
          <w:sz w:val="16"/>
          <w:szCs w:val="16"/>
        </w:rPr>
        <w:t xml:space="preserve"> </w:t>
      </w:r>
      <w:r w:rsidRPr="00315B30">
        <w:rPr>
          <w:rFonts w:ascii="Verdana" w:hAnsi="Verdana"/>
          <w:w w:val="95"/>
          <w:sz w:val="16"/>
          <w:szCs w:val="16"/>
        </w:rPr>
        <w:t>Agregó que “[e]</w:t>
      </w:r>
      <w:proofErr w:type="spellStart"/>
      <w:r w:rsidRPr="00315B30">
        <w:rPr>
          <w:rFonts w:ascii="Verdana" w:hAnsi="Verdana"/>
          <w:w w:val="95"/>
          <w:sz w:val="16"/>
          <w:szCs w:val="16"/>
        </w:rPr>
        <w:t>llo</w:t>
      </w:r>
      <w:proofErr w:type="spellEnd"/>
      <w:r w:rsidRPr="00315B30">
        <w:rPr>
          <w:rFonts w:ascii="Verdana" w:hAnsi="Verdana"/>
          <w:w w:val="95"/>
          <w:sz w:val="16"/>
          <w:szCs w:val="16"/>
        </w:rPr>
        <w:t xml:space="preserve"> deriva, por un lado, de la obligación internacional ampliamente reconocida de otorgar protección especial a los niños y niñas, debido a su desarrollo físico y emocional. Por otro lado, se relaciona al reconocimiento internacional de que el deber de la debida diligencia de los Estados para proteger y prevenir la violencia tiene connotaciones especiales en el caso de mujeres, debido a la discriminación histórica que han sufrido”.</w:t>
      </w:r>
    </w:p>
  </w:footnote>
  <w:footnote w:id="209">
    <w:p w:rsidR="0081535F" w:rsidRPr="00353432" w:rsidRDefault="0081535F" w:rsidP="00422232">
      <w:pPr>
        <w:pStyle w:val="Textonotapie"/>
        <w:spacing w:line="19" w:lineRule="atLeast"/>
        <w:ind w:left="-180" w:right="-174"/>
        <w:jc w:val="both"/>
        <w:rPr>
          <w:rFonts w:ascii="Verdana" w:hAnsi="Verdana"/>
          <w:sz w:val="16"/>
          <w:szCs w:val="16"/>
          <w:lang w:val="es-CR"/>
        </w:rPr>
      </w:pPr>
      <w:r w:rsidRPr="00353432">
        <w:rPr>
          <w:rStyle w:val="Refdenotaalpie"/>
          <w:rFonts w:ascii="Verdana" w:hAnsi="Verdana"/>
          <w:sz w:val="16"/>
          <w:szCs w:val="16"/>
        </w:rPr>
        <w:footnoteRef/>
      </w:r>
      <w:r w:rsidRPr="00353432">
        <w:rPr>
          <w:rFonts w:ascii="Verdana" w:hAnsi="Verdana"/>
          <w:sz w:val="16"/>
          <w:szCs w:val="16"/>
        </w:rPr>
        <w:t xml:space="preserve"> </w:t>
      </w:r>
      <w:r w:rsidRPr="00353432">
        <w:rPr>
          <w:rFonts w:ascii="Verdana" w:hAnsi="Verdana"/>
          <w:sz w:val="16"/>
          <w:szCs w:val="16"/>
          <w:lang w:val="es-CR"/>
        </w:rPr>
        <w:t>Dicha norma expresa: “</w:t>
      </w:r>
      <w:r>
        <w:rPr>
          <w:rFonts w:ascii="Verdana" w:hAnsi="Verdana"/>
          <w:sz w:val="16"/>
          <w:szCs w:val="16"/>
          <w:lang w:val="es-ES"/>
        </w:rPr>
        <w:t>[s]</w:t>
      </w:r>
      <w:r w:rsidRPr="00353432">
        <w:rPr>
          <w:rFonts w:ascii="Verdana" w:hAnsi="Verdana"/>
          <w:sz w:val="16"/>
          <w:szCs w:val="16"/>
          <w:lang w:val="es-ES"/>
        </w:rPr>
        <w:t>i el ejercicio de los derechos y libertades mencionados en el artículo 1 no estuviere ya garantizado por disposiciones legislativas o de otro carácter, los Estados Partes se comprometen a adoptar, con arreglo a sus procedimientos constitucionales y a las disposiciones de esta Convención, las medidas legislativas o de otro carácter que fueren necesarias para hacer efectivos tales derechos y libertades”</w:t>
      </w:r>
      <w:r>
        <w:rPr>
          <w:rFonts w:ascii="Verdana" w:hAnsi="Verdana"/>
          <w:sz w:val="16"/>
          <w:szCs w:val="16"/>
          <w:lang w:val="es-ES"/>
        </w:rPr>
        <w:t>.</w:t>
      </w:r>
    </w:p>
  </w:footnote>
  <w:footnote w:id="210">
    <w:p w:rsidR="0081535F" w:rsidRPr="00353432" w:rsidRDefault="0081535F" w:rsidP="00422232">
      <w:pPr>
        <w:spacing w:after="0" w:line="19" w:lineRule="atLeast"/>
        <w:ind w:left="-180" w:right="-174"/>
        <w:jc w:val="both"/>
        <w:rPr>
          <w:rFonts w:ascii="Verdana" w:eastAsia="Calibri" w:hAnsi="Verdana"/>
          <w:sz w:val="16"/>
          <w:szCs w:val="16"/>
          <w:lang w:val="es-CR"/>
        </w:rPr>
      </w:pPr>
      <w:r w:rsidRPr="00353432">
        <w:rPr>
          <w:rStyle w:val="Refdenotaalpie"/>
          <w:rFonts w:ascii="Verdana" w:eastAsia="Calibri" w:hAnsi="Verdana"/>
          <w:sz w:val="16"/>
          <w:szCs w:val="16"/>
        </w:rPr>
        <w:footnoteRef/>
      </w:r>
      <w:r>
        <w:rPr>
          <w:rFonts w:ascii="Verdana" w:eastAsia="Calibri" w:hAnsi="Verdana"/>
          <w:i/>
          <w:sz w:val="16"/>
          <w:szCs w:val="16"/>
          <w:lang w:val="es-CR"/>
        </w:rPr>
        <w:t xml:space="preserve"> </w:t>
      </w:r>
      <w:r w:rsidRPr="00353432">
        <w:rPr>
          <w:rFonts w:ascii="Verdana" w:eastAsia="Calibri" w:hAnsi="Verdana"/>
          <w:i/>
          <w:sz w:val="16"/>
          <w:szCs w:val="16"/>
          <w:lang w:val="es-CR"/>
        </w:rPr>
        <w:t>Cfr.</w:t>
      </w:r>
      <w:r w:rsidRPr="00353432">
        <w:rPr>
          <w:rFonts w:ascii="Verdana" w:eastAsia="Calibri" w:hAnsi="Verdana"/>
          <w:sz w:val="16"/>
          <w:szCs w:val="16"/>
          <w:lang w:val="es-CR"/>
        </w:rPr>
        <w:t xml:space="preserve"> </w:t>
      </w:r>
      <w:r w:rsidRPr="00353432">
        <w:rPr>
          <w:rFonts w:ascii="Verdana" w:eastAsia="Calibri" w:hAnsi="Verdana"/>
          <w:i/>
          <w:sz w:val="16"/>
          <w:szCs w:val="16"/>
          <w:lang w:val="es-CR"/>
        </w:rPr>
        <w:t>Caso “Cinco Pensionistas”</w:t>
      </w:r>
      <w:r>
        <w:rPr>
          <w:rFonts w:ascii="Verdana" w:eastAsia="Calibri" w:hAnsi="Verdana"/>
          <w:i/>
          <w:sz w:val="16"/>
          <w:szCs w:val="16"/>
          <w:lang w:val="es-CR"/>
        </w:rPr>
        <w:t>, supra</w:t>
      </w:r>
      <w:r w:rsidRPr="00353432">
        <w:rPr>
          <w:rFonts w:ascii="Verdana" w:eastAsia="Calibri" w:hAnsi="Verdana"/>
          <w:sz w:val="16"/>
          <w:szCs w:val="16"/>
          <w:lang w:val="es-CR"/>
        </w:rPr>
        <w:t xml:space="preserve">, párr. 155, </w:t>
      </w:r>
      <w:r w:rsidRPr="000355DF">
        <w:rPr>
          <w:rFonts w:ascii="Verdana" w:eastAsia="Calibri" w:hAnsi="Verdana"/>
          <w:sz w:val="16"/>
          <w:szCs w:val="16"/>
          <w:lang w:val="es-CR"/>
        </w:rPr>
        <w:t xml:space="preserve">y </w:t>
      </w:r>
      <w:r w:rsidRPr="000355DF">
        <w:rPr>
          <w:rFonts w:ascii="Verdana" w:hAnsi="Verdana"/>
          <w:i/>
          <w:sz w:val="16"/>
          <w:szCs w:val="16"/>
          <w:lang w:val="es-CR"/>
        </w:rPr>
        <w:t>Caso Familia Pacheco Tineo Vs. Bolivia. Excepciones Preliminares, Fondo, Reparaciones y Costas.</w:t>
      </w:r>
      <w:r w:rsidRPr="000355DF">
        <w:rPr>
          <w:rFonts w:ascii="Verdana" w:hAnsi="Verdana"/>
          <w:sz w:val="16"/>
          <w:szCs w:val="16"/>
          <w:lang w:val="es-CR"/>
        </w:rPr>
        <w:t xml:space="preserve"> Sentencia de 25 de noviembre de 2013. Serie C No. 272, </w:t>
      </w:r>
      <w:r>
        <w:rPr>
          <w:rFonts w:ascii="Verdana" w:eastAsia="Calibri" w:hAnsi="Verdana"/>
          <w:sz w:val="16"/>
          <w:szCs w:val="16"/>
          <w:lang w:val="es-CR"/>
        </w:rPr>
        <w:t>párr. 22</w:t>
      </w:r>
      <w:r w:rsidRPr="000355DF">
        <w:rPr>
          <w:rFonts w:ascii="Verdana" w:eastAsia="Calibri" w:hAnsi="Verdana"/>
          <w:sz w:val="16"/>
          <w:szCs w:val="16"/>
          <w:lang w:val="es-CR"/>
        </w:rPr>
        <w:t>.</w:t>
      </w:r>
      <w:r w:rsidRPr="00353432">
        <w:rPr>
          <w:rFonts w:ascii="Verdana" w:eastAsia="Calibri" w:hAnsi="Verdana"/>
          <w:sz w:val="16"/>
          <w:szCs w:val="16"/>
          <w:lang w:val="es-ES"/>
        </w:rPr>
        <w:t xml:space="preserve"> </w:t>
      </w:r>
      <w:r w:rsidRPr="00353432">
        <w:rPr>
          <w:rFonts w:ascii="Verdana" w:eastAsia="Calibri" w:hAnsi="Verdana"/>
          <w:sz w:val="16"/>
          <w:szCs w:val="16"/>
          <w:lang w:val="es-CR"/>
        </w:rPr>
        <w:t xml:space="preserve"> </w:t>
      </w:r>
    </w:p>
  </w:footnote>
  <w:footnote w:id="211">
    <w:p w:rsidR="0081535F" w:rsidRPr="00353432" w:rsidRDefault="0081535F" w:rsidP="00422232">
      <w:pPr>
        <w:pStyle w:val="Textonotapie"/>
        <w:ind w:left="-180" w:right="-174"/>
        <w:jc w:val="both"/>
        <w:rPr>
          <w:rFonts w:ascii="Verdana" w:hAnsi="Verdana"/>
          <w:sz w:val="16"/>
          <w:szCs w:val="16"/>
          <w:lang w:val="es-ES"/>
        </w:rPr>
      </w:pPr>
      <w:r w:rsidRPr="00353432">
        <w:rPr>
          <w:rStyle w:val="Refdenotaalpie"/>
          <w:rFonts w:ascii="Verdana" w:hAnsi="Verdana"/>
          <w:sz w:val="16"/>
          <w:szCs w:val="16"/>
        </w:rPr>
        <w:footnoteRef/>
      </w:r>
      <w:r w:rsidRPr="00353432">
        <w:rPr>
          <w:rFonts w:ascii="Verdana" w:hAnsi="Verdana"/>
          <w:sz w:val="16"/>
          <w:szCs w:val="16"/>
        </w:rPr>
        <w:t xml:space="preserve"> </w:t>
      </w:r>
      <w:r>
        <w:rPr>
          <w:rFonts w:ascii="Verdana" w:hAnsi="Verdana"/>
          <w:sz w:val="16"/>
          <w:szCs w:val="16"/>
          <w:lang w:val="es-CR"/>
        </w:rPr>
        <w:t xml:space="preserve"> </w:t>
      </w:r>
      <w:r w:rsidRPr="00353432">
        <w:rPr>
          <w:rFonts w:ascii="Verdana" w:hAnsi="Verdana"/>
          <w:sz w:val="16"/>
          <w:szCs w:val="16"/>
          <w:lang w:val="es-CR"/>
        </w:rPr>
        <w:t xml:space="preserve">El artículo 5 de la Convención </w:t>
      </w:r>
      <w:r w:rsidRPr="00507192">
        <w:rPr>
          <w:rFonts w:ascii="Verdana" w:hAnsi="Verdana"/>
          <w:sz w:val="16"/>
          <w:szCs w:val="16"/>
          <w:lang w:val="es-CR"/>
        </w:rPr>
        <w:t>Americana en lo conducente establece: “</w:t>
      </w:r>
      <w:r w:rsidRPr="00507192">
        <w:rPr>
          <w:rFonts w:ascii="Verdana" w:eastAsia="Times New Roman" w:hAnsi="Verdana" w:cs="Arial"/>
          <w:color w:val="000000"/>
          <w:sz w:val="16"/>
          <w:szCs w:val="16"/>
          <w:lang w:val="es-ES" w:eastAsia="es-CR"/>
        </w:rPr>
        <w:t>1. Toda persona tiene derecho a que se respete su integridad física, psíquica y moral</w:t>
      </w:r>
      <w:r>
        <w:rPr>
          <w:rFonts w:ascii="Verdana" w:eastAsia="Times New Roman" w:hAnsi="Verdana" w:cs="Arial"/>
          <w:color w:val="000000"/>
          <w:sz w:val="16"/>
          <w:szCs w:val="16"/>
          <w:lang w:val="es-ES" w:eastAsia="es-CR"/>
        </w:rPr>
        <w:t>”</w:t>
      </w:r>
      <w:r w:rsidRPr="00507192">
        <w:rPr>
          <w:rFonts w:ascii="Verdana" w:eastAsia="Times New Roman" w:hAnsi="Verdana" w:cs="Arial"/>
          <w:color w:val="000000"/>
          <w:sz w:val="16"/>
          <w:szCs w:val="16"/>
          <w:lang w:val="es-ES" w:eastAsia="es-CR"/>
        </w:rPr>
        <w:t xml:space="preserve">. </w:t>
      </w:r>
      <w:r>
        <w:rPr>
          <w:rFonts w:ascii="Verdana" w:eastAsia="Times New Roman" w:hAnsi="Verdana" w:cs="Arial"/>
          <w:color w:val="000000"/>
          <w:sz w:val="16"/>
          <w:szCs w:val="16"/>
          <w:lang w:val="es-ES" w:eastAsia="es-CR"/>
        </w:rPr>
        <w:t>El artículo 7 de la misma Convención establece</w:t>
      </w:r>
      <w:r w:rsidRPr="00507192">
        <w:rPr>
          <w:rFonts w:ascii="Verdana" w:hAnsi="Verdana"/>
          <w:sz w:val="16"/>
          <w:szCs w:val="16"/>
          <w:lang w:val="es-CR"/>
        </w:rPr>
        <w:t xml:space="preserve">: </w:t>
      </w:r>
      <w:r>
        <w:rPr>
          <w:rFonts w:ascii="Verdana" w:hAnsi="Verdana"/>
          <w:sz w:val="16"/>
          <w:szCs w:val="16"/>
          <w:lang w:val="es-CR"/>
        </w:rPr>
        <w:t>“</w:t>
      </w:r>
      <w:r w:rsidRPr="00507192">
        <w:rPr>
          <w:rFonts w:ascii="Verdana" w:hAnsi="Verdana"/>
          <w:sz w:val="16"/>
          <w:szCs w:val="16"/>
          <w:lang w:val="es-ES"/>
        </w:rPr>
        <w:t>1. Toda</w:t>
      </w:r>
      <w:r w:rsidRPr="00353432">
        <w:rPr>
          <w:rFonts w:ascii="Verdana" w:hAnsi="Verdana"/>
          <w:sz w:val="16"/>
          <w:szCs w:val="16"/>
          <w:lang w:val="es-ES"/>
        </w:rPr>
        <w:t xml:space="preserve"> persona tiene derecho a la libertad y a la seguridad personales. 2. Nadie puede ser privado de su libertad física, salvo por las causas y en las condiciones fijadas de antemano por las Constituciones Políticas de los Estados Partes o por las leyes dictadas conforme a </w:t>
      </w:r>
      <w:r w:rsidRPr="00507192">
        <w:rPr>
          <w:rFonts w:ascii="Verdana" w:hAnsi="Verdana"/>
          <w:sz w:val="16"/>
          <w:szCs w:val="16"/>
          <w:lang w:val="es-ES"/>
        </w:rPr>
        <w:t>ellas</w:t>
      </w:r>
      <w:r>
        <w:rPr>
          <w:rFonts w:ascii="Verdana" w:hAnsi="Verdana"/>
          <w:sz w:val="16"/>
          <w:szCs w:val="16"/>
          <w:lang w:val="es-ES"/>
        </w:rPr>
        <w:t>”</w:t>
      </w:r>
      <w:r w:rsidRPr="00507192">
        <w:rPr>
          <w:rFonts w:ascii="Verdana" w:hAnsi="Verdana"/>
          <w:sz w:val="16"/>
          <w:szCs w:val="16"/>
          <w:lang w:val="es-ES"/>
        </w:rPr>
        <w:t>. […]</w:t>
      </w:r>
      <w:r w:rsidRPr="00E36E91">
        <w:rPr>
          <w:rFonts w:ascii="Verdana" w:hAnsi="Verdana"/>
          <w:b/>
          <w:sz w:val="16"/>
          <w:szCs w:val="16"/>
          <w:lang w:val="es-ES"/>
        </w:rPr>
        <w:t xml:space="preserve"> </w:t>
      </w:r>
    </w:p>
  </w:footnote>
  <w:footnote w:id="212">
    <w:p w:rsidR="0081535F" w:rsidRPr="00353432" w:rsidRDefault="0081535F" w:rsidP="00422232">
      <w:pPr>
        <w:pStyle w:val="Textonotapie"/>
        <w:spacing w:line="19" w:lineRule="atLeast"/>
        <w:ind w:left="-180" w:right="-174"/>
        <w:jc w:val="both"/>
        <w:rPr>
          <w:rFonts w:ascii="Verdana" w:hAnsi="Verdana"/>
          <w:sz w:val="16"/>
          <w:szCs w:val="16"/>
        </w:rPr>
      </w:pPr>
      <w:r w:rsidRPr="00353432">
        <w:rPr>
          <w:rStyle w:val="Refdenotaalpie"/>
          <w:rFonts w:ascii="Verdana" w:hAnsi="Verdana"/>
          <w:sz w:val="16"/>
          <w:szCs w:val="16"/>
        </w:rPr>
        <w:footnoteRef/>
      </w:r>
      <w:r>
        <w:rPr>
          <w:rFonts w:ascii="Verdana" w:hAnsi="Verdana"/>
          <w:sz w:val="16"/>
          <w:szCs w:val="16"/>
        </w:rPr>
        <w:t xml:space="preserve"> </w:t>
      </w:r>
      <w:r w:rsidRPr="00BE7AE8">
        <w:rPr>
          <w:rFonts w:ascii="Verdana" w:hAnsi="Verdana"/>
          <w:sz w:val="16"/>
          <w:szCs w:val="16"/>
        </w:rPr>
        <w:t>L</w:t>
      </w:r>
      <w:r w:rsidRPr="00BE7AE8">
        <w:rPr>
          <w:rFonts w:ascii="Verdana" w:hAnsi="Verdana"/>
          <w:sz w:val="16"/>
          <w:szCs w:val="16"/>
          <w:lang w:val="es-ES"/>
        </w:rPr>
        <w:t>a Comisión consideró, en su decisión de admisibilidad, “que en los hechos descritos [en la petición] no exist[ían] fundamentos suficientes que caracteri[zaran] una violación al derecho a la integridad personal […], así como el derecho a la libertad personal […] en relación a María Isabel V</w:t>
      </w:r>
      <w:r>
        <w:rPr>
          <w:rFonts w:ascii="Verdana" w:hAnsi="Verdana"/>
          <w:sz w:val="16"/>
          <w:szCs w:val="16"/>
          <w:lang w:val="es-ES"/>
        </w:rPr>
        <w:t>e</w:t>
      </w:r>
      <w:r w:rsidRPr="00BE7AE8">
        <w:rPr>
          <w:rFonts w:ascii="Verdana" w:hAnsi="Verdana"/>
          <w:sz w:val="16"/>
          <w:szCs w:val="16"/>
          <w:lang w:val="es-ES"/>
        </w:rPr>
        <w:t>liz Franco”. Sin perjuicio de ello, tamb</w:t>
      </w:r>
      <w:r>
        <w:rPr>
          <w:rFonts w:ascii="Verdana" w:hAnsi="Verdana"/>
          <w:sz w:val="16"/>
          <w:szCs w:val="16"/>
          <w:lang w:val="es-ES"/>
        </w:rPr>
        <w:t>ién expresó la Comisión “</w:t>
      </w:r>
      <w:r w:rsidRPr="00BE7AE8">
        <w:rPr>
          <w:rFonts w:ascii="Verdana" w:hAnsi="Verdana"/>
          <w:sz w:val="16"/>
          <w:szCs w:val="16"/>
          <w:lang w:val="es-ES"/>
        </w:rPr>
        <w:t>que no corresponde en esta etapa del proceso determinar si se produjeron o no las alegadas violaciones</w:t>
      </w:r>
      <w:r>
        <w:rPr>
          <w:rFonts w:ascii="Verdana" w:hAnsi="Verdana"/>
          <w:sz w:val="16"/>
          <w:szCs w:val="16"/>
          <w:lang w:val="es-ES"/>
        </w:rPr>
        <w:t>”</w:t>
      </w:r>
      <w:r w:rsidRPr="00BE7AE8">
        <w:rPr>
          <w:rFonts w:ascii="Verdana" w:hAnsi="Verdana"/>
          <w:sz w:val="16"/>
          <w:szCs w:val="16"/>
          <w:lang w:val="es-ES"/>
        </w:rPr>
        <w:t>.</w:t>
      </w:r>
      <w:r w:rsidRPr="006229A7">
        <w:rPr>
          <w:rFonts w:ascii="Verdana" w:hAnsi="Verdana"/>
          <w:strike/>
          <w:sz w:val="16"/>
          <w:szCs w:val="16"/>
          <w:lang w:val="es-ES"/>
        </w:rPr>
        <w:t xml:space="preserve"> </w:t>
      </w:r>
    </w:p>
  </w:footnote>
  <w:footnote w:id="213">
    <w:p w:rsidR="0081535F" w:rsidRPr="00353432" w:rsidRDefault="0081535F" w:rsidP="00422232">
      <w:pPr>
        <w:shd w:val="clear" w:color="auto" w:fill="FFFFFF"/>
        <w:spacing w:after="0" w:line="19" w:lineRule="atLeast"/>
        <w:ind w:left="-180" w:right="-174"/>
        <w:jc w:val="both"/>
        <w:rPr>
          <w:rFonts w:ascii="Verdana" w:hAnsi="Verdana"/>
          <w:sz w:val="16"/>
          <w:szCs w:val="16"/>
          <w:lang w:val="es-ES"/>
        </w:rPr>
      </w:pPr>
      <w:r w:rsidRPr="00353432">
        <w:rPr>
          <w:rStyle w:val="Refdenotaalpie"/>
          <w:rFonts w:ascii="Verdana" w:hAnsi="Verdana"/>
          <w:sz w:val="16"/>
          <w:szCs w:val="16"/>
        </w:rPr>
        <w:footnoteRef/>
      </w:r>
      <w:r>
        <w:rPr>
          <w:rFonts w:ascii="Verdana" w:hAnsi="Verdana"/>
          <w:sz w:val="16"/>
          <w:szCs w:val="16"/>
          <w:lang w:val="es-CR"/>
        </w:rPr>
        <w:t xml:space="preserve"> </w:t>
      </w:r>
      <w:r w:rsidRPr="00353432">
        <w:rPr>
          <w:rFonts w:ascii="Verdana" w:hAnsi="Verdana"/>
          <w:sz w:val="16"/>
          <w:szCs w:val="16"/>
          <w:lang w:val="es-CR"/>
        </w:rPr>
        <w:t>El artículo 4 de la Convención Americana</w:t>
      </w:r>
      <w:r>
        <w:rPr>
          <w:rFonts w:ascii="Verdana" w:hAnsi="Verdana"/>
          <w:sz w:val="16"/>
          <w:szCs w:val="16"/>
          <w:lang w:val="es-CR"/>
        </w:rPr>
        <w:t xml:space="preserve"> </w:t>
      </w:r>
      <w:r w:rsidRPr="00507192">
        <w:rPr>
          <w:rFonts w:ascii="Verdana" w:hAnsi="Verdana"/>
          <w:sz w:val="16"/>
          <w:szCs w:val="16"/>
          <w:lang w:val="es-CR"/>
        </w:rPr>
        <w:t>en lo conducente  establece: “</w:t>
      </w:r>
      <w:r w:rsidRPr="00507192">
        <w:rPr>
          <w:rFonts w:ascii="Verdana" w:hAnsi="Verdana" w:cs="Arial"/>
          <w:color w:val="000000"/>
          <w:sz w:val="16"/>
          <w:szCs w:val="16"/>
          <w:lang w:val="es-ES" w:eastAsia="es-CR"/>
        </w:rPr>
        <w:t xml:space="preserve">1. Toda persona tiene derecho a que se respete su vida. Este derecho estará protegido por la ley y, en general, a partir del momento de la concepción. Nadie puede ser privado de la </w:t>
      </w:r>
      <w:r>
        <w:rPr>
          <w:rFonts w:ascii="Verdana" w:hAnsi="Verdana" w:cs="Arial"/>
          <w:color w:val="000000"/>
          <w:sz w:val="16"/>
          <w:szCs w:val="16"/>
          <w:lang w:val="es-ES" w:eastAsia="es-CR"/>
        </w:rPr>
        <w:t>vida arbitrariamente</w:t>
      </w:r>
      <w:r w:rsidRPr="00507192">
        <w:rPr>
          <w:rFonts w:ascii="Verdana" w:hAnsi="Verdana" w:cs="Arial"/>
          <w:color w:val="000000"/>
          <w:sz w:val="16"/>
          <w:szCs w:val="16"/>
          <w:lang w:val="es-ES" w:eastAsia="es-CR"/>
        </w:rPr>
        <w:t xml:space="preserve"> […]</w:t>
      </w:r>
      <w:r>
        <w:rPr>
          <w:rFonts w:ascii="Verdana" w:hAnsi="Verdana" w:cs="Arial"/>
          <w:color w:val="000000"/>
          <w:sz w:val="16"/>
          <w:szCs w:val="16"/>
          <w:lang w:val="es-ES" w:eastAsia="es-CR"/>
        </w:rPr>
        <w:t xml:space="preserve">”. </w:t>
      </w:r>
    </w:p>
  </w:footnote>
  <w:footnote w:id="214">
    <w:p w:rsidR="0081535F" w:rsidRPr="00353432" w:rsidRDefault="0081535F" w:rsidP="00422232">
      <w:pPr>
        <w:pStyle w:val="Textonotapie"/>
        <w:spacing w:line="19" w:lineRule="atLeast"/>
        <w:ind w:left="-180" w:right="-174"/>
        <w:jc w:val="both"/>
        <w:rPr>
          <w:rFonts w:ascii="Verdana" w:hAnsi="Verdana"/>
          <w:sz w:val="16"/>
          <w:szCs w:val="16"/>
          <w:lang w:val="es-ES"/>
        </w:rPr>
      </w:pPr>
      <w:r w:rsidRPr="00353432">
        <w:rPr>
          <w:rStyle w:val="Refdenotaalpie"/>
          <w:rFonts w:ascii="Verdana" w:hAnsi="Verdana"/>
          <w:sz w:val="16"/>
          <w:szCs w:val="16"/>
        </w:rPr>
        <w:footnoteRef/>
      </w:r>
      <w:r w:rsidRPr="00353432">
        <w:rPr>
          <w:rFonts w:ascii="Verdana" w:hAnsi="Verdana"/>
          <w:sz w:val="16"/>
          <w:szCs w:val="16"/>
        </w:rPr>
        <w:t xml:space="preserve">  El artículo 19 de la Convención Americana manda: “</w:t>
      </w:r>
      <w:r w:rsidRPr="00353432">
        <w:rPr>
          <w:rFonts w:ascii="Verdana" w:hAnsi="Verdana"/>
          <w:sz w:val="16"/>
          <w:szCs w:val="16"/>
          <w:lang w:val="es-ES"/>
        </w:rPr>
        <w:t>Todo niño tiene derecho a las medidas de protección que su condición de menor requieren por parte de su familia, de la sociedad y del Estado”.</w:t>
      </w:r>
    </w:p>
  </w:footnote>
  <w:footnote w:id="215">
    <w:p w:rsidR="0081535F" w:rsidRPr="00353432" w:rsidRDefault="0081535F" w:rsidP="00422232">
      <w:pPr>
        <w:pStyle w:val="Textonotapie"/>
        <w:spacing w:line="19" w:lineRule="atLeast"/>
        <w:ind w:left="-180" w:right="-174"/>
        <w:jc w:val="both"/>
        <w:rPr>
          <w:rFonts w:ascii="Verdana" w:hAnsi="Verdana"/>
          <w:sz w:val="16"/>
          <w:szCs w:val="16"/>
        </w:rPr>
      </w:pPr>
      <w:r w:rsidRPr="00353432">
        <w:rPr>
          <w:rStyle w:val="Refdenotaalpie"/>
          <w:rFonts w:ascii="Verdana" w:hAnsi="Verdana"/>
          <w:sz w:val="16"/>
          <w:szCs w:val="16"/>
        </w:rPr>
        <w:footnoteRef/>
      </w:r>
      <w:r w:rsidRPr="00353432">
        <w:rPr>
          <w:rFonts w:ascii="Verdana" w:hAnsi="Verdana"/>
          <w:sz w:val="16"/>
          <w:szCs w:val="16"/>
        </w:rPr>
        <w:t xml:space="preserve">  El artículo 24 de la Convención Americana </w:t>
      </w:r>
      <w:r>
        <w:rPr>
          <w:rFonts w:ascii="Verdana" w:hAnsi="Verdana"/>
          <w:sz w:val="16"/>
          <w:szCs w:val="16"/>
        </w:rPr>
        <w:t>dispone</w:t>
      </w:r>
      <w:r w:rsidRPr="00353432">
        <w:rPr>
          <w:rFonts w:ascii="Verdana" w:hAnsi="Verdana"/>
          <w:sz w:val="16"/>
          <w:szCs w:val="16"/>
        </w:rPr>
        <w:t>: “</w:t>
      </w:r>
      <w:r w:rsidRPr="00353432">
        <w:rPr>
          <w:rFonts w:ascii="Verdana" w:hAnsi="Verdana" w:cs="Arial"/>
          <w:color w:val="000000"/>
          <w:sz w:val="16"/>
          <w:szCs w:val="16"/>
          <w:lang w:val="es-ES"/>
        </w:rPr>
        <w:t>Todas las personas son iguales ante la ley. En consecuencia, tienen derecho, sin discriminación, a igual protección de la ley”.</w:t>
      </w:r>
    </w:p>
  </w:footnote>
  <w:footnote w:id="216">
    <w:p w:rsidR="0081535F" w:rsidRDefault="0081535F" w:rsidP="00422232">
      <w:pPr>
        <w:shd w:val="clear" w:color="auto" w:fill="FFFFFF"/>
        <w:spacing w:after="0" w:line="19" w:lineRule="atLeast"/>
        <w:ind w:left="-180" w:right="-174"/>
        <w:jc w:val="both"/>
        <w:rPr>
          <w:rFonts w:ascii="Verdana" w:hAnsi="Verdana"/>
          <w:sz w:val="16"/>
          <w:szCs w:val="16"/>
          <w:lang w:val="es-CR"/>
        </w:rPr>
      </w:pPr>
      <w:r w:rsidRPr="00353432">
        <w:rPr>
          <w:rStyle w:val="Refdenotaalpie"/>
          <w:rFonts w:ascii="Verdana" w:hAnsi="Verdana"/>
          <w:sz w:val="16"/>
          <w:szCs w:val="16"/>
        </w:rPr>
        <w:footnoteRef/>
      </w:r>
      <w:r w:rsidRPr="00353432">
        <w:rPr>
          <w:rFonts w:ascii="Verdana" w:hAnsi="Verdana"/>
          <w:sz w:val="16"/>
          <w:szCs w:val="16"/>
          <w:lang w:val="es-CR"/>
        </w:rPr>
        <w:t xml:space="preserve">  La Convención Americana, en su artículo 1</w:t>
      </w:r>
      <w:r>
        <w:rPr>
          <w:rFonts w:ascii="Verdana" w:hAnsi="Verdana"/>
          <w:sz w:val="16"/>
          <w:szCs w:val="16"/>
          <w:lang w:val="es-CR"/>
        </w:rPr>
        <w:t>.1</w:t>
      </w:r>
      <w:r w:rsidRPr="00353432">
        <w:rPr>
          <w:rFonts w:ascii="Verdana" w:hAnsi="Verdana"/>
          <w:sz w:val="16"/>
          <w:szCs w:val="16"/>
          <w:lang w:val="es-CR"/>
        </w:rPr>
        <w:t xml:space="preserve"> </w:t>
      </w:r>
      <w:r>
        <w:rPr>
          <w:rFonts w:ascii="Verdana" w:hAnsi="Verdana"/>
          <w:sz w:val="16"/>
          <w:szCs w:val="16"/>
          <w:lang w:val="es-CR"/>
        </w:rPr>
        <w:t>establece</w:t>
      </w:r>
      <w:r w:rsidRPr="00353432">
        <w:rPr>
          <w:rFonts w:ascii="Verdana" w:hAnsi="Verdana"/>
          <w:sz w:val="16"/>
          <w:szCs w:val="16"/>
          <w:lang w:val="es-CR"/>
        </w:rPr>
        <w:t xml:space="preserve">: </w:t>
      </w:r>
    </w:p>
    <w:p w:rsidR="0081535F" w:rsidRDefault="0081535F" w:rsidP="00422232">
      <w:pPr>
        <w:shd w:val="clear" w:color="auto" w:fill="FFFFFF"/>
        <w:spacing w:after="0" w:line="19" w:lineRule="atLeast"/>
        <w:ind w:left="-180" w:right="-174"/>
        <w:jc w:val="both"/>
        <w:rPr>
          <w:rFonts w:ascii="Verdana" w:hAnsi="Verdana" w:cs="Arial"/>
          <w:color w:val="000000"/>
          <w:sz w:val="16"/>
          <w:szCs w:val="16"/>
          <w:lang w:val="es-ES" w:eastAsia="es-CR"/>
        </w:rPr>
      </w:pPr>
      <w:r w:rsidRPr="00353432">
        <w:rPr>
          <w:rFonts w:ascii="Verdana" w:hAnsi="Verdana" w:cs="Arial"/>
          <w:color w:val="000000"/>
          <w:sz w:val="16"/>
          <w:szCs w:val="16"/>
          <w:lang w:val="es-ES" w:eastAsia="es-CR"/>
        </w:rPr>
        <w:t>1</w:t>
      </w:r>
      <w:r>
        <w:rPr>
          <w:rFonts w:ascii="Verdana" w:hAnsi="Verdana" w:cs="Arial"/>
          <w:color w:val="000000"/>
          <w:sz w:val="16"/>
          <w:szCs w:val="16"/>
          <w:lang w:val="es-ES" w:eastAsia="es-CR"/>
        </w:rPr>
        <w:t xml:space="preserve">. </w:t>
      </w:r>
      <w:r w:rsidRPr="00353432">
        <w:rPr>
          <w:rFonts w:ascii="Verdana" w:hAnsi="Verdana" w:cs="Arial"/>
          <w:color w:val="000000"/>
          <w:sz w:val="16"/>
          <w:szCs w:val="16"/>
          <w:lang w:val="es-ES" w:eastAsia="es-CR"/>
        </w:rPr>
        <w:t>Los Estados Partes en esta Convención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w:t>
      </w:r>
    </w:p>
    <w:p w:rsidR="0081535F" w:rsidRPr="00353432" w:rsidRDefault="0081535F" w:rsidP="00422232">
      <w:pPr>
        <w:shd w:val="clear" w:color="auto" w:fill="FFFFFF"/>
        <w:spacing w:after="0" w:line="19" w:lineRule="atLeast"/>
        <w:ind w:left="-180" w:right="-174"/>
        <w:jc w:val="both"/>
        <w:rPr>
          <w:rFonts w:ascii="Verdana" w:hAnsi="Verdana"/>
          <w:sz w:val="16"/>
          <w:szCs w:val="16"/>
          <w:lang w:val="es-ES"/>
        </w:rPr>
      </w:pPr>
      <w:r w:rsidRPr="00353432">
        <w:rPr>
          <w:rFonts w:ascii="Verdana" w:hAnsi="Verdana" w:cs="Arial"/>
          <w:color w:val="000000"/>
          <w:sz w:val="16"/>
          <w:szCs w:val="16"/>
          <w:lang w:val="es-ES" w:eastAsia="es-CR"/>
        </w:rPr>
        <w:t>2. Para los efectos de esta Convenc</w:t>
      </w:r>
      <w:r>
        <w:rPr>
          <w:rFonts w:ascii="Verdana" w:hAnsi="Verdana" w:cs="Arial"/>
          <w:color w:val="000000"/>
          <w:sz w:val="16"/>
          <w:szCs w:val="16"/>
          <w:lang w:val="es-ES" w:eastAsia="es-CR"/>
        </w:rPr>
        <w:t>ión, persona es todo ser humano</w:t>
      </w:r>
      <w:r w:rsidRPr="00353432">
        <w:rPr>
          <w:rFonts w:ascii="Verdana" w:hAnsi="Verdana" w:cs="Arial"/>
          <w:color w:val="000000"/>
          <w:sz w:val="16"/>
          <w:szCs w:val="16"/>
          <w:lang w:val="es-ES" w:eastAsia="es-CR"/>
        </w:rPr>
        <w:t>.</w:t>
      </w:r>
    </w:p>
  </w:footnote>
  <w:footnote w:id="217">
    <w:p w:rsidR="0081535F" w:rsidRPr="00507192" w:rsidRDefault="0081535F" w:rsidP="00422232">
      <w:pPr>
        <w:spacing w:after="0" w:line="19" w:lineRule="atLeast"/>
        <w:ind w:left="-180" w:right="-174"/>
        <w:jc w:val="both"/>
        <w:rPr>
          <w:rFonts w:ascii="Verdana" w:hAnsi="Verdana"/>
          <w:sz w:val="16"/>
          <w:szCs w:val="16"/>
          <w:lang w:val="es-CR"/>
        </w:rPr>
      </w:pPr>
      <w:r w:rsidRPr="00353432">
        <w:rPr>
          <w:rStyle w:val="Refdenotaalpie"/>
          <w:rFonts w:ascii="Verdana" w:hAnsi="Verdana"/>
          <w:sz w:val="16"/>
          <w:szCs w:val="16"/>
        </w:rPr>
        <w:footnoteRef/>
      </w:r>
      <w:r w:rsidRPr="00353432">
        <w:rPr>
          <w:rFonts w:ascii="Verdana" w:hAnsi="Verdana"/>
          <w:sz w:val="16"/>
          <w:szCs w:val="16"/>
          <w:lang w:val="es-CR"/>
        </w:rPr>
        <w:t xml:space="preserve"> El artículo 7 de la Convención de Belém do Pará señala: “Los Estados Partes condenan todas las formas de violencia contra la mujer y convienen en adoptar, por todos los medios apropiados y sin dilaciones, políticas orientadas a prevenir, sancionar y erradicar dicha violencia y en llevar a cabo lo siguiente: a. abstenerse de cualquier acción o práctica de violencia contra la mujer y velar por que las autoridades, sus funcionarios, personal y agentes e instituciones se comporten de conformidad con esta obligación; b. actuar con la debida diligencia para prevenir, investigar y sancionar la violencia contra la mujer; c. incluir en su legislación interna normas penales, civiles y administrativas, así como las de otra naturaleza que sean necesarias para prevenir, sancionar y erradicar la violencia contra la mujer y adoptar las medidas administrativas apropiadas que sean del caso; d. adoptar medidas jurídicas para conminar al agresor a abstenerse de hostigar, intimidar, amenazar, dañar o poner en peligro la vida de la mujer de cualquier forma que atente contra su integridad o perjudique su propiedad; e. tomar todas las medidas apropiadas, incluyendo medidas de tipo legislativo, para modificar o abolir leyes y reglamentos vigentes, o para modificar prácticas jurídicas o consuetudinarias que respalden la persistencia o la tolerancia de la violencia contra la mujer; f. establecer procedimientos legales justos y eficaces para la mujer que haya sido sometida a violencia, que incluyan, entre otros, medidas de protección, un juicio oportuno y el acceso efectivo a tales procedimientos; g. establecer los mecanismos judiciales y administrativos necesarios para asegurar que la mujer objeto de violencia tenga acceso efectivo a resarcimiento, reparación del daño u otros medios de compensación justos y eficaces, y h. adoptar las disposiciones legislativas o de otra índole que sean necesarias para hacer efectiva esta </w:t>
      </w:r>
      <w:r w:rsidRPr="00507192">
        <w:rPr>
          <w:rFonts w:ascii="Verdana" w:hAnsi="Verdana"/>
          <w:sz w:val="16"/>
          <w:szCs w:val="16"/>
          <w:lang w:val="es-CR"/>
        </w:rPr>
        <w:t xml:space="preserve">Convención”. </w:t>
      </w:r>
    </w:p>
  </w:footnote>
  <w:footnote w:id="218">
    <w:p w:rsidR="0081535F" w:rsidRPr="00353432" w:rsidRDefault="0081535F" w:rsidP="00422232">
      <w:pPr>
        <w:pStyle w:val="Textonotapie"/>
        <w:spacing w:line="19" w:lineRule="atLeast"/>
        <w:ind w:left="-180" w:right="-174"/>
        <w:jc w:val="both"/>
        <w:rPr>
          <w:rFonts w:ascii="Verdana" w:hAnsi="Verdana"/>
          <w:sz w:val="16"/>
          <w:szCs w:val="16"/>
        </w:rPr>
      </w:pPr>
      <w:r w:rsidRPr="00353432">
        <w:rPr>
          <w:rStyle w:val="Refdenotaalpie"/>
          <w:rFonts w:ascii="Verdana" w:hAnsi="Verdana"/>
          <w:sz w:val="16"/>
          <w:szCs w:val="16"/>
        </w:rPr>
        <w:footnoteRef/>
      </w:r>
      <w:r>
        <w:rPr>
          <w:rFonts w:ascii="Verdana" w:hAnsi="Verdana"/>
          <w:sz w:val="16"/>
          <w:szCs w:val="16"/>
        </w:rPr>
        <w:t xml:space="preserve">  </w:t>
      </w:r>
      <w:r w:rsidRPr="00353432">
        <w:rPr>
          <w:rFonts w:ascii="Verdana" w:hAnsi="Verdana"/>
          <w:i/>
          <w:iCs/>
          <w:sz w:val="16"/>
          <w:szCs w:val="16"/>
        </w:rPr>
        <w:t xml:space="preserve">Caso </w:t>
      </w:r>
      <w:proofErr w:type="spellStart"/>
      <w:r w:rsidRPr="00353432">
        <w:rPr>
          <w:rFonts w:ascii="Verdana" w:hAnsi="Verdana"/>
          <w:i/>
          <w:iCs/>
          <w:sz w:val="16"/>
          <w:szCs w:val="16"/>
        </w:rPr>
        <w:t>Gelman</w:t>
      </w:r>
      <w:proofErr w:type="spellEnd"/>
      <w:r w:rsidRPr="00353432">
        <w:rPr>
          <w:rFonts w:ascii="Verdana" w:hAnsi="Verdana"/>
          <w:i/>
          <w:iCs/>
          <w:sz w:val="16"/>
          <w:szCs w:val="16"/>
        </w:rPr>
        <w:t xml:space="preserve"> Vs. Uruguay. Fondo y Reparaciones. </w:t>
      </w:r>
      <w:r w:rsidRPr="00353432">
        <w:rPr>
          <w:rFonts w:ascii="Verdana" w:hAnsi="Verdana"/>
          <w:sz w:val="16"/>
          <w:szCs w:val="16"/>
        </w:rPr>
        <w:t>Sentencia de 24 de febrero de 2011. Serie C No. 221, párr. 121, y</w:t>
      </w:r>
      <w:r>
        <w:rPr>
          <w:rFonts w:ascii="Verdana" w:hAnsi="Verdana"/>
          <w:sz w:val="16"/>
          <w:szCs w:val="16"/>
        </w:rPr>
        <w:t xml:space="preserve"> </w:t>
      </w:r>
      <w:r>
        <w:rPr>
          <w:rFonts w:ascii="Verdana" w:hAnsi="Verdana"/>
          <w:i/>
          <w:sz w:val="16"/>
          <w:szCs w:val="16"/>
        </w:rPr>
        <w:t>Caso Pacheco Tineo</w:t>
      </w:r>
      <w:r w:rsidRPr="000355DF">
        <w:rPr>
          <w:rFonts w:ascii="Verdana" w:hAnsi="Verdana"/>
          <w:sz w:val="16"/>
          <w:szCs w:val="16"/>
        </w:rPr>
        <w:t xml:space="preserve">, </w:t>
      </w:r>
      <w:r w:rsidRPr="000355DF">
        <w:rPr>
          <w:rFonts w:ascii="Verdana" w:hAnsi="Verdana"/>
          <w:i/>
          <w:sz w:val="16"/>
          <w:szCs w:val="16"/>
        </w:rPr>
        <w:t>supra</w:t>
      </w:r>
      <w:r w:rsidRPr="000355DF">
        <w:rPr>
          <w:rFonts w:ascii="Verdana" w:hAnsi="Verdana"/>
          <w:sz w:val="16"/>
          <w:szCs w:val="16"/>
        </w:rPr>
        <w:t>, párr. 277.</w:t>
      </w:r>
    </w:p>
  </w:footnote>
  <w:footnote w:id="219">
    <w:p w:rsidR="0081535F" w:rsidRPr="00353432" w:rsidRDefault="0081535F" w:rsidP="00422232">
      <w:pPr>
        <w:pStyle w:val="Textonotapie"/>
        <w:spacing w:line="19" w:lineRule="atLeast"/>
        <w:ind w:left="-180" w:right="-174"/>
        <w:jc w:val="both"/>
        <w:rPr>
          <w:rFonts w:ascii="Verdana" w:hAnsi="Verdana"/>
          <w:sz w:val="16"/>
          <w:szCs w:val="16"/>
        </w:rPr>
      </w:pPr>
      <w:r w:rsidRPr="00353432">
        <w:rPr>
          <w:rStyle w:val="Refdenotaalpie"/>
          <w:rFonts w:ascii="Verdana" w:hAnsi="Verdana"/>
          <w:sz w:val="16"/>
          <w:szCs w:val="16"/>
        </w:rPr>
        <w:footnoteRef/>
      </w:r>
      <w:r w:rsidRPr="00353432">
        <w:rPr>
          <w:rFonts w:ascii="Verdana" w:hAnsi="Verdana"/>
          <w:sz w:val="16"/>
          <w:szCs w:val="16"/>
        </w:rPr>
        <w:t xml:space="preserve"> </w:t>
      </w:r>
      <w:r w:rsidRPr="00353432">
        <w:rPr>
          <w:rFonts w:ascii="Verdana" w:hAnsi="Verdana"/>
          <w:i/>
          <w:iCs/>
          <w:sz w:val="16"/>
          <w:szCs w:val="16"/>
        </w:rPr>
        <w:t xml:space="preserve">Condición Jurídica y Derechos Humanos del Niño. </w:t>
      </w:r>
      <w:r w:rsidRPr="00353432">
        <w:rPr>
          <w:rFonts w:ascii="Verdana" w:hAnsi="Verdana"/>
          <w:sz w:val="16"/>
          <w:szCs w:val="16"/>
        </w:rPr>
        <w:t>Opinión Consultiva OC-17/02 de</w:t>
      </w:r>
      <w:r>
        <w:rPr>
          <w:rFonts w:ascii="Verdana" w:hAnsi="Verdana"/>
          <w:sz w:val="16"/>
          <w:szCs w:val="16"/>
        </w:rPr>
        <w:t>l</w:t>
      </w:r>
      <w:r w:rsidRPr="00353432">
        <w:rPr>
          <w:rFonts w:ascii="Verdana" w:hAnsi="Verdana"/>
          <w:sz w:val="16"/>
          <w:szCs w:val="16"/>
        </w:rPr>
        <w:t xml:space="preserve"> 28 de agosto de 2002</w:t>
      </w:r>
      <w:r>
        <w:rPr>
          <w:rFonts w:ascii="Verdana" w:hAnsi="Verdana"/>
          <w:sz w:val="16"/>
          <w:szCs w:val="16"/>
        </w:rPr>
        <w:t>. Serie A No. 17</w:t>
      </w:r>
      <w:r w:rsidRPr="00353432">
        <w:rPr>
          <w:rFonts w:ascii="Verdana" w:hAnsi="Verdana"/>
          <w:sz w:val="16"/>
          <w:szCs w:val="16"/>
        </w:rPr>
        <w:t xml:space="preserve">, párr. 62, y </w:t>
      </w:r>
      <w:r w:rsidRPr="000355DF">
        <w:rPr>
          <w:rFonts w:ascii="Verdana" w:hAnsi="Verdana"/>
          <w:i/>
          <w:sz w:val="16"/>
          <w:szCs w:val="16"/>
        </w:rPr>
        <w:t>Caso Mendoza y otros Vs. Argentina. Excepciones Preliminares, Fondo y Reparaciones</w:t>
      </w:r>
      <w:r w:rsidRPr="000355DF">
        <w:rPr>
          <w:rFonts w:ascii="Verdana" w:hAnsi="Verdana"/>
          <w:sz w:val="16"/>
          <w:szCs w:val="16"/>
        </w:rPr>
        <w:t>. Sentencia de 14 de mayo de 2013. Serie C No. 260</w:t>
      </w:r>
      <w:r w:rsidRPr="000355DF">
        <w:rPr>
          <w:rFonts w:ascii="Verdana" w:hAnsi="Verdana"/>
          <w:i/>
          <w:sz w:val="16"/>
          <w:szCs w:val="16"/>
        </w:rPr>
        <w:t>, supra</w:t>
      </w:r>
      <w:r w:rsidRPr="000355DF">
        <w:rPr>
          <w:rFonts w:ascii="Verdana" w:hAnsi="Verdana"/>
          <w:sz w:val="16"/>
          <w:szCs w:val="16"/>
        </w:rPr>
        <w:t>, párr. 141.</w:t>
      </w:r>
    </w:p>
  </w:footnote>
  <w:footnote w:id="220">
    <w:p w:rsidR="0081535F" w:rsidRPr="00353432" w:rsidRDefault="0081535F" w:rsidP="00422232">
      <w:pPr>
        <w:pStyle w:val="Textonotapie"/>
        <w:spacing w:line="19" w:lineRule="atLeast"/>
        <w:ind w:left="-180" w:right="-174"/>
        <w:jc w:val="both"/>
        <w:rPr>
          <w:rFonts w:ascii="Verdana" w:hAnsi="Verdana"/>
          <w:sz w:val="16"/>
          <w:szCs w:val="16"/>
        </w:rPr>
      </w:pPr>
      <w:r w:rsidRPr="00353432">
        <w:rPr>
          <w:rStyle w:val="Refdenotaalpie"/>
          <w:rFonts w:ascii="Verdana" w:hAnsi="Verdana"/>
          <w:sz w:val="16"/>
          <w:szCs w:val="16"/>
        </w:rPr>
        <w:footnoteRef/>
      </w:r>
      <w:r w:rsidRPr="00353432">
        <w:rPr>
          <w:rFonts w:ascii="Verdana" w:hAnsi="Verdana"/>
          <w:sz w:val="16"/>
          <w:szCs w:val="16"/>
        </w:rPr>
        <w:t xml:space="preserve"> </w:t>
      </w:r>
      <w:r w:rsidRPr="003622B1">
        <w:rPr>
          <w:rFonts w:ascii="Verdana" w:hAnsi="Verdana"/>
          <w:i/>
          <w:sz w:val="16"/>
          <w:szCs w:val="16"/>
        </w:rPr>
        <w:t>Caso de los “Niños de la Calle” (Villagrán Morales y otros) Vs. Guatemala. Fondo</w:t>
      </w:r>
      <w:r>
        <w:rPr>
          <w:rFonts w:ascii="Verdana" w:hAnsi="Verdana"/>
          <w:sz w:val="16"/>
          <w:szCs w:val="16"/>
        </w:rPr>
        <w:t xml:space="preserve">. Sentencia de 19 de noviembre de 1999. Serie C No. 63, párr. 146, y </w:t>
      </w:r>
      <w:r w:rsidRPr="000355DF">
        <w:rPr>
          <w:rFonts w:ascii="Verdana" w:hAnsi="Verdana"/>
          <w:i/>
          <w:sz w:val="16"/>
          <w:szCs w:val="16"/>
        </w:rPr>
        <w:t>Caso Familia Pacheco Tineo</w:t>
      </w:r>
      <w:r w:rsidRPr="000355DF">
        <w:rPr>
          <w:rFonts w:ascii="Verdana" w:hAnsi="Verdana"/>
          <w:sz w:val="16"/>
          <w:szCs w:val="16"/>
        </w:rPr>
        <w:t xml:space="preserve">, </w:t>
      </w:r>
      <w:r w:rsidRPr="000355DF">
        <w:rPr>
          <w:rFonts w:ascii="Verdana" w:hAnsi="Verdana"/>
          <w:i/>
          <w:sz w:val="16"/>
          <w:szCs w:val="16"/>
        </w:rPr>
        <w:t>supra</w:t>
      </w:r>
      <w:r w:rsidRPr="000355DF">
        <w:rPr>
          <w:rFonts w:ascii="Verdana" w:hAnsi="Verdana"/>
          <w:sz w:val="16"/>
          <w:szCs w:val="16"/>
        </w:rPr>
        <w:t>, párr. 217.</w:t>
      </w:r>
    </w:p>
  </w:footnote>
  <w:footnote w:id="221">
    <w:p w:rsidR="0081535F" w:rsidRPr="00353432" w:rsidRDefault="0081535F" w:rsidP="00422232">
      <w:pPr>
        <w:pStyle w:val="Textonotapie"/>
        <w:spacing w:line="19" w:lineRule="atLeast"/>
        <w:ind w:left="-180" w:right="-174"/>
        <w:jc w:val="both"/>
        <w:rPr>
          <w:rFonts w:ascii="Verdana" w:hAnsi="Verdana"/>
          <w:sz w:val="16"/>
          <w:szCs w:val="16"/>
        </w:rPr>
      </w:pPr>
      <w:r w:rsidRPr="00353432">
        <w:rPr>
          <w:rStyle w:val="Refdenotaalpie"/>
          <w:rFonts w:ascii="Verdana" w:hAnsi="Verdana"/>
          <w:sz w:val="16"/>
          <w:szCs w:val="16"/>
        </w:rPr>
        <w:footnoteRef/>
      </w:r>
      <w:r>
        <w:rPr>
          <w:rFonts w:ascii="Verdana" w:hAnsi="Verdana"/>
          <w:sz w:val="16"/>
          <w:szCs w:val="16"/>
        </w:rPr>
        <w:t xml:space="preserve"> </w:t>
      </w:r>
      <w:r w:rsidRPr="00353432">
        <w:rPr>
          <w:rFonts w:ascii="Verdana" w:hAnsi="Verdana"/>
          <w:i/>
          <w:sz w:val="16"/>
          <w:szCs w:val="16"/>
        </w:rPr>
        <w:t>Cfr. Condición Jurídica y Derechos Humanos del Niño</w:t>
      </w:r>
      <w:r>
        <w:rPr>
          <w:rFonts w:ascii="Verdana" w:hAnsi="Verdana"/>
          <w:i/>
          <w:sz w:val="16"/>
          <w:szCs w:val="16"/>
        </w:rPr>
        <w:t>, supra</w:t>
      </w:r>
      <w:r w:rsidRPr="00353432">
        <w:rPr>
          <w:rFonts w:ascii="Verdana" w:hAnsi="Verdana"/>
          <w:sz w:val="16"/>
          <w:szCs w:val="16"/>
        </w:rPr>
        <w:t xml:space="preserve">, párr. 93, y </w:t>
      </w:r>
      <w:r w:rsidRPr="00353432">
        <w:rPr>
          <w:rFonts w:ascii="Verdana" w:hAnsi="Verdana"/>
          <w:i/>
          <w:sz w:val="16"/>
          <w:szCs w:val="16"/>
        </w:rPr>
        <w:t>Caso Mendoza y otros</w:t>
      </w:r>
      <w:r>
        <w:rPr>
          <w:rFonts w:ascii="Verdana" w:hAnsi="Verdana"/>
          <w:i/>
          <w:sz w:val="16"/>
          <w:szCs w:val="16"/>
        </w:rPr>
        <w:t>, supra</w:t>
      </w:r>
      <w:r>
        <w:rPr>
          <w:rFonts w:ascii="Verdana" w:hAnsi="Verdana"/>
          <w:sz w:val="16"/>
          <w:szCs w:val="16"/>
        </w:rPr>
        <w:t>, párr. 144.</w:t>
      </w:r>
    </w:p>
  </w:footnote>
  <w:footnote w:id="222">
    <w:p w:rsidR="0081535F" w:rsidRPr="00353432" w:rsidRDefault="0081535F" w:rsidP="00422232">
      <w:pPr>
        <w:spacing w:after="0" w:line="19" w:lineRule="atLeast"/>
        <w:ind w:left="-180" w:right="-174"/>
        <w:jc w:val="both"/>
        <w:rPr>
          <w:rFonts w:ascii="Verdana" w:hAnsi="Verdana"/>
          <w:sz w:val="16"/>
          <w:szCs w:val="16"/>
          <w:lang w:val="es-CR"/>
        </w:rPr>
      </w:pPr>
      <w:r w:rsidRPr="00353432">
        <w:rPr>
          <w:rStyle w:val="Refdenotaalpie"/>
          <w:rFonts w:ascii="Verdana" w:hAnsi="Verdana"/>
          <w:sz w:val="16"/>
          <w:szCs w:val="16"/>
        </w:rPr>
        <w:footnoteRef/>
      </w:r>
      <w:r w:rsidRPr="00353432">
        <w:rPr>
          <w:rFonts w:ascii="Verdana" w:hAnsi="Verdana"/>
          <w:sz w:val="16"/>
          <w:szCs w:val="16"/>
          <w:lang w:val="es-CR"/>
        </w:rPr>
        <w:t xml:space="preserve"> </w:t>
      </w:r>
      <w:r w:rsidRPr="00353432">
        <w:rPr>
          <w:rFonts w:ascii="Verdana" w:hAnsi="Verdana"/>
          <w:i/>
          <w:sz w:val="16"/>
          <w:szCs w:val="16"/>
          <w:lang w:val="es-CR"/>
        </w:rPr>
        <w:t>Cfr. Condición Jurídica y Derechos Humanos del Niño</w:t>
      </w:r>
      <w:r>
        <w:rPr>
          <w:rFonts w:ascii="Verdana" w:hAnsi="Verdana"/>
          <w:i/>
          <w:sz w:val="16"/>
          <w:szCs w:val="16"/>
          <w:lang w:val="es-CR"/>
        </w:rPr>
        <w:t>, supra</w:t>
      </w:r>
      <w:r w:rsidRPr="00353432">
        <w:rPr>
          <w:rFonts w:ascii="Verdana" w:hAnsi="Verdana"/>
          <w:sz w:val="16"/>
          <w:szCs w:val="16"/>
          <w:lang w:val="es-CR"/>
        </w:rPr>
        <w:t xml:space="preserve">, </w:t>
      </w:r>
      <w:r>
        <w:rPr>
          <w:rFonts w:ascii="Verdana" w:hAnsi="Verdana"/>
          <w:sz w:val="16"/>
          <w:szCs w:val="16"/>
          <w:lang w:val="es-CR"/>
        </w:rPr>
        <w:t xml:space="preserve">párr. 59, y </w:t>
      </w:r>
      <w:r w:rsidRPr="00353432">
        <w:rPr>
          <w:rFonts w:ascii="Verdana" w:hAnsi="Verdana"/>
          <w:i/>
          <w:sz w:val="16"/>
          <w:szCs w:val="16"/>
          <w:lang w:val="es-CR"/>
        </w:rPr>
        <w:t>Caso Mendoza y otros</w:t>
      </w:r>
      <w:r>
        <w:rPr>
          <w:rFonts w:ascii="Verdana" w:hAnsi="Verdana"/>
          <w:i/>
          <w:sz w:val="16"/>
          <w:szCs w:val="16"/>
          <w:lang w:val="es-CR"/>
        </w:rPr>
        <w:t xml:space="preserve">, supra, </w:t>
      </w:r>
      <w:r>
        <w:rPr>
          <w:rFonts w:ascii="Verdana" w:hAnsi="Verdana"/>
          <w:sz w:val="16"/>
          <w:szCs w:val="16"/>
          <w:lang w:val="es-CR"/>
        </w:rPr>
        <w:t>párr</w:t>
      </w:r>
      <w:r w:rsidRPr="0071043D">
        <w:rPr>
          <w:rFonts w:ascii="Verdana" w:hAnsi="Verdana"/>
          <w:sz w:val="16"/>
          <w:szCs w:val="16"/>
          <w:lang w:val="es-CR"/>
        </w:rPr>
        <w:t>. 14</w:t>
      </w:r>
      <w:r>
        <w:rPr>
          <w:rFonts w:ascii="Verdana" w:hAnsi="Verdana"/>
          <w:sz w:val="16"/>
          <w:szCs w:val="16"/>
          <w:lang w:val="es-CR"/>
        </w:rPr>
        <w:t>3.</w:t>
      </w:r>
      <w:r w:rsidRPr="0071043D">
        <w:rPr>
          <w:rFonts w:ascii="Verdana" w:hAnsi="Verdana"/>
          <w:sz w:val="16"/>
          <w:szCs w:val="16"/>
          <w:lang w:val="es-CR"/>
        </w:rPr>
        <w:t xml:space="preserve"> </w:t>
      </w:r>
    </w:p>
  </w:footnote>
  <w:footnote w:id="223">
    <w:p w:rsidR="0081535F" w:rsidRPr="00353432" w:rsidRDefault="0081535F" w:rsidP="00422232">
      <w:pPr>
        <w:pStyle w:val="Textonotapie"/>
        <w:spacing w:line="19" w:lineRule="atLeast"/>
        <w:ind w:left="-180" w:right="-174"/>
        <w:jc w:val="both"/>
        <w:rPr>
          <w:rFonts w:ascii="Verdana" w:hAnsi="Verdana"/>
          <w:sz w:val="16"/>
          <w:szCs w:val="16"/>
        </w:rPr>
      </w:pPr>
      <w:r w:rsidRPr="00353432">
        <w:rPr>
          <w:rStyle w:val="Refdenotaalpie"/>
          <w:rFonts w:ascii="Verdana" w:hAnsi="Verdana"/>
          <w:sz w:val="16"/>
          <w:szCs w:val="16"/>
        </w:rPr>
        <w:footnoteRef/>
      </w:r>
      <w:r>
        <w:rPr>
          <w:rFonts w:ascii="Verdana" w:hAnsi="Verdana"/>
          <w:sz w:val="16"/>
          <w:szCs w:val="16"/>
        </w:rPr>
        <w:t xml:space="preserve">  </w:t>
      </w:r>
      <w:r w:rsidRPr="00353432">
        <w:rPr>
          <w:rFonts w:ascii="Verdana" w:hAnsi="Verdana"/>
          <w:sz w:val="16"/>
          <w:szCs w:val="16"/>
        </w:rPr>
        <w:t>En cuanto al concepto previsto en el tratado de “violencia contra la mujer”, es pertinente referir al artículo 3 de la Convención de Belém d</w:t>
      </w:r>
      <w:r>
        <w:rPr>
          <w:rFonts w:ascii="Verdana" w:hAnsi="Verdana"/>
          <w:sz w:val="16"/>
          <w:szCs w:val="16"/>
        </w:rPr>
        <w:t>o</w:t>
      </w:r>
      <w:r w:rsidRPr="00353432">
        <w:rPr>
          <w:rFonts w:ascii="Verdana" w:hAnsi="Verdana"/>
          <w:sz w:val="16"/>
          <w:szCs w:val="16"/>
        </w:rPr>
        <w:t xml:space="preserve"> Pará, que indica que el derecho de “[t]oda mujer” a “una vida libre de violencia” rige “tanto en el ámbito público como en el privado”.</w:t>
      </w:r>
    </w:p>
  </w:footnote>
  <w:footnote w:id="224">
    <w:p w:rsidR="0081535F" w:rsidRPr="00353432" w:rsidRDefault="0081535F" w:rsidP="00422232">
      <w:pPr>
        <w:pStyle w:val="Textonotapie"/>
        <w:spacing w:line="19" w:lineRule="atLeast"/>
        <w:ind w:left="-180" w:right="-174"/>
        <w:jc w:val="both"/>
        <w:rPr>
          <w:rFonts w:ascii="Verdana" w:hAnsi="Verdana"/>
          <w:sz w:val="16"/>
          <w:szCs w:val="16"/>
        </w:rPr>
      </w:pPr>
      <w:r w:rsidRPr="00353432">
        <w:rPr>
          <w:rStyle w:val="Refdenotaalpie"/>
          <w:rFonts w:ascii="Verdana" w:hAnsi="Verdana"/>
          <w:sz w:val="16"/>
          <w:szCs w:val="16"/>
        </w:rPr>
        <w:footnoteRef/>
      </w:r>
      <w:r>
        <w:rPr>
          <w:rFonts w:ascii="Verdana" w:hAnsi="Verdana"/>
          <w:sz w:val="16"/>
          <w:szCs w:val="16"/>
        </w:rPr>
        <w:t xml:space="preserve"> </w:t>
      </w:r>
      <w:r w:rsidRPr="00353432">
        <w:rPr>
          <w:rFonts w:ascii="Verdana" w:hAnsi="Verdana"/>
          <w:i/>
          <w:sz w:val="16"/>
          <w:szCs w:val="16"/>
        </w:rPr>
        <w:t>Cfr.</w:t>
      </w:r>
      <w:r>
        <w:rPr>
          <w:rFonts w:ascii="Verdana" w:hAnsi="Verdana"/>
          <w:i/>
          <w:sz w:val="16"/>
          <w:szCs w:val="16"/>
        </w:rPr>
        <w:t xml:space="preserve"> Caso del Penal Miguel Castro Castro Vs. Perú. Fondo, Reparaciones y Costas. </w:t>
      </w:r>
      <w:r w:rsidRPr="003622B1">
        <w:rPr>
          <w:rFonts w:ascii="Verdana" w:hAnsi="Verdana"/>
          <w:sz w:val="16"/>
          <w:szCs w:val="16"/>
        </w:rPr>
        <w:t>Sentencia de 25 de noviembre de 2006. Serie C No. 160, párr. 346, y</w:t>
      </w:r>
      <w:r w:rsidRPr="00353432">
        <w:rPr>
          <w:rFonts w:ascii="Verdana" w:hAnsi="Verdana"/>
          <w:i/>
          <w:sz w:val="16"/>
          <w:szCs w:val="16"/>
        </w:rPr>
        <w:t xml:space="preserve"> </w:t>
      </w:r>
      <w:hyperlink r:id="rId18" w:history="1">
        <w:r>
          <w:rPr>
            <w:rStyle w:val="Hipervnculo"/>
            <w:rFonts w:ascii="Verdana" w:hAnsi="Verdana"/>
            <w:i/>
            <w:color w:val="auto"/>
            <w:sz w:val="16"/>
            <w:szCs w:val="16"/>
            <w:u w:val="none"/>
          </w:rPr>
          <w:t>C</w:t>
        </w:r>
        <w:r w:rsidRPr="00353432">
          <w:rPr>
            <w:rStyle w:val="Hipervnculo"/>
            <w:rFonts w:ascii="Verdana" w:hAnsi="Verdana"/>
            <w:i/>
            <w:color w:val="auto"/>
            <w:sz w:val="16"/>
            <w:szCs w:val="16"/>
            <w:u w:val="none"/>
          </w:rPr>
          <w:t>aso Gudiel Álvarez (Diario Militar)</w:t>
        </w:r>
        <w:r>
          <w:rPr>
            <w:rStyle w:val="Hipervnculo"/>
            <w:rFonts w:ascii="Verdana" w:hAnsi="Verdana"/>
            <w:i/>
            <w:color w:val="auto"/>
            <w:sz w:val="16"/>
            <w:szCs w:val="16"/>
            <w:u w:val="none"/>
          </w:rPr>
          <w:t>, supra</w:t>
        </w:r>
        <w:r w:rsidRPr="00353432">
          <w:rPr>
            <w:rStyle w:val="Hipervnculo"/>
            <w:rFonts w:ascii="Verdana" w:hAnsi="Verdana"/>
            <w:color w:val="auto"/>
            <w:sz w:val="16"/>
            <w:szCs w:val="16"/>
            <w:u w:val="none"/>
          </w:rPr>
          <w:t>, párr. 275</w:t>
        </w:r>
        <w:r>
          <w:rPr>
            <w:rStyle w:val="Hipervnculo"/>
            <w:rFonts w:ascii="Verdana" w:hAnsi="Verdana"/>
            <w:color w:val="auto"/>
            <w:sz w:val="16"/>
            <w:szCs w:val="16"/>
            <w:u w:val="none"/>
          </w:rPr>
          <w:t>.</w:t>
        </w:r>
        <w:r w:rsidRPr="00353432">
          <w:rPr>
            <w:rStyle w:val="Hipervnculo"/>
            <w:rFonts w:ascii="Verdana" w:hAnsi="Verdana"/>
            <w:color w:val="auto"/>
            <w:sz w:val="16"/>
            <w:szCs w:val="16"/>
            <w:u w:val="none"/>
          </w:rPr>
          <w:t xml:space="preserve"> </w:t>
        </w:r>
      </w:hyperlink>
    </w:p>
  </w:footnote>
  <w:footnote w:id="225">
    <w:p w:rsidR="0081535F" w:rsidRPr="00353432" w:rsidRDefault="0081535F" w:rsidP="00422232">
      <w:pPr>
        <w:pStyle w:val="Textonotapie"/>
        <w:spacing w:line="19" w:lineRule="atLeast"/>
        <w:ind w:left="-180" w:right="-174"/>
        <w:jc w:val="both"/>
        <w:rPr>
          <w:rFonts w:ascii="Verdana" w:hAnsi="Verdana"/>
          <w:sz w:val="16"/>
          <w:szCs w:val="16"/>
        </w:rPr>
      </w:pPr>
      <w:r w:rsidRPr="00353432">
        <w:rPr>
          <w:rStyle w:val="Refdenotaalpie"/>
          <w:rFonts w:ascii="Verdana" w:hAnsi="Verdana"/>
          <w:sz w:val="16"/>
          <w:szCs w:val="16"/>
        </w:rPr>
        <w:footnoteRef/>
      </w:r>
      <w:r>
        <w:rPr>
          <w:rFonts w:ascii="Verdana" w:hAnsi="Verdana"/>
          <w:sz w:val="16"/>
          <w:szCs w:val="16"/>
        </w:rPr>
        <w:t xml:space="preserve"> </w:t>
      </w:r>
      <w:r w:rsidRPr="00353432">
        <w:rPr>
          <w:rFonts w:ascii="Verdana" w:hAnsi="Verdana"/>
          <w:sz w:val="16"/>
          <w:szCs w:val="16"/>
        </w:rPr>
        <w:t>El Comité de los Derechos del Niño ha señalado que “</w:t>
      </w:r>
      <w:r>
        <w:rPr>
          <w:rFonts w:ascii="Verdana" w:hAnsi="Verdana"/>
          <w:sz w:val="16"/>
          <w:szCs w:val="16"/>
        </w:rPr>
        <w:t>[a]</w:t>
      </w:r>
      <w:r w:rsidRPr="00353432">
        <w:rPr>
          <w:rFonts w:ascii="Verdana" w:hAnsi="Verdana"/>
          <w:sz w:val="16"/>
          <w:szCs w:val="16"/>
        </w:rPr>
        <w:t xml:space="preserve"> nivel universal, se consideran vulnerables todos los niños hasta los 18 años de edad, porque no ha concluido aún su crecimiento y desarrollo neurológico, psicológico, social y físico”. Comité de los </w:t>
      </w:r>
      <w:r>
        <w:rPr>
          <w:rFonts w:ascii="Verdana" w:hAnsi="Verdana"/>
          <w:sz w:val="16"/>
          <w:szCs w:val="16"/>
        </w:rPr>
        <w:t>Derechos del Niño. Observación G</w:t>
      </w:r>
      <w:r w:rsidRPr="00353432">
        <w:rPr>
          <w:rFonts w:ascii="Verdana" w:hAnsi="Verdana"/>
          <w:sz w:val="16"/>
          <w:szCs w:val="16"/>
        </w:rPr>
        <w:t>eneral Nº 13</w:t>
      </w:r>
      <w:r>
        <w:rPr>
          <w:rFonts w:ascii="Verdana" w:hAnsi="Verdana"/>
          <w:sz w:val="16"/>
          <w:szCs w:val="16"/>
        </w:rPr>
        <w:t>:</w:t>
      </w:r>
      <w:r w:rsidRPr="00353432">
        <w:rPr>
          <w:rFonts w:ascii="Verdana" w:hAnsi="Verdana"/>
          <w:sz w:val="16"/>
          <w:szCs w:val="16"/>
        </w:rPr>
        <w:t xml:space="preserve"> </w:t>
      </w:r>
      <w:r w:rsidRPr="001B24D9">
        <w:rPr>
          <w:rFonts w:ascii="Verdana" w:hAnsi="Verdana"/>
          <w:i/>
          <w:sz w:val="16"/>
          <w:szCs w:val="16"/>
        </w:rPr>
        <w:t>Derecho del niño a no ser objeto de ninguna forma de violencia</w:t>
      </w:r>
      <w:r w:rsidRPr="00353432">
        <w:rPr>
          <w:rFonts w:ascii="Verdana" w:hAnsi="Verdana"/>
          <w:sz w:val="16"/>
          <w:szCs w:val="16"/>
        </w:rPr>
        <w:t xml:space="preserve">. </w:t>
      </w:r>
      <w:r>
        <w:rPr>
          <w:rFonts w:ascii="Verdana" w:hAnsi="Verdana"/>
          <w:sz w:val="16"/>
          <w:szCs w:val="16"/>
        </w:rPr>
        <w:t xml:space="preserve">UN </w:t>
      </w:r>
      <w:r w:rsidRPr="00353432">
        <w:rPr>
          <w:rFonts w:ascii="Verdana" w:hAnsi="Verdana"/>
          <w:sz w:val="16"/>
          <w:szCs w:val="16"/>
        </w:rPr>
        <w:t>Doc. CRC/C/GC/13</w:t>
      </w:r>
      <w:r>
        <w:rPr>
          <w:rFonts w:ascii="Verdana" w:hAnsi="Verdana"/>
          <w:sz w:val="16"/>
          <w:szCs w:val="16"/>
        </w:rPr>
        <w:t>, 18 de abril de 2011</w:t>
      </w:r>
      <w:r w:rsidRPr="00353432">
        <w:rPr>
          <w:rFonts w:ascii="Verdana" w:hAnsi="Verdana"/>
          <w:sz w:val="16"/>
          <w:szCs w:val="16"/>
        </w:rPr>
        <w:t>, párr. 19.</w:t>
      </w:r>
      <w:r>
        <w:rPr>
          <w:rFonts w:ascii="Verdana" w:hAnsi="Verdana"/>
          <w:sz w:val="16"/>
          <w:szCs w:val="16"/>
        </w:rPr>
        <w:t xml:space="preserve"> María Isabel Ve</w:t>
      </w:r>
      <w:r w:rsidRPr="006229A7">
        <w:rPr>
          <w:rFonts w:ascii="Verdana" w:hAnsi="Verdana"/>
          <w:sz w:val="16"/>
          <w:szCs w:val="16"/>
        </w:rPr>
        <w:t>liz Franco, de 15 años al momento de su desaparición y muerte, es considerada niña, en tanto no surge de los argumentos o pruebas remitidos al Tribunal que una norma interna dispusiera una edad distinta</w:t>
      </w:r>
      <w:r>
        <w:rPr>
          <w:rFonts w:ascii="Verdana" w:hAnsi="Verdana"/>
          <w:sz w:val="16"/>
          <w:szCs w:val="16"/>
        </w:rPr>
        <w:t>.</w:t>
      </w:r>
    </w:p>
  </w:footnote>
  <w:footnote w:id="226">
    <w:p w:rsidR="0081535F" w:rsidRPr="00904DBD" w:rsidRDefault="0081535F" w:rsidP="00422232">
      <w:pPr>
        <w:pStyle w:val="Textonotapie"/>
        <w:ind w:left="-180" w:right="-174"/>
        <w:jc w:val="both"/>
        <w:rPr>
          <w:rFonts w:ascii="Verdana" w:hAnsi="Verdana"/>
          <w:b/>
          <w:sz w:val="16"/>
          <w:szCs w:val="16"/>
        </w:rPr>
      </w:pPr>
      <w:r w:rsidRPr="00353432">
        <w:rPr>
          <w:rStyle w:val="Refdenotaalpie"/>
          <w:rFonts w:ascii="Verdana" w:hAnsi="Verdana"/>
          <w:sz w:val="16"/>
          <w:szCs w:val="16"/>
        </w:rPr>
        <w:footnoteRef/>
      </w:r>
      <w:r>
        <w:rPr>
          <w:rFonts w:ascii="Verdana" w:hAnsi="Verdana"/>
          <w:sz w:val="16"/>
          <w:szCs w:val="16"/>
        </w:rPr>
        <w:t xml:space="preserve"> “Declaración y Plataforma de Acción Beijing”, Cuarta Conferencia Mundial sobre la Mujer, aprobada en la 16° sesión plenaria el 15 de septiembre de 1995, párr. 116. </w:t>
      </w:r>
      <w:r w:rsidRPr="00353432">
        <w:rPr>
          <w:rFonts w:ascii="Verdana" w:hAnsi="Verdana"/>
          <w:sz w:val="16"/>
          <w:szCs w:val="16"/>
        </w:rPr>
        <w:t>En términos análogos, la antigua Comisión de Derechos Humanos de Naciones Unidas había expresado que “</w:t>
      </w:r>
      <w:r w:rsidRPr="00353432">
        <w:rPr>
          <w:rFonts w:ascii="Verdana" w:hAnsi="Verdana" w:cs="TimesNewRoman"/>
          <w:sz w:val="16"/>
          <w:szCs w:val="16"/>
        </w:rPr>
        <w:t>algunos grupos de mujeres, como por ejemplo las mujeres […] niñas […] son […] particularmente vulnerables a la violencia”</w:t>
      </w:r>
      <w:r>
        <w:rPr>
          <w:rFonts w:ascii="Verdana" w:hAnsi="Verdana" w:cs="TimesNewRoman"/>
          <w:sz w:val="16"/>
          <w:szCs w:val="16"/>
        </w:rPr>
        <w:t xml:space="preserve">. </w:t>
      </w:r>
      <w:r>
        <w:rPr>
          <w:rFonts w:ascii="Verdana" w:hAnsi="Verdana" w:cs="TimesNewRoman"/>
          <w:i/>
          <w:sz w:val="16"/>
          <w:szCs w:val="16"/>
        </w:rPr>
        <w:t>Cfr.</w:t>
      </w:r>
      <w:r w:rsidRPr="00353432">
        <w:rPr>
          <w:rFonts w:ascii="Verdana" w:hAnsi="Verdana" w:cs="TimesNewRoman"/>
          <w:sz w:val="16"/>
          <w:szCs w:val="16"/>
        </w:rPr>
        <w:t xml:space="preserve"> </w:t>
      </w:r>
      <w:r w:rsidRPr="00353432">
        <w:rPr>
          <w:rFonts w:ascii="Verdana" w:hAnsi="Verdana" w:cs="TimesNewRoman,Bold"/>
          <w:bCs/>
          <w:sz w:val="16"/>
          <w:szCs w:val="16"/>
        </w:rPr>
        <w:t>La eliminación de la violencia contra la mujer. Resolución de la Comisión de Derechos Humanos 1998/52.</w:t>
      </w:r>
      <w:r w:rsidRPr="00353432">
        <w:rPr>
          <w:rFonts w:ascii="Verdana" w:hAnsi="Verdana" w:cs="TimesNewRoman"/>
          <w:sz w:val="16"/>
          <w:szCs w:val="16"/>
        </w:rPr>
        <w:t xml:space="preserve"> 52ª sesión, 17 de abril de 1998</w:t>
      </w:r>
      <w:r>
        <w:rPr>
          <w:rFonts w:ascii="Verdana" w:hAnsi="Verdana" w:cs="TimesNewRoman"/>
          <w:sz w:val="16"/>
          <w:szCs w:val="16"/>
        </w:rPr>
        <w:t>, considerando 6to</w:t>
      </w:r>
      <w:r w:rsidRPr="00353432">
        <w:rPr>
          <w:rFonts w:ascii="Verdana" w:hAnsi="Verdana" w:cs="TimesNewRoman"/>
          <w:sz w:val="16"/>
          <w:szCs w:val="16"/>
        </w:rPr>
        <w:t xml:space="preserve">. De forma más actual, </w:t>
      </w:r>
      <w:r w:rsidRPr="00353432">
        <w:rPr>
          <w:rFonts w:ascii="Verdana" w:hAnsi="Verdana"/>
          <w:sz w:val="16"/>
          <w:szCs w:val="16"/>
        </w:rPr>
        <w:t>el Comité de los Derechos del Niño ha indicado que “[t]anto los niños como las niñas corren el riesgo de sufrir todas las formas de violencia, pero la violencia suele tener un componente de género”</w:t>
      </w:r>
      <w:r>
        <w:rPr>
          <w:rFonts w:ascii="Verdana" w:hAnsi="Verdana"/>
          <w:sz w:val="16"/>
          <w:szCs w:val="16"/>
        </w:rPr>
        <w:t xml:space="preserve">. </w:t>
      </w:r>
      <w:r>
        <w:rPr>
          <w:rFonts w:ascii="Verdana" w:hAnsi="Verdana"/>
          <w:i/>
          <w:sz w:val="16"/>
          <w:szCs w:val="16"/>
        </w:rPr>
        <w:t xml:space="preserve">Cfr. </w:t>
      </w:r>
      <w:r w:rsidRPr="00353432">
        <w:rPr>
          <w:rFonts w:ascii="Verdana" w:hAnsi="Verdana"/>
          <w:sz w:val="16"/>
          <w:szCs w:val="16"/>
        </w:rPr>
        <w:t xml:space="preserve">Comité de los </w:t>
      </w:r>
      <w:r>
        <w:rPr>
          <w:rFonts w:ascii="Verdana" w:hAnsi="Verdana"/>
          <w:sz w:val="16"/>
          <w:szCs w:val="16"/>
        </w:rPr>
        <w:t>Derechos del Niño. Observación G</w:t>
      </w:r>
      <w:r w:rsidRPr="00353432">
        <w:rPr>
          <w:rFonts w:ascii="Verdana" w:hAnsi="Verdana"/>
          <w:sz w:val="16"/>
          <w:szCs w:val="16"/>
        </w:rPr>
        <w:t>eneral Nº 13</w:t>
      </w:r>
      <w:r>
        <w:rPr>
          <w:rFonts w:ascii="Verdana" w:hAnsi="Verdana"/>
          <w:sz w:val="16"/>
          <w:szCs w:val="16"/>
        </w:rPr>
        <w:t>:</w:t>
      </w:r>
      <w:r w:rsidRPr="00353432">
        <w:rPr>
          <w:rFonts w:ascii="Verdana" w:hAnsi="Verdana"/>
          <w:sz w:val="16"/>
          <w:szCs w:val="16"/>
        </w:rPr>
        <w:t xml:space="preserve"> </w:t>
      </w:r>
      <w:r w:rsidRPr="001B24D9">
        <w:rPr>
          <w:rFonts w:ascii="Verdana" w:hAnsi="Verdana"/>
          <w:i/>
          <w:sz w:val="16"/>
          <w:szCs w:val="16"/>
        </w:rPr>
        <w:t>Derecho del niño a no ser objeto de ninguna forma de violencia</w:t>
      </w:r>
      <w:r>
        <w:rPr>
          <w:rFonts w:ascii="Verdana" w:hAnsi="Verdana"/>
          <w:sz w:val="16"/>
          <w:szCs w:val="16"/>
        </w:rPr>
        <w:t xml:space="preserve">, </w:t>
      </w:r>
      <w:r>
        <w:rPr>
          <w:rFonts w:ascii="Verdana" w:hAnsi="Verdana"/>
          <w:i/>
          <w:sz w:val="16"/>
          <w:szCs w:val="16"/>
        </w:rPr>
        <w:t>supra</w:t>
      </w:r>
      <w:r w:rsidRPr="00383727">
        <w:rPr>
          <w:rFonts w:ascii="Verdana" w:hAnsi="Verdana"/>
          <w:sz w:val="16"/>
          <w:szCs w:val="16"/>
        </w:rPr>
        <w:t>.</w:t>
      </w:r>
      <w:r w:rsidRPr="00904DBD">
        <w:rPr>
          <w:rFonts w:ascii="Verdana" w:hAnsi="Verdana"/>
          <w:b/>
          <w:bCs/>
          <w:sz w:val="16"/>
          <w:szCs w:val="16"/>
          <w:highlight w:val="yellow"/>
          <w:lang w:val="es-MX"/>
        </w:rPr>
        <w:t xml:space="preserve"> </w:t>
      </w:r>
    </w:p>
  </w:footnote>
  <w:footnote w:id="227">
    <w:p w:rsidR="0081535F" w:rsidRPr="007F748D" w:rsidRDefault="0081535F" w:rsidP="00422232">
      <w:pPr>
        <w:pStyle w:val="Textonotapie"/>
        <w:spacing w:line="19" w:lineRule="atLeast"/>
        <w:ind w:left="-180" w:right="-174"/>
        <w:jc w:val="both"/>
        <w:rPr>
          <w:rFonts w:ascii="Verdana" w:hAnsi="Verdana"/>
          <w:b/>
          <w:sz w:val="16"/>
          <w:szCs w:val="16"/>
        </w:rPr>
      </w:pPr>
      <w:r w:rsidRPr="00364937">
        <w:rPr>
          <w:rFonts w:ascii="Verdana" w:hAnsi="Verdana"/>
          <w:sz w:val="16"/>
          <w:szCs w:val="16"/>
          <w:vertAlign w:val="superscript"/>
        </w:rPr>
        <w:footnoteRef/>
      </w:r>
      <w:r w:rsidRPr="00364937">
        <w:rPr>
          <w:rFonts w:ascii="Verdana" w:hAnsi="Verdana"/>
          <w:sz w:val="16"/>
          <w:szCs w:val="16"/>
          <w:vertAlign w:val="superscript"/>
        </w:rPr>
        <w:t xml:space="preserve"> </w:t>
      </w:r>
      <w:r w:rsidRPr="003A591C">
        <w:rPr>
          <w:rFonts w:ascii="Verdana" w:hAnsi="Verdana"/>
          <w:i/>
          <w:sz w:val="16"/>
          <w:szCs w:val="16"/>
        </w:rPr>
        <w:t>Cfr</w:t>
      </w:r>
      <w:r w:rsidRPr="003A591C">
        <w:rPr>
          <w:rFonts w:ascii="Verdana" w:hAnsi="Verdana"/>
          <w:sz w:val="16"/>
          <w:szCs w:val="16"/>
        </w:rPr>
        <w:t xml:space="preserve">. </w:t>
      </w:r>
      <w:r w:rsidRPr="003622B1">
        <w:rPr>
          <w:rFonts w:ascii="Verdana" w:hAnsi="Verdana"/>
          <w:i/>
          <w:sz w:val="16"/>
          <w:szCs w:val="16"/>
        </w:rPr>
        <w:t>Caso Velásquez</w:t>
      </w:r>
      <w:r w:rsidRPr="00CB2CDD">
        <w:rPr>
          <w:rFonts w:ascii="Verdana" w:hAnsi="Verdana"/>
          <w:i/>
          <w:sz w:val="16"/>
          <w:szCs w:val="16"/>
        </w:rPr>
        <w:t xml:space="preserve"> Rodríguez</w:t>
      </w:r>
      <w:r w:rsidRPr="00401C25">
        <w:rPr>
          <w:rFonts w:ascii="Verdana" w:hAnsi="Verdana"/>
          <w:i/>
          <w:sz w:val="16"/>
          <w:szCs w:val="16"/>
        </w:rPr>
        <w:t>. Fondo</w:t>
      </w:r>
      <w:r>
        <w:rPr>
          <w:rFonts w:ascii="Verdana" w:hAnsi="Verdana"/>
          <w:i/>
          <w:sz w:val="16"/>
          <w:szCs w:val="16"/>
        </w:rPr>
        <w:t>, supra</w:t>
      </w:r>
      <w:r w:rsidRPr="003A591C">
        <w:rPr>
          <w:rFonts w:ascii="Verdana" w:hAnsi="Verdana"/>
          <w:i/>
          <w:sz w:val="16"/>
          <w:szCs w:val="16"/>
        </w:rPr>
        <w:t xml:space="preserve">, </w:t>
      </w:r>
      <w:r w:rsidRPr="003A591C">
        <w:rPr>
          <w:rFonts w:ascii="Verdana" w:hAnsi="Verdana"/>
          <w:sz w:val="16"/>
          <w:szCs w:val="16"/>
        </w:rPr>
        <w:t xml:space="preserve">párr. </w:t>
      </w:r>
      <w:r>
        <w:rPr>
          <w:rFonts w:ascii="Verdana" w:hAnsi="Verdana"/>
          <w:sz w:val="16"/>
          <w:szCs w:val="16"/>
        </w:rPr>
        <w:t>175;</w:t>
      </w:r>
      <w:r w:rsidRPr="003A591C">
        <w:rPr>
          <w:rFonts w:ascii="Verdana" w:hAnsi="Verdana"/>
          <w:sz w:val="16"/>
          <w:szCs w:val="16"/>
        </w:rPr>
        <w:t xml:space="preserve"> </w:t>
      </w:r>
      <w:r w:rsidRPr="003A591C">
        <w:rPr>
          <w:rFonts w:ascii="Verdana" w:hAnsi="Verdana"/>
          <w:i/>
          <w:sz w:val="16"/>
          <w:szCs w:val="16"/>
        </w:rPr>
        <w:t>Caso González y otras (“Campo Algodonero”)</w:t>
      </w:r>
      <w:r>
        <w:rPr>
          <w:rFonts w:ascii="Verdana" w:hAnsi="Verdana"/>
          <w:i/>
          <w:sz w:val="16"/>
          <w:szCs w:val="16"/>
        </w:rPr>
        <w:t>, supra</w:t>
      </w:r>
      <w:r w:rsidRPr="003A591C">
        <w:rPr>
          <w:rFonts w:ascii="Verdana" w:hAnsi="Verdana"/>
          <w:sz w:val="16"/>
          <w:szCs w:val="16"/>
        </w:rPr>
        <w:t xml:space="preserve">, </w:t>
      </w:r>
      <w:r w:rsidRPr="00036337">
        <w:rPr>
          <w:rFonts w:ascii="Verdana" w:hAnsi="Verdana"/>
          <w:sz w:val="16"/>
          <w:szCs w:val="16"/>
        </w:rPr>
        <w:t>párr. 252, y</w:t>
      </w:r>
      <w:r>
        <w:rPr>
          <w:rFonts w:ascii="Verdana" w:hAnsi="Verdana"/>
          <w:sz w:val="16"/>
          <w:szCs w:val="16"/>
        </w:rPr>
        <w:t xml:space="preserve"> </w:t>
      </w:r>
      <w:r w:rsidRPr="003622B1">
        <w:rPr>
          <w:rFonts w:ascii="Verdana" w:hAnsi="Verdana"/>
          <w:i/>
          <w:sz w:val="16"/>
          <w:szCs w:val="16"/>
        </w:rPr>
        <w:t>Caso Luna López Vs. Honduras. Fondo, Reparaciones y Costas</w:t>
      </w:r>
      <w:r>
        <w:rPr>
          <w:rFonts w:ascii="Verdana" w:hAnsi="Verdana"/>
          <w:sz w:val="16"/>
          <w:szCs w:val="16"/>
        </w:rPr>
        <w:t>. Sentencia de 10 de octubre de 2013. Serie C No. 269, párr. 118.</w:t>
      </w:r>
      <w:r w:rsidRPr="007F748D">
        <w:rPr>
          <w:rFonts w:ascii="Verdana" w:hAnsi="Verdana"/>
          <w:b/>
          <w:sz w:val="16"/>
          <w:szCs w:val="16"/>
        </w:rPr>
        <w:t xml:space="preserve"> </w:t>
      </w:r>
    </w:p>
  </w:footnote>
  <w:footnote w:id="228">
    <w:p w:rsidR="0081535F" w:rsidRPr="00353432" w:rsidRDefault="0081535F" w:rsidP="00422232">
      <w:pPr>
        <w:pStyle w:val="Textonotapie"/>
        <w:spacing w:line="19" w:lineRule="atLeast"/>
        <w:ind w:left="-180" w:right="-174"/>
        <w:jc w:val="both"/>
        <w:rPr>
          <w:rFonts w:ascii="Verdana" w:hAnsi="Verdana"/>
          <w:sz w:val="16"/>
          <w:szCs w:val="16"/>
          <w:lang w:val="es-ES"/>
        </w:rPr>
      </w:pPr>
      <w:r w:rsidRPr="00353432">
        <w:rPr>
          <w:rStyle w:val="Refdenotaalpie"/>
          <w:rFonts w:ascii="Verdana" w:hAnsi="Verdana"/>
          <w:sz w:val="16"/>
          <w:szCs w:val="16"/>
        </w:rPr>
        <w:footnoteRef/>
      </w:r>
      <w:r w:rsidRPr="00353432">
        <w:rPr>
          <w:rFonts w:ascii="Verdana" w:hAnsi="Verdana"/>
          <w:sz w:val="16"/>
          <w:szCs w:val="16"/>
        </w:rPr>
        <w:t>De este modo, la Corte ya ha advertido que “</w:t>
      </w:r>
      <w:r w:rsidRPr="00353432">
        <w:rPr>
          <w:rFonts w:ascii="Verdana" w:hAnsi="Verdana"/>
          <w:sz w:val="16"/>
          <w:szCs w:val="16"/>
          <w:lang w:val="es-EC"/>
        </w:rPr>
        <w:t>el CEDAW estableció que ‘los Estados también pueden ser responsables de actos privados si no adoptan medidas con la diligencia debida para impedir la violación de los derechos o para investigar y castigar los actos de violencia e indemnizar a las víctimas’” (</w:t>
      </w:r>
      <w:r w:rsidRPr="00353432">
        <w:rPr>
          <w:rFonts w:ascii="Verdana" w:hAnsi="Verdana"/>
          <w:i/>
          <w:sz w:val="16"/>
          <w:szCs w:val="16"/>
        </w:rPr>
        <w:t>Caso González y otras (“Campo Algodonero”)</w:t>
      </w:r>
      <w:r>
        <w:rPr>
          <w:rFonts w:ascii="Verdana" w:hAnsi="Verdana"/>
          <w:i/>
          <w:sz w:val="16"/>
          <w:szCs w:val="16"/>
        </w:rPr>
        <w:t>, supra</w:t>
      </w:r>
      <w:r w:rsidRPr="00353432">
        <w:rPr>
          <w:rFonts w:ascii="Verdana" w:hAnsi="Verdana"/>
          <w:sz w:val="16"/>
          <w:szCs w:val="16"/>
        </w:rPr>
        <w:t>, párr. 254. El documento respectivo fue citado por el Tribunal: “</w:t>
      </w:r>
      <w:r w:rsidRPr="00353432">
        <w:rPr>
          <w:rFonts w:ascii="Verdana" w:hAnsi="Verdana"/>
          <w:sz w:val="16"/>
          <w:szCs w:val="16"/>
          <w:lang w:val="es-EC"/>
        </w:rPr>
        <w:t xml:space="preserve">CEDAW, </w:t>
      </w:r>
      <w:r w:rsidRPr="00353432">
        <w:rPr>
          <w:rFonts w:ascii="Verdana" w:hAnsi="Verdana"/>
          <w:sz w:val="16"/>
          <w:szCs w:val="16"/>
        </w:rPr>
        <w:t>Recomendación general 19: La Violencia contra la Mujer, 11°</w:t>
      </w:r>
      <w:r>
        <w:rPr>
          <w:rFonts w:ascii="Verdana" w:hAnsi="Verdana"/>
          <w:sz w:val="16"/>
          <w:szCs w:val="16"/>
        </w:rPr>
        <w:t xml:space="preserve"> </w:t>
      </w:r>
      <w:r w:rsidRPr="00353432">
        <w:rPr>
          <w:rFonts w:ascii="Verdana" w:hAnsi="Verdana"/>
          <w:sz w:val="16"/>
          <w:szCs w:val="16"/>
        </w:rPr>
        <w:t>período de sesiones, 1992, U</w:t>
      </w:r>
      <w:r>
        <w:rPr>
          <w:rFonts w:ascii="Verdana" w:hAnsi="Verdana"/>
          <w:sz w:val="16"/>
          <w:szCs w:val="16"/>
        </w:rPr>
        <w:t>N</w:t>
      </w:r>
      <w:r w:rsidRPr="00353432">
        <w:rPr>
          <w:rFonts w:ascii="Verdana" w:hAnsi="Verdana"/>
          <w:sz w:val="16"/>
          <w:szCs w:val="16"/>
        </w:rPr>
        <w:t xml:space="preserve"> Doc. HRI\GEN\1\Rev.1 at 84 (1994), párr. 9”. </w:t>
      </w:r>
      <w:r w:rsidRPr="00353432">
        <w:rPr>
          <w:rFonts w:ascii="Verdana" w:hAnsi="Verdana"/>
          <w:sz w:val="16"/>
          <w:szCs w:val="16"/>
          <w:lang w:val="es-ES"/>
        </w:rPr>
        <w:t>A</w:t>
      </w:r>
      <w:r>
        <w:rPr>
          <w:rFonts w:ascii="Verdana" w:hAnsi="Verdana"/>
          <w:sz w:val="16"/>
          <w:szCs w:val="16"/>
          <w:lang w:val="es-ES"/>
        </w:rPr>
        <w:t>demás, la Declaración sobre la Eliminación de la Violencia contra la M</w:t>
      </w:r>
      <w:r w:rsidRPr="00353432">
        <w:rPr>
          <w:rFonts w:ascii="Verdana" w:hAnsi="Verdana"/>
          <w:sz w:val="16"/>
          <w:szCs w:val="16"/>
          <w:lang w:val="es-ES"/>
        </w:rPr>
        <w:t xml:space="preserve">ujer (adoptada por la Asamblea General de las Naciones Unidas en su </w:t>
      </w:r>
      <w:r w:rsidRPr="00353432">
        <w:rPr>
          <w:rFonts w:ascii="Verdana" w:hAnsi="Verdana"/>
          <w:sz w:val="16"/>
          <w:szCs w:val="16"/>
        </w:rPr>
        <w:t>85ª sesión plenaria, el 20 de diciembre de 1993</w:t>
      </w:r>
      <w:r w:rsidRPr="005B10B4">
        <w:rPr>
          <w:rFonts w:ascii="Verdana" w:hAnsi="Verdana"/>
          <w:sz w:val="16"/>
          <w:szCs w:val="16"/>
          <w:lang w:val="es-ES"/>
        </w:rPr>
        <w:t>)</w:t>
      </w:r>
      <w:r w:rsidRPr="00353432">
        <w:rPr>
          <w:rFonts w:ascii="Verdana" w:hAnsi="Verdana"/>
          <w:sz w:val="16"/>
          <w:szCs w:val="16"/>
          <w:lang w:val="es-ES"/>
        </w:rPr>
        <w:t>, indica en su cuarto artículo</w:t>
      </w:r>
      <w:r>
        <w:rPr>
          <w:rFonts w:ascii="Verdana" w:hAnsi="Verdana"/>
          <w:sz w:val="16"/>
          <w:szCs w:val="16"/>
          <w:lang w:val="es-ES"/>
        </w:rPr>
        <w:t xml:space="preserve">, </w:t>
      </w:r>
      <w:r>
        <w:rPr>
          <w:rFonts w:ascii="Verdana" w:hAnsi="Verdana"/>
          <w:i/>
          <w:sz w:val="16"/>
          <w:szCs w:val="16"/>
          <w:lang w:val="es-ES"/>
        </w:rPr>
        <w:t>inter alia</w:t>
      </w:r>
      <w:r>
        <w:rPr>
          <w:rFonts w:ascii="Verdana" w:hAnsi="Verdana"/>
          <w:sz w:val="16"/>
          <w:szCs w:val="16"/>
          <w:lang w:val="es-ES"/>
        </w:rPr>
        <w:t>,</w:t>
      </w:r>
      <w:r w:rsidRPr="00353432">
        <w:rPr>
          <w:rFonts w:ascii="Verdana" w:hAnsi="Verdana"/>
          <w:sz w:val="16"/>
          <w:szCs w:val="16"/>
          <w:lang w:val="es-ES"/>
        </w:rPr>
        <w:t xml:space="preserve"> que “[l]</w:t>
      </w:r>
      <w:r w:rsidRPr="00353432">
        <w:rPr>
          <w:rFonts w:ascii="Verdana" w:hAnsi="Verdana"/>
          <w:sz w:val="16"/>
          <w:szCs w:val="16"/>
        </w:rPr>
        <w:t>os Estados deben aplicar por todos los medios apropiados y sin demora una política encaminada a eliminar la violencia contra la mujer. Con este fin, deberán: […] c) Proceder con la debida diligencia a fin de prevenir, investigar y, conforme a la legislación nacional, castigar todo acto de violencia contra la mujer, ya se trate de actos perpetrados por el Estado o por particulares</w:t>
      </w:r>
      <w:r>
        <w:rPr>
          <w:rFonts w:ascii="Verdana" w:hAnsi="Verdana"/>
          <w:sz w:val="16"/>
          <w:szCs w:val="16"/>
        </w:rPr>
        <w:t>”</w:t>
      </w:r>
      <w:r w:rsidRPr="00353432">
        <w:rPr>
          <w:rFonts w:ascii="Verdana" w:hAnsi="Verdana"/>
          <w:sz w:val="16"/>
          <w:szCs w:val="16"/>
        </w:rPr>
        <w:t>. Por otra parte, en 1995 la Declaración y Plataforma de Acción de Beijing, aprobada por la Cuarta conferencia Mundial sobre la Muje</w:t>
      </w:r>
      <w:r>
        <w:rPr>
          <w:rFonts w:ascii="Verdana" w:hAnsi="Verdana"/>
          <w:sz w:val="16"/>
          <w:szCs w:val="16"/>
        </w:rPr>
        <w:t>r (en la 16ª sesión plenaria, celebrada el 15 de septiembre de 1995)</w:t>
      </w:r>
      <w:r w:rsidRPr="00353432">
        <w:rPr>
          <w:rFonts w:ascii="Verdana" w:hAnsi="Verdana"/>
          <w:sz w:val="16"/>
          <w:szCs w:val="16"/>
        </w:rPr>
        <w:t xml:space="preserve"> indicó, en el apartado vigésimo noveno de la Declaración, el compromiso de los gobiernos de, </w:t>
      </w:r>
      <w:r w:rsidRPr="00353432">
        <w:rPr>
          <w:rFonts w:ascii="Verdana" w:hAnsi="Verdana"/>
          <w:i/>
          <w:sz w:val="16"/>
          <w:szCs w:val="16"/>
        </w:rPr>
        <w:t>inter alia</w:t>
      </w:r>
      <w:r w:rsidRPr="00353432">
        <w:rPr>
          <w:rFonts w:ascii="Verdana" w:hAnsi="Verdana"/>
          <w:sz w:val="16"/>
          <w:szCs w:val="16"/>
        </w:rPr>
        <w:t>, [p]revenir y eliminar todas las formas de violencia contra las mujeres y las niñas”. En los apartados b) y d) del párrafo 124 de la Plataforma de Acción, se indicó</w:t>
      </w:r>
      <w:r>
        <w:rPr>
          <w:rFonts w:ascii="Verdana" w:hAnsi="Verdana"/>
          <w:sz w:val="16"/>
          <w:szCs w:val="16"/>
        </w:rPr>
        <w:t xml:space="preserve"> el deber de los gobiernos de adoptar medidas relativas a la prevención e investigación de actos de violencia contra la mujer, inclusive perpetrados por particulares</w:t>
      </w:r>
      <w:r w:rsidRPr="00353432">
        <w:rPr>
          <w:rFonts w:ascii="Verdana" w:hAnsi="Verdana"/>
          <w:sz w:val="16"/>
          <w:szCs w:val="16"/>
        </w:rPr>
        <w:t>. Guatemala participó en dicha Conferencia, expresó que  “no acepta […] ninguna forma de violencia que afecte a las mujeres” y afirmó que “es obligación del Estado protegerla y asegurar condiciones para que disfrute de sus derechos en situación de igualdad”</w:t>
      </w:r>
      <w:r>
        <w:rPr>
          <w:rFonts w:ascii="Verdana" w:hAnsi="Verdana"/>
          <w:sz w:val="16"/>
          <w:szCs w:val="16"/>
        </w:rPr>
        <w:t xml:space="preserve">. </w:t>
      </w:r>
      <w:r>
        <w:rPr>
          <w:rFonts w:ascii="Verdana" w:hAnsi="Verdana"/>
          <w:i/>
          <w:sz w:val="16"/>
          <w:szCs w:val="16"/>
        </w:rPr>
        <w:t xml:space="preserve">Cfr. </w:t>
      </w:r>
      <w:r w:rsidRPr="00353432">
        <w:rPr>
          <w:rFonts w:ascii="Verdana" w:hAnsi="Verdana"/>
          <w:sz w:val="16"/>
          <w:szCs w:val="16"/>
        </w:rPr>
        <w:t>Mensaje del señor Presidente Constitucional de la República de Guatemala, Licenciado Ramiro De León Carpio a la IV Conferencia Mundial sobre la Mujer</w:t>
      </w:r>
      <w:r>
        <w:rPr>
          <w:rFonts w:ascii="Verdana" w:hAnsi="Verdana"/>
          <w:sz w:val="16"/>
          <w:szCs w:val="16"/>
        </w:rPr>
        <w:t xml:space="preserve">, </w:t>
      </w:r>
      <w:r>
        <w:rPr>
          <w:rFonts w:ascii="Verdana" w:hAnsi="Verdana"/>
          <w:i/>
          <w:sz w:val="16"/>
          <w:szCs w:val="16"/>
        </w:rPr>
        <w:t>supra</w:t>
      </w:r>
      <w:r w:rsidRPr="00353432">
        <w:rPr>
          <w:rFonts w:ascii="Verdana" w:hAnsi="Verdana"/>
          <w:sz w:val="16"/>
          <w:szCs w:val="16"/>
        </w:rPr>
        <w:t xml:space="preserve">. </w:t>
      </w:r>
      <w:r w:rsidRPr="00353432">
        <w:rPr>
          <w:rFonts w:ascii="Verdana" w:hAnsi="Verdana"/>
          <w:sz w:val="16"/>
          <w:szCs w:val="16"/>
          <w:lang w:val="es-ES"/>
        </w:rPr>
        <w:t>Por su parte, la Relatora Especial de las Naciones Unidas sobre la violencia contra la mujer y sus causas y consecuencias observó que el derecho consuetudinario prevé la responsabilidad del Estado por violaciones de derechos humanos de la mujer por parte de particulares. (Comisión Interamericana Mujeres (CIM) de la Organización de Estados Americanos, Centro Internacional para la Reforma del Derecho Penal y la Política en Materia de Justicia Penal (ICCLR), e Instituto Latinoamericano de las Naciones Unidas para la Prevención del Delito y el Tratamiento del Delincuente (ILANUD) Programa Mujer, Justicia y Género; Violencia en las Américas. Un Análisis Regional con un examen del cumplimiento de la Convención Interamericana para Prevenir, Sancionar y Erradicar la Violencia contra la Mujer (Convención de Belém do Pará) Informe Final, Julio 2001, pág. 33. El documento cita el siguiente texto: “Coomaraswamy, Radhika (1995). Informe preliminar presentado por la Relatora Especial sobre violencia contra la mujer, sus causas y consecuencias, Sra. Radhika Coomaraswamy, de conformidad con la resolución de la Comisión de Derechos Humanos 1994/45. Ginebra: Comisión de las Naciones Unidas de Derechos Humanos, quincuagésimo período de sesiones (E/CN.4/1995/42)”.</w:t>
      </w:r>
    </w:p>
  </w:footnote>
  <w:footnote w:id="229">
    <w:p w:rsidR="0081535F" w:rsidRPr="00353432" w:rsidRDefault="0081535F" w:rsidP="00422232">
      <w:pPr>
        <w:pStyle w:val="Textonotapie"/>
        <w:spacing w:line="19" w:lineRule="atLeast"/>
        <w:ind w:left="-180" w:right="-174"/>
        <w:jc w:val="both"/>
        <w:rPr>
          <w:rFonts w:ascii="Verdana" w:hAnsi="Verdana"/>
          <w:sz w:val="16"/>
          <w:szCs w:val="16"/>
        </w:rPr>
      </w:pPr>
      <w:r w:rsidRPr="00353432">
        <w:rPr>
          <w:rStyle w:val="Refdenotaalpie"/>
          <w:rFonts w:ascii="Verdana" w:hAnsi="Verdana"/>
          <w:sz w:val="16"/>
          <w:szCs w:val="16"/>
        </w:rPr>
        <w:footnoteRef/>
      </w:r>
      <w:r>
        <w:rPr>
          <w:rFonts w:ascii="Verdana" w:hAnsi="Verdana"/>
          <w:sz w:val="16"/>
          <w:szCs w:val="16"/>
        </w:rPr>
        <w:t xml:space="preserve"> </w:t>
      </w:r>
      <w:r w:rsidRPr="00353432">
        <w:rPr>
          <w:rFonts w:ascii="Verdana" w:hAnsi="Verdana"/>
          <w:bCs/>
          <w:sz w:val="16"/>
          <w:szCs w:val="16"/>
        </w:rPr>
        <w:t xml:space="preserve">El Comité de los Derechos del Niño ha indicado que </w:t>
      </w:r>
      <w:r w:rsidRPr="00353432">
        <w:rPr>
          <w:rFonts w:ascii="Verdana" w:hAnsi="Verdana"/>
          <w:sz w:val="16"/>
          <w:szCs w:val="16"/>
        </w:rPr>
        <w:t>“los adolescentes de hasta 18 años de edad son titulares de todos los derechos consagrados en la Convención [sobre los Derechos del Niño]; tienen derecho a medidas especiales de protección</w:t>
      </w:r>
      <w:r w:rsidRPr="007944A6">
        <w:rPr>
          <w:rFonts w:ascii="Verdana" w:hAnsi="Verdana"/>
          <w:sz w:val="16"/>
          <w:szCs w:val="16"/>
        </w:rPr>
        <w:t xml:space="preserve">”. Comité de los Derechos del Niño. Observaciones Observación General No. 4: </w:t>
      </w:r>
      <w:r w:rsidRPr="007944A6">
        <w:rPr>
          <w:rFonts w:ascii="Verdana" w:hAnsi="Verdana"/>
          <w:i/>
          <w:sz w:val="16"/>
          <w:szCs w:val="16"/>
        </w:rPr>
        <w:t>La salud y el desarrollo de los adolescentes en el contexto de la Convención sobre los Derechos del Niño</w:t>
      </w:r>
      <w:r w:rsidRPr="007944A6">
        <w:rPr>
          <w:rFonts w:ascii="Verdana" w:hAnsi="Verdana"/>
          <w:sz w:val="16"/>
          <w:szCs w:val="16"/>
        </w:rPr>
        <w:t>. UN Doc. CRC/GC/2003/4, 21 de julio de 2003, párrs. 1 y 2.</w:t>
      </w:r>
    </w:p>
  </w:footnote>
  <w:footnote w:id="230">
    <w:p w:rsidR="0081535F" w:rsidRPr="00AA2E4B" w:rsidRDefault="0081535F" w:rsidP="00422232">
      <w:pPr>
        <w:pStyle w:val="Textonotapie"/>
        <w:spacing w:line="19" w:lineRule="atLeast"/>
        <w:ind w:left="-180" w:right="-174"/>
        <w:jc w:val="both"/>
        <w:rPr>
          <w:rFonts w:ascii="Verdana" w:hAnsi="Verdana"/>
          <w:sz w:val="16"/>
          <w:szCs w:val="16"/>
        </w:rPr>
      </w:pPr>
      <w:r w:rsidRPr="00353432">
        <w:rPr>
          <w:rStyle w:val="Refdenotaalpie"/>
          <w:rFonts w:ascii="Verdana" w:hAnsi="Verdana"/>
          <w:sz w:val="16"/>
          <w:szCs w:val="16"/>
        </w:rPr>
        <w:footnoteRef/>
      </w:r>
      <w:r>
        <w:rPr>
          <w:rFonts w:ascii="Verdana" w:hAnsi="Verdana"/>
          <w:i/>
          <w:sz w:val="16"/>
          <w:szCs w:val="16"/>
          <w:lang w:val="es-ES"/>
        </w:rPr>
        <w:t xml:space="preserve"> </w:t>
      </w:r>
      <w:r w:rsidRPr="00353432">
        <w:rPr>
          <w:rFonts w:ascii="Verdana" w:hAnsi="Verdana"/>
          <w:i/>
          <w:sz w:val="16"/>
          <w:szCs w:val="16"/>
          <w:lang w:val="es-ES"/>
        </w:rPr>
        <w:t>Caso González y otras (“Campo Algodonero”)</w:t>
      </w:r>
      <w:r>
        <w:rPr>
          <w:rFonts w:ascii="Verdana" w:hAnsi="Verdana"/>
          <w:i/>
          <w:sz w:val="16"/>
          <w:szCs w:val="16"/>
          <w:lang w:val="es-ES"/>
        </w:rPr>
        <w:t>, supra</w:t>
      </w:r>
      <w:r w:rsidRPr="00AA2E4B">
        <w:rPr>
          <w:rFonts w:ascii="Verdana" w:hAnsi="Verdana"/>
          <w:sz w:val="16"/>
          <w:szCs w:val="16"/>
        </w:rPr>
        <w:t xml:space="preserve">, párr. 258. </w:t>
      </w:r>
    </w:p>
  </w:footnote>
  <w:footnote w:id="231">
    <w:p w:rsidR="0081535F" w:rsidRPr="0084169F" w:rsidRDefault="0081535F" w:rsidP="00422232">
      <w:pPr>
        <w:pStyle w:val="Textonotapie"/>
        <w:spacing w:line="19" w:lineRule="atLeast"/>
        <w:ind w:left="-180" w:right="-174"/>
        <w:jc w:val="both"/>
        <w:rPr>
          <w:rFonts w:ascii="Verdana" w:hAnsi="Verdana"/>
          <w:sz w:val="16"/>
          <w:szCs w:val="16"/>
          <w:lang w:val="es-ES"/>
        </w:rPr>
      </w:pPr>
      <w:r w:rsidRPr="00AA2E4B">
        <w:rPr>
          <w:rFonts w:ascii="Verdana" w:hAnsi="Verdana"/>
          <w:sz w:val="16"/>
          <w:szCs w:val="16"/>
          <w:vertAlign w:val="superscript"/>
        </w:rPr>
        <w:footnoteRef/>
      </w:r>
      <w:r>
        <w:rPr>
          <w:rFonts w:ascii="Verdana" w:hAnsi="Verdana"/>
          <w:sz w:val="16"/>
          <w:szCs w:val="16"/>
          <w:vertAlign w:val="superscript"/>
        </w:rPr>
        <w:t xml:space="preserve"> </w:t>
      </w:r>
      <w:r w:rsidRPr="003622B1">
        <w:rPr>
          <w:rFonts w:ascii="Verdana" w:hAnsi="Verdana"/>
          <w:i/>
          <w:sz w:val="16"/>
          <w:szCs w:val="16"/>
        </w:rPr>
        <w:t>Caso de la Masacre de Pueblo Bello Vs. Colombia.</w:t>
      </w:r>
      <w:r>
        <w:rPr>
          <w:rFonts w:ascii="Verdana" w:hAnsi="Verdana"/>
          <w:sz w:val="16"/>
          <w:szCs w:val="16"/>
        </w:rPr>
        <w:t xml:space="preserve"> </w:t>
      </w:r>
      <w:r w:rsidRPr="00036337">
        <w:rPr>
          <w:rFonts w:ascii="Verdana" w:hAnsi="Verdana"/>
          <w:sz w:val="16"/>
          <w:szCs w:val="16"/>
        </w:rPr>
        <w:t xml:space="preserve">Sentencia de 31 de enero de 2006. Serie C No. 140, párr. 123; </w:t>
      </w:r>
      <w:r w:rsidRPr="00036337">
        <w:rPr>
          <w:rFonts w:ascii="Verdana" w:hAnsi="Verdana"/>
          <w:i/>
          <w:sz w:val="16"/>
          <w:szCs w:val="16"/>
        </w:rPr>
        <w:t>Caso González y otras (“Campo Algodonero”)</w:t>
      </w:r>
      <w:r>
        <w:rPr>
          <w:rFonts w:ascii="Verdana" w:hAnsi="Verdana"/>
          <w:i/>
          <w:sz w:val="16"/>
          <w:szCs w:val="16"/>
        </w:rPr>
        <w:t>, supra</w:t>
      </w:r>
      <w:r w:rsidRPr="00036337">
        <w:rPr>
          <w:rFonts w:ascii="Verdana" w:hAnsi="Verdana"/>
          <w:sz w:val="16"/>
          <w:szCs w:val="16"/>
        </w:rPr>
        <w:t xml:space="preserve">, </w:t>
      </w:r>
      <w:r>
        <w:rPr>
          <w:rFonts w:ascii="Verdana" w:hAnsi="Verdana"/>
          <w:sz w:val="16"/>
          <w:szCs w:val="16"/>
        </w:rPr>
        <w:t>párr.</w:t>
      </w:r>
      <w:r w:rsidRPr="00036337">
        <w:rPr>
          <w:rFonts w:ascii="Verdana" w:hAnsi="Verdana"/>
          <w:sz w:val="16"/>
          <w:szCs w:val="16"/>
        </w:rPr>
        <w:t xml:space="preserve"> 280,</w:t>
      </w:r>
      <w:r>
        <w:rPr>
          <w:rFonts w:ascii="Verdana" w:hAnsi="Verdana"/>
          <w:sz w:val="16"/>
          <w:szCs w:val="16"/>
        </w:rPr>
        <w:t xml:space="preserve"> y </w:t>
      </w:r>
      <w:r w:rsidRPr="003622B1">
        <w:rPr>
          <w:rFonts w:ascii="Verdana" w:hAnsi="Verdana"/>
          <w:i/>
          <w:sz w:val="16"/>
          <w:szCs w:val="16"/>
        </w:rPr>
        <w:t>Caso Luna Lópe</w:t>
      </w:r>
      <w:r>
        <w:rPr>
          <w:rFonts w:ascii="Verdana" w:hAnsi="Verdana"/>
          <w:i/>
          <w:sz w:val="16"/>
          <w:szCs w:val="16"/>
        </w:rPr>
        <w:t>z, supra</w:t>
      </w:r>
      <w:r>
        <w:rPr>
          <w:rFonts w:ascii="Verdana" w:hAnsi="Verdana"/>
          <w:sz w:val="16"/>
          <w:szCs w:val="16"/>
        </w:rPr>
        <w:t>, párr. 120.</w:t>
      </w:r>
    </w:p>
  </w:footnote>
  <w:footnote w:id="232">
    <w:p w:rsidR="0081535F" w:rsidRPr="00F70200" w:rsidRDefault="0081535F" w:rsidP="00422232">
      <w:pPr>
        <w:pStyle w:val="Textonotapie"/>
        <w:ind w:left="-180" w:right="-174"/>
        <w:jc w:val="both"/>
      </w:pPr>
      <w:r w:rsidRPr="0084169F">
        <w:rPr>
          <w:rStyle w:val="Refdenotaalpie"/>
          <w:rFonts w:ascii="Verdana" w:hAnsi="Verdana"/>
          <w:sz w:val="16"/>
          <w:szCs w:val="16"/>
        </w:rPr>
        <w:footnoteRef/>
      </w:r>
      <w:r w:rsidRPr="0084169F">
        <w:rPr>
          <w:rFonts w:ascii="Verdana" w:hAnsi="Verdana"/>
          <w:sz w:val="16"/>
          <w:szCs w:val="16"/>
        </w:rPr>
        <w:t xml:space="preserve"> </w:t>
      </w:r>
      <w:r w:rsidRPr="0084169F">
        <w:rPr>
          <w:rFonts w:ascii="Verdana" w:hAnsi="Verdana"/>
          <w:i/>
          <w:sz w:val="16"/>
          <w:szCs w:val="16"/>
          <w:lang w:val="es-ES"/>
        </w:rPr>
        <w:t>Caso González y otras (“Campo Algodonero”)</w:t>
      </w:r>
      <w:r>
        <w:rPr>
          <w:rFonts w:ascii="Verdana" w:hAnsi="Verdana"/>
          <w:i/>
          <w:sz w:val="16"/>
          <w:szCs w:val="16"/>
          <w:lang w:val="es-ES"/>
        </w:rPr>
        <w:t>, supra</w:t>
      </w:r>
      <w:r w:rsidRPr="0084169F">
        <w:rPr>
          <w:rFonts w:ascii="Verdana" w:hAnsi="Verdana"/>
          <w:sz w:val="16"/>
          <w:szCs w:val="16"/>
          <w:lang w:val="es-ES"/>
        </w:rPr>
        <w:t>, párr. 282.</w:t>
      </w:r>
    </w:p>
  </w:footnote>
  <w:footnote w:id="233">
    <w:p w:rsidR="0081535F" w:rsidRDefault="0081535F" w:rsidP="00422232">
      <w:pPr>
        <w:pStyle w:val="Textonotapie"/>
        <w:ind w:left="-180" w:right="-174"/>
        <w:jc w:val="both"/>
      </w:pPr>
      <w:r w:rsidRPr="00904DBD">
        <w:rPr>
          <w:rStyle w:val="Refdenotaalpie"/>
          <w:rFonts w:ascii="Verdana" w:hAnsi="Verdana"/>
          <w:sz w:val="16"/>
          <w:szCs w:val="16"/>
        </w:rPr>
        <w:footnoteRef/>
      </w:r>
      <w:r w:rsidRPr="00904DBD">
        <w:rPr>
          <w:rFonts w:ascii="Verdana" w:hAnsi="Verdana"/>
          <w:sz w:val="16"/>
          <w:szCs w:val="16"/>
        </w:rPr>
        <w:t xml:space="preserve"> </w:t>
      </w:r>
      <w:r w:rsidRPr="0084169F">
        <w:rPr>
          <w:rFonts w:ascii="Verdana" w:hAnsi="Verdana"/>
          <w:i/>
          <w:sz w:val="16"/>
          <w:szCs w:val="16"/>
          <w:lang w:val="es-ES"/>
        </w:rPr>
        <w:t>Caso González y otras (“Campo Algodonero”)</w:t>
      </w:r>
      <w:r>
        <w:rPr>
          <w:rFonts w:ascii="Verdana" w:hAnsi="Verdana"/>
          <w:i/>
          <w:sz w:val="16"/>
          <w:szCs w:val="16"/>
          <w:lang w:val="es-ES"/>
        </w:rPr>
        <w:t>, supra</w:t>
      </w:r>
      <w:r w:rsidRPr="0084169F">
        <w:rPr>
          <w:rFonts w:ascii="Verdana" w:hAnsi="Verdana"/>
          <w:sz w:val="16"/>
          <w:szCs w:val="16"/>
          <w:lang w:val="es-ES"/>
        </w:rPr>
        <w:t>, párr. 282.</w:t>
      </w:r>
    </w:p>
  </w:footnote>
  <w:footnote w:id="234">
    <w:p w:rsidR="0081535F" w:rsidRPr="003A3941" w:rsidRDefault="0081535F" w:rsidP="00422232">
      <w:pPr>
        <w:pStyle w:val="Textonotapie"/>
        <w:ind w:left="-180" w:right="-174"/>
        <w:rPr>
          <w:rFonts w:ascii="Verdana" w:hAnsi="Verdana"/>
          <w:sz w:val="16"/>
          <w:szCs w:val="16"/>
        </w:rPr>
      </w:pPr>
      <w:r w:rsidRPr="003622B1">
        <w:rPr>
          <w:rStyle w:val="Refdenotaalpie"/>
          <w:rFonts w:ascii="Verdana" w:hAnsi="Verdana"/>
          <w:sz w:val="16"/>
          <w:szCs w:val="16"/>
        </w:rPr>
        <w:footnoteRef/>
      </w:r>
      <w:r w:rsidRPr="003622B1">
        <w:rPr>
          <w:rFonts w:ascii="Verdana" w:hAnsi="Verdana"/>
          <w:sz w:val="16"/>
          <w:szCs w:val="16"/>
        </w:rPr>
        <w:t xml:space="preserve"> </w:t>
      </w:r>
      <w:r>
        <w:rPr>
          <w:rFonts w:ascii="Verdana" w:hAnsi="Verdana"/>
          <w:i/>
          <w:sz w:val="16"/>
          <w:szCs w:val="16"/>
        </w:rPr>
        <w:t>Caso González</w:t>
      </w:r>
      <w:r w:rsidRPr="003622B1">
        <w:rPr>
          <w:rFonts w:ascii="Verdana" w:hAnsi="Verdana"/>
          <w:i/>
          <w:sz w:val="16"/>
          <w:szCs w:val="16"/>
        </w:rPr>
        <w:t xml:space="preserve"> y otras (“Campo Algodonero”)</w:t>
      </w:r>
      <w:r>
        <w:rPr>
          <w:rFonts w:ascii="Verdana" w:hAnsi="Verdana"/>
          <w:i/>
          <w:sz w:val="16"/>
          <w:szCs w:val="16"/>
        </w:rPr>
        <w:t>, supra</w:t>
      </w:r>
      <w:r w:rsidRPr="003622B1">
        <w:rPr>
          <w:rFonts w:ascii="Verdana" w:hAnsi="Verdana"/>
          <w:sz w:val="16"/>
          <w:szCs w:val="16"/>
        </w:rPr>
        <w:t>, párr. 283</w:t>
      </w:r>
      <w:r>
        <w:rPr>
          <w:rFonts w:ascii="Verdana" w:hAnsi="Verdana"/>
          <w:sz w:val="16"/>
          <w:szCs w:val="16"/>
        </w:rPr>
        <w:t>.</w:t>
      </w:r>
    </w:p>
  </w:footnote>
  <w:footnote w:id="235">
    <w:p w:rsidR="0081535F" w:rsidRDefault="0081535F" w:rsidP="00422232">
      <w:pPr>
        <w:pStyle w:val="Textonotapie"/>
        <w:ind w:left="-180" w:right="-174"/>
        <w:jc w:val="both"/>
        <w:rPr>
          <w:rFonts w:ascii="Verdana" w:hAnsi="Verdana"/>
          <w:sz w:val="16"/>
          <w:szCs w:val="16"/>
        </w:rPr>
      </w:pPr>
      <w:r w:rsidRPr="003622B1">
        <w:rPr>
          <w:rStyle w:val="Refdenotaalpie"/>
          <w:rFonts w:ascii="Verdana" w:hAnsi="Verdana"/>
          <w:sz w:val="16"/>
          <w:szCs w:val="16"/>
        </w:rPr>
        <w:footnoteRef/>
      </w:r>
      <w:r w:rsidRPr="003622B1">
        <w:rPr>
          <w:rFonts w:ascii="Verdana" w:hAnsi="Verdana"/>
          <w:sz w:val="16"/>
          <w:szCs w:val="16"/>
        </w:rPr>
        <w:t xml:space="preserve"> </w:t>
      </w:r>
      <w:r w:rsidRPr="003622B1">
        <w:rPr>
          <w:rFonts w:ascii="Verdana" w:hAnsi="Verdana"/>
          <w:i/>
          <w:sz w:val="16"/>
          <w:szCs w:val="16"/>
        </w:rPr>
        <w:t>Caso de la Masacre de Pueblo Bello</w:t>
      </w:r>
      <w:r>
        <w:rPr>
          <w:rFonts w:ascii="Verdana" w:hAnsi="Verdana"/>
          <w:i/>
          <w:sz w:val="16"/>
          <w:szCs w:val="16"/>
        </w:rPr>
        <w:t>, supra</w:t>
      </w:r>
      <w:r w:rsidRPr="003622B1">
        <w:rPr>
          <w:rFonts w:ascii="Verdana" w:hAnsi="Verdana"/>
          <w:sz w:val="16"/>
          <w:szCs w:val="16"/>
        </w:rPr>
        <w:t xml:space="preserve">, párr. 123, y </w:t>
      </w:r>
      <w:r w:rsidRPr="003622B1">
        <w:rPr>
          <w:rFonts w:ascii="Verdana" w:hAnsi="Verdana"/>
          <w:i/>
          <w:sz w:val="16"/>
          <w:szCs w:val="16"/>
        </w:rPr>
        <w:t>Caso Luna</w:t>
      </w:r>
      <w:r>
        <w:rPr>
          <w:rFonts w:ascii="Verdana" w:hAnsi="Verdana"/>
          <w:i/>
          <w:sz w:val="16"/>
          <w:szCs w:val="16"/>
        </w:rPr>
        <w:t xml:space="preserve"> López, supra</w:t>
      </w:r>
      <w:r w:rsidRPr="003622B1">
        <w:rPr>
          <w:rFonts w:ascii="Verdana" w:hAnsi="Verdana"/>
          <w:sz w:val="16"/>
          <w:szCs w:val="16"/>
        </w:rPr>
        <w:t>, párr. 112</w:t>
      </w:r>
      <w:r>
        <w:rPr>
          <w:rFonts w:ascii="Verdana" w:hAnsi="Verdana"/>
          <w:sz w:val="16"/>
          <w:szCs w:val="16"/>
        </w:rPr>
        <w:t>.</w:t>
      </w:r>
    </w:p>
  </w:footnote>
  <w:footnote w:id="236">
    <w:p w:rsidR="0081535F" w:rsidRDefault="0081535F" w:rsidP="00422232">
      <w:pPr>
        <w:pStyle w:val="Textonotapie"/>
        <w:ind w:left="-180" w:right="-174"/>
        <w:jc w:val="both"/>
        <w:rPr>
          <w:rFonts w:ascii="Verdana" w:hAnsi="Verdana"/>
          <w:sz w:val="16"/>
          <w:szCs w:val="16"/>
        </w:rPr>
      </w:pPr>
      <w:r w:rsidRPr="003622B1">
        <w:rPr>
          <w:rStyle w:val="Refdenotaalpie"/>
          <w:rFonts w:ascii="Verdana" w:hAnsi="Verdana"/>
          <w:sz w:val="16"/>
          <w:szCs w:val="16"/>
        </w:rPr>
        <w:footnoteRef/>
      </w:r>
      <w:r w:rsidRPr="003622B1">
        <w:rPr>
          <w:rFonts w:ascii="Verdana" w:hAnsi="Verdana"/>
          <w:sz w:val="16"/>
          <w:szCs w:val="16"/>
        </w:rPr>
        <w:t xml:space="preserve"> </w:t>
      </w:r>
      <w:r w:rsidRPr="003622B1">
        <w:rPr>
          <w:rFonts w:ascii="Verdana" w:hAnsi="Verdana"/>
          <w:i/>
          <w:sz w:val="16"/>
          <w:szCs w:val="16"/>
        </w:rPr>
        <w:t>Caso de la Masacre de Pueblo Bello</w:t>
      </w:r>
      <w:r>
        <w:rPr>
          <w:rFonts w:ascii="Verdana" w:hAnsi="Verdana"/>
          <w:i/>
          <w:sz w:val="16"/>
          <w:szCs w:val="16"/>
        </w:rPr>
        <w:t>, supra</w:t>
      </w:r>
      <w:r w:rsidRPr="003622B1">
        <w:rPr>
          <w:rFonts w:ascii="Verdana" w:hAnsi="Verdana"/>
          <w:sz w:val="16"/>
          <w:szCs w:val="16"/>
        </w:rPr>
        <w:t xml:space="preserve">, párr. 123, y </w:t>
      </w:r>
      <w:r w:rsidRPr="003622B1">
        <w:rPr>
          <w:rFonts w:ascii="Verdana" w:hAnsi="Verdana"/>
          <w:i/>
          <w:sz w:val="16"/>
          <w:szCs w:val="16"/>
        </w:rPr>
        <w:t>Caso de las Comunidades Afrodescendientes de la Cuenca del Río Cacarica (Operación Génesis) Vs. Colombia. E</w:t>
      </w:r>
      <w:r>
        <w:rPr>
          <w:rFonts w:ascii="Verdana" w:hAnsi="Verdana"/>
          <w:i/>
          <w:sz w:val="16"/>
          <w:szCs w:val="16"/>
        </w:rPr>
        <w:t xml:space="preserve">xcepciones Preliminares, Fondo, </w:t>
      </w:r>
      <w:r w:rsidRPr="003622B1">
        <w:rPr>
          <w:rFonts w:ascii="Verdana" w:hAnsi="Verdana"/>
          <w:i/>
          <w:sz w:val="16"/>
          <w:szCs w:val="16"/>
        </w:rPr>
        <w:t>Reparaciones y Costas</w:t>
      </w:r>
      <w:r w:rsidRPr="003622B1">
        <w:rPr>
          <w:rFonts w:ascii="Verdana" w:hAnsi="Verdana"/>
          <w:sz w:val="16"/>
          <w:szCs w:val="16"/>
        </w:rPr>
        <w:t>. Sentencia de 20 de noviembre de 2013. Serie C No. 270, párr. 224</w:t>
      </w:r>
      <w:r>
        <w:rPr>
          <w:rFonts w:ascii="Verdana" w:hAnsi="Verdana"/>
          <w:sz w:val="16"/>
          <w:szCs w:val="16"/>
        </w:rPr>
        <w:t>.</w:t>
      </w:r>
    </w:p>
  </w:footnote>
  <w:footnote w:id="237">
    <w:p w:rsidR="0081535F" w:rsidRPr="00353432" w:rsidRDefault="0081535F" w:rsidP="00422232">
      <w:pPr>
        <w:pStyle w:val="Textonotapie"/>
        <w:spacing w:line="19" w:lineRule="atLeast"/>
        <w:ind w:left="-180" w:right="-174"/>
        <w:jc w:val="both"/>
        <w:rPr>
          <w:rFonts w:ascii="Verdana" w:hAnsi="Verdana"/>
          <w:sz w:val="16"/>
          <w:szCs w:val="16"/>
        </w:rPr>
      </w:pPr>
      <w:r w:rsidRPr="00353432">
        <w:rPr>
          <w:rStyle w:val="Refdenotaalpie"/>
          <w:rFonts w:ascii="Verdana" w:hAnsi="Verdana"/>
          <w:sz w:val="16"/>
          <w:szCs w:val="16"/>
        </w:rPr>
        <w:footnoteRef/>
      </w:r>
      <w:r>
        <w:rPr>
          <w:rFonts w:ascii="Verdana" w:hAnsi="Verdana"/>
          <w:sz w:val="16"/>
          <w:szCs w:val="16"/>
        </w:rPr>
        <w:t xml:space="preserve"> </w:t>
      </w:r>
      <w:r w:rsidRPr="003622B1">
        <w:rPr>
          <w:rFonts w:ascii="Verdana" w:hAnsi="Verdana"/>
          <w:i/>
          <w:sz w:val="16"/>
          <w:szCs w:val="16"/>
        </w:rPr>
        <w:t>Caso Durand y Ugarte Vs. Perú. Fondo.</w:t>
      </w:r>
      <w:r>
        <w:rPr>
          <w:rFonts w:ascii="Verdana" w:hAnsi="Verdana"/>
          <w:sz w:val="16"/>
          <w:szCs w:val="16"/>
        </w:rPr>
        <w:t xml:space="preserve"> Sentencia de 16 de agosto de 2000. Serie C No. 68, párr. 122, y </w:t>
      </w:r>
      <w:r w:rsidRPr="003622B1">
        <w:rPr>
          <w:rFonts w:ascii="Verdana" w:hAnsi="Verdana"/>
          <w:i/>
          <w:sz w:val="16"/>
          <w:szCs w:val="16"/>
        </w:rPr>
        <w:t>Caso Mendoza y otros</w:t>
      </w:r>
      <w:r>
        <w:rPr>
          <w:rFonts w:ascii="Verdana" w:hAnsi="Verdana"/>
          <w:i/>
          <w:sz w:val="16"/>
          <w:szCs w:val="16"/>
        </w:rPr>
        <w:t>, supra</w:t>
      </w:r>
      <w:r>
        <w:rPr>
          <w:rFonts w:ascii="Verdana" w:hAnsi="Verdana"/>
          <w:sz w:val="16"/>
          <w:szCs w:val="16"/>
        </w:rPr>
        <w:t>, párr. 214.</w:t>
      </w:r>
    </w:p>
  </w:footnote>
  <w:footnote w:id="238">
    <w:p w:rsidR="0081535F" w:rsidRPr="00ED6E18" w:rsidRDefault="0081535F" w:rsidP="00422232">
      <w:pPr>
        <w:tabs>
          <w:tab w:val="left" w:pos="426"/>
        </w:tabs>
        <w:spacing w:after="0" w:line="19" w:lineRule="atLeast"/>
        <w:ind w:left="-180" w:right="-174"/>
        <w:jc w:val="both"/>
        <w:rPr>
          <w:rFonts w:ascii="Verdana" w:hAnsi="Verdana" w:cs="Arial"/>
          <w:spacing w:val="-4"/>
          <w:sz w:val="16"/>
          <w:szCs w:val="16"/>
          <w:lang w:val="es-ES"/>
        </w:rPr>
      </w:pPr>
      <w:r w:rsidRPr="00353432">
        <w:rPr>
          <w:rStyle w:val="Refdenotaalpie"/>
          <w:rFonts w:ascii="Verdana" w:hAnsi="Verdana"/>
          <w:spacing w:val="-4"/>
          <w:sz w:val="16"/>
          <w:szCs w:val="16"/>
        </w:rPr>
        <w:footnoteRef/>
      </w:r>
      <w:r>
        <w:rPr>
          <w:rFonts w:ascii="Verdana" w:hAnsi="Verdana"/>
          <w:spacing w:val="-4"/>
          <w:sz w:val="16"/>
          <w:szCs w:val="16"/>
          <w:lang w:val="es-ES"/>
        </w:rPr>
        <w:t xml:space="preserve"> </w:t>
      </w:r>
      <w:r w:rsidRPr="003622B1">
        <w:rPr>
          <w:rFonts w:ascii="Verdana" w:hAnsi="Verdana"/>
          <w:i/>
          <w:spacing w:val="-4"/>
          <w:sz w:val="16"/>
          <w:szCs w:val="16"/>
          <w:lang w:val="es-CR"/>
        </w:rPr>
        <w:t>Caso de la “Panel Blanca” (Paniagua Morales y Otros) Vs. Guatemala. Fondo</w:t>
      </w:r>
      <w:r>
        <w:rPr>
          <w:rFonts w:ascii="Verdana" w:hAnsi="Verdana"/>
          <w:spacing w:val="-4"/>
          <w:sz w:val="16"/>
          <w:szCs w:val="16"/>
          <w:lang w:val="es-CR"/>
        </w:rPr>
        <w:t xml:space="preserve">. Sentencia de 8 de marzo de 1998. Serie C No. 37, párr. 91, </w:t>
      </w:r>
      <w:r w:rsidRPr="00712E08">
        <w:rPr>
          <w:rFonts w:ascii="Verdana" w:hAnsi="Verdana"/>
          <w:spacing w:val="-4"/>
          <w:sz w:val="16"/>
          <w:szCs w:val="16"/>
          <w:lang w:val="es-CR"/>
        </w:rPr>
        <w:t>y</w:t>
      </w:r>
      <w:r w:rsidRPr="00ED6E18">
        <w:rPr>
          <w:rFonts w:ascii="Verdana" w:hAnsi="Verdana"/>
          <w:i/>
          <w:spacing w:val="-4"/>
          <w:sz w:val="16"/>
          <w:szCs w:val="16"/>
          <w:lang w:val="es-CR"/>
        </w:rPr>
        <w:t xml:space="preserve"> </w:t>
      </w:r>
      <w:r>
        <w:rPr>
          <w:rFonts w:ascii="Verdana" w:hAnsi="Verdana"/>
          <w:i/>
          <w:spacing w:val="-4"/>
          <w:sz w:val="16"/>
          <w:szCs w:val="16"/>
          <w:lang w:val="es-CR"/>
        </w:rPr>
        <w:t xml:space="preserve">Caso J., supra, </w:t>
      </w:r>
      <w:r>
        <w:rPr>
          <w:rFonts w:ascii="Verdana" w:hAnsi="Verdana"/>
          <w:spacing w:val="-4"/>
          <w:sz w:val="16"/>
          <w:szCs w:val="16"/>
          <w:lang w:val="es-CR"/>
        </w:rPr>
        <w:t>párr. 305.</w:t>
      </w:r>
    </w:p>
  </w:footnote>
  <w:footnote w:id="239">
    <w:p w:rsidR="0081535F" w:rsidRPr="00353432" w:rsidRDefault="0081535F" w:rsidP="00422232">
      <w:pPr>
        <w:tabs>
          <w:tab w:val="left" w:pos="426"/>
        </w:tabs>
        <w:spacing w:after="0" w:line="19" w:lineRule="atLeast"/>
        <w:ind w:left="-180" w:right="-174"/>
        <w:jc w:val="both"/>
        <w:rPr>
          <w:rFonts w:ascii="Verdana" w:hAnsi="Verdana" w:cs="Arial"/>
          <w:spacing w:val="-4"/>
          <w:sz w:val="16"/>
          <w:szCs w:val="16"/>
          <w:lang w:val="es-ES"/>
        </w:rPr>
      </w:pPr>
      <w:r w:rsidRPr="00353432">
        <w:rPr>
          <w:rStyle w:val="Refdenotaalpie"/>
          <w:rFonts w:ascii="Verdana" w:hAnsi="Verdana"/>
          <w:spacing w:val="-4"/>
          <w:sz w:val="16"/>
          <w:szCs w:val="16"/>
        </w:rPr>
        <w:footnoteRef/>
      </w:r>
      <w:r>
        <w:rPr>
          <w:rFonts w:ascii="Verdana" w:hAnsi="Verdana"/>
          <w:spacing w:val="-4"/>
          <w:sz w:val="16"/>
          <w:szCs w:val="16"/>
          <w:lang w:val="es-ES"/>
        </w:rPr>
        <w:t xml:space="preserve"> </w:t>
      </w:r>
      <w:r w:rsidRPr="00353432">
        <w:rPr>
          <w:rFonts w:ascii="Verdana" w:hAnsi="Verdana"/>
          <w:i/>
          <w:spacing w:val="-4"/>
          <w:sz w:val="16"/>
          <w:szCs w:val="16"/>
          <w:lang w:val="es-ES"/>
        </w:rPr>
        <w:t>Cfr</w:t>
      </w:r>
      <w:r w:rsidRPr="00353432">
        <w:rPr>
          <w:rFonts w:ascii="Verdana" w:hAnsi="Verdana"/>
          <w:spacing w:val="-4"/>
          <w:sz w:val="16"/>
          <w:szCs w:val="16"/>
          <w:lang w:val="es-ES"/>
        </w:rPr>
        <w:t xml:space="preserve">. </w:t>
      </w:r>
      <w:r w:rsidRPr="00353432">
        <w:rPr>
          <w:rFonts w:ascii="Verdana" w:hAnsi="Verdana"/>
          <w:i/>
          <w:spacing w:val="-4"/>
          <w:sz w:val="16"/>
          <w:szCs w:val="16"/>
          <w:lang w:val="es-ES"/>
        </w:rPr>
        <w:t>Caso Velásquez Rodríguez</w:t>
      </w:r>
      <w:r w:rsidRPr="00353432">
        <w:rPr>
          <w:rFonts w:ascii="Verdana" w:hAnsi="Verdana"/>
          <w:bCs/>
          <w:i/>
          <w:spacing w:val="-4"/>
          <w:sz w:val="16"/>
          <w:szCs w:val="16"/>
          <w:lang w:val="es-VE"/>
        </w:rPr>
        <w:t xml:space="preserve">. </w:t>
      </w:r>
      <w:r w:rsidRPr="00353432">
        <w:rPr>
          <w:rFonts w:ascii="Verdana" w:hAnsi="Verdana"/>
          <w:i/>
          <w:spacing w:val="-4"/>
          <w:sz w:val="16"/>
          <w:szCs w:val="16"/>
          <w:lang w:val="es-VE"/>
        </w:rPr>
        <w:t>Fondo</w:t>
      </w:r>
      <w:r>
        <w:rPr>
          <w:rFonts w:ascii="Verdana" w:hAnsi="Verdana"/>
          <w:i/>
          <w:spacing w:val="-4"/>
          <w:sz w:val="16"/>
          <w:szCs w:val="16"/>
          <w:lang w:val="es-VE"/>
        </w:rPr>
        <w:t>, supra</w:t>
      </w:r>
      <w:r w:rsidRPr="003622B1">
        <w:rPr>
          <w:rFonts w:ascii="Verdana" w:hAnsi="Verdana"/>
          <w:spacing w:val="-4"/>
          <w:sz w:val="16"/>
          <w:szCs w:val="16"/>
          <w:lang w:val="es-VE"/>
        </w:rPr>
        <w:t>,</w:t>
      </w:r>
      <w:r w:rsidRPr="00353432">
        <w:rPr>
          <w:rFonts w:ascii="Verdana" w:hAnsi="Verdana"/>
          <w:i/>
          <w:spacing w:val="-4"/>
          <w:sz w:val="16"/>
          <w:szCs w:val="16"/>
          <w:lang w:val="es-VE"/>
        </w:rPr>
        <w:t xml:space="preserve"> </w:t>
      </w:r>
      <w:r>
        <w:rPr>
          <w:rFonts w:ascii="Verdana" w:hAnsi="Verdana"/>
          <w:spacing w:val="-4"/>
          <w:sz w:val="16"/>
          <w:szCs w:val="16"/>
          <w:lang w:val="es-ES"/>
        </w:rPr>
        <w:t>párr. 173,</w:t>
      </w:r>
      <w:r w:rsidRPr="00353432">
        <w:rPr>
          <w:rFonts w:ascii="Verdana" w:hAnsi="Verdana"/>
          <w:spacing w:val="-4"/>
          <w:sz w:val="16"/>
          <w:szCs w:val="16"/>
          <w:lang w:val="es-ES"/>
        </w:rPr>
        <w:t xml:space="preserve"> y </w:t>
      </w:r>
      <w:r w:rsidRPr="00353432">
        <w:rPr>
          <w:rFonts w:ascii="Verdana" w:hAnsi="Verdana" w:cs="Arial"/>
          <w:i/>
          <w:sz w:val="16"/>
          <w:szCs w:val="16"/>
          <w:lang w:val="es-CR"/>
        </w:rPr>
        <w:t>Caso Luna López</w:t>
      </w:r>
      <w:r>
        <w:rPr>
          <w:rFonts w:ascii="Verdana" w:hAnsi="Verdana" w:cs="Arial"/>
          <w:i/>
          <w:sz w:val="16"/>
          <w:szCs w:val="16"/>
          <w:lang w:val="es-CR"/>
        </w:rPr>
        <w:t>, supra</w:t>
      </w:r>
      <w:r>
        <w:rPr>
          <w:rFonts w:ascii="Verdana" w:hAnsi="Verdana"/>
          <w:sz w:val="16"/>
          <w:szCs w:val="16"/>
          <w:lang w:val="es-ES"/>
        </w:rPr>
        <w:t>,</w:t>
      </w:r>
      <w:r w:rsidRPr="00353432">
        <w:rPr>
          <w:rFonts w:ascii="Verdana" w:hAnsi="Verdana"/>
          <w:sz w:val="16"/>
          <w:szCs w:val="16"/>
          <w:lang w:val="es-ES"/>
        </w:rPr>
        <w:t xml:space="preserve"> párr.</w:t>
      </w:r>
      <w:r>
        <w:rPr>
          <w:rFonts w:ascii="Verdana" w:hAnsi="Verdana"/>
          <w:sz w:val="16"/>
          <w:szCs w:val="16"/>
          <w:lang w:val="es-ES"/>
        </w:rPr>
        <w:t xml:space="preserve"> </w:t>
      </w:r>
      <w:r w:rsidRPr="00353432">
        <w:rPr>
          <w:rFonts w:ascii="Verdana" w:hAnsi="Verdana"/>
          <w:sz w:val="16"/>
          <w:szCs w:val="16"/>
          <w:lang w:val="es-ES"/>
        </w:rPr>
        <w:t>118.</w:t>
      </w:r>
      <w:r w:rsidRPr="00353432">
        <w:rPr>
          <w:rFonts w:ascii="Verdana" w:hAnsi="Verdana"/>
          <w:spacing w:val="-4"/>
          <w:sz w:val="16"/>
          <w:szCs w:val="16"/>
          <w:lang w:val="es-ES"/>
        </w:rPr>
        <w:t xml:space="preserve"> </w:t>
      </w:r>
    </w:p>
  </w:footnote>
  <w:footnote w:id="240">
    <w:p w:rsidR="0081535F" w:rsidRDefault="0081535F" w:rsidP="00422232">
      <w:pPr>
        <w:pStyle w:val="Textonotapie"/>
        <w:ind w:left="-180" w:right="-174"/>
        <w:jc w:val="both"/>
        <w:rPr>
          <w:rFonts w:ascii="Verdana" w:hAnsi="Verdana"/>
          <w:sz w:val="16"/>
          <w:szCs w:val="16"/>
        </w:rPr>
      </w:pPr>
      <w:r w:rsidRPr="00353432">
        <w:rPr>
          <w:rStyle w:val="Refdenotaalpie"/>
          <w:rFonts w:ascii="Verdana" w:hAnsi="Verdana"/>
          <w:sz w:val="16"/>
          <w:szCs w:val="16"/>
        </w:rPr>
        <w:footnoteRef/>
      </w:r>
      <w:r>
        <w:rPr>
          <w:rFonts w:ascii="Verdana" w:hAnsi="Verdana"/>
          <w:sz w:val="16"/>
          <w:szCs w:val="16"/>
        </w:rPr>
        <w:t xml:space="preserve"> </w:t>
      </w:r>
      <w:r w:rsidRPr="00353432">
        <w:rPr>
          <w:rFonts w:ascii="Verdana" w:hAnsi="Verdana"/>
          <w:bCs/>
          <w:iCs/>
          <w:sz w:val="16"/>
          <w:szCs w:val="16"/>
        </w:rPr>
        <w:t>Observaciones finales del Comité de los Derechos del Niño: Guatemala. 27º per</w:t>
      </w:r>
      <w:r>
        <w:rPr>
          <w:rFonts w:ascii="Verdana" w:hAnsi="Verdana"/>
          <w:bCs/>
          <w:iCs/>
          <w:sz w:val="16"/>
          <w:szCs w:val="16"/>
        </w:rPr>
        <w:t>í</w:t>
      </w:r>
      <w:r w:rsidRPr="00353432">
        <w:rPr>
          <w:rFonts w:ascii="Verdana" w:hAnsi="Verdana"/>
          <w:bCs/>
          <w:iCs/>
          <w:sz w:val="16"/>
          <w:szCs w:val="16"/>
        </w:rPr>
        <w:t>odo de sesiones. CRC/C/15/Add.154</w:t>
      </w:r>
      <w:r w:rsidRPr="00353432">
        <w:rPr>
          <w:rFonts w:ascii="Verdana" w:hAnsi="Verdana"/>
          <w:bCs/>
          <w:sz w:val="16"/>
          <w:szCs w:val="16"/>
        </w:rPr>
        <w:t>,</w:t>
      </w:r>
      <w:r w:rsidRPr="00BE7060">
        <w:rPr>
          <w:rFonts w:ascii="Verdana" w:hAnsi="Verdana"/>
          <w:bCs/>
          <w:iCs/>
          <w:sz w:val="16"/>
          <w:szCs w:val="16"/>
        </w:rPr>
        <w:t xml:space="preserve"> </w:t>
      </w:r>
      <w:r>
        <w:rPr>
          <w:rFonts w:ascii="Verdana" w:hAnsi="Verdana"/>
          <w:bCs/>
          <w:iCs/>
          <w:sz w:val="16"/>
          <w:szCs w:val="16"/>
        </w:rPr>
        <w:t>9 de julio de 2001,</w:t>
      </w:r>
      <w:r w:rsidRPr="00353432">
        <w:rPr>
          <w:rFonts w:ascii="Verdana" w:hAnsi="Verdana"/>
          <w:bCs/>
          <w:sz w:val="16"/>
          <w:szCs w:val="16"/>
        </w:rPr>
        <w:t xml:space="preserve"> párrs. 30 y 31.</w:t>
      </w:r>
      <w:r w:rsidRPr="00353432">
        <w:rPr>
          <w:rFonts w:ascii="Verdana" w:hAnsi="Verdana"/>
          <w:b/>
          <w:bCs/>
          <w:sz w:val="16"/>
          <w:szCs w:val="16"/>
        </w:rPr>
        <w:t xml:space="preserve"> </w:t>
      </w:r>
    </w:p>
  </w:footnote>
  <w:footnote w:id="241">
    <w:p w:rsidR="0081535F" w:rsidRPr="00270B5B" w:rsidRDefault="0081535F" w:rsidP="00422232">
      <w:pPr>
        <w:pStyle w:val="Textonotapie"/>
        <w:ind w:left="-180" w:right="-174"/>
        <w:jc w:val="both"/>
        <w:rPr>
          <w:rFonts w:ascii="Verdana" w:hAnsi="Verdana"/>
          <w:b/>
          <w:sz w:val="16"/>
          <w:szCs w:val="16"/>
        </w:rPr>
      </w:pPr>
      <w:r w:rsidRPr="00353432">
        <w:rPr>
          <w:rStyle w:val="Refdenotaalpie"/>
          <w:rFonts w:ascii="Verdana" w:hAnsi="Verdana"/>
          <w:sz w:val="16"/>
          <w:szCs w:val="16"/>
        </w:rPr>
        <w:footnoteRef/>
      </w:r>
      <w:r w:rsidRPr="00353432">
        <w:rPr>
          <w:rFonts w:ascii="Verdana" w:hAnsi="Verdana"/>
          <w:sz w:val="16"/>
          <w:szCs w:val="16"/>
        </w:rPr>
        <w:t>CIDH, Informe de seguimiento sobre el cumplimiento por el Estado de Guatemala de las recomendaciones efectuadas por la C</w:t>
      </w:r>
      <w:r>
        <w:rPr>
          <w:rFonts w:ascii="Verdana" w:hAnsi="Verdana"/>
          <w:sz w:val="16"/>
          <w:szCs w:val="16"/>
        </w:rPr>
        <w:t>omisión</w:t>
      </w:r>
      <w:r w:rsidRPr="00353432">
        <w:rPr>
          <w:rFonts w:ascii="Verdana" w:hAnsi="Verdana"/>
          <w:sz w:val="16"/>
          <w:szCs w:val="16"/>
        </w:rPr>
        <w:t xml:space="preserve"> en el quinto informe sobre la situación de los derechos humanos en Guatemala, de 18 de diciembre de 2002</w:t>
      </w:r>
      <w:r w:rsidRPr="00122C63">
        <w:rPr>
          <w:rFonts w:ascii="Verdana" w:hAnsi="Verdana"/>
          <w:sz w:val="16"/>
          <w:szCs w:val="16"/>
        </w:rPr>
        <w:t>, párr. 53</w:t>
      </w:r>
      <w:r>
        <w:rPr>
          <w:rFonts w:ascii="Verdana" w:hAnsi="Verdana"/>
          <w:sz w:val="16"/>
          <w:szCs w:val="16"/>
        </w:rPr>
        <w:t>.</w:t>
      </w:r>
      <w:r w:rsidRPr="00270B5B">
        <w:rPr>
          <w:rFonts w:ascii="Verdana" w:hAnsi="Verdana"/>
          <w:b/>
          <w:bCs/>
          <w:sz w:val="16"/>
          <w:szCs w:val="16"/>
          <w:highlight w:val="yellow"/>
          <w:lang w:val="es-MX"/>
        </w:rPr>
        <w:t xml:space="preserve"> </w:t>
      </w:r>
    </w:p>
  </w:footnote>
  <w:footnote w:id="242">
    <w:p w:rsidR="0081535F" w:rsidRPr="00B13DCC" w:rsidRDefault="0081535F" w:rsidP="00422232">
      <w:pPr>
        <w:spacing w:after="0" w:line="19" w:lineRule="atLeast"/>
        <w:ind w:left="-180" w:right="-174"/>
        <w:jc w:val="both"/>
        <w:rPr>
          <w:rFonts w:ascii="Verdana" w:hAnsi="Verdana"/>
          <w:i/>
          <w:sz w:val="16"/>
          <w:szCs w:val="16"/>
          <w:lang w:val="es-CR"/>
        </w:rPr>
      </w:pPr>
      <w:r w:rsidRPr="00353432">
        <w:rPr>
          <w:rStyle w:val="Refdenotaalpie"/>
          <w:rFonts w:ascii="Verdana" w:hAnsi="Verdana"/>
          <w:sz w:val="16"/>
          <w:szCs w:val="16"/>
        </w:rPr>
        <w:footnoteRef/>
      </w:r>
      <w:r>
        <w:rPr>
          <w:rFonts w:ascii="Verdana" w:hAnsi="Verdana"/>
          <w:sz w:val="16"/>
          <w:szCs w:val="16"/>
          <w:lang w:val="es-CR"/>
        </w:rPr>
        <w:t xml:space="preserve"> </w:t>
      </w:r>
      <w:r w:rsidRPr="00353432">
        <w:rPr>
          <w:rFonts w:ascii="Verdana" w:hAnsi="Verdana"/>
          <w:sz w:val="16"/>
          <w:szCs w:val="16"/>
          <w:lang w:val="es-CR"/>
        </w:rPr>
        <w:t>Frente a la consulta hecha por MESECVI de si “</w:t>
      </w:r>
      <w:r w:rsidRPr="00353432">
        <w:rPr>
          <w:rFonts w:ascii="Verdana" w:hAnsi="Verdana"/>
          <w:sz w:val="16"/>
          <w:szCs w:val="16"/>
          <w:lang w:val="es-CO"/>
        </w:rPr>
        <w:t xml:space="preserve">¿[s]e ha establecido un mecanismo a nivel nacional para hacer el seguimiento de la implementación de la Convención Belém Do Pará?”, </w:t>
      </w:r>
      <w:r w:rsidRPr="00353432">
        <w:rPr>
          <w:rFonts w:ascii="Verdana" w:hAnsi="Verdana"/>
          <w:sz w:val="16"/>
          <w:szCs w:val="16"/>
          <w:lang w:val="es-CR"/>
        </w:rPr>
        <w:t xml:space="preserve">el Estado informó que </w:t>
      </w:r>
      <w:r w:rsidRPr="00353432">
        <w:rPr>
          <w:rFonts w:ascii="Verdana" w:hAnsi="Verdana"/>
          <w:sz w:val="16"/>
          <w:szCs w:val="16"/>
          <w:lang w:val="es-CO"/>
        </w:rPr>
        <w:t>“[d]</w:t>
      </w:r>
      <w:r w:rsidRPr="00353432">
        <w:rPr>
          <w:rFonts w:ascii="Verdana" w:hAnsi="Verdana"/>
          <w:iCs/>
          <w:sz w:val="16"/>
          <w:szCs w:val="16"/>
          <w:lang w:val="es-CO"/>
        </w:rPr>
        <w:t xml:space="preserve">e conformidad con el artículo 13 de la Ley para Prevenir, Erradicar y Sancionar la Violencia Intrafamiliar decreto 97-96 del Congreso de la República, corresponde a la Procuraduría General de la Nación vigilar el cumplimiento de la Convención Interamericana para Prevenir, Sancionar y Erradicar la Violencia contra la Mujer. </w:t>
      </w:r>
      <w:r w:rsidRPr="00353432">
        <w:rPr>
          <w:rFonts w:ascii="Verdana" w:hAnsi="Verdana"/>
          <w:iCs/>
          <w:sz w:val="16"/>
          <w:szCs w:val="16"/>
          <w:lang w:val="es-CR"/>
        </w:rPr>
        <w:t>De conformidad con el artículo literal c) del reglamento de la Ley para Prevenir, Erradicar y Sancionar la Violencia Intrafamiliar acuerdo gubernativo N° 831-2000, son atribuciones de la Coordinadora Nacional para la Prevención de la Violencia Intrafamiliar y contra la Mujer [(CONAPREVI)], vigilar el cumplimiento de la Convención Interamericana para Prevenir, Sancionar y Erradicar la Violencia contra la Mujer”</w:t>
      </w:r>
      <w:r>
        <w:rPr>
          <w:rFonts w:ascii="Verdana" w:hAnsi="Verdana"/>
          <w:iCs/>
          <w:sz w:val="16"/>
          <w:szCs w:val="16"/>
          <w:lang w:val="es-CR"/>
        </w:rPr>
        <w:t xml:space="preserve">. </w:t>
      </w:r>
      <w:r w:rsidRPr="00353432">
        <w:rPr>
          <w:rFonts w:ascii="Verdana" w:hAnsi="Verdana" w:cs="Verdana"/>
          <w:iCs/>
          <w:color w:val="000000"/>
          <w:sz w:val="16"/>
          <w:szCs w:val="16"/>
          <w:lang w:val="es-UY"/>
        </w:rPr>
        <w:t>Convención Belém do Pará. MESECVI-II/doc.31/08. Segunda Conferencia de Estados Parte. 24 de junio de 2008. Doc. OE</w:t>
      </w:r>
      <w:r w:rsidRPr="00353432">
        <w:rPr>
          <w:rFonts w:ascii="Verdana" w:hAnsi="Verdana" w:cs="Verdana"/>
          <w:iCs/>
          <w:color w:val="000000"/>
          <w:sz w:val="16"/>
          <w:szCs w:val="16"/>
          <w:lang w:val="pt-PT"/>
        </w:rPr>
        <w:t xml:space="preserve">A/Ser.L/II.7.10, págs. 56 y 57. </w:t>
      </w:r>
    </w:p>
  </w:footnote>
  <w:footnote w:id="243">
    <w:p w:rsidR="0081535F" w:rsidRPr="00B13DCC" w:rsidRDefault="0081535F" w:rsidP="00422232">
      <w:pPr>
        <w:pStyle w:val="Textonotapie"/>
        <w:spacing w:line="19" w:lineRule="atLeast"/>
        <w:ind w:left="-180" w:right="-174"/>
        <w:jc w:val="both"/>
        <w:rPr>
          <w:rFonts w:ascii="Verdana" w:hAnsi="Verdana"/>
          <w:sz w:val="16"/>
          <w:szCs w:val="16"/>
        </w:rPr>
      </w:pPr>
      <w:r w:rsidRPr="00353432">
        <w:rPr>
          <w:rStyle w:val="Refdenotaalpie"/>
          <w:rFonts w:ascii="Verdana" w:hAnsi="Verdana"/>
          <w:sz w:val="16"/>
          <w:szCs w:val="16"/>
        </w:rPr>
        <w:footnoteRef/>
      </w:r>
      <w:r>
        <w:rPr>
          <w:rFonts w:ascii="Verdana" w:hAnsi="Verdana"/>
          <w:sz w:val="16"/>
          <w:szCs w:val="16"/>
          <w:lang w:val="es-CR"/>
        </w:rPr>
        <w:t xml:space="preserve"> </w:t>
      </w:r>
      <w:r w:rsidRPr="00753313">
        <w:rPr>
          <w:rFonts w:ascii="Verdana" w:hAnsi="Verdana"/>
          <w:bCs/>
          <w:sz w:val="16"/>
          <w:szCs w:val="16"/>
          <w:lang w:val="es-CR"/>
        </w:rPr>
        <w:t xml:space="preserve">El Comité de los Derechos del Niño ha dicho que la aplicación de la Convención de los Derechos del Niño requiere una “vigilancia rigurosa” e, </w:t>
      </w:r>
      <w:r w:rsidRPr="00753313">
        <w:rPr>
          <w:rFonts w:ascii="Verdana" w:hAnsi="Verdana"/>
          <w:bCs/>
          <w:i/>
          <w:sz w:val="16"/>
          <w:szCs w:val="16"/>
          <w:lang w:val="es-CR"/>
        </w:rPr>
        <w:t>inter alia,</w:t>
      </w:r>
      <w:r w:rsidRPr="00753313">
        <w:rPr>
          <w:rFonts w:ascii="Verdana" w:hAnsi="Verdana"/>
          <w:bCs/>
          <w:sz w:val="16"/>
          <w:szCs w:val="16"/>
          <w:lang w:val="es-CR"/>
        </w:rPr>
        <w:t xml:space="preserve"> la elaboración de elaborar una “estrategia nacional […] fundada en los derechos  y basada en [esa] Convención”, y que “[dicha] estrategia deberá incluir disposiciones para la supervisión y el examen continuo, para la actualización periódica y para la presentación de informes periódicos al parlamento y a la población”. También ha expresado que “[l]a reunión de datos suficientes y fiables sobre los niños, desglosados para poder determinar si hay discriminaciones o disparidades en la realización de sus derechos es parte esencial de la aplicación [del tratado]”</w:t>
      </w:r>
      <w:r>
        <w:rPr>
          <w:rFonts w:ascii="Verdana" w:hAnsi="Verdana"/>
          <w:bCs/>
          <w:sz w:val="16"/>
          <w:szCs w:val="16"/>
          <w:lang w:val="es-CR"/>
        </w:rPr>
        <w:t xml:space="preserve">. </w:t>
      </w:r>
      <w:r w:rsidRPr="007944A6">
        <w:rPr>
          <w:rFonts w:ascii="Verdana" w:hAnsi="Verdana"/>
          <w:sz w:val="16"/>
          <w:szCs w:val="16"/>
          <w:lang w:val="es-CR"/>
        </w:rPr>
        <w:t xml:space="preserve">Comité sobre los Derechos del Niño. Observación General No. 5: </w:t>
      </w:r>
      <w:r w:rsidRPr="007944A6">
        <w:rPr>
          <w:rFonts w:ascii="Verdana" w:hAnsi="Verdana"/>
          <w:i/>
          <w:sz w:val="16"/>
          <w:szCs w:val="16"/>
          <w:lang w:val="es-CR"/>
        </w:rPr>
        <w:t>Medidas generales de aplicación</w:t>
      </w:r>
      <w:r w:rsidRPr="007944A6">
        <w:rPr>
          <w:rFonts w:ascii="Verdana" w:hAnsi="Verdana"/>
          <w:sz w:val="16"/>
          <w:szCs w:val="16"/>
          <w:lang w:val="es-CR"/>
        </w:rPr>
        <w:t>. UN Doc. CRC/GC/2003/5, 27 de noviembre de 2003, párrs. 27, 28, 33 y 48.</w:t>
      </w:r>
      <w:r w:rsidRPr="00036337">
        <w:rPr>
          <w:rFonts w:ascii="Verdana" w:hAnsi="Verdana"/>
          <w:sz w:val="16"/>
          <w:szCs w:val="16"/>
          <w:lang w:val="es-CR"/>
        </w:rPr>
        <w:t xml:space="preserve"> Luego, el</w:t>
      </w:r>
      <w:r w:rsidRPr="00753313">
        <w:rPr>
          <w:rFonts w:ascii="Verdana" w:hAnsi="Verdana"/>
          <w:sz w:val="16"/>
          <w:szCs w:val="16"/>
          <w:lang w:val="es-CR"/>
        </w:rPr>
        <w:t xml:space="preserve"> 5 de junio 2000, la Asamblea General de Naciones Unidas </w:t>
      </w:r>
      <w:r w:rsidRPr="00753313">
        <w:rPr>
          <w:rFonts w:ascii="Verdana" w:hAnsi="Verdana" w:cs="TimesNewRoman"/>
          <w:sz w:val="16"/>
          <w:szCs w:val="16"/>
          <w:lang w:val="es-CR"/>
        </w:rPr>
        <w:t>estableció un Comité Especial Plenario que examinó la evaluación de los progresos alcanzados en la aplicación de la Plataforma de Acción de Beijing. El mismo</w:t>
      </w:r>
      <w:r w:rsidRPr="00753313">
        <w:rPr>
          <w:rFonts w:ascii="Verdana" w:hAnsi="Verdana"/>
          <w:sz w:val="16"/>
          <w:szCs w:val="16"/>
          <w:lang w:val="es-CR"/>
        </w:rPr>
        <w:t xml:space="preserve"> reafirmó los postulados adoptados en Beijing e indicó que los gobiernos deben “[s]</w:t>
      </w:r>
      <w:r w:rsidRPr="00753313">
        <w:rPr>
          <w:rFonts w:ascii="Verdana" w:hAnsi="Verdana" w:cs="Verdana"/>
          <w:color w:val="000000"/>
          <w:sz w:val="16"/>
          <w:szCs w:val="16"/>
          <w:lang w:val="es-CR"/>
        </w:rPr>
        <w:t>eguir realizando investigaciones para lograr una mejor comprensión de</w:t>
      </w:r>
      <w:r w:rsidRPr="00753313">
        <w:rPr>
          <w:rFonts w:ascii="Verdana" w:hAnsi="Verdana"/>
          <w:sz w:val="16"/>
          <w:szCs w:val="16"/>
          <w:lang w:val="es-CR"/>
        </w:rPr>
        <w:t xml:space="preserve"> </w:t>
      </w:r>
      <w:r w:rsidRPr="00753313">
        <w:rPr>
          <w:rFonts w:ascii="Verdana" w:hAnsi="Verdana" w:cs="Verdana"/>
          <w:color w:val="000000"/>
          <w:sz w:val="16"/>
          <w:szCs w:val="16"/>
          <w:lang w:val="es-CR"/>
        </w:rPr>
        <w:t>las causas fundamentales de todas las formas de violencia contra la mujer, a fin de</w:t>
      </w:r>
      <w:r w:rsidRPr="00753313">
        <w:rPr>
          <w:rFonts w:ascii="Verdana" w:hAnsi="Verdana"/>
          <w:sz w:val="16"/>
          <w:szCs w:val="16"/>
          <w:lang w:val="es-CR"/>
        </w:rPr>
        <w:t xml:space="preserve"> formular programas y tomar medidas para eliminar esas formas de violencia”.</w:t>
      </w:r>
      <w:r>
        <w:rPr>
          <w:rFonts w:ascii="Verdana" w:hAnsi="Verdana"/>
          <w:sz w:val="16"/>
          <w:szCs w:val="16"/>
          <w:lang w:val="es-CR"/>
        </w:rPr>
        <w:t xml:space="preserve"> </w:t>
      </w:r>
      <w:r w:rsidRPr="00753313">
        <w:rPr>
          <w:rFonts w:ascii="Verdana" w:hAnsi="Verdana"/>
          <w:sz w:val="16"/>
          <w:szCs w:val="16"/>
          <w:lang w:val="es-CR"/>
        </w:rPr>
        <w:t>Informe del Comité Especial Plenario del vigésimo tercer período extraordinario de sesiones de la Asamblea General. Asamblea General. Documentos oficiales. Vigésimo tercer período extraordinario de sesiones. Suplemento No. 3 (A/S-23/10/Rev.1).</w:t>
      </w:r>
      <w:r w:rsidRPr="00B13DCC">
        <w:rPr>
          <w:rFonts w:ascii="Verdana" w:hAnsi="Verdana"/>
          <w:b/>
          <w:iCs/>
          <w:sz w:val="16"/>
          <w:szCs w:val="16"/>
          <w:lang w:val="pt-PT"/>
        </w:rPr>
        <w:t xml:space="preserve"> </w:t>
      </w:r>
    </w:p>
  </w:footnote>
  <w:footnote w:id="244">
    <w:p w:rsidR="0081535F" w:rsidRPr="00353432" w:rsidRDefault="0081535F" w:rsidP="00422232">
      <w:pPr>
        <w:pStyle w:val="Textonotapie"/>
        <w:spacing w:line="19" w:lineRule="atLeast"/>
        <w:ind w:left="-180" w:right="-174"/>
        <w:jc w:val="both"/>
        <w:rPr>
          <w:rFonts w:ascii="Verdana" w:hAnsi="Verdana"/>
          <w:sz w:val="16"/>
          <w:szCs w:val="16"/>
        </w:rPr>
      </w:pPr>
      <w:r w:rsidRPr="00B13DCC">
        <w:rPr>
          <w:rStyle w:val="Refdenotaalpie"/>
          <w:rFonts w:ascii="Verdana" w:hAnsi="Verdana"/>
          <w:sz w:val="16"/>
          <w:szCs w:val="16"/>
        </w:rPr>
        <w:footnoteRef/>
      </w:r>
      <w:r>
        <w:rPr>
          <w:rFonts w:ascii="Verdana" w:hAnsi="Verdana"/>
          <w:sz w:val="16"/>
          <w:szCs w:val="16"/>
        </w:rPr>
        <w:t xml:space="preserve"> </w:t>
      </w:r>
      <w:r w:rsidRPr="00B13DCC">
        <w:rPr>
          <w:rFonts w:ascii="Verdana" w:hAnsi="Verdana"/>
          <w:sz w:val="16"/>
          <w:szCs w:val="16"/>
        </w:rPr>
        <w:t>Al respecto, el Mecanismo de Seguimiento de la Convención de Belém do Pará</w:t>
      </w:r>
      <w:r w:rsidRPr="00353432">
        <w:rPr>
          <w:rFonts w:ascii="Verdana" w:hAnsi="Verdana"/>
          <w:sz w:val="16"/>
          <w:szCs w:val="16"/>
        </w:rPr>
        <w:t xml:space="preserve"> (MESECVI), ha aseverado sobre Guatemala, en relación con el monitoreo de la implementación de la Convención de Belém do Pará  que</w:t>
      </w:r>
      <w:r>
        <w:rPr>
          <w:rFonts w:ascii="Verdana" w:hAnsi="Verdana"/>
          <w:sz w:val="16"/>
          <w:szCs w:val="16"/>
        </w:rPr>
        <w:t>:</w:t>
      </w:r>
      <w:r w:rsidRPr="00353432">
        <w:rPr>
          <w:rFonts w:ascii="Verdana" w:hAnsi="Verdana"/>
          <w:sz w:val="16"/>
          <w:szCs w:val="16"/>
        </w:rPr>
        <w:t xml:space="preserve"> “[e]l mayor obstáculo radica en que la información sobre el rubro no está organizada como lo solicita el Mecanismo; sobre todo en la primera parte del apartado de Información y Estadística, donde se disparan las cifras”. Expresó también que, al ser preguntado por el “[f]emicidio”, Guatemala remitió un “informe [que] presenta una tabla estadística por tipo de delito -cuyas cifras parecen muy bajas respecto a la realidad-, en la que no aparecen los asesinatos de mujeres o femicidios. En prácticamente todos los casos, las instancias no reportan los datos solicitados; manifestando que poseen la información pero no está procesada; o poseen información procesada pero no es pública”. </w:t>
      </w:r>
      <w:r w:rsidRPr="00353432">
        <w:rPr>
          <w:rFonts w:ascii="Verdana" w:hAnsi="Verdana"/>
          <w:iCs/>
          <w:sz w:val="16"/>
          <w:szCs w:val="16"/>
          <w:lang w:val="es-UY"/>
        </w:rPr>
        <w:t>Convención Belém do Pará (MESECVI). MESECVI-II/doc.31/08. Segunda Conferencia de Estados Parte</w:t>
      </w:r>
      <w:r>
        <w:rPr>
          <w:rFonts w:ascii="Verdana" w:hAnsi="Verdana"/>
          <w:iCs/>
          <w:sz w:val="16"/>
          <w:szCs w:val="16"/>
          <w:lang w:val="es-UY"/>
        </w:rPr>
        <w:t xml:space="preserve">, </w:t>
      </w:r>
      <w:r w:rsidRPr="00D166F3">
        <w:rPr>
          <w:rFonts w:ascii="Verdana" w:hAnsi="Verdana"/>
          <w:i/>
          <w:iCs/>
          <w:sz w:val="16"/>
          <w:szCs w:val="16"/>
          <w:lang w:val="es-UY"/>
        </w:rPr>
        <w:t>supra</w:t>
      </w:r>
      <w:r w:rsidRPr="00353432">
        <w:rPr>
          <w:rFonts w:ascii="Verdana" w:hAnsi="Verdana"/>
          <w:iCs/>
          <w:sz w:val="16"/>
          <w:szCs w:val="16"/>
          <w:lang w:val="pt-PT"/>
        </w:rPr>
        <w:t xml:space="preserve">, </w:t>
      </w:r>
      <w:r w:rsidRPr="00122C63">
        <w:rPr>
          <w:rFonts w:ascii="Verdana" w:hAnsi="Verdana"/>
          <w:iCs/>
          <w:sz w:val="16"/>
          <w:szCs w:val="16"/>
          <w:lang w:val="pt-PT"/>
        </w:rPr>
        <w:t>págs. 56 y 57</w:t>
      </w:r>
      <w:r w:rsidRPr="00353432">
        <w:rPr>
          <w:rFonts w:ascii="Verdana" w:hAnsi="Verdana"/>
          <w:iCs/>
          <w:sz w:val="16"/>
          <w:szCs w:val="16"/>
          <w:lang w:val="pt-PT"/>
        </w:rPr>
        <w:t xml:space="preserve">. </w:t>
      </w:r>
    </w:p>
  </w:footnote>
  <w:footnote w:id="245">
    <w:p w:rsidR="0081535F" w:rsidRPr="00353432" w:rsidRDefault="0081535F" w:rsidP="00422232">
      <w:pPr>
        <w:pStyle w:val="Default"/>
        <w:spacing w:line="19" w:lineRule="atLeast"/>
        <w:ind w:left="-180" w:right="-174"/>
        <w:jc w:val="both"/>
        <w:rPr>
          <w:sz w:val="16"/>
          <w:szCs w:val="16"/>
        </w:rPr>
      </w:pPr>
      <w:r w:rsidRPr="00353432">
        <w:rPr>
          <w:rStyle w:val="Refdenotaalpie"/>
          <w:sz w:val="16"/>
          <w:szCs w:val="16"/>
        </w:rPr>
        <w:footnoteRef/>
      </w:r>
      <w:r>
        <w:rPr>
          <w:sz w:val="16"/>
          <w:szCs w:val="16"/>
        </w:rPr>
        <w:t xml:space="preserve"> </w:t>
      </w:r>
      <w:r w:rsidRPr="00353432">
        <w:rPr>
          <w:sz w:val="16"/>
          <w:szCs w:val="16"/>
        </w:rPr>
        <w:t xml:space="preserve">Cabe hacer notar que en 1994 el Comité de los Derechos del Niño elaboró directrices para la presentación de informes en 1994 por parte de los Estados. </w:t>
      </w:r>
      <w:r>
        <w:rPr>
          <w:i/>
          <w:sz w:val="16"/>
          <w:szCs w:val="16"/>
        </w:rPr>
        <w:t xml:space="preserve">Cfr. </w:t>
      </w:r>
      <w:r w:rsidRPr="00353432">
        <w:rPr>
          <w:sz w:val="16"/>
          <w:szCs w:val="16"/>
        </w:rPr>
        <w:t xml:space="preserve">Comité de los Derechos del Niño. Séptimo período de sesiones. “Panorama general del procedimiento de elaboración de informes”. </w:t>
      </w:r>
      <w:r>
        <w:rPr>
          <w:sz w:val="16"/>
          <w:szCs w:val="16"/>
        </w:rPr>
        <w:t xml:space="preserve">UN </w:t>
      </w:r>
      <w:r w:rsidRPr="00353432">
        <w:rPr>
          <w:sz w:val="16"/>
          <w:szCs w:val="16"/>
        </w:rPr>
        <w:t xml:space="preserve">Doc. </w:t>
      </w:r>
      <w:r w:rsidRPr="00353432">
        <w:rPr>
          <w:rFonts w:cs="Courier"/>
          <w:sz w:val="16"/>
          <w:szCs w:val="16"/>
        </w:rPr>
        <w:t>CRC/C/33. 24 de octubre de 1994</w:t>
      </w:r>
      <w:r>
        <w:rPr>
          <w:rFonts w:cs="Courier"/>
          <w:sz w:val="16"/>
          <w:szCs w:val="16"/>
        </w:rPr>
        <w:t>.</w:t>
      </w:r>
      <w:r w:rsidRPr="00353432">
        <w:rPr>
          <w:rFonts w:cs="Courier"/>
          <w:sz w:val="16"/>
          <w:szCs w:val="16"/>
        </w:rPr>
        <w:t xml:space="preserve"> </w:t>
      </w:r>
      <w:r w:rsidRPr="00B13DCC">
        <w:rPr>
          <w:rFonts w:cs="Courier"/>
          <w:sz w:val="16"/>
          <w:szCs w:val="16"/>
        </w:rPr>
        <w:t>El mismo Comité, en julio de 2001, expresó respecto a Guatemala “</w:t>
      </w:r>
      <w:r w:rsidRPr="00B13DCC">
        <w:rPr>
          <w:rFonts w:cs="Times New Roman"/>
          <w:sz w:val="16"/>
          <w:szCs w:val="16"/>
        </w:rPr>
        <w:t>preocupación porque se sigue reuniendo dat</w:t>
      </w:r>
      <w:r w:rsidRPr="00353432">
        <w:rPr>
          <w:rFonts w:cs="Times New Roman"/>
          <w:sz w:val="16"/>
          <w:szCs w:val="16"/>
        </w:rPr>
        <w:t xml:space="preserve">os relativos principalmente a la salud y la educación y no a todas las esferas que abarca la Convención [sobre los Derechos del Niño. R]ecom[e]nd[ó a]l Estado Parte [que] siga elaborando un sistema para la reunión de datos y de indicadores desglosados por sexo, edad, grupos indígenas y minoritarios, y por zona urbana o rural, que tenga en cuenta las disposiciones de la Convención [sobre los Derechos del Niño]. Ese sistema debería incluir a todos los menores de 18 años y prestar especial atención a los niños especialmente vulnerable”. </w:t>
      </w:r>
      <w:r w:rsidRPr="00D166F3">
        <w:rPr>
          <w:rFonts w:cs="Times New Roman"/>
          <w:bCs/>
          <w:iCs/>
          <w:sz w:val="16"/>
          <w:szCs w:val="16"/>
        </w:rPr>
        <w:t>Observaciones finales del Comité de los Derechos del Niño: Guatemala. 27º período de sesione</w:t>
      </w:r>
      <w:r>
        <w:rPr>
          <w:rFonts w:cs="Times New Roman"/>
          <w:bCs/>
          <w:iCs/>
          <w:sz w:val="16"/>
          <w:szCs w:val="16"/>
        </w:rPr>
        <w:t>s, 09/07/2001. CRC/C/15/Add. 154</w:t>
      </w:r>
      <w:r w:rsidRPr="00D166F3">
        <w:rPr>
          <w:rFonts w:cs="Times New Roman"/>
          <w:bCs/>
          <w:iCs/>
          <w:sz w:val="16"/>
          <w:szCs w:val="16"/>
        </w:rPr>
        <w:t>,</w:t>
      </w:r>
      <w:r w:rsidRPr="00B13DCC">
        <w:rPr>
          <w:rFonts w:cs="Times New Roman"/>
          <w:bCs/>
          <w:i/>
          <w:iCs/>
          <w:sz w:val="16"/>
          <w:szCs w:val="16"/>
        </w:rPr>
        <w:t xml:space="preserve"> </w:t>
      </w:r>
      <w:r w:rsidRPr="00122C63">
        <w:rPr>
          <w:rFonts w:cs="Times New Roman"/>
          <w:bCs/>
          <w:sz w:val="16"/>
          <w:szCs w:val="16"/>
        </w:rPr>
        <w:t>párrs. 30 y 31.</w:t>
      </w:r>
      <w:r w:rsidRPr="00353432">
        <w:rPr>
          <w:rFonts w:cs="Times New Roman"/>
          <w:b/>
          <w:bCs/>
          <w:sz w:val="16"/>
          <w:szCs w:val="16"/>
        </w:rPr>
        <w:t xml:space="preserve"> </w:t>
      </w:r>
    </w:p>
  </w:footnote>
  <w:footnote w:id="246">
    <w:p w:rsidR="0081535F" w:rsidRPr="00353432" w:rsidRDefault="0081535F" w:rsidP="00422232">
      <w:pPr>
        <w:pStyle w:val="Default"/>
        <w:spacing w:line="19" w:lineRule="atLeast"/>
        <w:ind w:left="-180" w:right="-174"/>
        <w:jc w:val="both"/>
        <w:rPr>
          <w:sz w:val="16"/>
          <w:szCs w:val="16"/>
        </w:rPr>
      </w:pPr>
      <w:r w:rsidRPr="00353432">
        <w:rPr>
          <w:rStyle w:val="Refdenotaalpie"/>
          <w:color w:val="auto"/>
          <w:sz w:val="16"/>
          <w:szCs w:val="16"/>
        </w:rPr>
        <w:footnoteRef/>
      </w:r>
      <w:r>
        <w:rPr>
          <w:color w:val="auto"/>
          <w:sz w:val="16"/>
          <w:szCs w:val="16"/>
        </w:rPr>
        <w:t xml:space="preserve"> </w:t>
      </w:r>
      <w:r w:rsidRPr="00353432">
        <w:rPr>
          <w:color w:val="auto"/>
          <w:sz w:val="16"/>
          <w:szCs w:val="16"/>
        </w:rPr>
        <w:t>En ese sentido, la Corte ha señalado que luego de una denuncia de desaparición o secuestro, los Estados deben actuar con prontitud en las primeras horas y días.</w:t>
      </w:r>
      <w:r>
        <w:rPr>
          <w:color w:val="auto"/>
          <w:sz w:val="16"/>
          <w:szCs w:val="16"/>
        </w:rPr>
        <w:t xml:space="preserve"> </w:t>
      </w:r>
      <w:r w:rsidRPr="00353432">
        <w:rPr>
          <w:i/>
          <w:color w:val="auto"/>
          <w:sz w:val="16"/>
          <w:szCs w:val="16"/>
        </w:rPr>
        <w:t xml:space="preserve">Cfr. </w:t>
      </w:r>
      <w:r w:rsidRPr="00353432">
        <w:rPr>
          <w:i/>
          <w:iCs/>
          <w:color w:val="auto"/>
          <w:sz w:val="16"/>
          <w:szCs w:val="16"/>
        </w:rPr>
        <w:t>Caso González y otras (“Campo Algodonero”)</w:t>
      </w:r>
      <w:r>
        <w:rPr>
          <w:i/>
          <w:iCs/>
          <w:color w:val="auto"/>
          <w:sz w:val="16"/>
          <w:szCs w:val="16"/>
        </w:rPr>
        <w:t>, supra</w:t>
      </w:r>
      <w:r w:rsidRPr="00353432">
        <w:rPr>
          <w:color w:val="auto"/>
          <w:sz w:val="16"/>
          <w:szCs w:val="16"/>
        </w:rPr>
        <w:t xml:space="preserve">, párr. 284, y </w:t>
      </w:r>
      <w:r w:rsidRPr="003622B1">
        <w:rPr>
          <w:rFonts w:cs="Arial"/>
          <w:i/>
          <w:color w:val="auto"/>
          <w:sz w:val="16"/>
          <w:szCs w:val="16"/>
        </w:rPr>
        <w:t>Caso Palma Mendoza y otros Vs. Ecuador. Excepción Preliminar y Fondo</w:t>
      </w:r>
      <w:r w:rsidRPr="00353432">
        <w:rPr>
          <w:rFonts w:cs="Arial"/>
          <w:color w:val="auto"/>
          <w:sz w:val="16"/>
          <w:szCs w:val="16"/>
        </w:rPr>
        <w:t>. Sentencia de 3 de septiembre de 2012. Serie C No. 247, párr. 91</w:t>
      </w:r>
      <w:r>
        <w:rPr>
          <w:rFonts w:cs="Arial"/>
          <w:color w:val="auto"/>
          <w:sz w:val="16"/>
          <w:szCs w:val="16"/>
        </w:rPr>
        <w:t>.</w:t>
      </w:r>
      <w:r w:rsidRPr="00353432">
        <w:rPr>
          <w:color w:val="auto"/>
          <w:sz w:val="16"/>
          <w:szCs w:val="16"/>
        </w:rPr>
        <w:t xml:space="preserve"> </w:t>
      </w:r>
    </w:p>
  </w:footnote>
  <w:footnote w:id="247">
    <w:p w:rsidR="0081535F" w:rsidRPr="00050BCA" w:rsidRDefault="0081535F" w:rsidP="00422232">
      <w:pPr>
        <w:pStyle w:val="Textonotapie"/>
        <w:spacing w:line="19" w:lineRule="atLeast"/>
        <w:ind w:left="-180" w:right="-174"/>
        <w:jc w:val="both"/>
        <w:rPr>
          <w:rFonts w:ascii="Verdana" w:hAnsi="Verdana"/>
          <w:sz w:val="16"/>
          <w:szCs w:val="16"/>
        </w:rPr>
      </w:pPr>
      <w:r w:rsidRPr="00353432">
        <w:rPr>
          <w:rStyle w:val="Refdenotaalpie"/>
          <w:rFonts w:ascii="Verdana" w:hAnsi="Verdana"/>
          <w:sz w:val="16"/>
          <w:szCs w:val="16"/>
        </w:rPr>
        <w:footnoteRef/>
      </w:r>
      <w:r>
        <w:rPr>
          <w:rFonts w:ascii="Verdana" w:hAnsi="Verdana"/>
          <w:sz w:val="16"/>
          <w:szCs w:val="16"/>
        </w:rPr>
        <w:t xml:space="preserve">  </w:t>
      </w:r>
      <w:r w:rsidRPr="00353432">
        <w:rPr>
          <w:rFonts w:ascii="Verdana" w:hAnsi="Verdana"/>
          <w:sz w:val="16"/>
          <w:szCs w:val="16"/>
        </w:rPr>
        <w:t>En tal senti</w:t>
      </w:r>
      <w:r>
        <w:rPr>
          <w:rFonts w:ascii="Verdana" w:hAnsi="Verdana"/>
          <w:sz w:val="16"/>
          <w:szCs w:val="16"/>
        </w:rPr>
        <w:t>do, la Corte ha expresado que “[l]</w:t>
      </w:r>
      <w:r w:rsidRPr="00353432">
        <w:rPr>
          <w:rFonts w:ascii="Verdana" w:hAnsi="Verdana"/>
          <w:sz w:val="16"/>
          <w:szCs w:val="16"/>
        </w:rPr>
        <w:t>os Estados Partes se comprometen a asegurar al niño la protección y el cuidado que sean necesarios para su bienestar, teniendo en cuenta los derechos y deberes de sus padres, tutores u otras personas responsables de él ante la ley y, con ese fin, tomarán todas las medidas legislativas y administrativas adecuadas”</w:t>
      </w:r>
      <w:r>
        <w:rPr>
          <w:rFonts w:ascii="Verdana" w:hAnsi="Verdana"/>
          <w:sz w:val="16"/>
          <w:szCs w:val="16"/>
        </w:rPr>
        <w:t>.</w:t>
      </w:r>
      <w:r w:rsidRPr="00353432">
        <w:rPr>
          <w:rFonts w:ascii="Verdana" w:hAnsi="Verdana"/>
          <w:sz w:val="16"/>
          <w:szCs w:val="16"/>
        </w:rPr>
        <w:t xml:space="preserve"> </w:t>
      </w:r>
      <w:r w:rsidRPr="00353432">
        <w:rPr>
          <w:rFonts w:ascii="Verdana" w:hAnsi="Verdana"/>
          <w:i/>
          <w:sz w:val="16"/>
          <w:szCs w:val="16"/>
        </w:rPr>
        <w:t>Cfr. Condición Jurídica y Derechos Humanos del Niño</w:t>
      </w:r>
      <w:r w:rsidRPr="00D166F3">
        <w:rPr>
          <w:rFonts w:ascii="Verdana" w:hAnsi="Verdana"/>
          <w:sz w:val="16"/>
          <w:szCs w:val="16"/>
        </w:rPr>
        <w:t xml:space="preserve">, </w:t>
      </w:r>
      <w:r w:rsidRPr="00D166F3">
        <w:rPr>
          <w:rFonts w:ascii="Verdana" w:hAnsi="Verdana"/>
          <w:i/>
          <w:sz w:val="16"/>
          <w:szCs w:val="16"/>
        </w:rPr>
        <w:t>supra</w:t>
      </w:r>
      <w:r w:rsidRPr="00D166F3">
        <w:rPr>
          <w:rFonts w:ascii="Verdana" w:hAnsi="Verdana"/>
          <w:sz w:val="16"/>
          <w:szCs w:val="16"/>
        </w:rPr>
        <w:t>, párr. 63.2.</w:t>
      </w:r>
    </w:p>
  </w:footnote>
  <w:footnote w:id="248">
    <w:p w:rsidR="0081535F" w:rsidRPr="00353432" w:rsidRDefault="0081535F" w:rsidP="00422232">
      <w:pPr>
        <w:pStyle w:val="Textonotapie"/>
        <w:spacing w:line="19" w:lineRule="atLeast"/>
        <w:ind w:left="-180" w:right="-174"/>
        <w:jc w:val="both"/>
        <w:rPr>
          <w:rFonts w:ascii="Verdana" w:hAnsi="Verdana"/>
          <w:sz w:val="16"/>
          <w:szCs w:val="16"/>
        </w:rPr>
      </w:pPr>
      <w:r w:rsidRPr="00050BCA">
        <w:rPr>
          <w:rStyle w:val="Refdenotaalpie"/>
          <w:rFonts w:ascii="Verdana" w:hAnsi="Verdana"/>
          <w:sz w:val="16"/>
          <w:szCs w:val="16"/>
        </w:rPr>
        <w:footnoteRef/>
      </w:r>
      <w:r>
        <w:rPr>
          <w:rFonts w:ascii="Verdana" w:hAnsi="Verdana"/>
          <w:sz w:val="16"/>
          <w:szCs w:val="16"/>
        </w:rPr>
        <w:t xml:space="preserve"> </w:t>
      </w:r>
      <w:r w:rsidRPr="00050BCA">
        <w:rPr>
          <w:rFonts w:ascii="Verdana" w:hAnsi="Verdana"/>
          <w:sz w:val="16"/>
          <w:szCs w:val="16"/>
        </w:rPr>
        <w:t>El Tribunal ha indicado que “[e]n principio, la familia debe proporcionar la mejor protección de los niños contra el abuso, el descuido y la explotación. Y el Estado se halla obligado […] a favorecer, de la manera más amplia, el desarrollo y la fortaleza del núcleo familiar”. No obstante, en la misma oportunidad, la Corte aseveró que también el Estado debe “disponer y ejecutar directamente medidas de protección de los niños</w:t>
      </w:r>
      <w:r>
        <w:rPr>
          <w:rFonts w:ascii="Verdana" w:hAnsi="Verdana"/>
          <w:sz w:val="16"/>
          <w:szCs w:val="16"/>
        </w:rPr>
        <w:t>.</w:t>
      </w:r>
      <w:r w:rsidRPr="00BB0D81">
        <w:rPr>
          <w:rFonts w:ascii="Verdana" w:hAnsi="Verdana"/>
          <w:i/>
          <w:sz w:val="16"/>
          <w:szCs w:val="16"/>
        </w:rPr>
        <w:t xml:space="preserve"> </w:t>
      </w:r>
      <w:r w:rsidRPr="00353432">
        <w:rPr>
          <w:rFonts w:ascii="Verdana" w:hAnsi="Verdana"/>
          <w:i/>
          <w:sz w:val="16"/>
          <w:szCs w:val="16"/>
        </w:rPr>
        <w:t>Cfr. Condición Jurídica y Derechos Humanos del Niño. Op</w:t>
      </w:r>
      <w:r>
        <w:rPr>
          <w:rFonts w:ascii="Verdana" w:hAnsi="Verdana"/>
          <w:i/>
          <w:sz w:val="16"/>
          <w:szCs w:val="16"/>
        </w:rPr>
        <w:t>inión Consultiva OC-17/07, supra</w:t>
      </w:r>
      <w:r w:rsidRPr="00D166F3">
        <w:rPr>
          <w:rFonts w:ascii="Verdana" w:hAnsi="Verdana"/>
          <w:i/>
          <w:sz w:val="16"/>
          <w:szCs w:val="16"/>
        </w:rPr>
        <w:t>,</w:t>
      </w:r>
      <w:r w:rsidRPr="00D166F3">
        <w:rPr>
          <w:rFonts w:ascii="Verdana" w:hAnsi="Verdana"/>
          <w:sz w:val="16"/>
          <w:szCs w:val="16"/>
        </w:rPr>
        <w:t xml:space="preserve"> párr. 66.</w:t>
      </w:r>
    </w:p>
  </w:footnote>
  <w:footnote w:id="249">
    <w:p w:rsidR="0081535F" w:rsidRPr="00353432" w:rsidRDefault="0081535F" w:rsidP="00422232">
      <w:pPr>
        <w:widowControl w:val="0"/>
        <w:autoSpaceDE w:val="0"/>
        <w:autoSpaceDN w:val="0"/>
        <w:adjustRightInd w:val="0"/>
        <w:spacing w:after="0" w:line="19" w:lineRule="atLeast"/>
        <w:ind w:left="-180" w:right="-174"/>
        <w:jc w:val="both"/>
        <w:rPr>
          <w:rFonts w:ascii="Verdana" w:hAnsi="Verdana" w:cs="Arial"/>
          <w:sz w:val="16"/>
          <w:szCs w:val="16"/>
          <w:lang w:val="es-CR"/>
        </w:rPr>
      </w:pPr>
      <w:r w:rsidRPr="00353432">
        <w:rPr>
          <w:rStyle w:val="Refdenotaalpie"/>
          <w:rFonts w:ascii="Verdana" w:hAnsi="Verdana"/>
          <w:sz w:val="16"/>
          <w:szCs w:val="16"/>
        </w:rPr>
        <w:footnoteRef/>
      </w:r>
      <w:r>
        <w:rPr>
          <w:rFonts w:ascii="Verdana" w:hAnsi="Verdana"/>
          <w:sz w:val="16"/>
          <w:szCs w:val="16"/>
          <w:lang w:val="es-CR"/>
        </w:rPr>
        <w:t xml:space="preserve"> </w:t>
      </w:r>
      <w:r w:rsidRPr="00353432">
        <w:rPr>
          <w:rFonts w:ascii="Verdana" w:hAnsi="Verdana"/>
          <w:sz w:val="16"/>
          <w:szCs w:val="16"/>
          <w:lang w:val="es-CR"/>
        </w:rPr>
        <w:t xml:space="preserve">El artículo 8.1 de la Convención </w:t>
      </w:r>
      <w:r>
        <w:rPr>
          <w:rFonts w:ascii="Verdana" w:hAnsi="Verdana"/>
          <w:sz w:val="16"/>
          <w:szCs w:val="16"/>
          <w:lang w:val="es-CR"/>
        </w:rPr>
        <w:t>dispone</w:t>
      </w:r>
      <w:r w:rsidRPr="00353432">
        <w:rPr>
          <w:rFonts w:ascii="Verdana" w:hAnsi="Verdana"/>
          <w:sz w:val="16"/>
          <w:szCs w:val="16"/>
          <w:lang w:val="es-CR"/>
        </w:rPr>
        <w:t xml:space="preserve"> que:</w:t>
      </w:r>
    </w:p>
    <w:p w:rsidR="0081535F" w:rsidRPr="00353432" w:rsidRDefault="0081535F" w:rsidP="00422232">
      <w:pPr>
        <w:spacing w:after="0" w:line="19" w:lineRule="atLeast"/>
        <w:ind w:left="-180" w:right="-174"/>
        <w:jc w:val="both"/>
        <w:rPr>
          <w:rFonts w:ascii="Verdana" w:hAnsi="Verdana"/>
          <w:sz w:val="16"/>
          <w:szCs w:val="16"/>
          <w:lang w:val="es-CR"/>
        </w:rPr>
      </w:pPr>
      <w:r w:rsidRPr="00353432">
        <w:rPr>
          <w:rFonts w:ascii="Verdana" w:hAnsi="Verdana"/>
          <w:sz w:val="16"/>
          <w:szCs w:val="16"/>
          <w:lang w:val="es-CR"/>
        </w:rPr>
        <w:t>Toda persona tiene derecho a ser oída, con las debida</w:t>
      </w:r>
      <w:r>
        <w:rPr>
          <w:rFonts w:ascii="Verdana" w:hAnsi="Verdana"/>
          <w:sz w:val="16"/>
          <w:szCs w:val="16"/>
          <w:lang w:val="es-CR"/>
        </w:rPr>
        <w:t>s garantías y dentro de un plazo</w:t>
      </w:r>
      <w:r w:rsidRPr="00353432">
        <w:rPr>
          <w:rFonts w:ascii="Verdana" w:hAnsi="Verdana"/>
          <w:sz w:val="16"/>
          <w:szCs w:val="16"/>
          <w:lang w:val="es-CR"/>
        </w:rPr>
        <w:t xml:space="preserve"> razonable, por un juez o tribunal competente, independiente e imparcial, establecido con anterioridad a la ley, en la sustanciaci</w:t>
      </w:r>
      <w:r>
        <w:rPr>
          <w:rFonts w:ascii="Verdana" w:hAnsi="Verdana"/>
          <w:sz w:val="16"/>
          <w:szCs w:val="16"/>
          <w:lang w:val="es-CR"/>
        </w:rPr>
        <w:t>ó</w:t>
      </w:r>
      <w:r w:rsidRPr="00353432">
        <w:rPr>
          <w:rFonts w:ascii="Verdana" w:hAnsi="Verdana"/>
          <w:sz w:val="16"/>
          <w:szCs w:val="16"/>
          <w:lang w:val="es-CR"/>
        </w:rPr>
        <w:t>n de cualquier acusación penal formulada contra ella, o para la determinación de sus derechos y obligaciones de orden civil, laboral, fiscal o de cualquier otro carácter.</w:t>
      </w:r>
    </w:p>
  </w:footnote>
  <w:footnote w:id="250">
    <w:p w:rsidR="0081535F" w:rsidRPr="00353432" w:rsidRDefault="0081535F" w:rsidP="00315B30">
      <w:pPr>
        <w:widowControl w:val="0"/>
        <w:autoSpaceDE w:val="0"/>
        <w:autoSpaceDN w:val="0"/>
        <w:adjustRightInd w:val="0"/>
        <w:spacing w:after="0" w:line="19" w:lineRule="atLeast"/>
        <w:ind w:left="-180" w:right="-174"/>
        <w:jc w:val="both"/>
        <w:rPr>
          <w:rFonts w:ascii="Verdana" w:hAnsi="Verdana"/>
          <w:sz w:val="16"/>
          <w:szCs w:val="16"/>
          <w:lang w:val="es-CR"/>
        </w:rPr>
      </w:pPr>
      <w:r w:rsidRPr="00353432">
        <w:rPr>
          <w:rStyle w:val="Refdenotaalpie"/>
          <w:rFonts w:ascii="Verdana" w:hAnsi="Verdana"/>
          <w:sz w:val="16"/>
          <w:szCs w:val="16"/>
        </w:rPr>
        <w:footnoteRef/>
      </w:r>
      <w:r>
        <w:rPr>
          <w:rStyle w:val="Refdenotaalpie"/>
          <w:rFonts w:ascii="Verdana" w:hAnsi="Verdana"/>
          <w:sz w:val="16"/>
          <w:szCs w:val="16"/>
          <w:lang w:val="es-CR"/>
        </w:rPr>
        <w:t xml:space="preserve">  </w:t>
      </w:r>
      <w:r w:rsidRPr="00353432">
        <w:rPr>
          <w:rFonts w:ascii="Verdana" w:hAnsi="Verdana"/>
          <w:sz w:val="16"/>
          <w:szCs w:val="16"/>
          <w:lang w:val="es-CR"/>
        </w:rPr>
        <w:t xml:space="preserve">El artículo 25.1 de la Convención establece: </w:t>
      </w:r>
    </w:p>
    <w:p w:rsidR="0081535F" w:rsidRPr="00507192" w:rsidRDefault="0081535F" w:rsidP="00315B30">
      <w:pPr>
        <w:widowControl w:val="0"/>
        <w:autoSpaceDE w:val="0"/>
        <w:autoSpaceDN w:val="0"/>
        <w:adjustRightInd w:val="0"/>
        <w:spacing w:after="0" w:line="19" w:lineRule="atLeast"/>
        <w:ind w:left="-180" w:right="-174"/>
        <w:jc w:val="both"/>
        <w:rPr>
          <w:rFonts w:ascii="Verdana" w:hAnsi="Verdana"/>
          <w:sz w:val="16"/>
          <w:szCs w:val="16"/>
          <w:lang w:val="es-CR"/>
        </w:rPr>
      </w:pPr>
      <w:r w:rsidRPr="00507192">
        <w:rPr>
          <w:rFonts w:ascii="Verdana" w:hAnsi="Verdana"/>
          <w:sz w:val="16"/>
          <w:szCs w:val="16"/>
          <w:lang w:val="es-CR"/>
        </w:rPr>
        <w:t xml:space="preserve">Toda persona tiene derecho a un recurso sencillo y rápido o a cualquier  otro recurso  </w:t>
      </w:r>
      <w:r>
        <w:rPr>
          <w:rFonts w:ascii="Verdana" w:hAnsi="Verdana"/>
          <w:sz w:val="16"/>
          <w:szCs w:val="16"/>
          <w:lang w:val="es-CR"/>
        </w:rPr>
        <w:t>efectivo  ante  los  jueces o</w:t>
      </w:r>
      <w:r w:rsidRPr="00507192">
        <w:rPr>
          <w:rFonts w:ascii="Verdana" w:hAnsi="Verdana"/>
          <w:sz w:val="16"/>
          <w:szCs w:val="16"/>
          <w:lang w:val="es-CR"/>
        </w:rPr>
        <w:t xml:space="preserve"> tribunales competentes, que la ampare contra actos que violen sus derechos fundamentales reconocidos por la  Constitución, la ley o la presente Convención, aun cuando tal violación sea cometida por personas que actúen en ejercicio de sus funciones oficiales.</w:t>
      </w:r>
    </w:p>
  </w:footnote>
  <w:footnote w:id="251">
    <w:p w:rsidR="0081535F" w:rsidRPr="00353432" w:rsidRDefault="0081535F" w:rsidP="00422232">
      <w:pPr>
        <w:pStyle w:val="Textonotapie"/>
        <w:spacing w:line="19" w:lineRule="atLeast"/>
        <w:ind w:left="-180" w:right="-174"/>
        <w:jc w:val="both"/>
        <w:rPr>
          <w:rFonts w:ascii="Verdana" w:hAnsi="Verdana"/>
          <w:sz w:val="16"/>
          <w:szCs w:val="16"/>
          <w:lang w:val="es-CR"/>
        </w:rPr>
      </w:pPr>
      <w:r w:rsidRPr="00353432">
        <w:rPr>
          <w:rStyle w:val="Refdenotaalpie"/>
          <w:rFonts w:ascii="Verdana" w:hAnsi="Verdana"/>
          <w:sz w:val="16"/>
          <w:szCs w:val="16"/>
        </w:rPr>
        <w:footnoteRef/>
      </w:r>
      <w:r>
        <w:rPr>
          <w:rFonts w:ascii="Verdana" w:hAnsi="Verdana"/>
          <w:sz w:val="16"/>
          <w:szCs w:val="16"/>
        </w:rPr>
        <w:t xml:space="preserve"> </w:t>
      </w:r>
      <w:r w:rsidRPr="00353432">
        <w:rPr>
          <w:rFonts w:ascii="Verdana" w:hAnsi="Verdana"/>
          <w:sz w:val="16"/>
          <w:szCs w:val="16"/>
          <w:lang w:val="es-CR"/>
        </w:rPr>
        <w:t xml:space="preserve">Entre </w:t>
      </w:r>
      <w:r>
        <w:rPr>
          <w:rFonts w:ascii="Verdana" w:hAnsi="Verdana"/>
          <w:sz w:val="16"/>
          <w:szCs w:val="16"/>
          <w:lang w:val="es-CR"/>
        </w:rPr>
        <w:t xml:space="preserve">otros, referentes fallas en el </w:t>
      </w:r>
      <w:r w:rsidRPr="00353432">
        <w:rPr>
          <w:rFonts w:ascii="Verdana" w:hAnsi="Verdana"/>
          <w:sz w:val="16"/>
          <w:szCs w:val="16"/>
          <w:lang w:val="es-CR"/>
        </w:rPr>
        <w:t xml:space="preserve">acta de levantamiento del cuerpo, en la inspección ocular en la que se indica que la escena del crimen ya había sido contaminada, que no se hizo con minuciosidad, omiten detalles de cómo se encontró el cadáver, del estado de la ropa, si en ella habían manchas de sangre, cabellos, fibras, hilos u otras pistas, no se establece si se examinó el lugar en busca de huellas o cualquier otra evidencia relevante, no se detalla las acciones de los investigadores y la disposición de la evidencia recolectada, se documentó en el informe policía que había una bolsa de plástico grande, pero no fue reportada por la auxiliar fiscal, no se respetó la cadena de custodia de la prueba, respecto a la posición de cadáver hay deficiencias en su descripción y omisiones, la necropsia fue realizada de manera incompleta, no se consigna la forma, lugar y hora de la muerte, no se preservan evidencias en caso de sospecha de violencia sexual, no se da seguimiento a la llamada realizada por un informante anónimo que aportó datos sobre el asesinato, y que fue hasta el 18 de julio de 2003 que se realizó un allanamiento en un inmueble, en cuanto al reporte de llamadas del teléfono que portaba María Isabel no fue analizado diligentemente, y </w:t>
      </w:r>
      <w:r>
        <w:rPr>
          <w:rFonts w:ascii="Verdana" w:hAnsi="Verdana"/>
          <w:sz w:val="16"/>
          <w:szCs w:val="16"/>
          <w:lang w:val="es-CR"/>
        </w:rPr>
        <w:t xml:space="preserve">no se </w:t>
      </w:r>
      <w:r w:rsidRPr="00353432">
        <w:rPr>
          <w:rFonts w:ascii="Verdana" w:hAnsi="Verdana"/>
          <w:sz w:val="16"/>
          <w:szCs w:val="16"/>
          <w:lang w:val="es-CR"/>
        </w:rPr>
        <w:t>obtuv</w:t>
      </w:r>
      <w:r>
        <w:rPr>
          <w:rFonts w:ascii="Verdana" w:hAnsi="Verdana"/>
          <w:sz w:val="16"/>
          <w:szCs w:val="16"/>
          <w:lang w:val="es-CR"/>
        </w:rPr>
        <w:t>ier</w:t>
      </w:r>
      <w:r w:rsidRPr="00353432">
        <w:rPr>
          <w:rFonts w:ascii="Verdana" w:hAnsi="Verdana"/>
          <w:sz w:val="16"/>
          <w:szCs w:val="16"/>
          <w:lang w:val="es-CR"/>
        </w:rPr>
        <w:t>o</w:t>
      </w:r>
      <w:r>
        <w:rPr>
          <w:rFonts w:ascii="Verdana" w:hAnsi="Verdana"/>
          <w:sz w:val="16"/>
          <w:szCs w:val="16"/>
          <w:lang w:val="es-CR"/>
        </w:rPr>
        <w:t>n</w:t>
      </w:r>
      <w:r w:rsidRPr="00353432">
        <w:rPr>
          <w:rFonts w:ascii="Verdana" w:hAnsi="Verdana"/>
          <w:sz w:val="16"/>
          <w:szCs w:val="16"/>
          <w:lang w:val="es-CR"/>
        </w:rPr>
        <w:t xml:space="preserve"> declaraciones de los testigos de manera pronta</w:t>
      </w:r>
      <w:r>
        <w:rPr>
          <w:rFonts w:ascii="Verdana" w:hAnsi="Verdana"/>
          <w:sz w:val="16"/>
          <w:szCs w:val="16"/>
          <w:lang w:val="es-CR"/>
        </w:rPr>
        <w:t>.</w:t>
      </w:r>
      <w:r w:rsidRPr="00353432">
        <w:rPr>
          <w:rFonts w:ascii="Verdana" w:hAnsi="Verdana"/>
          <w:sz w:val="16"/>
          <w:szCs w:val="16"/>
          <w:lang w:val="es-CR"/>
        </w:rPr>
        <w:t xml:space="preserve"> </w:t>
      </w:r>
    </w:p>
  </w:footnote>
  <w:footnote w:id="252">
    <w:p w:rsidR="0081535F" w:rsidRPr="00353432" w:rsidRDefault="0081535F" w:rsidP="00422232">
      <w:pPr>
        <w:pStyle w:val="Textonotapie"/>
        <w:spacing w:line="19" w:lineRule="atLeast"/>
        <w:ind w:left="-180" w:right="-174"/>
        <w:jc w:val="both"/>
        <w:rPr>
          <w:rFonts w:ascii="Verdana" w:hAnsi="Verdana"/>
          <w:sz w:val="16"/>
          <w:szCs w:val="16"/>
          <w:lang w:val="es-CR"/>
        </w:rPr>
      </w:pPr>
      <w:r w:rsidRPr="00353432">
        <w:rPr>
          <w:rStyle w:val="Refdenotaalpie"/>
          <w:rFonts w:ascii="Verdana" w:hAnsi="Verdana"/>
          <w:sz w:val="16"/>
          <w:szCs w:val="16"/>
        </w:rPr>
        <w:footnoteRef/>
      </w:r>
      <w:r w:rsidRPr="00353432">
        <w:rPr>
          <w:rFonts w:ascii="Verdana" w:hAnsi="Verdana"/>
          <w:sz w:val="16"/>
          <w:szCs w:val="16"/>
        </w:rPr>
        <w:t xml:space="preserve"> </w:t>
      </w:r>
      <w:r w:rsidRPr="00353432">
        <w:rPr>
          <w:rFonts w:ascii="Verdana" w:hAnsi="Verdana"/>
          <w:sz w:val="16"/>
          <w:szCs w:val="16"/>
          <w:lang w:val="es-CR"/>
        </w:rPr>
        <w:t xml:space="preserve">A saber: la Comisión Interamericana de Mujeres (CIM), el Centro Internacional para la Reforma del Derecho Penal y la Política en Materia de Justicia </w:t>
      </w:r>
      <w:r>
        <w:rPr>
          <w:rFonts w:ascii="Verdana" w:hAnsi="Verdana"/>
          <w:sz w:val="16"/>
          <w:szCs w:val="16"/>
          <w:lang w:val="es-CR"/>
        </w:rPr>
        <w:t>P</w:t>
      </w:r>
      <w:r w:rsidRPr="00353432">
        <w:rPr>
          <w:rFonts w:ascii="Verdana" w:hAnsi="Verdana"/>
          <w:sz w:val="16"/>
          <w:szCs w:val="16"/>
          <w:lang w:val="es-CR"/>
        </w:rPr>
        <w:t>enal (ICCLR) y el programa de Justicia y Género del Instituto Latinoamericano de las Naciones Unidas para la Prevención del Delito y el Trata</w:t>
      </w:r>
      <w:r>
        <w:rPr>
          <w:rFonts w:ascii="Verdana" w:hAnsi="Verdana"/>
          <w:sz w:val="16"/>
          <w:szCs w:val="16"/>
          <w:lang w:val="es-CR"/>
        </w:rPr>
        <w:t>miento del Delincuente (ILANUD), y</w:t>
      </w:r>
      <w:r w:rsidRPr="00353432">
        <w:rPr>
          <w:rFonts w:ascii="Verdana" w:hAnsi="Verdana"/>
          <w:sz w:val="16"/>
          <w:szCs w:val="16"/>
          <w:lang w:val="es-CR"/>
        </w:rPr>
        <w:t xml:space="preserve"> Amnistía Internacional.</w:t>
      </w:r>
    </w:p>
  </w:footnote>
  <w:footnote w:id="253">
    <w:p w:rsidR="0081535F" w:rsidRPr="0022623B" w:rsidRDefault="0081535F" w:rsidP="00422232">
      <w:pPr>
        <w:pStyle w:val="Textonotapie"/>
        <w:spacing w:line="19" w:lineRule="atLeast"/>
        <w:ind w:left="-180" w:right="-174"/>
        <w:jc w:val="both"/>
        <w:rPr>
          <w:rFonts w:ascii="Verdana" w:hAnsi="Verdana"/>
          <w:sz w:val="16"/>
          <w:szCs w:val="16"/>
        </w:rPr>
      </w:pPr>
      <w:r w:rsidRPr="00353432">
        <w:rPr>
          <w:rStyle w:val="Refdenotaalpie"/>
          <w:rFonts w:ascii="Verdana" w:hAnsi="Verdana"/>
          <w:sz w:val="16"/>
          <w:szCs w:val="16"/>
        </w:rPr>
        <w:footnoteRef/>
      </w:r>
      <w:r w:rsidRPr="00353432">
        <w:rPr>
          <w:rFonts w:ascii="Verdana" w:hAnsi="Verdana"/>
          <w:sz w:val="16"/>
          <w:szCs w:val="16"/>
        </w:rPr>
        <w:t xml:space="preserve"> L</w:t>
      </w:r>
      <w:r>
        <w:rPr>
          <w:rFonts w:ascii="Verdana" w:hAnsi="Verdana"/>
          <w:sz w:val="16"/>
          <w:szCs w:val="16"/>
        </w:rPr>
        <w:t>a</w:t>
      </w:r>
      <w:r w:rsidRPr="00353432">
        <w:rPr>
          <w:rFonts w:ascii="Verdana" w:hAnsi="Verdana"/>
          <w:sz w:val="16"/>
          <w:szCs w:val="16"/>
        </w:rPr>
        <w:t xml:space="preserve"> </w:t>
      </w:r>
      <w:r w:rsidRPr="00E36E91">
        <w:rPr>
          <w:rFonts w:ascii="Verdana" w:hAnsi="Verdana"/>
          <w:sz w:val="16"/>
          <w:szCs w:val="16"/>
        </w:rPr>
        <w:t>representante</w:t>
      </w:r>
      <w:r w:rsidRPr="00353432">
        <w:rPr>
          <w:rFonts w:ascii="Verdana" w:hAnsi="Verdana"/>
          <w:sz w:val="16"/>
          <w:szCs w:val="16"/>
        </w:rPr>
        <w:t xml:space="preserve"> no hi</w:t>
      </w:r>
      <w:r>
        <w:rPr>
          <w:rFonts w:ascii="Verdana" w:hAnsi="Verdana"/>
          <w:sz w:val="16"/>
          <w:szCs w:val="16"/>
        </w:rPr>
        <w:t>zo</w:t>
      </w:r>
      <w:r w:rsidRPr="00353432">
        <w:rPr>
          <w:rFonts w:ascii="Verdana" w:hAnsi="Verdana"/>
          <w:sz w:val="16"/>
          <w:szCs w:val="16"/>
        </w:rPr>
        <w:t xml:space="preserve"> un análisis individual del artículo 7 de la Convención de Belém</w:t>
      </w:r>
      <w:r>
        <w:rPr>
          <w:rFonts w:ascii="Verdana" w:hAnsi="Verdana"/>
          <w:sz w:val="16"/>
          <w:szCs w:val="16"/>
        </w:rPr>
        <w:t xml:space="preserve"> do Pará,</w:t>
      </w:r>
      <w:r w:rsidRPr="00353432">
        <w:rPr>
          <w:rFonts w:ascii="Verdana" w:hAnsi="Verdana"/>
          <w:sz w:val="16"/>
          <w:szCs w:val="16"/>
        </w:rPr>
        <w:t xml:space="preserve"> sino que </w:t>
      </w:r>
      <w:r w:rsidRPr="0022623B">
        <w:rPr>
          <w:rFonts w:ascii="Verdana" w:hAnsi="Verdana"/>
          <w:sz w:val="16"/>
          <w:szCs w:val="16"/>
        </w:rPr>
        <w:t xml:space="preserve">se refirió a este en conjunto con varios artículos de la Convención Americana.  </w:t>
      </w:r>
    </w:p>
  </w:footnote>
  <w:footnote w:id="254">
    <w:p w:rsidR="0081535F" w:rsidRPr="00353432" w:rsidRDefault="0081535F" w:rsidP="00422232">
      <w:pPr>
        <w:pStyle w:val="Textonotapie"/>
        <w:spacing w:line="19" w:lineRule="atLeast"/>
        <w:ind w:left="-180" w:right="-174"/>
        <w:jc w:val="both"/>
        <w:rPr>
          <w:rFonts w:ascii="Verdana" w:hAnsi="Verdana"/>
          <w:sz w:val="16"/>
          <w:szCs w:val="16"/>
        </w:rPr>
      </w:pPr>
      <w:r w:rsidRPr="00353432">
        <w:rPr>
          <w:rStyle w:val="Refdenotaalpie"/>
          <w:rFonts w:ascii="Verdana" w:hAnsi="Verdana"/>
          <w:sz w:val="16"/>
          <w:szCs w:val="16"/>
        </w:rPr>
        <w:footnoteRef/>
      </w:r>
      <w:r w:rsidRPr="00353432">
        <w:rPr>
          <w:rFonts w:ascii="Verdana" w:hAnsi="Verdana"/>
          <w:sz w:val="16"/>
          <w:szCs w:val="16"/>
        </w:rPr>
        <w:t xml:space="preserve"> El artículo 1 de la Convención Belém do Pará define la violencia contra la mujer como “cualquier acción o conducta, basada en su género, que cause muerte, daño o sufrimiento físico, sexual o psicológico a la mujer, tanto en el ámbito público como en el privado</w:t>
      </w:r>
      <w:r w:rsidRPr="0060474A">
        <w:rPr>
          <w:rFonts w:ascii="Verdana" w:hAnsi="Verdana"/>
          <w:sz w:val="16"/>
          <w:szCs w:val="16"/>
        </w:rPr>
        <w:t xml:space="preserve">”. </w:t>
      </w:r>
      <w:r w:rsidRPr="0060474A">
        <w:rPr>
          <w:rFonts w:ascii="Verdana" w:eastAsia="Times New Roman" w:hAnsi="Verdana" w:cs="Times"/>
          <w:sz w:val="16"/>
          <w:szCs w:val="16"/>
          <w:lang w:val="es-MX"/>
        </w:rPr>
        <w:t xml:space="preserve">La Corte </w:t>
      </w:r>
      <w:r w:rsidRPr="0060474A">
        <w:rPr>
          <w:rFonts w:ascii="Verdana" w:eastAsia="Times New Roman" w:hAnsi="Verdana" w:cs="Times"/>
          <w:sz w:val="16"/>
          <w:szCs w:val="16"/>
          <w:lang w:val="es-CR"/>
        </w:rPr>
        <w:t>indicó que “[e]l CEDAW […]</w:t>
      </w:r>
      <w:r>
        <w:rPr>
          <w:rFonts w:ascii="Verdana" w:eastAsia="Times New Roman" w:hAnsi="Verdana" w:cs="Times"/>
          <w:sz w:val="16"/>
          <w:szCs w:val="16"/>
          <w:lang w:val="es-CR"/>
        </w:rPr>
        <w:t xml:space="preserve"> </w:t>
      </w:r>
      <w:r w:rsidRPr="0060474A">
        <w:rPr>
          <w:rFonts w:ascii="Verdana" w:eastAsia="Times New Roman" w:hAnsi="Verdana" w:cs="Times"/>
          <w:sz w:val="16"/>
          <w:szCs w:val="16"/>
          <w:lang w:val="es-CR"/>
        </w:rPr>
        <w:t>ha señalado que ‘[l]a violencia contra la mujer es una forma de discriminación que impide gravemente que goce de derechos y libertades en pie de igualdad con el hombre’”</w:t>
      </w:r>
      <w:r>
        <w:rPr>
          <w:rFonts w:ascii="Verdana" w:eastAsia="Times New Roman" w:hAnsi="Verdana" w:cs="Times"/>
          <w:sz w:val="16"/>
          <w:szCs w:val="16"/>
          <w:lang w:val="es-CR"/>
        </w:rPr>
        <w:t xml:space="preserve">. </w:t>
      </w:r>
      <w:r w:rsidRPr="0060474A">
        <w:rPr>
          <w:rFonts w:ascii="Verdana" w:hAnsi="Verdana"/>
          <w:i/>
          <w:sz w:val="16"/>
          <w:szCs w:val="16"/>
          <w:lang w:val="es-CR"/>
        </w:rPr>
        <w:t>Caso González y otras (“Campo Algodonero”)</w:t>
      </w:r>
      <w:r>
        <w:rPr>
          <w:rFonts w:ascii="Verdana" w:hAnsi="Verdana"/>
          <w:i/>
          <w:sz w:val="16"/>
          <w:szCs w:val="16"/>
          <w:lang w:val="es-CR"/>
        </w:rPr>
        <w:t>, supra</w:t>
      </w:r>
      <w:r w:rsidRPr="0060474A">
        <w:rPr>
          <w:rFonts w:ascii="Verdana" w:hAnsi="Verdana"/>
          <w:sz w:val="16"/>
          <w:szCs w:val="16"/>
          <w:lang w:val="es-CR"/>
        </w:rPr>
        <w:t>, párrs. 143, 401 y 395</w:t>
      </w:r>
      <w:r>
        <w:rPr>
          <w:rFonts w:ascii="Verdana" w:hAnsi="Verdana"/>
          <w:sz w:val="16"/>
          <w:szCs w:val="16"/>
          <w:lang w:val="es-CR"/>
        </w:rPr>
        <w:t>.</w:t>
      </w:r>
      <w:r w:rsidRPr="0060474A">
        <w:rPr>
          <w:rFonts w:ascii="Verdana" w:hAnsi="Verdana"/>
          <w:sz w:val="16"/>
          <w:szCs w:val="16"/>
        </w:rPr>
        <w:t xml:space="preserve"> Por otra</w:t>
      </w:r>
      <w:r>
        <w:rPr>
          <w:rFonts w:ascii="Verdana" w:hAnsi="Verdana"/>
          <w:sz w:val="16"/>
          <w:szCs w:val="16"/>
        </w:rPr>
        <w:t xml:space="preserve"> parte, también señaló este Tribunal que</w:t>
      </w:r>
      <w:r w:rsidRPr="00353432">
        <w:rPr>
          <w:rFonts w:ascii="Verdana" w:hAnsi="Verdana"/>
          <w:sz w:val="16"/>
          <w:szCs w:val="16"/>
        </w:rPr>
        <w:t xml:space="preserve"> “</w:t>
      </w:r>
      <w:r w:rsidRPr="00353432">
        <w:rPr>
          <w:rFonts w:ascii="Verdana" w:hAnsi="Verdana"/>
          <w:sz w:val="16"/>
          <w:szCs w:val="16"/>
          <w:lang w:val="es-CR"/>
        </w:rPr>
        <w:t xml:space="preserve">no toda violación de un derecho humano cometida en perjuicio de una mujer conlleva necesariamente una violación de las disposiciones de la Convención de </w:t>
      </w:r>
      <w:r>
        <w:rPr>
          <w:rFonts w:ascii="Verdana" w:hAnsi="Verdana"/>
          <w:sz w:val="16"/>
          <w:szCs w:val="16"/>
          <w:lang w:val="es-CR"/>
        </w:rPr>
        <w:t>Belém</w:t>
      </w:r>
      <w:r w:rsidRPr="00353432">
        <w:rPr>
          <w:rFonts w:ascii="Verdana" w:hAnsi="Verdana"/>
          <w:sz w:val="16"/>
          <w:szCs w:val="16"/>
          <w:lang w:val="es-CR"/>
        </w:rPr>
        <w:t xml:space="preserve"> do Pará”</w:t>
      </w:r>
      <w:r>
        <w:rPr>
          <w:rFonts w:ascii="Verdana" w:hAnsi="Verdana"/>
          <w:sz w:val="16"/>
          <w:szCs w:val="16"/>
          <w:lang w:val="es-CR"/>
        </w:rPr>
        <w:t xml:space="preserve">. </w:t>
      </w:r>
      <w:r w:rsidRPr="00353432">
        <w:rPr>
          <w:rFonts w:ascii="Verdana" w:hAnsi="Verdana"/>
          <w:i/>
          <w:sz w:val="16"/>
          <w:szCs w:val="16"/>
          <w:lang w:val="es-CR"/>
        </w:rPr>
        <w:t>Caso Ríos y otros Vs. Venezuela. Excepciones Preliminares, Fondo, Reparaciones y Costas</w:t>
      </w:r>
      <w:r w:rsidRPr="00353432">
        <w:rPr>
          <w:rFonts w:ascii="Verdana" w:hAnsi="Verdana"/>
          <w:sz w:val="16"/>
          <w:szCs w:val="16"/>
          <w:lang w:val="es-CR"/>
        </w:rPr>
        <w:t>. Sentencia de 28 de enero de 2009. Serie C No. 194, párr. 279. De ello no se desprende que, en relación con la investigación de hechos cometidos cont</w:t>
      </w:r>
      <w:r>
        <w:rPr>
          <w:rFonts w:ascii="Verdana" w:hAnsi="Verdana"/>
          <w:sz w:val="16"/>
          <w:szCs w:val="16"/>
          <w:lang w:val="es-CR"/>
        </w:rPr>
        <w:t xml:space="preserve">ra mujeres, la aplicación de la </w:t>
      </w:r>
      <w:r w:rsidRPr="005F6D84">
        <w:rPr>
          <w:rFonts w:ascii="Verdana" w:hAnsi="Verdana"/>
          <w:sz w:val="16"/>
          <w:szCs w:val="16"/>
          <w:lang w:val="es-CR"/>
        </w:rPr>
        <w:t>Convención</w:t>
      </w:r>
      <w:r w:rsidRPr="00353432">
        <w:rPr>
          <w:rFonts w:ascii="Verdana" w:hAnsi="Verdana"/>
          <w:sz w:val="16"/>
          <w:szCs w:val="16"/>
          <w:lang w:val="es-CR"/>
        </w:rPr>
        <w:t xml:space="preserve"> de Belém do Pará dependa de un grado absoluto de certeza sobre si el hecho a ser investigado constituyó o no violencia contra la mujer en los términos de dicha Convención. Al respecto, debe resaltarse que es mediante el cumplimiento del deber de investigar establecido en el artículo 7 de la Convención de Belém do Pará que, en diversos casos, podrá arribarse a la certidumbre sobre si el acto investigado constituyó o no violencia contra la mujer. El cumplimiento de tal deber no puede, por tanto, hacerse depender de dicha certidumbre. Basta entones, a efectos de hacer surgir la obligación de investigar en los términos de la Convención de Belém do Pará, que el hecho en cuestión, en su materialidad, presente características que, apreciadas razonablemente, indiquen la posibilidad de que el mismo se trate de un hec</w:t>
      </w:r>
      <w:r>
        <w:rPr>
          <w:rFonts w:ascii="Verdana" w:hAnsi="Verdana"/>
          <w:sz w:val="16"/>
          <w:szCs w:val="16"/>
          <w:lang w:val="es-CR"/>
        </w:rPr>
        <w:t>ho de violencia contra la mujer</w:t>
      </w:r>
      <w:r w:rsidRPr="00353432">
        <w:rPr>
          <w:rFonts w:ascii="Verdana" w:hAnsi="Verdana"/>
          <w:sz w:val="16"/>
          <w:szCs w:val="16"/>
          <w:lang w:val="es-CR"/>
        </w:rPr>
        <w:t>.</w:t>
      </w:r>
      <w:r w:rsidRPr="00450B8D">
        <w:rPr>
          <w:rFonts w:ascii="Verdana" w:hAnsi="Verdana"/>
          <w:strike/>
          <w:sz w:val="16"/>
          <w:szCs w:val="16"/>
        </w:rPr>
        <w:t xml:space="preserve"> </w:t>
      </w:r>
    </w:p>
  </w:footnote>
  <w:footnote w:id="255">
    <w:p w:rsidR="0081535F" w:rsidRPr="00353432" w:rsidRDefault="0081535F" w:rsidP="00422232">
      <w:pPr>
        <w:pStyle w:val="Textonotapie"/>
        <w:spacing w:line="19" w:lineRule="atLeast"/>
        <w:ind w:left="-180" w:right="-174"/>
        <w:jc w:val="both"/>
        <w:rPr>
          <w:rFonts w:ascii="Verdana" w:hAnsi="Verdana"/>
          <w:color w:val="000000"/>
          <w:spacing w:val="-4"/>
          <w:sz w:val="16"/>
          <w:szCs w:val="16"/>
          <w:lang w:val="es-CR"/>
        </w:rPr>
      </w:pPr>
      <w:r w:rsidRPr="00D008DC">
        <w:rPr>
          <w:rStyle w:val="Refdenotaalpie"/>
          <w:rFonts w:ascii="Verdana" w:hAnsi="Verdana"/>
          <w:spacing w:val="-4"/>
          <w:sz w:val="16"/>
          <w:szCs w:val="16"/>
        </w:rPr>
        <w:footnoteRef/>
      </w:r>
      <w:r w:rsidRPr="00D008DC">
        <w:rPr>
          <w:rFonts w:ascii="Verdana" w:hAnsi="Verdana"/>
          <w:spacing w:val="-4"/>
          <w:sz w:val="16"/>
          <w:szCs w:val="16"/>
          <w:lang w:val="es-CR"/>
        </w:rPr>
        <w:t xml:space="preserve"> </w:t>
      </w:r>
      <w:r w:rsidRPr="00D008DC">
        <w:rPr>
          <w:rFonts w:ascii="Verdana" w:hAnsi="Verdana"/>
          <w:i/>
          <w:spacing w:val="-4"/>
          <w:sz w:val="16"/>
          <w:szCs w:val="16"/>
          <w:lang w:val="es-CR"/>
        </w:rPr>
        <w:t>Cfr</w:t>
      </w:r>
      <w:r w:rsidRPr="00D008DC">
        <w:rPr>
          <w:rFonts w:ascii="Verdana" w:hAnsi="Verdana"/>
          <w:spacing w:val="-4"/>
          <w:sz w:val="16"/>
          <w:szCs w:val="16"/>
          <w:lang w:val="es-CR"/>
        </w:rPr>
        <w:t xml:space="preserve">. </w:t>
      </w:r>
      <w:r w:rsidRPr="00812CF8">
        <w:rPr>
          <w:rFonts w:ascii="Verdana" w:hAnsi="Verdana"/>
          <w:i/>
          <w:spacing w:val="-4"/>
          <w:sz w:val="16"/>
          <w:szCs w:val="16"/>
          <w:lang w:val="es-CR"/>
        </w:rPr>
        <w:t>Caso Velásquez Rodríguez. Fondo</w:t>
      </w:r>
      <w:r>
        <w:rPr>
          <w:rFonts w:ascii="Verdana" w:hAnsi="Verdana"/>
          <w:i/>
          <w:spacing w:val="-4"/>
          <w:sz w:val="16"/>
          <w:szCs w:val="16"/>
          <w:lang w:val="es-CR"/>
        </w:rPr>
        <w:t>, supra</w:t>
      </w:r>
      <w:r w:rsidRPr="00D008DC">
        <w:rPr>
          <w:rFonts w:ascii="Verdana" w:hAnsi="Verdana"/>
          <w:i/>
          <w:spacing w:val="-4"/>
          <w:sz w:val="16"/>
          <w:szCs w:val="16"/>
          <w:lang w:val="es-VE"/>
        </w:rPr>
        <w:t xml:space="preserve">, </w:t>
      </w:r>
      <w:r w:rsidRPr="00D008DC">
        <w:rPr>
          <w:rFonts w:ascii="Verdana" w:hAnsi="Verdana"/>
          <w:spacing w:val="-4"/>
          <w:sz w:val="16"/>
          <w:szCs w:val="16"/>
          <w:lang w:val="es-CR"/>
        </w:rPr>
        <w:t>párr</w:t>
      </w:r>
      <w:r>
        <w:rPr>
          <w:rFonts w:ascii="Verdana" w:hAnsi="Verdana"/>
          <w:spacing w:val="-4"/>
          <w:sz w:val="16"/>
          <w:szCs w:val="16"/>
          <w:lang w:val="es-CR"/>
        </w:rPr>
        <w:t>s</w:t>
      </w:r>
      <w:r w:rsidRPr="00D008DC">
        <w:rPr>
          <w:rFonts w:ascii="Verdana" w:hAnsi="Verdana"/>
          <w:spacing w:val="-4"/>
          <w:sz w:val="16"/>
          <w:szCs w:val="16"/>
          <w:lang w:val="es-CR"/>
        </w:rPr>
        <w:t xml:space="preserve">. </w:t>
      </w:r>
      <w:r>
        <w:rPr>
          <w:rFonts w:ascii="Verdana" w:hAnsi="Verdana"/>
          <w:spacing w:val="-4"/>
          <w:sz w:val="16"/>
          <w:szCs w:val="16"/>
          <w:lang w:val="es-CR"/>
        </w:rPr>
        <w:t xml:space="preserve">127, 128 y </w:t>
      </w:r>
      <w:r w:rsidRPr="00D008DC">
        <w:rPr>
          <w:rFonts w:ascii="Verdana" w:hAnsi="Verdana"/>
          <w:spacing w:val="-4"/>
          <w:sz w:val="16"/>
          <w:szCs w:val="16"/>
          <w:lang w:val="es-CR"/>
        </w:rPr>
        <w:t xml:space="preserve">129, </w:t>
      </w:r>
      <w:r w:rsidRPr="00D008DC">
        <w:rPr>
          <w:rFonts w:ascii="Verdana" w:hAnsi="Verdana"/>
          <w:color w:val="000000"/>
          <w:spacing w:val="-4"/>
          <w:sz w:val="16"/>
          <w:szCs w:val="16"/>
          <w:lang w:val="es-CR"/>
        </w:rPr>
        <w:t xml:space="preserve">y </w:t>
      </w:r>
      <w:r w:rsidRPr="003622B1">
        <w:rPr>
          <w:rFonts w:ascii="Verdana" w:hAnsi="Verdana"/>
          <w:i/>
          <w:color w:val="000000"/>
          <w:spacing w:val="-4"/>
          <w:sz w:val="16"/>
          <w:szCs w:val="16"/>
          <w:lang w:val="es-CR"/>
        </w:rPr>
        <w:t>Caso J.</w:t>
      </w:r>
      <w:r>
        <w:rPr>
          <w:rFonts w:ascii="Verdana" w:hAnsi="Verdana"/>
          <w:i/>
          <w:color w:val="000000"/>
          <w:spacing w:val="-4"/>
          <w:sz w:val="16"/>
          <w:szCs w:val="16"/>
          <w:lang w:val="es-CR"/>
        </w:rPr>
        <w:t>, supra</w:t>
      </w:r>
      <w:r>
        <w:rPr>
          <w:rFonts w:ascii="Verdana" w:hAnsi="Verdana"/>
          <w:color w:val="000000"/>
          <w:spacing w:val="-4"/>
          <w:sz w:val="16"/>
          <w:szCs w:val="16"/>
          <w:lang w:val="es-CR"/>
        </w:rPr>
        <w:t>, párr. 305.</w:t>
      </w:r>
    </w:p>
  </w:footnote>
  <w:footnote w:id="256">
    <w:p w:rsidR="0081535F" w:rsidRPr="00353432" w:rsidRDefault="0081535F" w:rsidP="00422232">
      <w:pPr>
        <w:pStyle w:val="Textonotapie"/>
        <w:spacing w:line="19" w:lineRule="atLeast"/>
        <w:ind w:left="-180" w:right="-174"/>
        <w:jc w:val="both"/>
        <w:rPr>
          <w:rFonts w:ascii="Verdana" w:hAnsi="Verdana"/>
          <w:spacing w:val="-4"/>
          <w:sz w:val="16"/>
          <w:szCs w:val="16"/>
          <w:lang w:val="es-VE"/>
        </w:rPr>
      </w:pPr>
      <w:r w:rsidRPr="00353432">
        <w:rPr>
          <w:rStyle w:val="Refdenotaalpie"/>
          <w:rFonts w:ascii="Verdana" w:hAnsi="Verdana"/>
          <w:spacing w:val="-4"/>
          <w:sz w:val="16"/>
          <w:szCs w:val="16"/>
        </w:rPr>
        <w:footnoteRef/>
      </w:r>
      <w:r w:rsidRPr="00353432">
        <w:rPr>
          <w:rFonts w:ascii="Verdana" w:hAnsi="Verdana"/>
          <w:spacing w:val="-4"/>
          <w:sz w:val="16"/>
          <w:szCs w:val="16"/>
          <w:lang w:val="es-VE"/>
        </w:rPr>
        <w:t xml:space="preserve"> </w:t>
      </w:r>
      <w:r w:rsidRPr="00353432">
        <w:rPr>
          <w:rFonts w:ascii="Verdana" w:hAnsi="Verdana"/>
          <w:i/>
          <w:spacing w:val="-4"/>
          <w:sz w:val="16"/>
          <w:szCs w:val="16"/>
          <w:lang w:val="es-VE"/>
        </w:rPr>
        <w:t>Cfr. Responsabilidad Internacional por Expedición y Aplicación de Leyes Violatorias de la Convención (</w:t>
      </w:r>
      <w:r>
        <w:rPr>
          <w:rFonts w:ascii="Verdana" w:hAnsi="Verdana"/>
          <w:i/>
          <w:spacing w:val="-4"/>
          <w:sz w:val="16"/>
          <w:szCs w:val="16"/>
          <w:lang w:val="es-VE"/>
        </w:rPr>
        <w:t>a</w:t>
      </w:r>
      <w:r w:rsidRPr="00353432">
        <w:rPr>
          <w:rFonts w:ascii="Verdana" w:hAnsi="Verdana"/>
          <w:i/>
          <w:spacing w:val="-4"/>
          <w:sz w:val="16"/>
          <w:szCs w:val="16"/>
          <w:lang w:val="es-VE"/>
        </w:rPr>
        <w:t>rts. 1 y 2 Convención Americana Sobre Derechos Humanos)</w:t>
      </w:r>
      <w:r>
        <w:rPr>
          <w:rFonts w:ascii="Verdana" w:hAnsi="Verdana"/>
          <w:i/>
          <w:spacing w:val="-4"/>
          <w:sz w:val="16"/>
          <w:szCs w:val="16"/>
          <w:lang w:val="es-VE"/>
        </w:rPr>
        <w:t>.</w:t>
      </w:r>
      <w:r w:rsidRPr="00353432">
        <w:rPr>
          <w:rFonts w:ascii="Verdana" w:hAnsi="Verdana"/>
          <w:spacing w:val="-4"/>
          <w:sz w:val="16"/>
          <w:szCs w:val="16"/>
          <w:lang w:val="es-VE"/>
        </w:rPr>
        <w:t xml:space="preserve"> Opinión Consultiva OC-14/94 del 9 de diciembre de 1994</w:t>
      </w:r>
      <w:r>
        <w:rPr>
          <w:rFonts w:ascii="Verdana" w:hAnsi="Verdana"/>
          <w:spacing w:val="-4"/>
          <w:sz w:val="16"/>
          <w:szCs w:val="16"/>
          <w:lang w:val="es-VE"/>
        </w:rPr>
        <w:t>.</w:t>
      </w:r>
      <w:r w:rsidRPr="00353432">
        <w:rPr>
          <w:rFonts w:ascii="Verdana" w:hAnsi="Verdana"/>
          <w:spacing w:val="-4"/>
          <w:sz w:val="16"/>
          <w:szCs w:val="16"/>
          <w:lang w:val="es-VE"/>
        </w:rPr>
        <w:t xml:space="preserve"> Serie A No. 14, párr. 35, y </w:t>
      </w:r>
      <w:r w:rsidRPr="003622B1">
        <w:rPr>
          <w:rFonts w:ascii="Verdana" w:hAnsi="Verdana"/>
          <w:i/>
          <w:spacing w:val="-4"/>
          <w:sz w:val="16"/>
          <w:szCs w:val="16"/>
          <w:lang w:val="es-VE"/>
        </w:rPr>
        <w:t>Caso J.</w:t>
      </w:r>
      <w:r>
        <w:rPr>
          <w:rFonts w:ascii="Verdana" w:hAnsi="Verdana"/>
          <w:i/>
          <w:spacing w:val="-4"/>
          <w:sz w:val="16"/>
          <w:szCs w:val="16"/>
          <w:lang w:val="es-VE"/>
        </w:rPr>
        <w:t>, supra</w:t>
      </w:r>
      <w:r>
        <w:rPr>
          <w:rFonts w:ascii="Verdana" w:hAnsi="Verdana"/>
          <w:spacing w:val="-4"/>
          <w:sz w:val="16"/>
          <w:szCs w:val="16"/>
          <w:lang w:val="es-VE"/>
        </w:rPr>
        <w:t>, párr. 349.</w:t>
      </w:r>
    </w:p>
  </w:footnote>
  <w:footnote w:id="257">
    <w:p w:rsidR="0081535F" w:rsidRPr="00353432" w:rsidRDefault="0081535F" w:rsidP="00422232">
      <w:pPr>
        <w:tabs>
          <w:tab w:val="left" w:pos="709"/>
        </w:tabs>
        <w:spacing w:after="0" w:line="19" w:lineRule="atLeast"/>
        <w:ind w:left="-180" w:right="-174"/>
        <w:jc w:val="both"/>
        <w:rPr>
          <w:rStyle w:val="Refdenotaalpie"/>
          <w:rFonts w:ascii="Verdana" w:hAnsi="Verdana"/>
          <w:sz w:val="16"/>
          <w:szCs w:val="16"/>
          <w:lang w:val="es-CR"/>
        </w:rPr>
      </w:pPr>
      <w:r w:rsidRPr="00353432">
        <w:rPr>
          <w:rStyle w:val="Refdenotaalpie"/>
          <w:rFonts w:ascii="Verdana" w:hAnsi="Verdana"/>
          <w:sz w:val="16"/>
          <w:szCs w:val="16"/>
        </w:rPr>
        <w:footnoteRef/>
      </w:r>
      <w:r w:rsidRPr="00353432">
        <w:rPr>
          <w:rStyle w:val="Refdenotaalpie"/>
          <w:rFonts w:ascii="Verdana" w:hAnsi="Verdana"/>
          <w:sz w:val="16"/>
          <w:szCs w:val="16"/>
          <w:lang w:val="es-CR"/>
        </w:rPr>
        <w:t xml:space="preserve"> </w:t>
      </w:r>
      <w:r w:rsidRPr="00353432">
        <w:rPr>
          <w:rFonts w:ascii="Verdana" w:hAnsi="Verdana"/>
          <w:i/>
          <w:sz w:val="16"/>
          <w:szCs w:val="16"/>
          <w:lang w:val="es-CR"/>
        </w:rPr>
        <w:t xml:space="preserve">Cfr. </w:t>
      </w:r>
      <w:r w:rsidRPr="004B564E">
        <w:rPr>
          <w:rFonts w:ascii="Verdana" w:hAnsi="Verdana"/>
          <w:i/>
          <w:sz w:val="16"/>
          <w:szCs w:val="16"/>
          <w:lang w:val="es-CR"/>
        </w:rPr>
        <w:t>Caso Velásquez Rodríguez. Fondo</w:t>
      </w:r>
      <w:r>
        <w:rPr>
          <w:rFonts w:ascii="Verdana" w:hAnsi="Verdana"/>
          <w:i/>
          <w:sz w:val="16"/>
          <w:szCs w:val="16"/>
          <w:lang w:val="es-CR"/>
        </w:rPr>
        <w:t>, supra</w:t>
      </w:r>
      <w:r w:rsidRPr="00353432">
        <w:rPr>
          <w:rFonts w:ascii="Verdana" w:hAnsi="Verdana"/>
          <w:i/>
          <w:sz w:val="16"/>
          <w:szCs w:val="16"/>
          <w:lang w:val="es-CR"/>
        </w:rPr>
        <w:t xml:space="preserve">, </w:t>
      </w:r>
      <w:r w:rsidRPr="00353432">
        <w:rPr>
          <w:rFonts w:ascii="Verdana" w:hAnsi="Verdana"/>
          <w:sz w:val="16"/>
          <w:szCs w:val="16"/>
          <w:lang w:val="es-CR"/>
        </w:rPr>
        <w:t>párrs. 166 y 176</w:t>
      </w:r>
      <w:r>
        <w:rPr>
          <w:rFonts w:ascii="Verdana" w:hAnsi="Verdana"/>
          <w:sz w:val="16"/>
          <w:szCs w:val="16"/>
          <w:lang w:val="es-CR"/>
        </w:rPr>
        <w:t>, y</w:t>
      </w:r>
      <w:r w:rsidRPr="00353432">
        <w:rPr>
          <w:rFonts w:ascii="Verdana" w:hAnsi="Verdana"/>
          <w:sz w:val="16"/>
          <w:szCs w:val="16"/>
          <w:lang w:val="es-CR"/>
        </w:rPr>
        <w:t xml:space="preserve"> </w:t>
      </w:r>
      <w:r w:rsidRPr="003622B1">
        <w:rPr>
          <w:rFonts w:ascii="Verdana" w:hAnsi="Verdana"/>
          <w:i/>
          <w:sz w:val="16"/>
          <w:szCs w:val="16"/>
          <w:lang w:val="es-CR"/>
        </w:rPr>
        <w:t>Caso Luna López</w:t>
      </w:r>
      <w:r>
        <w:rPr>
          <w:rFonts w:ascii="Verdana" w:hAnsi="Verdana"/>
          <w:i/>
          <w:sz w:val="16"/>
          <w:szCs w:val="16"/>
          <w:lang w:val="es-CR"/>
        </w:rPr>
        <w:t>, supra</w:t>
      </w:r>
      <w:r>
        <w:rPr>
          <w:rFonts w:ascii="Verdana" w:hAnsi="Verdana"/>
          <w:sz w:val="16"/>
          <w:szCs w:val="16"/>
          <w:lang w:val="es-CR"/>
        </w:rPr>
        <w:t>, párr. 153.</w:t>
      </w:r>
    </w:p>
  </w:footnote>
  <w:footnote w:id="258">
    <w:p w:rsidR="0081535F" w:rsidRPr="00353432" w:rsidRDefault="0081535F" w:rsidP="00422232">
      <w:pPr>
        <w:tabs>
          <w:tab w:val="left" w:pos="709"/>
        </w:tabs>
        <w:spacing w:after="0" w:line="19" w:lineRule="atLeast"/>
        <w:ind w:left="-180" w:right="-174"/>
        <w:jc w:val="both"/>
        <w:rPr>
          <w:rStyle w:val="Refdenotaalpie"/>
          <w:rFonts w:ascii="Verdana" w:hAnsi="Verdana"/>
          <w:sz w:val="16"/>
          <w:szCs w:val="16"/>
          <w:vertAlign w:val="baseline"/>
          <w:lang w:val="es-CR"/>
        </w:rPr>
      </w:pPr>
      <w:r w:rsidRPr="00353432">
        <w:rPr>
          <w:rStyle w:val="Refdenotaalpie"/>
          <w:rFonts w:ascii="Verdana" w:hAnsi="Verdana"/>
          <w:sz w:val="16"/>
          <w:szCs w:val="16"/>
        </w:rPr>
        <w:footnoteRef/>
      </w:r>
      <w:r w:rsidRPr="00353432">
        <w:rPr>
          <w:rStyle w:val="Refdenotaalpie"/>
          <w:rFonts w:ascii="Verdana" w:hAnsi="Verdana"/>
          <w:sz w:val="16"/>
          <w:szCs w:val="16"/>
          <w:lang w:val="es-CR"/>
        </w:rPr>
        <w:t xml:space="preserve"> </w:t>
      </w:r>
      <w:r w:rsidRPr="00353432">
        <w:rPr>
          <w:rFonts w:ascii="Verdana" w:hAnsi="Verdana"/>
          <w:i/>
          <w:sz w:val="16"/>
          <w:szCs w:val="16"/>
          <w:lang w:val="es-CR"/>
        </w:rPr>
        <w:t xml:space="preserve">Cfr. </w:t>
      </w:r>
      <w:r w:rsidRPr="004B564E">
        <w:rPr>
          <w:rFonts w:ascii="Verdana" w:hAnsi="Verdana"/>
          <w:i/>
          <w:sz w:val="16"/>
          <w:szCs w:val="16"/>
          <w:lang w:val="es-CR"/>
        </w:rPr>
        <w:t>Caso Velásquez Rodríguez. Fondo</w:t>
      </w:r>
      <w:r>
        <w:rPr>
          <w:rFonts w:ascii="Verdana" w:hAnsi="Verdana"/>
          <w:i/>
          <w:sz w:val="16"/>
          <w:szCs w:val="16"/>
          <w:lang w:val="es-CR"/>
        </w:rPr>
        <w:t>, supra</w:t>
      </w:r>
      <w:r w:rsidRPr="00353432">
        <w:rPr>
          <w:rFonts w:ascii="Verdana" w:hAnsi="Verdana"/>
          <w:i/>
          <w:sz w:val="16"/>
          <w:szCs w:val="16"/>
          <w:lang w:val="es-CR"/>
        </w:rPr>
        <w:t xml:space="preserve">, </w:t>
      </w:r>
      <w:r w:rsidRPr="00353432">
        <w:rPr>
          <w:rFonts w:ascii="Verdana" w:hAnsi="Verdana"/>
          <w:sz w:val="16"/>
          <w:szCs w:val="16"/>
          <w:lang w:val="es-CR"/>
        </w:rPr>
        <w:t>párr. 177</w:t>
      </w:r>
      <w:r>
        <w:rPr>
          <w:rFonts w:ascii="Verdana" w:hAnsi="Verdana"/>
          <w:sz w:val="16"/>
          <w:szCs w:val="16"/>
          <w:lang w:val="es-CR"/>
        </w:rPr>
        <w:t xml:space="preserve">, y </w:t>
      </w:r>
      <w:hyperlink r:id="rId19" w:history="1">
        <w:r w:rsidRPr="00A60953">
          <w:rPr>
            <w:rFonts w:ascii="Verdana" w:hAnsi="Verdana" w:cs="Arial"/>
            <w:i/>
            <w:sz w:val="16"/>
            <w:szCs w:val="16"/>
            <w:lang w:eastAsia="es-CR"/>
          </w:rPr>
          <w:t>Caso Osorio Rivera y Familiares Vs. Perú.</w:t>
        </w:r>
        <w:r w:rsidRPr="00A60953">
          <w:rPr>
            <w:rFonts w:ascii="Verdana" w:hAnsi="Verdana" w:cs="Arial"/>
            <w:sz w:val="16"/>
            <w:szCs w:val="16"/>
            <w:lang w:eastAsia="es-CR"/>
          </w:rPr>
          <w:t xml:space="preserve"> Excepciones Preliminares, Fondo, Reparaciones y Costas. Sentencia de 26 de noviembre de 2013. Serie C No. 274</w:t>
        </w:r>
      </w:hyperlink>
      <w:r>
        <w:rPr>
          <w:rFonts w:ascii="Verdana" w:hAnsi="Verdana"/>
          <w:i/>
          <w:sz w:val="16"/>
          <w:szCs w:val="16"/>
          <w:lang w:val="es-CR"/>
        </w:rPr>
        <w:t xml:space="preserve">, </w:t>
      </w:r>
      <w:r>
        <w:rPr>
          <w:rFonts w:ascii="Verdana" w:hAnsi="Verdana"/>
          <w:sz w:val="16"/>
          <w:szCs w:val="16"/>
          <w:lang w:val="es-CR"/>
        </w:rPr>
        <w:t>párr. 178.</w:t>
      </w:r>
    </w:p>
  </w:footnote>
  <w:footnote w:id="259">
    <w:p w:rsidR="0081535F" w:rsidRPr="00353432" w:rsidRDefault="0081535F" w:rsidP="00422232">
      <w:pPr>
        <w:tabs>
          <w:tab w:val="left" w:pos="709"/>
        </w:tabs>
        <w:spacing w:after="0" w:line="19" w:lineRule="atLeast"/>
        <w:ind w:left="-180" w:right="-174"/>
        <w:jc w:val="both"/>
        <w:rPr>
          <w:rStyle w:val="Refdenotaalpie"/>
          <w:rFonts w:ascii="Verdana" w:hAnsi="Verdana"/>
          <w:sz w:val="16"/>
          <w:szCs w:val="16"/>
          <w:vertAlign w:val="baseline"/>
          <w:lang w:val="es-CR"/>
        </w:rPr>
      </w:pPr>
      <w:r w:rsidRPr="00353432">
        <w:rPr>
          <w:rStyle w:val="Refdenotaalpie"/>
          <w:rFonts w:ascii="Verdana" w:hAnsi="Verdana"/>
          <w:sz w:val="16"/>
          <w:szCs w:val="16"/>
        </w:rPr>
        <w:footnoteRef/>
      </w:r>
      <w:r w:rsidRPr="00353432">
        <w:rPr>
          <w:rStyle w:val="Refdenotaalpie"/>
          <w:rFonts w:ascii="Verdana" w:hAnsi="Verdana"/>
          <w:sz w:val="16"/>
          <w:szCs w:val="16"/>
          <w:lang w:val="es-CR"/>
        </w:rPr>
        <w:t xml:space="preserve"> </w:t>
      </w:r>
      <w:r>
        <w:rPr>
          <w:rFonts w:ascii="Verdana" w:hAnsi="Verdana"/>
          <w:i/>
          <w:sz w:val="16"/>
          <w:szCs w:val="16"/>
          <w:lang w:val="es-CR"/>
        </w:rPr>
        <w:t xml:space="preserve">Cfr. </w:t>
      </w:r>
      <w:r w:rsidRPr="003622B1">
        <w:rPr>
          <w:rFonts w:ascii="Verdana" w:hAnsi="Verdana"/>
          <w:i/>
          <w:sz w:val="16"/>
          <w:szCs w:val="16"/>
          <w:lang w:val="es-CR"/>
        </w:rPr>
        <w:t xml:space="preserve">Caso de la "Masacre de Mapiripán" Vs. Colombia. Fondo, Reparaciones y Costas. </w:t>
      </w:r>
      <w:r w:rsidRPr="004B564E">
        <w:rPr>
          <w:rFonts w:ascii="Verdana" w:hAnsi="Verdana"/>
          <w:sz w:val="16"/>
          <w:szCs w:val="16"/>
          <w:lang w:val="es-CR"/>
        </w:rPr>
        <w:t>Sentencia de 15 de septiembre de 2005. Serie C No. 134</w:t>
      </w:r>
      <w:r>
        <w:rPr>
          <w:rFonts w:ascii="Verdana" w:hAnsi="Verdana"/>
          <w:sz w:val="16"/>
          <w:szCs w:val="16"/>
          <w:lang w:val="es-CR"/>
        </w:rPr>
        <w:t xml:space="preserve">, párrs. 219, 222 y 223, y </w:t>
      </w:r>
      <w:r w:rsidRPr="00870BBF">
        <w:rPr>
          <w:rFonts w:ascii="Verdana" w:hAnsi="Verdana"/>
          <w:i/>
          <w:spacing w:val="-4"/>
          <w:sz w:val="16"/>
          <w:szCs w:val="16"/>
          <w:lang w:val="es-VE"/>
        </w:rPr>
        <w:t>Caso J., supra</w:t>
      </w:r>
      <w:r w:rsidRPr="00870BBF">
        <w:rPr>
          <w:rFonts w:ascii="Verdana" w:hAnsi="Verdana"/>
          <w:spacing w:val="-4"/>
          <w:sz w:val="16"/>
          <w:szCs w:val="16"/>
          <w:lang w:val="es-VE"/>
        </w:rPr>
        <w:t>, párr. 342.</w:t>
      </w:r>
    </w:p>
  </w:footnote>
  <w:footnote w:id="260">
    <w:p w:rsidR="0081535F" w:rsidRPr="00353432" w:rsidRDefault="0081535F" w:rsidP="00422232">
      <w:pPr>
        <w:spacing w:after="0" w:line="19" w:lineRule="atLeast"/>
        <w:ind w:left="-180" w:right="-174"/>
        <w:jc w:val="both"/>
        <w:rPr>
          <w:rFonts w:ascii="Verdana" w:hAnsi="Verdana"/>
          <w:sz w:val="16"/>
          <w:szCs w:val="16"/>
          <w:lang w:val="es-CR"/>
        </w:rPr>
      </w:pPr>
      <w:r w:rsidRPr="00353432">
        <w:rPr>
          <w:rStyle w:val="Refdenotaalpie"/>
          <w:rFonts w:ascii="Verdana" w:hAnsi="Verdana"/>
          <w:sz w:val="16"/>
          <w:szCs w:val="16"/>
        </w:rPr>
        <w:footnoteRef/>
      </w:r>
      <w:r w:rsidRPr="00353432">
        <w:rPr>
          <w:rFonts w:ascii="Verdana" w:hAnsi="Verdana"/>
          <w:sz w:val="16"/>
          <w:szCs w:val="16"/>
          <w:lang w:val="es-CR"/>
        </w:rPr>
        <w:t xml:space="preserve"> </w:t>
      </w:r>
      <w:r w:rsidRPr="00353432">
        <w:rPr>
          <w:rFonts w:ascii="Verdana" w:hAnsi="Verdana"/>
          <w:i/>
          <w:sz w:val="16"/>
          <w:szCs w:val="16"/>
          <w:lang w:val="es-CR"/>
        </w:rPr>
        <w:t xml:space="preserve">Cfr. </w:t>
      </w:r>
      <w:r w:rsidRPr="00C0457A">
        <w:rPr>
          <w:rFonts w:ascii="Verdana" w:hAnsi="Verdana"/>
          <w:i/>
          <w:sz w:val="16"/>
          <w:szCs w:val="16"/>
          <w:lang w:val="es-CR"/>
        </w:rPr>
        <w:t>Caso de las Masacres de Ituango</w:t>
      </w:r>
      <w:r>
        <w:rPr>
          <w:rFonts w:ascii="Verdana" w:hAnsi="Verdana"/>
          <w:i/>
          <w:sz w:val="16"/>
          <w:szCs w:val="16"/>
          <w:lang w:val="es-CR"/>
        </w:rPr>
        <w:t>, supra</w:t>
      </w:r>
      <w:r w:rsidRPr="003622B1">
        <w:rPr>
          <w:rFonts w:ascii="Verdana" w:hAnsi="Verdana"/>
          <w:sz w:val="16"/>
          <w:szCs w:val="16"/>
          <w:lang w:val="es-CR"/>
        </w:rPr>
        <w:t>, párr. 319</w:t>
      </w:r>
      <w:r>
        <w:rPr>
          <w:rFonts w:ascii="Verdana" w:hAnsi="Verdana"/>
          <w:i/>
          <w:sz w:val="16"/>
          <w:szCs w:val="16"/>
          <w:lang w:val="es-CR"/>
        </w:rPr>
        <w:t xml:space="preserve">; </w:t>
      </w:r>
      <w:r w:rsidRPr="00C0457A">
        <w:rPr>
          <w:rFonts w:ascii="Verdana" w:hAnsi="Verdana"/>
          <w:i/>
          <w:sz w:val="16"/>
          <w:szCs w:val="16"/>
          <w:lang w:val="es-CR"/>
        </w:rPr>
        <w:t>Caso González y otras (“Campo Algodonero”)</w:t>
      </w:r>
      <w:r>
        <w:rPr>
          <w:rFonts w:ascii="Verdana" w:hAnsi="Verdana"/>
          <w:i/>
          <w:sz w:val="16"/>
          <w:szCs w:val="16"/>
          <w:lang w:val="es-CR"/>
        </w:rPr>
        <w:t>, supra</w:t>
      </w:r>
      <w:r w:rsidRPr="003622B1">
        <w:rPr>
          <w:rFonts w:ascii="Verdana" w:hAnsi="Verdana"/>
          <w:sz w:val="16"/>
          <w:szCs w:val="16"/>
          <w:lang w:val="es-CR"/>
        </w:rPr>
        <w:t xml:space="preserve">, párr. 289, y </w:t>
      </w:r>
      <w:r w:rsidRPr="00ED6E18">
        <w:rPr>
          <w:rFonts w:ascii="Verdana" w:hAnsi="Verdana"/>
          <w:i/>
          <w:sz w:val="16"/>
          <w:szCs w:val="16"/>
          <w:lang w:val="es-CR"/>
        </w:rPr>
        <w:t xml:space="preserve">Caso García y Familiares Vs. Guatemala. Fondo Reparaciones y Costas. </w:t>
      </w:r>
      <w:r w:rsidRPr="00ED6E18">
        <w:rPr>
          <w:rFonts w:ascii="Verdana" w:hAnsi="Verdana"/>
          <w:sz w:val="16"/>
          <w:szCs w:val="16"/>
          <w:lang w:val="es-CR"/>
        </w:rPr>
        <w:t>Sentencia de 29 noviembre de 2012 Serie C No. 258, párr. 132.</w:t>
      </w:r>
    </w:p>
  </w:footnote>
  <w:footnote w:id="261">
    <w:p w:rsidR="0081535F" w:rsidRPr="00353432" w:rsidRDefault="0081535F" w:rsidP="00422232">
      <w:pPr>
        <w:pStyle w:val="Textonotapie"/>
        <w:spacing w:line="19" w:lineRule="atLeast"/>
        <w:ind w:left="-180" w:right="-174"/>
        <w:jc w:val="both"/>
        <w:rPr>
          <w:rFonts w:ascii="Verdana" w:hAnsi="Verdana"/>
          <w:sz w:val="16"/>
          <w:szCs w:val="16"/>
          <w:lang w:val="es-CR"/>
        </w:rPr>
      </w:pPr>
      <w:r w:rsidRPr="00353432">
        <w:rPr>
          <w:rStyle w:val="Refdenotaalpie"/>
          <w:rFonts w:ascii="Verdana" w:eastAsia="MS Mincho" w:hAnsi="Verdana"/>
          <w:sz w:val="16"/>
          <w:szCs w:val="16"/>
        </w:rPr>
        <w:footnoteRef/>
      </w:r>
      <w:r w:rsidRPr="00353432">
        <w:rPr>
          <w:rFonts w:ascii="Verdana" w:hAnsi="Verdana"/>
          <w:sz w:val="16"/>
          <w:szCs w:val="16"/>
        </w:rPr>
        <w:t xml:space="preserve"> </w:t>
      </w:r>
      <w:r w:rsidRPr="00353432">
        <w:rPr>
          <w:rFonts w:ascii="Verdana" w:hAnsi="Verdana"/>
          <w:i/>
          <w:sz w:val="16"/>
          <w:szCs w:val="16"/>
        </w:rPr>
        <w:t xml:space="preserve">Cfr. </w:t>
      </w:r>
      <w:r w:rsidRPr="00134B91">
        <w:rPr>
          <w:rFonts w:ascii="Verdana" w:hAnsi="Verdana"/>
          <w:i/>
          <w:sz w:val="16"/>
          <w:szCs w:val="16"/>
        </w:rPr>
        <w:t>Caso Velásquez Rodríguez. Fondo</w:t>
      </w:r>
      <w:r>
        <w:rPr>
          <w:rFonts w:ascii="Verdana" w:hAnsi="Verdana"/>
          <w:i/>
          <w:sz w:val="16"/>
          <w:szCs w:val="16"/>
        </w:rPr>
        <w:t>, supra</w:t>
      </w:r>
      <w:r w:rsidRPr="003622B1">
        <w:rPr>
          <w:rFonts w:ascii="Verdana" w:hAnsi="Verdana"/>
          <w:sz w:val="16"/>
          <w:szCs w:val="16"/>
        </w:rPr>
        <w:t xml:space="preserve">, párr. 177, y </w:t>
      </w:r>
      <w:r w:rsidRPr="00134B91">
        <w:rPr>
          <w:rFonts w:ascii="Verdana" w:hAnsi="Verdana"/>
          <w:i/>
          <w:sz w:val="16"/>
          <w:szCs w:val="16"/>
        </w:rPr>
        <w:t>Caso Luna López</w:t>
      </w:r>
      <w:r>
        <w:rPr>
          <w:rFonts w:ascii="Verdana" w:hAnsi="Verdana"/>
          <w:i/>
          <w:sz w:val="16"/>
          <w:szCs w:val="16"/>
        </w:rPr>
        <w:t>, supra</w:t>
      </w:r>
      <w:r w:rsidRPr="003622B1">
        <w:rPr>
          <w:rFonts w:ascii="Verdana" w:hAnsi="Verdana"/>
          <w:sz w:val="16"/>
          <w:szCs w:val="16"/>
        </w:rPr>
        <w:t>, párr. 155.</w:t>
      </w:r>
    </w:p>
  </w:footnote>
  <w:footnote w:id="262">
    <w:p w:rsidR="0081535F" w:rsidRDefault="0081535F" w:rsidP="00422232">
      <w:pPr>
        <w:pStyle w:val="Textonotapie"/>
        <w:ind w:left="-180" w:right="-174"/>
        <w:jc w:val="both"/>
        <w:rPr>
          <w:rFonts w:ascii="Verdana" w:hAnsi="Verdana"/>
          <w:i/>
          <w:sz w:val="16"/>
          <w:szCs w:val="16"/>
        </w:rPr>
      </w:pPr>
      <w:r w:rsidRPr="003622B1">
        <w:rPr>
          <w:rStyle w:val="Refdenotaalpie"/>
          <w:rFonts w:ascii="Verdana" w:hAnsi="Verdana"/>
          <w:sz w:val="16"/>
          <w:szCs w:val="16"/>
        </w:rPr>
        <w:footnoteRef/>
      </w:r>
      <w:r w:rsidRPr="003622B1">
        <w:rPr>
          <w:rFonts w:ascii="Verdana" w:hAnsi="Verdana"/>
          <w:sz w:val="16"/>
          <w:szCs w:val="16"/>
        </w:rPr>
        <w:t xml:space="preserve"> </w:t>
      </w:r>
      <w:r>
        <w:rPr>
          <w:rFonts w:ascii="Verdana" w:hAnsi="Verdana"/>
          <w:i/>
          <w:sz w:val="16"/>
          <w:szCs w:val="16"/>
        </w:rPr>
        <w:t xml:space="preserve">Cfr. </w:t>
      </w:r>
      <w:r w:rsidRPr="00E41A41">
        <w:rPr>
          <w:rFonts w:ascii="Verdana" w:hAnsi="Verdana"/>
          <w:i/>
          <w:sz w:val="16"/>
          <w:szCs w:val="16"/>
        </w:rPr>
        <w:t>Caso de los “Niños de la Calle” (Villagrán Morales y otros)</w:t>
      </w:r>
      <w:r>
        <w:rPr>
          <w:rFonts w:ascii="Verdana" w:hAnsi="Verdana"/>
          <w:i/>
          <w:sz w:val="16"/>
          <w:szCs w:val="16"/>
        </w:rPr>
        <w:t xml:space="preserve">. </w:t>
      </w:r>
      <w:r w:rsidRPr="00E41A41">
        <w:rPr>
          <w:rFonts w:ascii="Verdana" w:hAnsi="Verdana"/>
          <w:i/>
          <w:sz w:val="16"/>
          <w:szCs w:val="16"/>
        </w:rPr>
        <w:t>Fondo</w:t>
      </w:r>
      <w:r>
        <w:rPr>
          <w:rFonts w:ascii="Verdana" w:hAnsi="Verdana"/>
          <w:i/>
          <w:sz w:val="16"/>
          <w:szCs w:val="16"/>
        </w:rPr>
        <w:t>, supra</w:t>
      </w:r>
      <w:r w:rsidRPr="003622B1">
        <w:rPr>
          <w:rFonts w:ascii="Verdana" w:hAnsi="Verdana"/>
          <w:sz w:val="16"/>
          <w:szCs w:val="16"/>
        </w:rPr>
        <w:t>, párr. 227</w:t>
      </w:r>
      <w:r>
        <w:rPr>
          <w:rFonts w:ascii="Verdana" w:hAnsi="Verdana"/>
          <w:sz w:val="16"/>
          <w:szCs w:val="16"/>
        </w:rPr>
        <w:t xml:space="preserve">, y </w:t>
      </w:r>
      <w:r w:rsidRPr="003622B1">
        <w:rPr>
          <w:rFonts w:ascii="Verdana" w:hAnsi="Verdana"/>
          <w:i/>
          <w:sz w:val="16"/>
          <w:szCs w:val="16"/>
        </w:rPr>
        <w:t>Caso Luna López</w:t>
      </w:r>
      <w:r>
        <w:rPr>
          <w:rFonts w:ascii="Verdana" w:hAnsi="Verdana"/>
          <w:i/>
          <w:sz w:val="16"/>
          <w:szCs w:val="16"/>
        </w:rPr>
        <w:t xml:space="preserve">, supra, </w:t>
      </w:r>
      <w:r>
        <w:rPr>
          <w:rFonts w:ascii="Verdana" w:hAnsi="Verdana"/>
          <w:sz w:val="16"/>
          <w:szCs w:val="16"/>
        </w:rPr>
        <w:t>párr. 155.</w:t>
      </w:r>
    </w:p>
  </w:footnote>
  <w:footnote w:id="263">
    <w:p w:rsidR="0081535F" w:rsidRPr="00353432" w:rsidRDefault="0081535F" w:rsidP="00422232">
      <w:pPr>
        <w:autoSpaceDE w:val="0"/>
        <w:autoSpaceDN w:val="0"/>
        <w:adjustRightInd w:val="0"/>
        <w:spacing w:after="0" w:line="19" w:lineRule="atLeast"/>
        <w:ind w:left="-180" w:right="-174"/>
        <w:jc w:val="both"/>
        <w:rPr>
          <w:rFonts w:ascii="Verdana" w:hAnsi="Verdana"/>
          <w:sz w:val="16"/>
          <w:szCs w:val="16"/>
          <w:lang w:val="es-CL" w:eastAsia="es-ES"/>
        </w:rPr>
      </w:pPr>
      <w:r w:rsidRPr="00353432">
        <w:rPr>
          <w:rStyle w:val="Refdenotaalpie"/>
          <w:rFonts w:ascii="Verdana" w:hAnsi="Verdana"/>
          <w:sz w:val="16"/>
          <w:szCs w:val="16"/>
        </w:rPr>
        <w:footnoteRef/>
      </w:r>
      <w:r w:rsidRPr="00353432">
        <w:rPr>
          <w:rFonts w:ascii="Verdana" w:hAnsi="Verdana"/>
          <w:sz w:val="16"/>
          <w:szCs w:val="16"/>
          <w:lang w:val="es-CR"/>
        </w:rPr>
        <w:t xml:space="preserve"> </w:t>
      </w:r>
      <w:r w:rsidRPr="00353432">
        <w:rPr>
          <w:rFonts w:ascii="Verdana" w:hAnsi="Verdana"/>
          <w:i/>
          <w:sz w:val="16"/>
          <w:szCs w:val="16"/>
          <w:lang w:val="es-CR"/>
        </w:rPr>
        <w:t>Cfr.</w:t>
      </w:r>
      <w:r>
        <w:rPr>
          <w:rFonts w:ascii="Verdana" w:hAnsi="Verdana"/>
          <w:sz w:val="16"/>
          <w:szCs w:val="16"/>
          <w:lang w:val="es-CR"/>
        </w:rPr>
        <w:t xml:space="preserve"> </w:t>
      </w:r>
      <w:r w:rsidRPr="00CA2D03">
        <w:rPr>
          <w:rFonts w:ascii="Verdana" w:hAnsi="Verdana"/>
          <w:i/>
          <w:sz w:val="16"/>
          <w:szCs w:val="16"/>
          <w:lang w:val="es-CL"/>
        </w:rPr>
        <w:t>Caso García Prieto y Otro</w:t>
      </w:r>
      <w:r>
        <w:rPr>
          <w:rFonts w:ascii="Verdana" w:hAnsi="Verdana"/>
          <w:i/>
          <w:sz w:val="16"/>
          <w:szCs w:val="16"/>
          <w:lang w:val="es-CL"/>
        </w:rPr>
        <w:t>s, supra</w:t>
      </w:r>
      <w:r w:rsidRPr="00CA2D03">
        <w:rPr>
          <w:rFonts w:ascii="Verdana" w:hAnsi="Verdana"/>
          <w:sz w:val="16"/>
          <w:szCs w:val="16"/>
          <w:lang w:val="es-CL"/>
        </w:rPr>
        <w:t>, párr. 104</w:t>
      </w:r>
      <w:r>
        <w:rPr>
          <w:rFonts w:ascii="Verdana" w:hAnsi="Verdana"/>
          <w:sz w:val="16"/>
          <w:szCs w:val="16"/>
          <w:lang w:val="es-CL"/>
        </w:rPr>
        <w:t xml:space="preserve">, </w:t>
      </w:r>
      <w:r>
        <w:rPr>
          <w:rFonts w:ascii="Verdana" w:hAnsi="Verdana"/>
          <w:sz w:val="16"/>
          <w:szCs w:val="16"/>
          <w:lang w:val="es-CR"/>
        </w:rPr>
        <w:t xml:space="preserve">y </w:t>
      </w:r>
      <w:r w:rsidRPr="00ED6E18">
        <w:rPr>
          <w:rFonts w:ascii="Verdana" w:hAnsi="Verdana"/>
          <w:i/>
          <w:sz w:val="16"/>
          <w:szCs w:val="16"/>
          <w:lang w:val="es-CR"/>
        </w:rPr>
        <w:t>Caso Mendoza y otros, supra</w:t>
      </w:r>
      <w:r w:rsidRPr="00ED6E18">
        <w:rPr>
          <w:rFonts w:ascii="Verdana" w:hAnsi="Verdana"/>
          <w:sz w:val="16"/>
          <w:szCs w:val="16"/>
          <w:lang w:val="es-CR"/>
        </w:rPr>
        <w:t>, párr. 217.</w:t>
      </w:r>
    </w:p>
  </w:footnote>
  <w:footnote w:id="264">
    <w:p w:rsidR="0081535F" w:rsidRPr="00270B5B" w:rsidRDefault="0081535F" w:rsidP="00422232">
      <w:pPr>
        <w:pStyle w:val="Textonotapie"/>
        <w:spacing w:line="19" w:lineRule="atLeast"/>
        <w:ind w:left="-180" w:right="-174"/>
        <w:jc w:val="both"/>
        <w:rPr>
          <w:rFonts w:ascii="Verdana" w:hAnsi="Verdana"/>
          <w:sz w:val="16"/>
          <w:szCs w:val="16"/>
          <w:lang w:val="es-CL"/>
        </w:rPr>
      </w:pPr>
      <w:r w:rsidRPr="00361E27">
        <w:rPr>
          <w:rStyle w:val="Refdenotaalpie"/>
          <w:rFonts w:ascii="Verdana" w:hAnsi="Verdana"/>
          <w:sz w:val="16"/>
          <w:szCs w:val="16"/>
        </w:rPr>
        <w:footnoteRef/>
      </w:r>
      <w:r w:rsidRPr="00361E27">
        <w:rPr>
          <w:rFonts w:ascii="Verdana" w:hAnsi="Verdana"/>
          <w:sz w:val="16"/>
          <w:szCs w:val="16"/>
          <w:lang w:val="es-CR"/>
        </w:rPr>
        <w:t xml:space="preserve"> </w:t>
      </w:r>
      <w:r w:rsidRPr="00361E27">
        <w:rPr>
          <w:rFonts w:ascii="Verdana" w:hAnsi="Verdana"/>
          <w:i/>
          <w:sz w:val="16"/>
          <w:szCs w:val="16"/>
          <w:lang w:val="es-CL"/>
        </w:rPr>
        <w:t>Cfr. Caso Fernández Ortega y otros</w:t>
      </w:r>
      <w:r>
        <w:rPr>
          <w:rFonts w:ascii="Verdana" w:hAnsi="Verdana"/>
          <w:i/>
          <w:sz w:val="16"/>
          <w:szCs w:val="16"/>
          <w:lang w:val="es-CL"/>
        </w:rPr>
        <w:t>, supra</w:t>
      </w:r>
      <w:r w:rsidRPr="00361E27">
        <w:rPr>
          <w:rFonts w:ascii="Verdana" w:hAnsi="Verdana"/>
          <w:sz w:val="16"/>
          <w:szCs w:val="16"/>
          <w:lang w:val="es-CL"/>
        </w:rPr>
        <w:t xml:space="preserve">, párr. 193, </w:t>
      </w:r>
      <w:r w:rsidRPr="00870BBF">
        <w:rPr>
          <w:rFonts w:ascii="Verdana" w:hAnsi="Verdana"/>
          <w:sz w:val="16"/>
          <w:szCs w:val="16"/>
          <w:lang w:val="es-CL"/>
        </w:rPr>
        <w:t xml:space="preserve">y </w:t>
      </w:r>
      <w:r w:rsidRPr="00870BBF">
        <w:rPr>
          <w:rFonts w:ascii="Verdana" w:hAnsi="Verdana" w:cs="Arial"/>
          <w:i/>
          <w:sz w:val="16"/>
          <w:szCs w:val="16"/>
        </w:rPr>
        <w:t>Caso Masacres de El Mozote y lugares aledaños</w:t>
      </w:r>
      <w:r w:rsidRPr="00870BBF">
        <w:rPr>
          <w:rFonts w:ascii="Verdana" w:hAnsi="Verdana"/>
          <w:i/>
          <w:sz w:val="16"/>
          <w:szCs w:val="16"/>
          <w:lang w:val="es-CL"/>
        </w:rPr>
        <w:t>, supra</w:t>
      </w:r>
      <w:r w:rsidRPr="00870BBF">
        <w:rPr>
          <w:rFonts w:ascii="Verdana" w:hAnsi="Verdana"/>
          <w:sz w:val="16"/>
          <w:szCs w:val="16"/>
          <w:lang w:val="es-CL"/>
        </w:rPr>
        <w:t xml:space="preserve">, </w:t>
      </w:r>
      <w:r w:rsidRPr="00712E08">
        <w:rPr>
          <w:rFonts w:ascii="Verdana" w:hAnsi="Verdana"/>
          <w:sz w:val="16"/>
          <w:szCs w:val="16"/>
          <w:lang w:val="es-CL"/>
        </w:rPr>
        <w:t>párr. 243.</w:t>
      </w:r>
    </w:p>
  </w:footnote>
  <w:footnote w:id="265">
    <w:p w:rsidR="0081535F" w:rsidRPr="00353432" w:rsidRDefault="0081535F" w:rsidP="00422232">
      <w:pPr>
        <w:pStyle w:val="Textonotapie"/>
        <w:spacing w:line="19" w:lineRule="atLeast"/>
        <w:ind w:left="-180" w:right="-174"/>
        <w:jc w:val="both"/>
        <w:rPr>
          <w:rFonts w:ascii="Verdana" w:hAnsi="Verdana"/>
          <w:sz w:val="16"/>
          <w:szCs w:val="16"/>
          <w:lang w:val="fr-FR"/>
        </w:rPr>
      </w:pPr>
      <w:r w:rsidRPr="00353432">
        <w:rPr>
          <w:rStyle w:val="Refdenotaalpie"/>
          <w:rFonts w:ascii="Verdana" w:hAnsi="Verdana"/>
          <w:sz w:val="16"/>
          <w:szCs w:val="16"/>
        </w:rPr>
        <w:footnoteRef/>
      </w:r>
      <w:r w:rsidRPr="00353432">
        <w:rPr>
          <w:rFonts w:ascii="Verdana" w:hAnsi="Verdana"/>
          <w:sz w:val="16"/>
          <w:szCs w:val="16"/>
          <w:lang w:val="fr-FR"/>
        </w:rPr>
        <w:t xml:space="preserve"> </w:t>
      </w:r>
      <w:r>
        <w:rPr>
          <w:rFonts w:ascii="Verdana" w:hAnsi="Verdana"/>
          <w:i/>
          <w:sz w:val="16"/>
          <w:szCs w:val="16"/>
          <w:lang w:val="es-CL"/>
        </w:rPr>
        <w:t xml:space="preserve">Cfr. </w:t>
      </w:r>
      <w:r w:rsidRPr="00CA2D03">
        <w:rPr>
          <w:rFonts w:ascii="Verdana" w:hAnsi="Verdana"/>
          <w:i/>
          <w:sz w:val="16"/>
          <w:szCs w:val="16"/>
          <w:lang w:val="es-CL"/>
        </w:rPr>
        <w:t>Caso Fernández Ortega y otros</w:t>
      </w:r>
      <w:r>
        <w:rPr>
          <w:rFonts w:ascii="Verdana" w:hAnsi="Verdana"/>
          <w:i/>
          <w:sz w:val="16"/>
          <w:szCs w:val="16"/>
          <w:lang w:val="es-CL"/>
        </w:rPr>
        <w:t>, supra</w:t>
      </w:r>
      <w:r>
        <w:rPr>
          <w:rFonts w:ascii="Verdana" w:hAnsi="Verdana"/>
          <w:sz w:val="16"/>
          <w:szCs w:val="16"/>
          <w:lang w:val="es-CL"/>
        </w:rPr>
        <w:t xml:space="preserve">, párr. 193, y </w:t>
      </w:r>
      <w:r w:rsidRPr="00270B5B">
        <w:rPr>
          <w:rFonts w:ascii="Verdana" w:hAnsi="Verdana"/>
          <w:i/>
          <w:sz w:val="16"/>
          <w:szCs w:val="16"/>
          <w:lang w:val="es-CL"/>
        </w:rPr>
        <w:t>Caso J.</w:t>
      </w:r>
      <w:r>
        <w:rPr>
          <w:rFonts w:ascii="Verdana" w:hAnsi="Verdana"/>
          <w:i/>
          <w:sz w:val="16"/>
          <w:szCs w:val="16"/>
          <w:lang w:val="es-CL"/>
        </w:rPr>
        <w:t>, supra</w:t>
      </w:r>
      <w:r>
        <w:rPr>
          <w:rFonts w:ascii="Verdana" w:hAnsi="Verdana"/>
          <w:sz w:val="16"/>
          <w:szCs w:val="16"/>
          <w:lang w:val="es-CL"/>
        </w:rPr>
        <w:t>, párr. 350.</w:t>
      </w:r>
      <w:r w:rsidRPr="00353432">
        <w:rPr>
          <w:rFonts w:ascii="Verdana" w:hAnsi="Verdana"/>
          <w:sz w:val="16"/>
          <w:szCs w:val="16"/>
          <w:lang w:val="fr-FR"/>
        </w:rPr>
        <w:t xml:space="preserve"> </w:t>
      </w:r>
    </w:p>
  </w:footnote>
  <w:footnote w:id="266">
    <w:p w:rsidR="0081535F" w:rsidRPr="00353432" w:rsidRDefault="0081535F" w:rsidP="00422232">
      <w:pPr>
        <w:pStyle w:val="Textonotapie"/>
        <w:spacing w:line="19" w:lineRule="atLeast"/>
        <w:ind w:left="-180" w:right="-174"/>
        <w:jc w:val="both"/>
        <w:rPr>
          <w:rFonts w:ascii="Verdana" w:hAnsi="Verdana"/>
          <w:sz w:val="16"/>
          <w:szCs w:val="16"/>
          <w:lang w:val="fr-FR"/>
        </w:rPr>
      </w:pPr>
      <w:r w:rsidRPr="00353432">
        <w:rPr>
          <w:rStyle w:val="Refdenotaalpie"/>
          <w:rFonts w:ascii="Verdana" w:hAnsi="Verdana"/>
          <w:sz w:val="16"/>
          <w:szCs w:val="16"/>
        </w:rPr>
        <w:footnoteRef/>
      </w:r>
      <w:r w:rsidRPr="00353432">
        <w:rPr>
          <w:rFonts w:ascii="Verdana" w:hAnsi="Verdana"/>
          <w:sz w:val="16"/>
          <w:szCs w:val="16"/>
          <w:lang w:val="fr-FR"/>
        </w:rPr>
        <w:t xml:space="preserve"> </w:t>
      </w:r>
      <w:r w:rsidRPr="00353432">
        <w:rPr>
          <w:rFonts w:ascii="Verdana" w:hAnsi="Verdana"/>
          <w:i/>
          <w:sz w:val="16"/>
          <w:szCs w:val="16"/>
          <w:lang w:val="fr-FR"/>
        </w:rPr>
        <w:t>Cfr.</w:t>
      </w:r>
      <w:r w:rsidRPr="00353432">
        <w:rPr>
          <w:rFonts w:ascii="Verdana" w:hAnsi="Verdana"/>
          <w:sz w:val="16"/>
          <w:szCs w:val="16"/>
          <w:lang w:val="fr-FR"/>
        </w:rPr>
        <w:t xml:space="preserve"> </w:t>
      </w:r>
      <w:r w:rsidRPr="003622B1">
        <w:rPr>
          <w:rFonts w:ascii="Verdana" w:hAnsi="Verdana"/>
          <w:i/>
          <w:sz w:val="16"/>
          <w:szCs w:val="16"/>
          <w:lang w:val="fr-FR"/>
        </w:rPr>
        <w:t>Caso del Penal Miguel Castro Castro</w:t>
      </w:r>
      <w:r>
        <w:rPr>
          <w:rFonts w:ascii="Verdana" w:hAnsi="Verdana"/>
          <w:i/>
          <w:sz w:val="16"/>
          <w:szCs w:val="16"/>
          <w:lang w:val="fr-FR"/>
        </w:rPr>
        <w:t>, supra</w:t>
      </w:r>
      <w:r>
        <w:rPr>
          <w:rFonts w:ascii="Verdana" w:hAnsi="Verdana"/>
          <w:sz w:val="16"/>
          <w:szCs w:val="16"/>
          <w:lang w:val="fr-FR"/>
        </w:rPr>
        <w:t xml:space="preserve">, párr. 344, y </w:t>
      </w:r>
      <w:r w:rsidRPr="00353432">
        <w:rPr>
          <w:rFonts w:ascii="Verdana" w:hAnsi="Verdana"/>
          <w:i/>
          <w:sz w:val="16"/>
          <w:szCs w:val="16"/>
          <w:lang w:val="fr-FR"/>
        </w:rPr>
        <w:t>Caso González y otras (“Campo Algodonero”)</w:t>
      </w:r>
      <w:r>
        <w:rPr>
          <w:rFonts w:ascii="Verdana" w:hAnsi="Verdana"/>
          <w:i/>
          <w:sz w:val="16"/>
          <w:szCs w:val="16"/>
          <w:lang w:val="fr-FR"/>
        </w:rPr>
        <w:t>, supra</w:t>
      </w:r>
      <w:r w:rsidRPr="00353432">
        <w:rPr>
          <w:rFonts w:ascii="Verdana" w:hAnsi="Verdana"/>
          <w:sz w:val="16"/>
          <w:szCs w:val="16"/>
          <w:lang w:val="fr-FR"/>
        </w:rPr>
        <w:t>, párr. 2</w:t>
      </w:r>
      <w:r>
        <w:rPr>
          <w:rFonts w:ascii="Verdana" w:hAnsi="Verdana"/>
          <w:sz w:val="16"/>
          <w:szCs w:val="16"/>
          <w:lang w:val="fr-FR"/>
        </w:rPr>
        <w:t>87</w:t>
      </w:r>
      <w:r w:rsidRPr="00353432">
        <w:rPr>
          <w:rFonts w:ascii="Verdana" w:hAnsi="Verdana"/>
          <w:sz w:val="16"/>
          <w:szCs w:val="16"/>
          <w:lang w:val="fr-FR"/>
        </w:rPr>
        <w:t xml:space="preserve">. </w:t>
      </w:r>
    </w:p>
  </w:footnote>
  <w:footnote w:id="267">
    <w:p w:rsidR="0081535F" w:rsidRPr="00353432" w:rsidRDefault="0081535F" w:rsidP="00422232">
      <w:pPr>
        <w:pStyle w:val="Textonotapie"/>
        <w:spacing w:line="19" w:lineRule="atLeast"/>
        <w:ind w:left="-180" w:right="-174"/>
        <w:jc w:val="both"/>
        <w:rPr>
          <w:rFonts w:ascii="Verdana" w:hAnsi="Verdana"/>
          <w:sz w:val="16"/>
          <w:szCs w:val="16"/>
        </w:rPr>
      </w:pPr>
      <w:r w:rsidRPr="00353432">
        <w:rPr>
          <w:rStyle w:val="Refdenotaalpie"/>
          <w:rFonts w:ascii="Verdana" w:hAnsi="Verdana"/>
          <w:sz w:val="16"/>
          <w:szCs w:val="16"/>
        </w:rPr>
        <w:footnoteRef/>
      </w:r>
      <w:r w:rsidRPr="00353432">
        <w:rPr>
          <w:rFonts w:ascii="Verdana" w:hAnsi="Verdana"/>
          <w:sz w:val="16"/>
          <w:szCs w:val="16"/>
        </w:rPr>
        <w:t xml:space="preserve"> </w:t>
      </w:r>
      <w:r w:rsidRPr="00353432">
        <w:rPr>
          <w:rFonts w:ascii="Verdana" w:hAnsi="Verdana"/>
          <w:i/>
          <w:sz w:val="16"/>
          <w:szCs w:val="16"/>
        </w:rPr>
        <w:t xml:space="preserve">Cfr. </w:t>
      </w:r>
      <w:r w:rsidRPr="00134B91">
        <w:rPr>
          <w:rFonts w:ascii="Verdana" w:hAnsi="Verdana"/>
          <w:i/>
          <w:sz w:val="16"/>
          <w:szCs w:val="16"/>
          <w:lang w:val="fr-FR"/>
        </w:rPr>
        <w:t>Caso del Penal Miguel Castro Castro</w:t>
      </w:r>
      <w:r>
        <w:rPr>
          <w:rFonts w:ascii="Verdana" w:hAnsi="Verdana"/>
          <w:i/>
          <w:sz w:val="16"/>
          <w:szCs w:val="16"/>
          <w:lang w:val="fr-FR"/>
        </w:rPr>
        <w:t>, supra</w:t>
      </w:r>
      <w:r>
        <w:rPr>
          <w:rFonts w:ascii="Verdana" w:hAnsi="Verdana"/>
          <w:sz w:val="16"/>
          <w:szCs w:val="16"/>
          <w:lang w:val="fr-FR"/>
        </w:rPr>
        <w:t>, párr. 378</w:t>
      </w:r>
      <w:r w:rsidRPr="00353432">
        <w:rPr>
          <w:rFonts w:ascii="Verdana" w:hAnsi="Verdana"/>
          <w:sz w:val="16"/>
          <w:szCs w:val="16"/>
        </w:rPr>
        <w:t xml:space="preserve">, y </w:t>
      </w:r>
      <w:r w:rsidRPr="00353432">
        <w:rPr>
          <w:rFonts w:ascii="Verdana" w:hAnsi="Verdana"/>
          <w:i/>
          <w:sz w:val="16"/>
          <w:szCs w:val="16"/>
        </w:rPr>
        <w:t>Caso J.</w:t>
      </w:r>
      <w:r>
        <w:rPr>
          <w:rFonts w:ascii="Verdana" w:hAnsi="Verdana"/>
          <w:i/>
          <w:sz w:val="16"/>
          <w:szCs w:val="16"/>
        </w:rPr>
        <w:t>, supra</w:t>
      </w:r>
      <w:r>
        <w:rPr>
          <w:rFonts w:ascii="Verdana" w:hAnsi="Verdana"/>
          <w:sz w:val="16"/>
          <w:szCs w:val="16"/>
        </w:rPr>
        <w:t>,</w:t>
      </w:r>
      <w:r w:rsidRPr="00353432">
        <w:rPr>
          <w:rFonts w:ascii="Verdana" w:hAnsi="Verdana"/>
          <w:sz w:val="16"/>
          <w:szCs w:val="16"/>
        </w:rPr>
        <w:t xml:space="preserve"> párr. 342. </w:t>
      </w:r>
    </w:p>
  </w:footnote>
  <w:footnote w:id="268">
    <w:p w:rsidR="0081535F" w:rsidRPr="00353432" w:rsidRDefault="0081535F" w:rsidP="00422232">
      <w:pPr>
        <w:pStyle w:val="Textonotapie"/>
        <w:spacing w:line="19" w:lineRule="atLeast"/>
        <w:ind w:left="-180" w:right="-174"/>
        <w:jc w:val="both"/>
        <w:rPr>
          <w:rFonts w:ascii="Verdana" w:hAnsi="Verdana"/>
          <w:sz w:val="16"/>
          <w:szCs w:val="16"/>
          <w:lang w:val="es-CR"/>
        </w:rPr>
      </w:pPr>
      <w:r w:rsidRPr="00353432">
        <w:rPr>
          <w:rStyle w:val="Refdenotaalpie"/>
          <w:rFonts w:ascii="Verdana" w:hAnsi="Verdana"/>
          <w:sz w:val="16"/>
          <w:szCs w:val="16"/>
          <w:lang w:val="es-CR"/>
        </w:rPr>
        <w:footnoteRef/>
      </w:r>
      <w:r w:rsidRPr="00353432">
        <w:rPr>
          <w:rFonts w:ascii="Verdana" w:hAnsi="Verdana"/>
          <w:sz w:val="16"/>
          <w:szCs w:val="16"/>
          <w:lang w:val="es-CR"/>
        </w:rPr>
        <w:t xml:space="preserve"> Cfr. </w:t>
      </w:r>
      <w:r w:rsidRPr="00EC33B7">
        <w:rPr>
          <w:rFonts w:ascii="Verdana" w:hAnsi="Verdana"/>
          <w:i/>
          <w:sz w:val="16"/>
          <w:szCs w:val="16"/>
          <w:lang w:val="es-CR"/>
        </w:rPr>
        <w:t>Caso Fernández Ortega y otros</w:t>
      </w:r>
      <w:r>
        <w:rPr>
          <w:rFonts w:ascii="Verdana" w:hAnsi="Verdana"/>
          <w:i/>
          <w:sz w:val="16"/>
          <w:szCs w:val="16"/>
          <w:lang w:val="es-CR"/>
        </w:rPr>
        <w:t>, supra</w:t>
      </w:r>
      <w:r w:rsidRPr="00353432">
        <w:rPr>
          <w:rFonts w:ascii="Verdana" w:hAnsi="Verdana"/>
          <w:i/>
          <w:sz w:val="16"/>
          <w:szCs w:val="16"/>
          <w:lang w:val="es-CR"/>
        </w:rPr>
        <w:t xml:space="preserve">, </w:t>
      </w:r>
      <w:r w:rsidRPr="00353432">
        <w:rPr>
          <w:rFonts w:ascii="Verdana" w:hAnsi="Verdana"/>
          <w:sz w:val="16"/>
          <w:szCs w:val="16"/>
          <w:lang w:val="es-CR"/>
        </w:rPr>
        <w:t>párr. 193</w:t>
      </w:r>
      <w:r>
        <w:rPr>
          <w:rFonts w:ascii="Verdana" w:hAnsi="Verdana"/>
          <w:sz w:val="16"/>
          <w:szCs w:val="16"/>
          <w:lang w:val="es-CR"/>
        </w:rPr>
        <w:t xml:space="preserve">, y </w:t>
      </w:r>
      <w:r w:rsidRPr="00353432">
        <w:rPr>
          <w:rFonts w:ascii="Verdana" w:hAnsi="Verdana"/>
          <w:i/>
          <w:sz w:val="16"/>
          <w:szCs w:val="16"/>
        </w:rPr>
        <w:t>Caso J.</w:t>
      </w:r>
      <w:r>
        <w:rPr>
          <w:rFonts w:ascii="Verdana" w:hAnsi="Verdana"/>
          <w:i/>
          <w:sz w:val="16"/>
          <w:szCs w:val="16"/>
        </w:rPr>
        <w:t>, supra</w:t>
      </w:r>
      <w:r>
        <w:rPr>
          <w:rFonts w:ascii="Verdana" w:hAnsi="Verdana"/>
          <w:sz w:val="16"/>
          <w:szCs w:val="16"/>
        </w:rPr>
        <w:t>,</w:t>
      </w:r>
      <w:r w:rsidRPr="00353432">
        <w:rPr>
          <w:rFonts w:ascii="Verdana" w:hAnsi="Verdana"/>
          <w:sz w:val="16"/>
          <w:szCs w:val="16"/>
        </w:rPr>
        <w:t xml:space="preserve"> párr. 342.</w:t>
      </w:r>
    </w:p>
  </w:footnote>
  <w:footnote w:id="269">
    <w:p w:rsidR="0081535F" w:rsidRPr="00353432" w:rsidRDefault="0081535F" w:rsidP="00422232">
      <w:pPr>
        <w:pStyle w:val="Textonotapie"/>
        <w:spacing w:line="19" w:lineRule="atLeast"/>
        <w:ind w:left="-180" w:right="-174"/>
        <w:jc w:val="both"/>
        <w:rPr>
          <w:rFonts w:ascii="Verdana" w:hAnsi="Verdana"/>
          <w:sz w:val="16"/>
          <w:szCs w:val="16"/>
          <w:lang w:val="es-CR"/>
        </w:rPr>
      </w:pPr>
      <w:r w:rsidRPr="00353432">
        <w:rPr>
          <w:rStyle w:val="Refdenotaalpie"/>
          <w:rFonts w:ascii="Verdana" w:hAnsi="Verdana"/>
          <w:sz w:val="16"/>
          <w:szCs w:val="16"/>
          <w:lang w:val="es-CR"/>
        </w:rPr>
        <w:footnoteRef/>
      </w:r>
      <w:r w:rsidRPr="00353432">
        <w:rPr>
          <w:rFonts w:ascii="Verdana" w:hAnsi="Verdana"/>
          <w:sz w:val="16"/>
          <w:szCs w:val="16"/>
          <w:lang w:val="es-CR"/>
        </w:rPr>
        <w:t xml:space="preserve"> </w:t>
      </w:r>
      <w:r w:rsidRPr="00353432">
        <w:rPr>
          <w:rFonts w:ascii="Verdana" w:hAnsi="Verdana"/>
          <w:i/>
          <w:sz w:val="16"/>
          <w:szCs w:val="16"/>
          <w:lang w:val="es-CR"/>
        </w:rPr>
        <w:t>Cfr.</w:t>
      </w:r>
      <w:r w:rsidRPr="00353432">
        <w:rPr>
          <w:rFonts w:ascii="Verdana" w:hAnsi="Verdana"/>
          <w:sz w:val="16"/>
          <w:szCs w:val="16"/>
          <w:lang w:val="es-CR"/>
        </w:rPr>
        <w:t xml:space="preserve"> </w:t>
      </w:r>
      <w:r w:rsidRPr="00EC33B7">
        <w:rPr>
          <w:rFonts w:ascii="Verdana" w:hAnsi="Verdana"/>
          <w:i/>
          <w:sz w:val="16"/>
          <w:szCs w:val="16"/>
          <w:lang w:val="es-CR"/>
        </w:rPr>
        <w:t>Caso González y otras (“Campo Algodonero”)</w:t>
      </w:r>
      <w:r>
        <w:rPr>
          <w:rFonts w:ascii="Verdana" w:hAnsi="Verdana"/>
          <w:i/>
          <w:sz w:val="16"/>
          <w:szCs w:val="16"/>
          <w:lang w:val="es-CR"/>
        </w:rPr>
        <w:t>, supra</w:t>
      </w:r>
      <w:r w:rsidRPr="00353432">
        <w:rPr>
          <w:rFonts w:ascii="Verdana" w:hAnsi="Verdana"/>
          <w:i/>
          <w:sz w:val="16"/>
          <w:szCs w:val="16"/>
          <w:lang w:val="es-CR"/>
        </w:rPr>
        <w:t xml:space="preserve">, </w:t>
      </w:r>
      <w:r w:rsidRPr="00353432">
        <w:rPr>
          <w:rFonts w:ascii="Verdana" w:hAnsi="Verdana"/>
          <w:sz w:val="16"/>
          <w:szCs w:val="16"/>
          <w:lang w:val="es-CR"/>
        </w:rPr>
        <w:t xml:space="preserve">párr. 293. </w:t>
      </w:r>
    </w:p>
  </w:footnote>
  <w:footnote w:id="270">
    <w:p w:rsidR="0081535F" w:rsidRPr="00353432" w:rsidRDefault="0081535F" w:rsidP="00422232">
      <w:pPr>
        <w:pStyle w:val="Textonotapie"/>
        <w:spacing w:line="19" w:lineRule="atLeast"/>
        <w:ind w:left="-180" w:right="-174"/>
        <w:jc w:val="both"/>
        <w:rPr>
          <w:rFonts w:ascii="Verdana" w:hAnsi="Verdana"/>
          <w:sz w:val="16"/>
          <w:szCs w:val="16"/>
          <w:lang w:val="es-CR"/>
        </w:rPr>
      </w:pPr>
      <w:r w:rsidRPr="00353432">
        <w:rPr>
          <w:rStyle w:val="Refdenotaalpie"/>
          <w:rFonts w:ascii="Verdana" w:hAnsi="Verdana"/>
          <w:sz w:val="16"/>
          <w:szCs w:val="16"/>
        </w:rPr>
        <w:footnoteRef/>
      </w:r>
      <w:r w:rsidRPr="00353432">
        <w:rPr>
          <w:rFonts w:ascii="Verdana" w:hAnsi="Verdana"/>
          <w:sz w:val="16"/>
          <w:szCs w:val="16"/>
        </w:rPr>
        <w:t xml:space="preserve"> </w:t>
      </w:r>
      <w:r w:rsidRPr="00353432">
        <w:rPr>
          <w:rFonts w:ascii="Verdana" w:hAnsi="Verdana"/>
          <w:i/>
          <w:iCs/>
          <w:sz w:val="16"/>
          <w:szCs w:val="16"/>
          <w:lang w:val="es-CR"/>
        </w:rPr>
        <w:t xml:space="preserve">Cfr. </w:t>
      </w:r>
      <w:r w:rsidRPr="00EC33B7">
        <w:rPr>
          <w:rFonts w:ascii="Verdana" w:hAnsi="Verdana"/>
          <w:i/>
          <w:sz w:val="16"/>
          <w:szCs w:val="16"/>
          <w:lang w:val="es-CR"/>
        </w:rPr>
        <w:t>Caso González y otras (“Campo Algodonero”)</w:t>
      </w:r>
      <w:r>
        <w:rPr>
          <w:rFonts w:ascii="Verdana" w:hAnsi="Verdana"/>
          <w:i/>
          <w:sz w:val="16"/>
          <w:szCs w:val="16"/>
          <w:lang w:val="es-CR"/>
        </w:rPr>
        <w:t>, supra</w:t>
      </w:r>
      <w:r w:rsidRPr="00353432">
        <w:rPr>
          <w:rFonts w:ascii="Verdana" w:hAnsi="Verdana"/>
          <w:i/>
          <w:sz w:val="16"/>
          <w:szCs w:val="16"/>
          <w:lang w:val="es-CR"/>
        </w:rPr>
        <w:t xml:space="preserve">, </w:t>
      </w:r>
      <w:r w:rsidRPr="00353432">
        <w:rPr>
          <w:rFonts w:ascii="Verdana" w:hAnsi="Verdana"/>
          <w:sz w:val="16"/>
          <w:szCs w:val="16"/>
          <w:lang w:val="es-CR"/>
        </w:rPr>
        <w:t xml:space="preserve">párr. 293. </w:t>
      </w:r>
    </w:p>
  </w:footnote>
  <w:footnote w:id="271">
    <w:p w:rsidR="0081535F" w:rsidRPr="00763922" w:rsidRDefault="0081535F" w:rsidP="00422232">
      <w:pPr>
        <w:pStyle w:val="Textonotapie"/>
        <w:spacing w:line="19" w:lineRule="atLeast"/>
        <w:ind w:left="-180" w:right="-174"/>
        <w:jc w:val="both"/>
        <w:rPr>
          <w:rFonts w:ascii="Verdana" w:hAnsi="Verdana"/>
          <w:sz w:val="16"/>
          <w:szCs w:val="16"/>
        </w:rPr>
      </w:pPr>
      <w:r w:rsidRPr="00353432">
        <w:rPr>
          <w:rStyle w:val="Refdenotaalpie"/>
          <w:rFonts w:ascii="Verdana" w:hAnsi="Verdana"/>
          <w:sz w:val="16"/>
          <w:szCs w:val="16"/>
        </w:rPr>
        <w:footnoteRef/>
      </w:r>
      <w:r w:rsidRPr="00353432">
        <w:rPr>
          <w:rFonts w:ascii="Verdana" w:hAnsi="Verdana"/>
          <w:sz w:val="16"/>
          <w:szCs w:val="16"/>
        </w:rPr>
        <w:t xml:space="preserve"> </w:t>
      </w:r>
      <w:r w:rsidRPr="00353432">
        <w:rPr>
          <w:rFonts w:ascii="Verdana" w:hAnsi="Verdana"/>
          <w:i/>
          <w:iCs/>
          <w:sz w:val="16"/>
          <w:szCs w:val="16"/>
          <w:lang w:val="es-CR"/>
        </w:rPr>
        <w:t xml:space="preserve">Cfr. </w:t>
      </w:r>
      <w:r w:rsidRPr="00BB29C0">
        <w:rPr>
          <w:rFonts w:ascii="Verdana" w:hAnsi="Verdana"/>
          <w:i/>
          <w:iCs/>
          <w:sz w:val="16"/>
          <w:szCs w:val="16"/>
          <w:lang w:val="es-CR"/>
        </w:rPr>
        <w:t>Caso Fernández Ortega y otros</w:t>
      </w:r>
      <w:r>
        <w:rPr>
          <w:rFonts w:ascii="Verdana" w:hAnsi="Verdana"/>
          <w:i/>
          <w:iCs/>
          <w:sz w:val="16"/>
          <w:szCs w:val="16"/>
          <w:lang w:val="es-CR"/>
        </w:rPr>
        <w:t>, supra</w:t>
      </w:r>
      <w:r w:rsidRPr="003622B1">
        <w:rPr>
          <w:rFonts w:ascii="Verdana" w:hAnsi="Verdana"/>
          <w:iCs/>
          <w:sz w:val="16"/>
          <w:szCs w:val="16"/>
          <w:lang w:val="es-CR"/>
        </w:rPr>
        <w:t xml:space="preserve">, párr. 194, </w:t>
      </w:r>
      <w:r w:rsidRPr="00763922">
        <w:rPr>
          <w:rFonts w:ascii="Verdana" w:hAnsi="Verdana"/>
          <w:iCs/>
          <w:sz w:val="16"/>
          <w:szCs w:val="16"/>
          <w:lang w:val="es-CR"/>
        </w:rPr>
        <w:t xml:space="preserve">y </w:t>
      </w:r>
      <w:r w:rsidRPr="00763922">
        <w:rPr>
          <w:rFonts w:ascii="Verdana" w:hAnsi="Verdana"/>
          <w:i/>
          <w:iCs/>
          <w:sz w:val="16"/>
          <w:szCs w:val="16"/>
          <w:lang w:val="es-CR"/>
        </w:rPr>
        <w:t>Caso J., supra</w:t>
      </w:r>
      <w:r w:rsidRPr="00763922">
        <w:rPr>
          <w:rFonts w:ascii="Verdana" w:hAnsi="Verdana"/>
          <w:iCs/>
          <w:sz w:val="16"/>
          <w:szCs w:val="16"/>
          <w:lang w:val="es-CR"/>
        </w:rPr>
        <w:t>, párr. 344.</w:t>
      </w:r>
    </w:p>
  </w:footnote>
  <w:footnote w:id="272">
    <w:p w:rsidR="0081535F" w:rsidRPr="00353432" w:rsidRDefault="0081535F" w:rsidP="00422232">
      <w:pPr>
        <w:pStyle w:val="Textonotapie"/>
        <w:spacing w:line="19" w:lineRule="atLeast"/>
        <w:ind w:left="-180" w:right="-174"/>
        <w:jc w:val="both"/>
        <w:rPr>
          <w:rFonts w:ascii="Verdana" w:hAnsi="Verdana"/>
          <w:sz w:val="16"/>
          <w:szCs w:val="16"/>
          <w:lang w:val="es-CR"/>
        </w:rPr>
      </w:pPr>
      <w:r w:rsidRPr="00763922">
        <w:rPr>
          <w:rStyle w:val="Refdenotaalpie"/>
          <w:rFonts w:ascii="Verdana" w:hAnsi="Verdana"/>
          <w:sz w:val="16"/>
          <w:szCs w:val="16"/>
        </w:rPr>
        <w:footnoteRef/>
      </w:r>
      <w:r w:rsidRPr="00763922">
        <w:rPr>
          <w:rFonts w:ascii="Verdana" w:hAnsi="Verdana"/>
          <w:sz w:val="16"/>
          <w:szCs w:val="16"/>
          <w:lang w:val="es-CR"/>
        </w:rPr>
        <w:t xml:space="preserve"> </w:t>
      </w:r>
      <w:r w:rsidRPr="00763922">
        <w:rPr>
          <w:rFonts w:ascii="Verdana" w:hAnsi="Verdana"/>
          <w:i/>
          <w:iCs/>
          <w:sz w:val="16"/>
          <w:szCs w:val="16"/>
          <w:lang w:val="es-CR"/>
        </w:rPr>
        <w:t>Cfr. Caso González y otras (“Campo Algodonero”), supra</w:t>
      </w:r>
      <w:r w:rsidRPr="00763922">
        <w:rPr>
          <w:rFonts w:ascii="Verdana" w:hAnsi="Verdana"/>
          <w:iCs/>
          <w:sz w:val="16"/>
          <w:szCs w:val="16"/>
          <w:lang w:val="es-CR"/>
        </w:rPr>
        <w:t>,</w:t>
      </w:r>
      <w:r w:rsidRPr="00763922">
        <w:rPr>
          <w:rFonts w:ascii="Verdana" w:hAnsi="Verdana"/>
          <w:i/>
          <w:iCs/>
          <w:sz w:val="16"/>
          <w:szCs w:val="16"/>
          <w:lang w:val="es-CR"/>
        </w:rPr>
        <w:t xml:space="preserve"> </w:t>
      </w:r>
      <w:r w:rsidRPr="00763922">
        <w:rPr>
          <w:rFonts w:ascii="Verdana" w:hAnsi="Verdana"/>
          <w:sz w:val="16"/>
          <w:szCs w:val="16"/>
          <w:lang w:val="es-CR"/>
        </w:rPr>
        <w:t xml:space="preserve">párr. 310, y Manual sobre la Prevención e Investigación Efectiva de Ejecuciones Extrajudiciales, Arbitrarias y Sumarias de Naciones Unidas (Protocolo de Minnesota), </w:t>
      </w:r>
      <w:r>
        <w:rPr>
          <w:rFonts w:ascii="Verdana" w:hAnsi="Verdana"/>
          <w:sz w:val="16"/>
          <w:szCs w:val="16"/>
          <w:lang w:val="es-CR"/>
        </w:rPr>
        <w:t xml:space="preserve">UN </w:t>
      </w:r>
      <w:r w:rsidRPr="00763922">
        <w:rPr>
          <w:rFonts w:ascii="Verdana" w:hAnsi="Verdana"/>
          <w:sz w:val="16"/>
          <w:szCs w:val="16"/>
          <w:lang w:val="es-CR"/>
        </w:rPr>
        <w:t>Doc. E/ST/CSDHA/.12 (1991).</w:t>
      </w:r>
    </w:p>
  </w:footnote>
  <w:footnote w:id="273">
    <w:p w:rsidR="0081535F" w:rsidRPr="00353432" w:rsidRDefault="0081535F" w:rsidP="00422232">
      <w:pPr>
        <w:pStyle w:val="Textonotapie"/>
        <w:spacing w:line="19" w:lineRule="atLeast"/>
        <w:ind w:left="-180" w:right="-174"/>
        <w:jc w:val="both"/>
        <w:rPr>
          <w:rFonts w:ascii="Verdana" w:hAnsi="Verdana"/>
          <w:sz w:val="16"/>
          <w:szCs w:val="16"/>
          <w:lang w:val="es-CR"/>
        </w:rPr>
      </w:pPr>
      <w:r w:rsidRPr="00353432">
        <w:rPr>
          <w:rStyle w:val="Refdenotaalpie"/>
          <w:rFonts w:ascii="Verdana" w:hAnsi="Verdana"/>
          <w:sz w:val="16"/>
          <w:szCs w:val="16"/>
        </w:rPr>
        <w:footnoteRef/>
      </w:r>
      <w:r w:rsidRPr="00353432">
        <w:rPr>
          <w:rFonts w:ascii="Verdana" w:hAnsi="Verdana"/>
          <w:sz w:val="16"/>
          <w:szCs w:val="16"/>
          <w:lang w:val="es-CR"/>
        </w:rPr>
        <w:t xml:space="preserve"> </w:t>
      </w:r>
      <w:r w:rsidRPr="00353432">
        <w:rPr>
          <w:rFonts w:ascii="Verdana" w:hAnsi="Verdana"/>
          <w:i/>
          <w:sz w:val="16"/>
          <w:szCs w:val="16"/>
          <w:lang w:val="es-CR"/>
        </w:rPr>
        <w:t>Cfr.</w:t>
      </w:r>
      <w:r w:rsidRPr="00353432">
        <w:rPr>
          <w:rFonts w:ascii="Verdana" w:hAnsi="Verdana"/>
          <w:sz w:val="16"/>
          <w:szCs w:val="16"/>
          <w:lang w:val="es-CR"/>
        </w:rPr>
        <w:t xml:space="preserve"> </w:t>
      </w:r>
      <w:r w:rsidRPr="00353432">
        <w:rPr>
          <w:rFonts w:ascii="Verdana" w:hAnsi="Verdana"/>
          <w:i/>
          <w:sz w:val="16"/>
          <w:szCs w:val="16"/>
          <w:lang w:val="es-CR"/>
        </w:rPr>
        <w:t>Caso González y otras (“Campo Algodonero”)</w:t>
      </w:r>
      <w:r>
        <w:rPr>
          <w:rFonts w:ascii="Verdana" w:hAnsi="Verdana"/>
          <w:i/>
          <w:sz w:val="16"/>
          <w:szCs w:val="16"/>
          <w:lang w:val="es-CR"/>
        </w:rPr>
        <w:t>, supra</w:t>
      </w:r>
      <w:r w:rsidRPr="003622B1">
        <w:rPr>
          <w:rFonts w:ascii="Verdana" w:hAnsi="Verdana"/>
          <w:sz w:val="16"/>
          <w:szCs w:val="16"/>
          <w:lang w:val="es-CR"/>
        </w:rPr>
        <w:t>,</w:t>
      </w:r>
      <w:r w:rsidRPr="00353432">
        <w:rPr>
          <w:rFonts w:ascii="Verdana" w:hAnsi="Verdana"/>
          <w:i/>
          <w:sz w:val="16"/>
          <w:szCs w:val="16"/>
          <w:lang w:val="es-CR"/>
        </w:rPr>
        <w:t xml:space="preserve"> </w:t>
      </w:r>
      <w:r w:rsidRPr="00353432">
        <w:rPr>
          <w:rFonts w:ascii="Verdana" w:hAnsi="Verdana"/>
          <w:sz w:val="16"/>
          <w:szCs w:val="16"/>
          <w:lang w:val="es-CR"/>
        </w:rPr>
        <w:t>párr. 455</w:t>
      </w:r>
      <w:r>
        <w:rPr>
          <w:rFonts w:ascii="Verdana" w:hAnsi="Verdana"/>
          <w:sz w:val="16"/>
          <w:szCs w:val="16"/>
          <w:lang w:val="es-CR"/>
        </w:rPr>
        <w:t>.</w:t>
      </w:r>
      <w:r w:rsidRPr="00353432">
        <w:rPr>
          <w:rFonts w:ascii="Verdana" w:hAnsi="Verdana"/>
          <w:sz w:val="16"/>
          <w:szCs w:val="16"/>
          <w:lang w:val="es-CR"/>
        </w:rPr>
        <w:t xml:space="preserve"> </w:t>
      </w:r>
    </w:p>
  </w:footnote>
  <w:footnote w:id="274">
    <w:p w:rsidR="0081535F" w:rsidRPr="00353432" w:rsidRDefault="0081535F" w:rsidP="00422232">
      <w:pPr>
        <w:pStyle w:val="Prrafodelista"/>
        <w:spacing w:after="0" w:line="19" w:lineRule="atLeast"/>
        <w:ind w:left="-180" w:right="-174"/>
        <w:contextualSpacing w:val="0"/>
        <w:jc w:val="both"/>
        <w:rPr>
          <w:rFonts w:ascii="Verdana" w:hAnsi="Verdana"/>
          <w:sz w:val="16"/>
          <w:szCs w:val="16"/>
          <w:lang w:val="es-CR"/>
        </w:rPr>
      </w:pPr>
      <w:r w:rsidRPr="00353432">
        <w:rPr>
          <w:rStyle w:val="Refdenotaalpie"/>
          <w:rFonts w:ascii="Verdana" w:hAnsi="Verdana"/>
          <w:sz w:val="16"/>
          <w:szCs w:val="16"/>
        </w:rPr>
        <w:footnoteRef/>
      </w:r>
      <w:r w:rsidRPr="00353432">
        <w:rPr>
          <w:rFonts w:ascii="Verdana" w:hAnsi="Verdana"/>
          <w:sz w:val="16"/>
          <w:szCs w:val="16"/>
          <w:lang w:val="es-CR"/>
        </w:rPr>
        <w:t xml:space="preserve"> </w:t>
      </w:r>
      <w:r w:rsidRPr="00353432">
        <w:rPr>
          <w:rFonts w:ascii="Verdana" w:hAnsi="Verdana"/>
          <w:i/>
          <w:iCs/>
          <w:sz w:val="16"/>
          <w:szCs w:val="16"/>
          <w:lang w:val="es-CR"/>
        </w:rPr>
        <w:t xml:space="preserve">Cfr. </w:t>
      </w:r>
      <w:r w:rsidRPr="00353432">
        <w:rPr>
          <w:rFonts w:ascii="Verdana" w:hAnsi="Verdana"/>
          <w:i/>
          <w:sz w:val="16"/>
          <w:szCs w:val="16"/>
          <w:lang w:val="es-CR"/>
        </w:rPr>
        <w:t>Caso González y otras (“Campo Algodonero”)</w:t>
      </w:r>
      <w:r>
        <w:rPr>
          <w:rFonts w:ascii="Verdana" w:hAnsi="Verdana"/>
          <w:i/>
          <w:sz w:val="16"/>
          <w:szCs w:val="16"/>
          <w:lang w:val="es-CR"/>
        </w:rPr>
        <w:t>, supra</w:t>
      </w:r>
      <w:r w:rsidRPr="00353432">
        <w:rPr>
          <w:rFonts w:ascii="Verdana" w:hAnsi="Verdana"/>
          <w:i/>
          <w:sz w:val="16"/>
          <w:szCs w:val="16"/>
          <w:lang w:val="es-CR"/>
        </w:rPr>
        <w:t xml:space="preserve">, </w:t>
      </w:r>
      <w:r w:rsidRPr="00353432">
        <w:rPr>
          <w:rFonts w:ascii="Verdana" w:hAnsi="Verdana"/>
          <w:sz w:val="16"/>
          <w:szCs w:val="16"/>
          <w:lang w:val="es-CR"/>
        </w:rPr>
        <w:t xml:space="preserve">párr. 388. </w:t>
      </w:r>
      <w:r w:rsidRPr="00353432">
        <w:rPr>
          <w:rFonts w:ascii="Verdana" w:hAnsi="Verdana"/>
          <w:bCs/>
          <w:sz w:val="16"/>
          <w:szCs w:val="16"/>
          <w:lang w:val="es-CR"/>
        </w:rPr>
        <w:t>Ello puede realizarse mediante la estandarización de protocolos, manuales, servicios periciales y de impartición de justicia, utilizados para investigar todos los delitos que se relacionen con desapariciones, violencia sexual y homicidio de mujeres, conforme al Protocolo de Estambul, el Manual sobre la Prevención e Investigación Efectiva de Ejecuciones Extrajudiciales, Arbitrarias y Sumarias de Naciones Unidas y los estándares internacionales de búsqueda de personas desaparecidas, con base en una perspectiva de género.</w:t>
      </w:r>
    </w:p>
  </w:footnote>
  <w:footnote w:id="275">
    <w:p w:rsidR="0081535F" w:rsidRPr="00353432" w:rsidRDefault="0081535F" w:rsidP="00422232">
      <w:pPr>
        <w:pStyle w:val="Textonotapie"/>
        <w:spacing w:line="19" w:lineRule="atLeast"/>
        <w:ind w:left="-180" w:right="-174"/>
        <w:jc w:val="both"/>
        <w:rPr>
          <w:rFonts w:ascii="Verdana" w:hAnsi="Verdana"/>
          <w:sz w:val="16"/>
          <w:szCs w:val="16"/>
        </w:rPr>
      </w:pPr>
      <w:r w:rsidRPr="00353432">
        <w:rPr>
          <w:rStyle w:val="Refdenotaalpie"/>
          <w:rFonts w:ascii="Verdana" w:hAnsi="Verdana"/>
          <w:sz w:val="16"/>
          <w:szCs w:val="16"/>
        </w:rPr>
        <w:footnoteRef/>
      </w:r>
      <w:r w:rsidRPr="00353432">
        <w:rPr>
          <w:rFonts w:ascii="Verdana" w:hAnsi="Verdana"/>
          <w:sz w:val="16"/>
          <w:szCs w:val="16"/>
        </w:rPr>
        <w:t xml:space="preserve"> </w:t>
      </w:r>
      <w:r w:rsidRPr="00353432">
        <w:rPr>
          <w:rFonts w:ascii="Verdana" w:hAnsi="Verdana"/>
          <w:i/>
          <w:sz w:val="16"/>
          <w:szCs w:val="16"/>
        </w:rPr>
        <w:t>Cfr</w:t>
      </w:r>
      <w:r w:rsidRPr="00353432">
        <w:rPr>
          <w:rFonts w:ascii="Verdana" w:hAnsi="Verdana"/>
          <w:sz w:val="16"/>
          <w:szCs w:val="16"/>
        </w:rPr>
        <w:t xml:space="preserve">. </w:t>
      </w:r>
      <w:r w:rsidRPr="00353432">
        <w:rPr>
          <w:rFonts w:ascii="Verdana" w:hAnsi="Verdana"/>
          <w:i/>
          <w:sz w:val="16"/>
          <w:szCs w:val="16"/>
        </w:rPr>
        <w:t>Caso Servellón García y otros Vs. Honduras. Fondo, Reparaciones y Costas</w:t>
      </w:r>
      <w:r w:rsidRPr="00353432">
        <w:rPr>
          <w:rFonts w:ascii="Verdana" w:hAnsi="Verdana"/>
          <w:sz w:val="16"/>
          <w:szCs w:val="16"/>
        </w:rPr>
        <w:t xml:space="preserve">. Sentencia de 21 de septiembre de 2006. Serie C No. 152, párr. 120; </w:t>
      </w:r>
      <w:r w:rsidRPr="00353432">
        <w:rPr>
          <w:rFonts w:ascii="Verdana" w:hAnsi="Verdana"/>
          <w:i/>
          <w:sz w:val="16"/>
          <w:szCs w:val="16"/>
        </w:rPr>
        <w:t>Caso González y otras (“Campo Algodonero”)</w:t>
      </w:r>
      <w:r>
        <w:rPr>
          <w:rFonts w:ascii="Verdana" w:hAnsi="Verdana"/>
          <w:i/>
          <w:sz w:val="16"/>
          <w:szCs w:val="16"/>
        </w:rPr>
        <w:t>, supra</w:t>
      </w:r>
      <w:r w:rsidRPr="00353432">
        <w:rPr>
          <w:rFonts w:ascii="Verdana" w:hAnsi="Verdana"/>
          <w:sz w:val="16"/>
          <w:szCs w:val="16"/>
          <w:lang w:val="es-CR"/>
        </w:rPr>
        <w:t>, párr. 300</w:t>
      </w:r>
      <w:r>
        <w:rPr>
          <w:rFonts w:ascii="Verdana" w:hAnsi="Verdana"/>
          <w:sz w:val="16"/>
          <w:szCs w:val="16"/>
          <w:lang w:val="es-CR"/>
        </w:rPr>
        <w:t xml:space="preserve">, y </w:t>
      </w:r>
      <w:r w:rsidRPr="003622B1">
        <w:rPr>
          <w:rFonts w:ascii="Verdana" w:hAnsi="Verdana"/>
          <w:i/>
          <w:sz w:val="16"/>
          <w:szCs w:val="16"/>
          <w:lang w:val="es-CR"/>
        </w:rPr>
        <w:t>Caso Luna López</w:t>
      </w:r>
      <w:r>
        <w:rPr>
          <w:rFonts w:ascii="Verdana" w:hAnsi="Verdana"/>
          <w:i/>
          <w:sz w:val="16"/>
          <w:szCs w:val="16"/>
          <w:lang w:val="es-CR"/>
        </w:rPr>
        <w:t>, supra</w:t>
      </w:r>
      <w:r>
        <w:rPr>
          <w:rFonts w:ascii="Verdana" w:hAnsi="Verdana"/>
          <w:sz w:val="16"/>
          <w:szCs w:val="16"/>
          <w:lang w:val="es-CR"/>
        </w:rPr>
        <w:t>, párr. 159.</w:t>
      </w:r>
    </w:p>
  </w:footnote>
  <w:footnote w:id="276">
    <w:p w:rsidR="0081535F" w:rsidRPr="00353432" w:rsidRDefault="0081535F" w:rsidP="00422232">
      <w:pPr>
        <w:pStyle w:val="Textonotapie"/>
        <w:spacing w:line="19" w:lineRule="atLeast"/>
        <w:ind w:left="-180" w:right="-174"/>
        <w:jc w:val="both"/>
        <w:rPr>
          <w:rFonts w:ascii="Verdana" w:hAnsi="Verdana"/>
          <w:sz w:val="16"/>
          <w:szCs w:val="16"/>
        </w:rPr>
      </w:pPr>
      <w:r w:rsidRPr="00353432">
        <w:rPr>
          <w:rStyle w:val="Refdenotaalpie"/>
          <w:rFonts w:ascii="Verdana" w:hAnsi="Verdana"/>
          <w:sz w:val="16"/>
          <w:szCs w:val="16"/>
        </w:rPr>
        <w:footnoteRef/>
      </w:r>
      <w:r w:rsidRPr="00353432">
        <w:rPr>
          <w:rFonts w:ascii="Verdana" w:hAnsi="Verdana"/>
          <w:sz w:val="16"/>
          <w:szCs w:val="16"/>
        </w:rPr>
        <w:t xml:space="preserve"> </w:t>
      </w:r>
      <w:r w:rsidRPr="00353432">
        <w:rPr>
          <w:rFonts w:ascii="Verdana" w:hAnsi="Verdana"/>
          <w:i/>
          <w:sz w:val="16"/>
          <w:szCs w:val="16"/>
        </w:rPr>
        <w:t xml:space="preserve">Cfr. </w:t>
      </w:r>
      <w:r w:rsidRPr="00693229">
        <w:rPr>
          <w:rFonts w:ascii="Verdana" w:hAnsi="Verdana"/>
          <w:bCs/>
          <w:i/>
          <w:sz w:val="16"/>
          <w:szCs w:val="16"/>
        </w:rPr>
        <w:t xml:space="preserve">Caso Juan Humberto Sánchez Vs. Honduras. Excepción Preliminar, Fondo, Reparaciones y Costas. </w:t>
      </w:r>
      <w:r w:rsidRPr="003622B1">
        <w:rPr>
          <w:rFonts w:ascii="Verdana" w:hAnsi="Verdana"/>
          <w:bCs/>
          <w:sz w:val="16"/>
          <w:szCs w:val="16"/>
        </w:rPr>
        <w:t>Sentencia de 7 de junio de 2003. Serie C No. 99</w:t>
      </w:r>
      <w:r w:rsidRPr="00353432">
        <w:rPr>
          <w:rFonts w:ascii="Verdana" w:hAnsi="Verdana"/>
          <w:bCs/>
          <w:sz w:val="16"/>
          <w:szCs w:val="16"/>
        </w:rPr>
        <w:t xml:space="preserve">, </w:t>
      </w:r>
      <w:r w:rsidRPr="00353432">
        <w:rPr>
          <w:rFonts w:ascii="Verdana" w:hAnsi="Verdana"/>
          <w:sz w:val="16"/>
          <w:szCs w:val="16"/>
        </w:rPr>
        <w:t>párr. 127</w:t>
      </w:r>
      <w:r>
        <w:rPr>
          <w:rFonts w:ascii="Verdana" w:hAnsi="Verdana"/>
          <w:sz w:val="16"/>
          <w:szCs w:val="16"/>
        </w:rPr>
        <w:t>;</w:t>
      </w:r>
      <w:r w:rsidRPr="00353432">
        <w:rPr>
          <w:rFonts w:ascii="Verdana" w:hAnsi="Verdana"/>
          <w:sz w:val="16"/>
          <w:szCs w:val="16"/>
          <w:lang w:val="es-CR"/>
        </w:rPr>
        <w:t xml:space="preserve"> </w:t>
      </w:r>
      <w:r w:rsidRPr="003622B1">
        <w:rPr>
          <w:rFonts w:ascii="Verdana" w:hAnsi="Verdana"/>
          <w:i/>
          <w:sz w:val="16"/>
          <w:szCs w:val="16"/>
          <w:lang w:val="es-CR"/>
        </w:rPr>
        <w:t>Caso González y otras (“Campo Algodonero”)</w:t>
      </w:r>
      <w:r>
        <w:rPr>
          <w:rFonts w:ascii="Verdana" w:hAnsi="Verdana"/>
          <w:i/>
          <w:sz w:val="16"/>
          <w:szCs w:val="16"/>
          <w:lang w:val="es-CR"/>
        </w:rPr>
        <w:t>, supra</w:t>
      </w:r>
      <w:r>
        <w:rPr>
          <w:rFonts w:ascii="Verdana" w:hAnsi="Verdana"/>
          <w:sz w:val="16"/>
          <w:szCs w:val="16"/>
          <w:lang w:val="es-CR"/>
        </w:rPr>
        <w:t xml:space="preserve">, </w:t>
      </w:r>
      <w:r w:rsidRPr="00353432">
        <w:rPr>
          <w:rFonts w:ascii="Verdana" w:hAnsi="Verdana"/>
          <w:sz w:val="16"/>
          <w:szCs w:val="16"/>
          <w:lang w:val="es-CR"/>
        </w:rPr>
        <w:t>párr. 300</w:t>
      </w:r>
      <w:r>
        <w:rPr>
          <w:rFonts w:ascii="Verdana" w:hAnsi="Verdana"/>
          <w:sz w:val="16"/>
          <w:szCs w:val="16"/>
          <w:lang w:val="es-CR"/>
        </w:rPr>
        <w:t xml:space="preserve">, y </w:t>
      </w:r>
      <w:r w:rsidRPr="003622B1">
        <w:rPr>
          <w:rFonts w:ascii="Verdana" w:hAnsi="Verdana"/>
          <w:i/>
          <w:sz w:val="16"/>
          <w:szCs w:val="16"/>
          <w:lang w:val="es-CR"/>
        </w:rPr>
        <w:t>Caso Luna López</w:t>
      </w:r>
      <w:r>
        <w:rPr>
          <w:rFonts w:ascii="Verdana" w:hAnsi="Verdana"/>
          <w:i/>
          <w:sz w:val="16"/>
          <w:szCs w:val="16"/>
          <w:lang w:val="es-CR"/>
        </w:rPr>
        <w:t>, supra</w:t>
      </w:r>
      <w:r>
        <w:rPr>
          <w:rFonts w:ascii="Verdana" w:hAnsi="Verdana"/>
          <w:sz w:val="16"/>
          <w:szCs w:val="16"/>
          <w:lang w:val="es-CR"/>
        </w:rPr>
        <w:t xml:space="preserve">, </w:t>
      </w:r>
      <w:r w:rsidRPr="0022623B">
        <w:rPr>
          <w:rFonts w:ascii="Verdana" w:hAnsi="Verdana"/>
          <w:sz w:val="16"/>
          <w:szCs w:val="16"/>
          <w:lang w:val="es-CR"/>
        </w:rPr>
        <w:t>nota al pie de página 256.</w:t>
      </w:r>
    </w:p>
  </w:footnote>
  <w:footnote w:id="277">
    <w:p w:rsidR="0081535F" w:rsidRPr="00353432" w:rsidRDefault="0081535F" w:rsidP="00422232">
      <w:pPr>
        <w:pStyle w:val="Textonotapie"/>
        <w:spacing w:line="19" w:lineRule="atLeast"/>
        <w:ind w:left="-180" w:right="-174"/>
        <w:jc w:val="both"/>
        <w:rPr>
          <w:rFonts w:ascii="Verdana" w:hAnsi="Verdana"/>
          <w:sz w:val="16"/>
          <w:szCs w:val="16"/>
          <w:lang w:val="es-ES"/>
        </w:rPr>
      </w:pPr>
      <w:r w:rsidRPr="00353432">
        <w:rPr>
          <w:rStyle w:val="Refdenotaalpie"/>
          <w:rFonts w:ascii="Verdana" w:hAnsi="Verdana"/>
          <w:sz w:val="16"/>
          <w:szCs w:val="16"/>
        </w:rPr>
        <w:footnoteRef/>
      </w:r>
      <w:r w:rsidRPr="00353432">
        <w:rPr>
          <w:rFonts w:ascii="Verdana" w:hAnsi="Verdana"/>
          <w:sz w:val="16"/>
          <w:szCs w:val="16"/>
          <w:lang w:val="es-CR"/>
        </w:rPr>
        <w:t xml:space="preserve"> </w:t>
      </w:r>
      <w:r w:rsidRPr="00353432">
        <w:rPr>
          <w:rFonts w:ascii="Verdana" w:hAnsi="Verdana"/>
          <w:i/>
          <w:sz w:val="16"/>
          <w:szCs w:val="16"/>
          <w:lang w:val="es-CR"/>
        </w:rPr>
        <w:t>Cfr</w:t>
      </w:r>
      <w:r w:rsidRPr="00353432">
        <w:rPr>
          <w:rFonts w:ascii="Verdana" w:hAnsi="Verdana"/>
          <w:sz w:val="16"/>
          <w:szCs w:val="16"/>
          <w:lang w:val="es-CR"/>
        </w:rPr>
        <w:t xml:space="preserve">. </w:t>
      </w:r>
      <w:r w:rsidRPr="003622B1">
        <w:rPr>
          <w:rFonts w:ascii="Verdana" w:hAnsi="Verdana"/>
          <w:i/>
          <w:sz w:val="16"/>
          <w:szCs w:val="16"/>
          <w:lang w:val="es-CR"/>
        </w:rPr>
        <w:t>Caso Myrna Mack Chang Vs. Guatemala. Fondo, Reparaciones y Costas.</w:t>
      </w:r>
      <w:r w:rsidRPr="009124EC">
        <w:rPr>
          <w:rFonts w:ascii="Verdana" w:hAnsi="Verdana"/>
          <w:sz w:val="16"/>
          <w:szCs w:val="16"/>
          <w:lang w:val="es-CR"/>
        </w:rPr>
        <w:t xml:space="preserve"> Sentencia de 25 de noviembre de 2003. Serie C No. 101</w:t>
      </w:r>
      <w:r>
        <w:rPr>
          <w:rFonts w:ascii="Verdana" w:hAnsi="Verdana"/>
          <w:sz w:val="16"/>
          <w:szCs w:val="16"/>
          <w:lang w:val="es-ES"/>
        </w:rPr>
        <w:t xml:space="preserve">, párr. 166, </w:t>
      </w:r>
      <w:r w:rsidRPr="00712E08">
        <w:rPr>
          <w:rFonts w:ascii="Verdana" w:hAnsi="Verdana"/>
          <w:sz w:val="16"/>
          <w:szCs w:val="16"/>
          <w:lang w:val="es-ES"/>
        </w:rPr>
        <w:t xml:space="preserve">y </w:t>
      </w:r>
      <w:r w:rsidRPr="00712E08">
        <w:rPr>
          <w:rFonts w:ascii="Verdana" w:hAnsi="Verdana"/>
          <w:i/>
          <w:sz w:val="16"/>
          <w:szCs w:val="16"/>
          <w:lang w:val="es-CR"/>
        </w:rPr>
        <w:t>Caso Luna López, supra</w:t>
      </w:r>
      <w:r w:rsidRPr="00712E08">
        <w:rPr>
          <w:rFonts w:ascii="Verdana" w:hAnsi="Verdana"/>
          <w:sz w:val="16"/>
          <w:szCs w:val="16"/>
          <w:lang w:val="es-CR"/>
        </w:rPr>
        <w:t>, párr. 164.</w:t>
      </w:r>
    </w:p>
  </w:footnote>
  <w:footnote w:id="278">
    <w:p w:rsidR="0081535F" w:rsidRPr="00353432" w:rsidRDefault="0081535F" w:rsidP="00422232">
      <w:pPr>
        <w:pStyle w:val="Textonotapie"/>
        <w:spacing w:line="19" w:lineRule="atLeast"/>
        <w:ind w:left="-180" w:right="-174"/>
        <w:jc w:val="both"/>
        <w:rPr>
          <w:rFonts w:ascii="Verdana" w:hAnsi="Verdana"/>
          <w:sz w:val="16"/>
          <w:szCs w:val="16"/>
        </w:rPr>
      </w:pPr>
      <w:r w:rsidRPr="00353432">
        <w:rPr>
          <w:rStyle w:val="Refdenotaalpie"/>
          <w:rFonts w:ascii="Verdana" w:hAnsi="Verdana"/>
          <w:sz w:val="16"/>
          <w:szCs w:val="16"/>
        </w:rPr>
        <w:footnoteRef/>
      </w:r>
      <w:r w:rsidRPr="00353432">
        <w:rPr>
          <w:rFonts w:ascii="Verdana" w:hAnsi="Verdana"/>
          <w:sz w:val="16"/>
          <w:szCs w:val="16"/>
        </w:rPr>
        <w:t xml:space="preserve"> </w:t>
      </w:r>
      <w:r w:rsidRPr="00353432">
        <w:rPr>
          <w:rFonts w:ascii="Verdana" w:hAnsi="Verdana"/>
          <w:i/>
          <w:sz w:val="16"/>
          <w:szCs w:val="16"/>
        </w:rPr>
        <w:t xml:space="preserve">Cfr. </w:t>
      </w:r>
      <w:r w:rsidRPr="009124EC">
        <w:rPr>
          <w:rFonts w:ascii="Verdana" w:hAnsi="Verdana"/>
          <w:sz w:val="16"/>
          <w:szCs w:val="16"/>
        </w:rPr>
        <w:t xml:space="preserve">Manual sobre la Prevención e Investigación Efectiva de Ejecuciones Extrajudiciales, Arbitrarias y Sumarias de Naciones Unidas (Protocolo de Minnesota), </w:t>
      </w:r>
      <w:r>
        <w:rPr>
          <w:rFonts w:ascii="Verdana" w:hAnsi="Verdana"/>
          <w:i/>
          <w:sz w:val="16"/>
          <w:szCs w:val="16"/>
        </w:rPr>
        <w:t>supra</w:t>
      </w:r>
      <w:r>
        <w:rPr>
          <w:rFonts w:ascii="Verdana" w:hAnsi="Verdana"/>
          <w:sz w:val="16"/>
          <w:szCs w:val="16"/>
        </w:rPr>
        <w:t xml:space="preserve">, y </w:t>
      </w:r>
      <w:r w:rsidRPr="003622B1">
        <w:rPr>
          <w:rFonts w:ascii="Verdana" w:hAnsi="Verdana"/>
          <w:i/>
          <w:sz w:val="16"/>
          <w:szCs w:val="16"/>
        </w:rPr>
        <w:t>Caso González y otras (“Campo Algodonero”)</w:t>
      </w:r>
      <w:r>
        <w:rPr>
          <w:rFonts w:ascii="Verdana" w:hAnsi="Verdana"/>
          <w:i/>
          <w:sz w:val="16"/>
          <w:szCs w:val="16"/>
        </w:rPr>
        <w:t>, supra</w:t>
      </w:r>
      <w:r>
        <w:rPr>
          <w:rFonts w:ascii="Verdana" w:hAnsi="Verdana"/>
          <w:sz w:val="16"/>
          <w:szCs w:val="16"/>
        </w:rPr>
        <w:t>, párr. 301.</w:t>
      </w:r>
    </w:p>
  </w:footnote>
  <w:footnote w:id="279">
    <w:p w:rsidR="0081535F" w:rsidRPr="0060474A" w:rsidRDefault="0081535F" w:rsidP="00422232">
      <w:pPr>
        <w:pStyle w:val="Textonotapie"/>
        <w:spacing w:line="19" w:lineRule="atLeast"/>
        <w:ind w:left="-180" w:right="-174"/>
        <w:jc w:val="both"/>
        <w:rPr>
          <w:rFonts w:ascii="Verdana" w:hAnsi="Verdana"/>
          <w:strike/>
          <w:sz w:val="16"/>
          <w:szCs w:val="16"/>
          <w:lang w:val="es-MX"/>
        </w:rPr>
      </w:pPr>
      <w:r w:rsidRPr="00353432">
        <w:rPr>
          <w:rStyle w:val="Refdenotaalpie"/>
          <w:rFonts w:ascii="Verdana" w:hAnsi="Verdana"/>
          <w:sz w:val="16"/>
          <w:szCs w:val="16"/>
        </w:rPr>
        <w:footnoteRef/>
      </w:r>
      <w:r w:rsidRPr="00353432">
        <w:rPr>
          <w:rFonts w:ascii="Verdana" w:hAnsi="Verdana"/>
          <w:sz w:val="16"/>
          <w:szCs w:val="16"/>
          <w:lang w:val="es-ES"/>
        </w:rPr>
        <w:t xml:space="preserve"> </w:t>
      </w:r>
      <w:r w:rsidRPr="00763922">
        <w:rPr>
          <w:rFonts w:ascii="Verdana" w:hAnsi="Verdana"/>
          <w:sz w:val="16"/>
          <w:szCs w:val="16"/>
          <w:lang w:val="es-ES"/>
        </w:rPr>
        <w:t xml:space="preserve">Oficina del Alto Comisionado de las Naciones Unidas para los Derechos Humanos. </w:t>
      </w:r>
      <w:r w:rsidRPr="00763922">
        <w:rPr>
          <w:rFonts w:ascii="Verdana" w:hAnsi="Verdana"/>
          <w:sz w:val="16"/>
          <w:szCs w:val="16"/>
          <w:lang w:val="es-MX"/>
        </w:rPr>
        <w:t>Protocolo Modelo para la  investigación forense de muertes sospechosas de haberse producido por violación de los derechos humanos. Proyecto MEX/00/AH/10, pág. 40.</w:t>
      </w:r>
      <w:r w:rsidRPr="0060474A">
        <w:rPr>
          <w:rFonts w:ascii="Verdana" w:hAnsi="Verdana"/>
          <w:sz w:val="16"/>
          <w:szCs w:val="16"/>
          <w:lang w:val="es-MX"/>
        </w:rPr>
        <w:t xml:space="preserve"> </w:t>
      </w:r>
    </w:p>
  </w:footnote>
  <w:footnote w:id="280">
    <w:p w:rsidR="0081535F" w:rsidRPr="00353432" w:rsidRDefault="0081535F" w:rsidP="00422232">
      <w:pPr>
        <w:pStyle w:val="Textonotapie"/>
        <w:spacing w:line="19" w:lineRule="atLeast"/>
        <w:ind w:left="-180" w:right="-174"/>
        <w:jc w:val="both"/>
        <w:rPr>
          <w:rFonts w:ascii="Verdana" w:hAnsi="Verdana"/>
          <w:sz w:val="16"/>
          <w:szCs w:val="16"/>
        </w:rPr>
      </w:pPr>
      <w:r w:rsidRPr="00353432">
        <w:rPr>
          <w:rStyle w:val="Refdenotaalpie"/>
          <w:rFonts w:ascii="Verdana" w:hAnsi="Verdana"/>
          <w:sz w:val="16"/>
          <w:szCs w:val="16"/>
        </w:rPr>
        <w:footnoteRef/>
      </w:r>
      <w:r w:rsidRPr="00353432">
        <w:rPr>
          <w:rFonts w:ascii="Verdana" w:hAnsi="Verdana"/>
          <w:sz w:val="16"/>
          <w:szCs w:val="16"/>
        </w:rPr>
        <w:t xml:space="preserve"> </w:t>
      </w:r>
      <w:r w:rsidRPr="00353432">
        <w:rPr>
          <w:rFonts w:ascii="Verdana" w:hAnsi="Verdana"/>
          <w:i/>
          <w:sz w:val="16"/>
          <w:szCs w:val="16"/>
        </w:rPr>
        <w:t xml:space="preserve">Cfr. </w:t>
      </w:r>
      <w:r w:rsidRPr="00197EA1">
        <w:rPr>
          <w:rFonts w:ascii="Verdana" w:hAnsi="Verdana"/>
          <w:sz w:val="16"/>
          <w:szCs w:val="16"/>
        </w:rPr>
        <w:t xml:space="preserve">Manual sobre la Prevención e Investigación Efectiva de Ejecuciones Extrajudiciales, Arbitrarias y Sumarias de Naciones Unidas (Protocolo de Minnesota), </w:t>
      </w:r>
      <w:r>
        <w:rPr>
          <w:rFonts w:ascii="Verdana" w:hAnsi="Verdana"/>
          <w:i/>
          <w:sz w:val="16"/>
          <w:szCs w:val="16"/>
        </w:rPr>
        <w:t>supra</w:t>
      </w:r>
      <w:r>
        <w:rPr>
          <w:rFonts w:ascii="Verdana" w:hAnsi="Verdana"/>
          <w:sz w:val="16"/>
          <w:szCs w:val="16"/>
        </w:rPr>
        <w:t xml:space="preserve">, y </w:t>
      </w:r>
      <w:r w:rsidRPr="003622B1">
        <w:rPr>
          <w:rFonts w:ascii="Verdana" w:hAnsi="Verdana"/>
          <w:i/>
          <w:sz w:val="16"/>
          <w:szCs w:val="16"/>
          <w:lang w:val="es-CR"/>
        </w:rPr>
        <w:t>Caso González y otras (“Campo Algodonero”)</w:t>
      </w:r>
      <w:r>
        <w:rPr>
          <w:rFonts w:ascii="Verdana" w:hAnsi="Verdana"/>
          <w:i/>
          <w:sz w:val="16"/>
          <w:szCs w:val="16"/>
          <w:lang w:val="es-CR"/>
        </w:rPr>
        <w:t>, supra</w:t>
      </w:r>
      <w:r>
        <w:rPr>
          <w:rFonts w:ascii="Verdana" w:hAnsi="Verdana"/>
          <w:sz w:val="16"/>
          <w:szCs w:val="16"/>
          <w:lang w:val="es-CR"/>
        </w:rPr>
        <w:t>, párr. 301.</w:t>
      </w:r>
    </w:p>
  </w:footnote>
  <w:footnote w:id="281">
    <w:p w:rsidR="0081535F" w:rsidRPr="00353432" w:rsidRDefault="0081535F" w:rsidP="00422232">
      <w:pPr>
        <w:pStyle w:val="Textonotapie"/>
        <w:spacing w:line="19" w:lineRule="atLeast"/>
        <w:ind w:left="-180" w:right="-174"/>
        <w:jc w:val="both"/>
        <w:rPr>
          <w:rFonts w:ascii="Verdana" w:hAnsi="Verdana"/>
          <w:sz w:val="16"/>
          <w:szCs w:val="16"/>
          <w:lang w:val="es-ES"/>
        </w:rPr>
      </w:pPr>
      <w:r w:rsidRPr="00353432">
        <w:rPr>
          <w:rStyle w:val="Refdenotaalpie"/>
          <w:rFonts w:ascii="Verdana" w:hAnsi="Verdana"/>
          <w:sz w:val="16"/>
          <w:szCs w:val="16"/>
        </w:rPr>
        <w:footnoteRef/>
      </w:r>
      <w:r w:rsidRPr="00353432">
        <w:rPr>
          <w:rFonts w:ascii="Verdana" w:hAnsi="Verdana"/>
          <w:sz w:val="16"/>
          <w:szCs w:val="16"/>
          <w:lang w:val="es-ES"/>
        </w:rPr>
        <w:t xml:space="preserve"> </w:t>
      </w:r>
      <w:r w:rsidRPr="00353432">
        <w:rPr>
          <w:rFonts w:ascii="Verdana" w:hAnsi="Verdana"/>
          <w:i/>
          <w:sz w:val="16"/>
          <w:szCs w:val="16"/>
          <w:lang w:val="es-CR"/>
        </w:rPr>
        <w:t>Cfr</w:t>
      </w:r>
      <w:r w:rsidRPr="00353432">
        <w:rPr>
          <w:rFonts w:ascii="Verdana" w:hAnsi="Verdana"/>
          <w:sz w:val="16"/>
          <w:szCs w:val="16"/>
          <w:lang w:val="es-CR"/>
        </w:rPr>
        <w:t xml:space="preserve">. </w:t>
      </w:r>
      <w:r w:rsidRPr="00197EA1">
        <w:rPr>
          <w:rFonts w:ascii="Verdana" w:hAnsi="Verdana"/>
          <w:sz w:val="16"/>
          <w:szCs w:val="16"/>
          <w:lang w:val="es-ES"/>
        </w:rPr>
        <w:t xml:space="preserve">Manual sobre la Prevención e Investigación Efectiva de Ejecuciones Extrajudiciales, Arbitrarias y Sumarias de Naciones Unidas (Protocolo de Minnesota), </w:t>
      </w:r>
      <w:r>
        <w:rPr>
          <w:rFonts w:ascii="Verdana" w:hAnsi="Verdana"/>
          <w:i/>
          <w:sz w:val="16"/>
          <w:szCs w:val="16"/>
          <w:lang w:val="es-ES"/>
        </w:rPr>
        <w:t xml:space="preserve">supra, </w:t>
      </w:r>
      <w:r>
        <w:rPr>
          <w:rFonts w:ascii="Verdana" w:hAnsi="Verdana"/>
          <w:sz w:val="16"/>
          <w:szCs w:val="16"/>
          <w:lang w:val="es-ES"/>
        </w:rPr>
        <w:t xml:space="preserve">y </w:t>
      </w:r>
      <w:r w:rsidRPr="00197EA1">
        <w:rPr>
          <w:rFonts w:ascii="Verdana" w:hAnsi="Verdana"/>
          <w:sz w:val="16"/>
          <w:szCs w:val="16"/>
          <w:lang w:val="es-ES"/>
        </w:rPr>
        <w:t>Oficina del Alto Comisionado de las Naciones Unidas para los Derechos Humanos. Protocolo Modelo para la  investigación forense de muertes sospechosas de haberse producido por vio</w:t>
      </w:r>
      <w:r>
        <w:rPr>
          <w:rFonts w:ascii="Verdana" w:hAnsi="Verdana"/>
          <w:sz w:val="16"/>
          <w:szCs w:val="16"/>
          <w:lang w:val="es-ES"/>
        </w:rPr>
        <w:t xml:space="preserve">lación de los derechos humanos, </w:t>
      </w:r>
      <w:r>
        <w:rPr>
          <w:rFonts w:ascii="Verdana" w:hAnsi="Verdana"/>
          <w:i/>
          <w:sz w:val="16"/>
          <w:szCs w:val="16"/>
          <w:lang w:val="es-ES"/>
        </w:rPr>
        <w:t>supra</w:t>
      </w:r>
      <w:r w:rsidRPr="00197EA1">
        <w:rPr>
          <w:rFonts w:ascii="Verdana" w:hAnsi="Verdana"/>
          <w:sz w:val="16"/>
          <w:szCs w:val="16"/>
          <w:lang w:val="es-ES"/>
        </w:rPr>
        <w:t>.</w:t>
      </w:r>
    </w:p>
  </w:footnote>
  <w:footnote w:id="282">
    <w:p w:rsidR="0081535F" w:rsidRPr="00353432" w:rsidRDefault="0081535F" w:rsidP="00422232">
      <w:pPr>
        <w:pStyle w:val="Textonotapie"/>
        <w:spacing w:line="19" w:lineRule="atLeast"/>
        <w:ind w:left="-180" w:right="-174"/>
        <w:jc w:val="both"/>
        <w:rPr>
          <w:rFonts w:ascii="Verdana" w:hAnsi="Verdana"/>
          <w:sz w:val="16"/>
          <w:szCs w:val="16"/>
          <w:lang w:val="es-ES"/>
        </w:rPr>
      </w:pPr>
      <w:r w:rsidRPr="00353432">
        <w:rPr>
          <w:rStyle w:val="Refdenotaalpie"/>
          <w:rFonts w:ascii="Verdana" w:hAnsi="Verdana"/>
          <w:sz w:val="16"/>
          <w:szCs w:val="16"/>
        </w:rPr>
        <w:footnoteRef/>
      </w:r>
      <w:r w:rsidRPr="00353432">
        <w:rPr>
          <w:rFonts w:ascii="Verdana" w:hAnsi="Verdana"/>
          <w:sz w:val="16"/>
          <w:szCs w:val="16"/>
          <w:lang w:val="es-ES"/>
        </w:rPr>
        <w:t xml:space="preserve"> </w:t>
      </w:r>
      <w:r w:rsidRPr="00353432">
        <w:rPr>
          <w:rFonts w:ascii="Verdana" w:hAnsi="Verdana"/>
          <w:i/>
          <w:sz w:val="16"/>
          <w:szCs w:val="16"/>
          <w:lang w:val="es-CR"/>
        </w:rPr>
        <w:t>Cfr</w:t>
      </w:r>
      <w:r w:rsidRPr="00353432">
        <w:rPr>
          <w:rFonts w:ascii="Verdana" w:hAnsi="Verdana"/>
          <w:sz w:val="16"/>
          <w:szCs w:val="16"/>
          <w:lang w:val="es-CR"/>
        </w:rPr>
        <w:t xml:space="preserve">. </w:t>
      </w:r>
      <w:r w:rsidRPr="00191F3A">
        <w:rPr>
          <w:rFonts w:ascii="Verdana" w:hAnsi="Verdana"/>
          <w:sz w:val="16"/>
          <w:szCs w:val="16"/>
          <w:lang w:val="es-ES"/>
        </w:rPr>
        <w:t xml:space="preserve">Manual sobre la Prevención e Investigación Efectiva de Ejecuciones Extrajudiciales, Arbitrarias y Sumarias de Naciones Unidas (Protocolo de Minnesota), </w:t>
      </w:r>
      <w:r w:rsidRPr="00122C63">
        <w:rPr>
          <w:rFonts w:ascii="Verdana" w:hAnsi="Verdana"/>
          <w:i/>
          <w:sz w:val="16"/>
          <w:szCs w:val="16"/>
          <w:lang w:val="es-ES"/>
        </w:rPr>
        <w:t>supra.</w:t>
      </w:r>
    </w:p>
  </w:footnote>
  <w:footnote w:id="283">
    <w:p w:rsidR="0081535F" w:rsidRPr="00353432" w:rsidRDefault="0081535F" w:rsidP="00422232">
      <w:pPr>
        <w:pStyle w:val="Textonotapie"/>
        <w:spacing w:line="19" w:lineRule="atLeast"/>
        <w:ind w:left="-180" w:right="-174"/>
        <w:jc w:val="both"/>
        <w:rPr>
          <w:rFonts w:ascii="Verdana" w:hAnsi="Verdana"/>
          <w:sz w:val="16"/>
          <w:szCs w:val="16"/>
        </w:rPr>
      </w:pPr>
      <w:r w:rsidRPr="00353432">
        <w:rPr>
          <w:rStyle w:val="Refdenotaalpie"/>
          <w:rFonts w:ascii="Verdana" w:hAnsi="Verdana"/>
          <w:sz w:val="16"/>
          <w:szCs w:val="16"/>
        </w:rPr>
        <w:footnoteRef/>
      </w:r>
      <w:r w:rsidRPr="00353432">
        <w:rPr>
          <w:rFonts w:ascii="Verdana" w:hAnsi="Verdana"/>
          <w:sz w:val="16"/>
          <w:szCs w:val="16"/>
        </w:rPr>
        <w:t xml:space="preserve"> </w:t>
      </w:r>
      <w:r w:rsidRPr="00353432">
        <w:rPr>
          <w:rFonts w:ascii="Verdana" w:hAnsi="Verdana"/>
          <w:i/>
          <w:sz w:val="16"/>
          <w:szCs w:val="16"/>
        </w:rPr>
        <w:t xml:space="preserve">Cfr. </w:t>
      </w:r>
      <w:r w:rsidRPr="00191F3A">
        <w:rPr>
          <w:rFonts w:ascii="Verdana" w:hAnsi="Verdana"/>
          <w:sz w:val="16"/>
          <w:szCs w:val="16"/>
        </w:rPr>
        <w:t xml:space="preserve">Manual sobre la Prevención e Investigación Efectiva de Ejecuciones Extrajudiciales, Arbitrarias y Sumarias de Naciones Unidas (Protocolo de Minnesota), </w:t>
      </w:r>
      <w:r w:rsidRPr="00122C63">
        <w:rPr>
          <w:rFonts w:ascii="Verdana" w:hAnsi="Verdana"/>
          <w:i/>
          <w:sz w:val="16"/>
          <w:szCs w:val="16"/>
        </w:rPr>
        <w:t>supra,</w:t>
      </w:r>
      <w:r>
        <w:rPr>
          <w:rFonts w:ascii="Verdana" w:hAnsi="Verdana"/>
          <w:sz w:val="16"/>
          <w:szCs w:val="16"/>
        </w:rPr>
        <w:t xml:space="preserve"> y </w:t>
      </w:r>
      <w:r w:rsidRPr="003622B1">
        <w:rPr>
          <w:rFonts w:ascii="Verdana" w:hAnsi="Verdana"/>
          <w:i/>
          <w:sz w:val="16"/>
          <w:szCs w:val="16"/>
        </w:rPr>
        <w:t>Caso González y otras (“Campo Algodonero”)</w:t>
      </w:r>
      <w:r>
        <w:rPr>
          <w:rFonts w:ascii="Verdana" w:hAnsi="Verdana"/>
          <w:i/>
          <w:sz w:val="16"/>
          <w:szCs w:val="16"/>
        </w:rPr>
        <w:t>, supra</w:t>
      </w:r>
      <w:r>
        <w:rPr>
          <w:rFonts w:ascii="Verdana" w:hAnsi="Verdana"/>
          <w:sz w:val="16"/>
          <w:szCs w:val="16"/>
        </w:rPr>
        <w:t>, párr. 305.</w:t>
      </w:r>
    </w:p>
  </w:footnote>
  <w:footnote w:id="284">
    <w:p w:rsidR="0081535F" w:rsidRPr="00353432" w:rsidRDefault="0081535F" w:rsidP="00422232">
      <w:pPr>
        <w:pStyle w:val="Textonotapie"/>
        <w:spacing w:line="19" w:lineRule="atLeast"/>
        <w:ind w:left="-180" w:right="-174"/>
        <w:jc w:val="both"/>
        <w:rPr>
          <w:rFonts w:ascii="Verdana" w:hAnsi="Verdana"/>
          <w:sz w:val="16"/>
          <w:szCs w:val="16"/>
        </w:rPr>
      </w:pPr>
      <w:r w:rsidRPr="00353432">
        <w:rPr>
          <w:rStyle w:val="Refdenotaalpie"/>
          <w:rFonts w:ascii="Verdana" w:hAnsi="Verdana"/>
          <w:sz w:val="16"/>
          <w:szCs w:val="16"/>
        </w:rPr>
        <w:footnoteRef/>
      </w:r>
      <w:r w:rsidRPr="00353432">
        <w:rPr>
          <w:rFonts w:ascii="Verdana" w:hAnsi="Verdana"/>
          <w:sz w:val="16"/>
          <w:szCs w:val="16"/>
        </w:rPr>
        <w:t xml:space="preserve"> </w:t>
      </w:r>
      <w:r w:rsidRPr="00353432">
        <w:rPr>
          <w:rFonts w:ascii="Verdana" w:hAnsi="Verdana"/>
          <w:i/>
          <w:sz w:val="16"/>
          <w:szCs w:val="16"/>
        </w:rPr>
        <w:t>Cfr.</w:t>
      </w:r>
      <w:r w:rsidRPr="00353432">
        <w:rPr>
          <w:rFonts w:ascii="Verdana" w:hAnsi="Verdana"/>
          <w:sz w:val="16"/>
          <w:szCs w:val="16"/>
        </w:rPr>
        <w:t xml:space="preserve"> </w:t>
      </w:r>
      <w:r w:rsidRPr="00784809">
        <w:rPr>
          <w:rFonts w:ascii="Verdana" w:hAnsi="Verdana"/>
          <w:i/>
          <w:sz w:val="16"/>
          <w:szCs w:val="16"/>
        </w:rPr>
        <w:t>Caso González y otras (“Campo Algodonero”)</w:t>
      </w:r>
      <w:r>
        <w:rPr>
          <w:rFonts w:ascii="Verdana" w:hAnsi="Verdana"/>
          <w:i/>
          <w:sz w:val="16"/>
          <w:szCs w:val="16"/>
        </w:rPr>
        <w:t>, supra</w:t>
      </w:r>
      <w:r w:rsidRPr="00353432">
        <w:rPr>
          <w:rFonts w:ascii="Verdana" w:hAnsi="Verdana"/>
          <w:sz w:val="16"/>
          <w:szCs w:val="16"/>
        </w:rPr>
        <w:t>, párr. 305.</w:t>
      </w:r>
    </w:p>
  </w:footnote>
  <w:footnote w:id="285">
    <w:p w:rsidR="0081535F" w:rsidRPr="00353432" w:rsidRDefault="0081535F" w:rsidP="00422232">
      <w:pPr>
        <w:pStyle w:val="Textonotapie"/>
        <w:spacing w:line="19" w:lineRule="atLeast"/>
        <w:ind w:left="-180" w:right="-174"/>
        <w:jc w:val="both"/>
        <w:rPr>
          <w:rFonts w:ascii="Verdana" w:hAnsi="Verdana"/>
          <w:sz w:val="16"/>
          <w:szCs w:val="16"/>
        </w:rPr>
      </w:pPr>
      <w:r w:rsidRPr="00353432">
        <w:rPr>
          <w:rStyle w:val="Refdenotaalpie"/>
          <w:rFonts w:ascii="Verdana" w:hAnsi="Verdana"/>
          <w:sz w:val="16"/>
          <w:szCs w:val="16"/>
        </w:rPr>
        <w:footnoteRef/>
      </w:r>
      <w:r w:rsidRPr="00353432">
        <w:rPr>
          <w:rFonts w:ascii="Verdana" w:hAnsi="Verdana"/>
          <w:sz w:val="16"/>
          <w:szCs w:val="16"/>
        </w:rPr>
        <w:t xml:space="preserve"> </w:t>
      </w:r>
      <w:r w:rsidRPr="00353432">
        <w:rPr>
          <w:rFonts w:ascii="Verdana" w:hAnsi="Verdana"/>
          <w:i/>
          <w:sz w:val="16"/>
          <w:szCs w:val="16"/>
        </w:rPr>
        <w:t>Cfr.</w:t>
      </w:r>
      <w:r w:rsidRPr="00353432">
        <w:rPr>
          <w:rFonts w:ascii="Verdana" w:hAnsi="Verdana"/>
          <w:sz w:val="16"/>
          <w:szCs w:val="16"/>
        </w:rPr>
        <w:t xml:space="preserve"> </w:t>
      </w:r>
      <w:r w:rsidRPr="00784809">
        <w:rPr>
          <w:rFonts w:ascii="Verdana" w:hAnsi="Verdana"/>
          <w:sz w:val="16"/>
          <w:szCs w:val="16"/>
        </w:rPr>
        <w:t>Manual sobre la Prevención e Investigación Efectiva de Ejecuciones Extrajudiciales, Arbitrarias y Sumarias de Naciones Unidas (Protocolo de Minnesota),</w:t>
      </w:r>
      <w:r>
        <w:rPr>
          <w:rFonts w:ascii="Verdana" w:hAnsi="Verdana"/>
          <w:sz w:val="16"/>
          <w:szCs w:val="16"/>
        </w:rPr>
        <w:t xml:space="preserve"> </w:t>
      </w:r>
      <w:r w:rsidRPr="00122C63">
        <w:rPr>
          <w:rFonts w:ascii="Verdana" w:hAnsi="Verdana"/>
          <w:i/>
          <w:sz w:val="16"/>
          <w:szCs w:val="16"/>
        </w:rPr>
        <w:t>supra</w:t>
      </w:r>
      <w:r w:rsidRPr="00122C63">
        <w:rPr>
          <w:rFonts w:ascii="Verdana" w:hAnsi="Verdana"/>
          <w:sz w:val="16"/>
          <w:szCs w:val="16"/>
        </w:rPr>
        <w:t>;</w:t>
      </w:r>
      <w:r>
        <w:rPr>
          <w:rFonts w:ascii="Verdana" w:hAnsi="Verdana"/>
          <w:sz w:val="16"/>
          <w:szCs w:val="16"/>
        </w:rPr>
        <w:t xml:space="preserve"> y </w:t>
      </w:r>
      <w:r w:rsidRPr="00784809">
        <w:rPr>
          <w:rFonts w:ascii="Verdana" w:hAnsi="Verdana"/>
          <w:i/>
          <w:sz w:val="16"/>
          <w:szCs w:val="16"/>
        </w:rPr>
        <w:t>Caso González y otras (“Campo Algodonero”)</w:t>
      </w:r>
      <w:r>
        <w:rPr>
          <w:rFonts w:ascii="Verdana" w:hAnsi="Verdana"/>
          <w:i/>
          <w:sz w:val="16"/>
          <w:szCs w:val="16"/>
        </w:rPr>
        <w:t>, supra</w:t>
      </w:r>
      <w:r w:rsidRPr="003622B1">
        <w:rPr>
          <w:rFonts w:ascii="Verdana" w:hAnsi="Verdana"/>
          <w:sz w:val="16"/>
          <w:szCs w:val="16"/>
        </w:rPr>
        <w:t>,</w:t>
      </w:r>
      <w:r>
        <w:rPr>
          <w:rFonts w:ascii="Verdana" w:hAnsi="Verdana"/>
          <w:i/>
          <w:sz w:val="16"/>
          <w:szCs w:val="16"/>
        </w:rPr>
        <w:t xml:space="preserve"> </w:t>
      </w:r>
      <w:r w:rsidRPr="00353432">
        <w:rPr>
          <w:rFonts w:ascii="Verdana" w:hAnsi="Verdana"/>
          <w:sz w:val="16"/>
          <w:szCs w:val="16"/>
        </w:rPr>
        <w:t>párr. 310</w:t>
      </w:r>
      <w:r>
        <w:rPr>
          <w:rFonts w:ascii="Verdana" w:hAnsi="Verdana"/>
          <w:sz w:val="16"/>
          <w:szCs w:val="16"/>
        </w:rPr>
        <w:t xml:space="preserve">, y </w:t>
      </w:r>
      <w:r w:rsidRPr="003622B1">
        <w:rPr>
          <w:rFonts w:ascii="Verdana" w:hAnsi="Verdana"/>
          <w:i/>
          <w:sz w:val="16"/>
          <w:szCs w:val="16"/>
        </w:rPr>
        <w:t>Caso Luna López</w:t>
      </w:r>
      <w:r>
        <w:rPr>
          <w:rFonts w:ascii="Verdana" w:hAnsi="Verdana"/>
          <w:i/>
          <w:sz w:val="16"/>
          <w:szCs w:val="16"/>
        </w:rPr>
        <w:t>, supra</w:t>
      </w:r>
      <w:r>
        <w:rPr>
          <w:rFonts w:ascii="Verdana" w:hAnsi="Verdana"/>
          <w:sz w:val="16"/>
          <w:szCs w:val="16"/>
        </w:rPr>
        <w:t>, nota al pie de página 261.</w:t>
      </w:r>
    </w:p>
  </w:footnote>
  <w:footnote w:id="286">
    <w:p w:rsidR="0081535F" w:rsidRPr="00353432" w:rsidRDefault="0081535F" w:rsidP="00422232">
      <w:pPr>
        <w:pStyle w:val="Textonotapie"/>
        <w:spacing w:line="19" w:lineRule="atLeast"/>
        <w:ind w:left="-180" w:right="-174"/>
        <w:jc w:val="both"/>
        <w:rPr>
          <w:rFonts w:ascii="Verdana" w:hAnsi="Verdana"/>
          <w:bCs/>
          <w:sz w:val="16"/>
          <w:szCs w:val="16"/>
        </w:rPr>
      </w:pPr>
      <w:r w:rsidRPr="00353432">
        <w:rPr>
          <w:rStyle w:val="Refdenotaalpie"/>
          <w:rFonts w:ascii="Verdana" w:hAnsi="Verdana"/>
          <w:sz w:val="16"/>
          <w:szCs w:val="16"/>
        </w:rPr>
        <w:footnoteRef/>
      </w:r>
      <w:r w:rsidRPr="00353432">
        <w:rPr>
          <w:rFonts w:ascii="Verdana" w:hAnsi="Verdana"/>
          <w:sz w:val="16"/>
          <w:szCs w:val="16"/>
        </w:rPr>
        <w:t xml:space="preserve"> </w:t>
      </w:r>
      <w:r w:rsidRPr="00712E08">
        <w:rPr>
          <w:rFonts w:ascii="Verdana" w:hAnsi="Verdana"/>
          <w:i/>
          <w:iCs/>
          <w:sz w:val="16"/>
          <w:szCs w:val="16"/>
        </w:rPr>
        <w:t>Caso de los “Niños de la Calle” (Villagrán Morales y otros). Fondo, supra</w:t>
      </w:r>
      <w:r w:rsidRPr="00712E08">
        <w:rPr>
          <w:rFonts w:ascii="Verdana" w:hAnsi="Verdana"/>
          <w:iCs/>
          <w:sz w:val="16"/>
          <w:szCs w:val="16"/>
        </w:rPr>
        <w:t>,</w:t>
      </w:r>
      <w:r w:rsidRPr="00712E08">
        <w:rPr>
          <w:rFonts w:ascii="Verdana" w:hAnsi="Verdana"/>
          <w:sz w:val="16"/>
          <w:szCs w:val="16"/>
        </w:rPr>
        <w:t xml:space="preserve"> párr. 349.</w:t>
      </w:r>
    </w:p>
  </w:footnote>
  <w:footnote w:id="287">
    <w:p w:rsidR="0081535F" w:rsidRPr="00353432" w:rsidRDefault="0081535F" w:rsidP="00422232">
      <w:pPr>
        <w:pStyle w:val="Textonotapie"/>
        <w:spacing w:line="19" w:lineRule="atLeast"/>
        <w:ind w:left="-180" w:right="-174"/>
        <w:jc w:val="both"/>
        <w:rPr>
          <w:rFonts w:ascii="Verdana" w:hAnsi="Verdana"/>
          <w:sz w:val="16"/>
          <w:szCs w:val="16"/>
          <w:lang w:val="es-CR"/>
        </w:rPr>
      </w:pPr>
      <w:r w:rsidRPr="00353432">
        <w:rPr>
          <w:rStyle w:val="Refdenotaalpie"/>
          <w:rFonts w:ascii="Verdana" w:hAnsi="Verdana"/>
          <w:sz w:val="16"/>
          <w:szCs w:val="16"/>
        </w:rPr>
        <w:footnoteRef/>
      </w:r>
      <w:r w:rsidRPr="00353432">
        <w:rPr>
          <w:rFonts w:ascii="Verdana" w:hAnsi="Verdana"/>
          <w:sz w:val="16"/>
          <w:szCs w:val="16"/>
        </w:rPr>
        <w:t xml:space="preserve"> </w:t>
      </w:r>
      <w:r w:rsidRPr="00353432">
        <w:rPr>
          <w:rFonts w:ascii="Verdana" w:hAnsi="Verdana"/>
          <w:sz w:val="16"/>
          <w:szCs w:val="16"/>
          <w:lang w:val="es-CR"/>
        </w:rPr>
        <w:t xml:space="preserve">En la </w:t>
      </w:r>
      <w:r w:rsidRPr="00856A1B">
        <w:rPr>
          <w:rFonts w:ascii="Verdana" w:hAnsi="Verdana"/>
          <w:sz w:val="16"/>
          <w:szCs w:val="16"/>
          <w:lang w:val="es-CR"/>
        </w:rPr>
        <w:t xml:space="preserve">inspección ocular que se realizó el 18 de diciembre de 2001, el técnico determinó que se procesó y contaminó la escena del crimen al momento de su inspección. </w:t>
      </w:r>
      <w:r w:rsidRPr="00856A1B">
        <w:rPr>
          <w:rFonts w:ascii="Verdana" w:hAnsi="Verdana"/>
          <w:i/>
          <w:sz w:val="16"/>
          <w:szCs w:val="16"/>
          <w:lang w:val="es-CR"/>
        </w:rPr>
        <w:t xml:space="preserve">Cfr. </w:t>
      </w:r>
      <w:r w:rsidRPr="00856A1B">
        <w:rPr>
          <w:rFonts w:ascii="Verdana" w:hAnsi="Verdana"/>
          <w:sz w:val="16"/>
          <w:szCs w:val="16"/>
          <w:lang w:val="es-CR"/>
        </w:rPr>
        <w:t xml:space="preserve">Inspección ocular emitida por técnico de la Sección de Inspecciones Oculares del Servicio de Investigación Criminal de la Policía Nacional Civil, </w:t>
      </w:r>
      <w:r w:rsidRPr="00856A1B">
        <w:rPr>
          <w:rFonts w:ascii="Verdana" w:hAnsi="Verdana"/>
          <w:i/>
          <w:sz w:val="16"/>
          <w:szCs w:val="16"/>
          <w:lang w:val="es-CR"/>
        </w:rPr>
        <w:t>supra</w:t>
      </w:r>
      <w:r w:rsidRPr="00856A1B">
        <w:rPr>
          <w:rFonts w:ascii="Verdana" w:hAnsi="Verdana"/>
          <w:sz w:val="16"/>
          <w:szCs w:val="16"/>
          <w:lang w:val="es-CR"/>
        </w:rPr>
        <w:t xml:space="preserve">. </w:t>
      </w:r>
      <w:r w:rsidRPr="00856A1B">
        <w:rPr>
          <w:rFonts w:ascii="Verdana" w:hAnsi="Verdana"/>
          <w:sz w:val="16"/>
          <w:szCs w:val="16"/>
        </w:rPr>
        <w:t>El perito José Mario Nájera Ochoa</w:t>
      </w:r>
      <w:r>
        <w:rPr>
          <w:rFonts w:ascii="Verdana" w:hAnsi="Verdana"/>
          <w:sz w:val="16"/>
          <w:szCs w:val="16"/>
        </w:rPr>
        <w:t xml:space="preserve"> se refirió a como se llevaban</w:t>
      </w:r>
      <w:r w:rsidRPr="00856A1B">
        <w:rPr>
          <w:rFonts w:ascii="Verdana" w:hAnsi="Verdana"/>
          <w:sz w:val="16"/>
          <w:szCs w:val="16"/>
        </w:rPr>
        <w:t xml:space="preserve"> a cabo las diligencias forenses, y señaló que: a) se recibe</w:t>
      </w:r>
      <w:r w:rsidRPr="00353432">
        <w:rPr>
          <w:rFonts w:ascii="Verdana" w:hAnsi="Verdana"/>
          <w:sz w:val="16"/>
          <w:szCs w:val="16"/>
        </w:rPr>
        <w:t xml:space="preserve"> la noticia </w:t>
      </w:r>
      <w:r w:rsidRPr="00353432">
        <w:rPr>
          <w:rFonts w:ascii="Verdana" w:hAnsi="Verdana"/>
          <w:i/>
          <w:sz w:val="16"/>
          <w:szCs w:val="16"/>
        </w:rPr>
        <w:t>criminis</w:t>
      </w:r>
      <w:r w:rsidRPr="00353432">
        <w:rPr>
          <w:rFonts w:ascii="Verdana" w:hAnsi="Verdana"/>
          <w:sz w:val="16"/>
          <w:szCs w:val="16"/>
        </w:rPr>
        <w:t xml:space="preserve"> por parte del Ministerio Público (en la unidad de monitorio en el caso del área metropolitana o directamente a la fiscalía en las fiscalías distritales), y b) el equipo acude a la escena del crimen, cuando lo hacen ya se han hecho presentes otras personas, bomberos, policías, etc., quienes en la mayoría de las ocasiones contamina</w:t>
      </w:r>
      <w:r>
        <w:rPr>
          <w:rFonts w:ascii="Verdana" w:hAnsi="Verdana"/>
          <w:sz w:val="16"/>
          <w:szCs w:val="16"/>
        </w:rPr>
        <w:t>n</w:t>
      </w:r>
      <w:r w:rsidRPr="00353432">
        <w:rPr>
          <w:rFonts w:ascii="Verdana" w:hAnsi="Verdana"/>
          <w:sz w:val="16"/>
          <w:szCs w:val="16"/>
        </w:rPr>
        <w:t xml:space="preserve"> el lugar del hecho. </w:t>
      </w:r>
      <w:r w:rsidRPr="008840F4">
        <w:rPr>
          <w:rFonts w:ascii="Verdana" w:eastAsia="Times New Roman" w:hAnsi="Verdana" w:cs="Arial"/>
          <w:i/>
          <w:sz w:val="16"/>
          <w:szCs w:val="16"/>
          <w:lang w:val="es-MX"/>
        </w:rPr>
        <w:t>Cfr.</w:t>
      </w:r>
      <w:r w:rsidRPr="008840F4">
        <w:rPr>
          <w:rFonts w:ascii="Verdana" w:eastAsia="Times New Roman" w:hAnsi="Verdana" w:cs="Arial"/>
          <w:sz w:val="16"/>
          <w:szCs w:val="16"/>
          <w:lang w:val="es-MX"/>
        </w:rPr>
        <w:t xml:space="preserve"> </w:t>
      </w:r>
      <w:r w:rsidRPr="008840F4">
        <w:rPr>
          <w:rFonts w:ascii="Verdana" w:hAnsi="Verdana"/>
          <w:sz w:val="16"/>
          <w:szCs w:val="16"/>
        </w:rPr>
        <w:t>Declaración pericial rendida por José Mario Nájera Ochoa,</w:t>
      </w:r>
      <w:r w:rsidRPr="008840F4">
        <w:rPr>
          <w:rFonts w:ascii="Verdana" w:hAnsi="Verdana"/>
          <w:i/>
          <w:sz w:val="16"/>
          <w:szCs w:val="16"/>
        </w:rPr>
        <w:t xml:space="preserve"> supra</w:t>
      </w:r>
      <w:r>
        <w:rPr>
          <w:rFonts w:ascii="Verdana" w:hAnsi="Verdana"/>
          <w:sz w:val="16"/>
          <w:szCs w:val="16"/>
        </w:rPr>
        <w:t>.</w:t>
      </w:r>
    </w:p>
  </w:footnote>
  <w:footnote w:id="288">
    <w:p w:rsidR="0081535F" w:rsidRDefault="0081535F" w:rsidP="00422232">
      <w:pPr>
        <w:pStyle w:val="Textonotapie"/>
        <w:spacing w:line="19" w:lineRule="atLeast"/>
        <w:ind w:left="-180" w:right="-174"/>
        <w:jc w:val="both"/>
        <w:rPr>
          <w:rFonts w:ascii="Verdana" w:hAnsi="Verdana"/>
          <w:sz w:val="16"/>
          <w:szCs w:val="16"/>
          <w:lang w:val="es-CR"/>
        </w:rPr>
      </w:pPr>
      <w:r w:rsidRPr="00353432">
        <w:rPr>
          <w:rStyle w:val="Refdenotaalpie"/>
          <w:rFonts w:ascii="Verdana" w:hAnsi="Verdana"/>
          <w:sz w:val="16"/>
          <w:szCs w:val="16"/>
        </w:rPr>
        <w:footnoteRef/>
      </w:r>
      <w:r w:rsidRPr="00353432">
        <w:rPr>
          <w:rFonts w:ascii="Verdana" w:hAnsi="Verdana"/>
          <w:sz w:val="16"/>
          <w:szCs w:val="16"/>
          <w:lang w:val="es-CR"/>
        </w:rPr>
        <w:t xml:space="preserve"> El 27 de febrero de 2006 el Auxiliar Fiscal I </w:t>
      </w:r>
      <w:r>
        <w:rPr>
          <w:rFonts w:ascii="Verdana" w:hAnsi="Verdana"/>
          <w:sz w:val="16"/>
          <w:szCs w:val="16"/>
          <w:lang w:val="es-CR"/>
        </w:rPr>
        <w:t xml:space="preserve">de la Agencia No. 5 de Mixco </w:t>
      </w:r>
      <w:r w:rsidRPr="00353432">
        <w:rPr>
          <w:rFonts w:ascii="Verdana" w:hAnsi="Verdana"/>
          <w:sz w:val="16"/>
          <w:szCs w:val="16"/>
          <w:lang w:val="es-CR"/>
        </w:rPr>
        <w:t>dirigió un oficio al médico forense del Organismo Judicial, que practicó la autopsia, en el cual indicó que cuando se elaboró el acta de levantamiento “no se solicitó que a la occisa se le practicara el hisopado vaginal y anal ni el raspado de uñas”, y le preguntó que si lo realizan de oficio, a lo cual contestó negativamente, e indicó que no les fue requerido</w:t>
      </w:r>
      <w:r>
        <w:rPr>
          <w:rFonts w:ascii="Verdana" w:hAnsi="Verdana"/>
          <w:sz w:val="16"/>
          <w:szCs w:val="16"/>
          <w:lang w:val="es-CR"/>
        </w:rPr>
        <w:t xml:space="preserve">. </w:t>
      </w:r>
      <w:r w:rsidRPr="00507192">
        <w:rPr>
          <w:rFonts w:ascii="Verdana" w:hAnsi="Verdana"/>
          <w:i/>
          <w:sz w:val="16"/>
          <w:szCs w:val="16"/>
          <w:lang w:val="es-CR"/>
        </w:rPr>
        <w:t>Cfr.</w:t>
      </w:r>
      <w:r w:rsidRPr="00507192">
        <w:rPr>
          <w:rFonts w:ascii="Verdana" w:hAnsi="Verdana"/>
          <w:sz w:val="16"/>
          <w:szCs w:val="16"/>
          <w:lang w:val="es-CR"/>
        </w:rPr>
        <w:t xml:space="preserve"> Oficio </w:t>
      </w:r>
      <w:r>
        <w:rPr>
          <w:rFonts w:ascii="Verdana" w:hAnsi="Verdana"/>
          <w:sz w:val="16"/>
          <w:szCs w:val="16"/>
          <w:lang w:val="es-CR"/>
        </w:rPr>
        <w:t xml:space="preserve">emitido por la Auxiliar Fiscal I de la Agencia No. 5 de Mixco </w:t>
      </w:r>
      <w:r w:rsidRPr="00507192">
        <w:rPr>
          <w:rFonts w:ascii="Verdana" w:hAnsi="Verdana"/>
          <w:sz w:val="16"/>
          <w:szCs w:val="16"/>
          <w:lang w:val="es-CR"/>
        </w:rPr>
        <w:t>dirigido al Médico Forense</w:t>
      </w:r>
      <w:r>
        <w:rPr>
          <w:rFonts w:ascii="Verdana" w:hAnsi="Verdana"/>
          <w:sz w:val="16"/>
          <w:szCs w:val="16"/>
          <w:lang w:val="es-CR"/>
        </w:rPr>
        <w:t xml:space="preserve">, </w:t>
      </w:r>
      <w:r>
        <w:rPr>
          <w:rFonts w:ascii="Verdana" w:hAnsi="Verdana"/>
          <w:i/>
          <w:sz w:val="16"/>
          <w:szCs w:val="16"/>
          <w:lang w:val="es-CR"/>
        </w:rPr>
        <w:t>supra</w:t>
      </w:r>
      <w:r w:rsidRPr="00507192">
        <w:rPr>
          <w:rFonts w:ascii="Verdana" w:hAnsi="Verdana"/>
          <w:sz w:val="16"/>
          <w:szCs w:val="16"/>
          <w:lang w:val="es-CR"/>
        </w:rPr>
        <w:t>.</w:t>
      </w:r>
      <w:r w:rsidRPr="00353432">
        <w:rPr>
          <w:rFonts w:ascii="Verdana" w:hAnsi="Verdana"/>
          <w:sz w:val="16"/>
          <w:szCs w:val="16"/>
          <w:lang w:val="es-CR"/>
        </w:rPr>
        <w:t xml:space="preserve"> Además, el 2 de agosto de 2011 el Auxiliar Fiscal solicitó una interpretación de la necropsia realizada al médico forense que la firmó y el 4 de agosto de 2011, el mismo médico respondió “que no era posible pronunciarse sobre el momento y forma en que falleció la víctima a partir de los hallazgos de la necropsia” (</w:t>
      </w:r>
      <w:r w:rsidRPr="00353432">
        <w:rPr>
          <w:rFonts w:ascii="Verdana" w:hAnsi="Verdana"/>
          <w:i/>
          <w:sz w:val="16"/>
          <w:szCs w:val="16"/>
          <w:lang w:val="es-CR"/>
        </w:rPr>
        <w:t>supra</w:t>
      </w:r>
      <w:r w:rsidRPr="00353432">
        <w:rPr>
          <w:rFonts w:ascii="Verdana" w:hAnsi="Verdana"/>
          <w:sz w:val="16"/>
          <w:szCs w:val="16"/>
          <w:lang w:val="es-CR"/>
        </w:rPr>
        <w:t xml:space="preserve"> párr. </w:t>
      </w:r>
      <w:r>
        <w:rPr>
          <w:rFonts w:ascii="Verdana" w:hAnsi="Verdana"/>
          <w:sz w:val="16"/>
          <w:szCs w:val="16"/>
          <w:lang w:val="es-CR"/>
        </w:rPr>
        <w:t>111</w:t>
      </w:r>
      <w:r w:rsidRPr="00353432">
        <w:rPr>
          <w:rFonts w:ascii="Verdana" w:hAnsi="Verdana"/>
          <w:sz w:val="16"/>
          <w:szCs w:val="16"/>
          <w:lang w:val="es-CR"/>
        </w:rPr>
        <w:t>)</w:t>
      </w:r>
      <w:r>
        <w:rPr>
          <w:rFonts w:ascii="Verdana" w:hAnsi="Verdana"/>
          <w:sz w:val="16"/>
          <w:szCs w:val="16"/>
          <w:lang w:val="es-CR"/>
        </w:rPr>
        <w:t xml:space="preserve">. </w:t>
      </w:r>
      <w:r>
        <w:rPr>
          <w:rFonts w:ascii="Verdana" w:hAnsi="Verdana"/>
          <w:i/>
          <w:sz w:val="16"/>
          <w:szCs w:val="16"/>
          <w:lang w:val="es-CR"/>
        </w:rPr>
        <w:t xml:space="preserve">Cfr. </w:t>
      </w:r>
      <w:r w:rsidRPr="00353432">
        <w:rPr>
          <w:rFonts w:ascii="Verdana" w:hAnsi="Verdana"/>
          <w:sz w:val="16"/>
          <w:szCs w:val="16"/>
          <w:lang w:val="es-CR"/>
        </w:rPr>
        <w:t xml:space="preserve">Oficio de solicitud al Jefe del </w:t>
      </w:r>
      <w:r>
        <w:rPr>
          <w:rFonts w:ascii="Verdana" w:hAnsi="Verdana"/>
          <w:sz w:val="16"/>
          <w:szCs w:val="16"/>
          <w:lang w:val="es-CR"/>
        </w:rPr>
        <w:t xml:space="preserve">Instituto de Ciencias Forenses, </w:t>
      </w:r>
      <w:r>
        <w:rPr>
          <w:rFonts w:ascii="Verdana" w:hAnsi="Verdana"/>
          <w:i/>
          <w:sz w:val="16"/>
          <w:szCs w:val="16"/>
          <w:lang w:val="es-CR"/>
        </w:rPr>
        <w:t>supra</w:t>
      </w:r>
      <w:r>
        <w:rPr>
          <w:rFonts w:ascii="Verdana" w:hAnsi="Verdana"/>
          <w:sz w:val="16"/>
          <w:szCs w:val="16"/>
          <w:lang w:val="es-CR"/>
        </w:rPr>
        <w:t>, y</w:t>
      </w:r>
      <w:r w:rsidRPr="00353432">
        <w:rPr>
          <w:rFonts w:ascii="Verdana" w:hAnsi="Verdana"/>
          <w:sz w:val="16"/>
          <w:szCs w:val="16"/>
          <w:lang w:val="es-CR"/>
        </w:rPr>
        <w:t xml:space="preserve"> </w:t>
      </w:r>
      <w:r>
        <w:rPr>
          <w:rFonts w:ascii="Verdana" w:hAnsi="Verdana"/>
          <w:sz w:val="16"/>
          <w:szCs w:val="16"/>
          <w:lang w:val="es-CR"/>
        </w:rPr>
        <w:t>p</w:t>
      </w:r>
      <w:r w:rsidRPr="00353432">
        <w:rPr>
          <w:rFonts w:ascii="Verdana" w:hAnsi="Verdana"/>
          <w:sz w:val="16"/>
          <w:szCs w:val="16"/>
          <w:lang w:val="es-CR"/>
        </w:rPr>
        <w:t xml:space="preserve">eritaje rendido por el perito </w:t>
      </w:r>
      <w:r>
        <w:rPr>
          <w:rFonts w:ascii="Verdana" w:hAnsi="Verdana"/>
          <w:sz w:val="16"/>
          <w:szCs w:val="16"/>
          <w:lang w:val="es-CR"/>
        </w:rPr>
        <w:t xml:space="preserve">profesional de la medicina del Instituto de Ciencias Forenses, </w:t>
      </w:r>
      <w:r>
        <w:rPr>
          <w:rFonts w:ascii="Verdana" w:hAnsi="Verdana"/>
          <w:i/>
          <w:sz w:val="16"/>
          <w:szCs w:val="16"/>
          <w:lang w:val="es-CR"/>
        </w:rPr>
        <w:t>supra</w:t>
      </w:r>
      <w:r>
        <w:rPr>
          <w:rFonts w:ascii="Verdana" w:hAnsi="Verdana"/>
          <w:sz w:val="16"/>
          <w:szCs w:val="16"/>
          <w:lang w:val="es-CR"/>
        </w:rPr>
        <w:t>.</w:t>
      </w:r>
      <w:r w:rsidRPr="00353432">
        <w:rPr>
          <w:rFonts w:ascii="Verdana" w:eastAsia="Batang" w:hAnsi="Verdana"/>
          <w:spacing w:val="-2"/>
          <w:sz w:val="16"/>
          <w:szCs w:val="16"/>
          <w:lang w:val="es-CR"/>
        </w:rPr>
        <w:t xml:space="preserve"> </w:t>
      </w:r>
    </w:p>
  </w:footnote>
  <w:footnote w:id="289">
    <w:p w:rsidR="0081535F" w:rsidRPr="00353432" w:rsidRDefault="0081535F" w:rsidP="00422232">
      <w:pPr>
        <w:pStyle w:val="Textonotapie"/>
        <w:spacing w:line="19" w:lineRule="atLeast"/>
        <w:ind w:left="-180" w:right="-174"/>
        <w:jc w:val="both"/>
        <w:rPr>
          <w:rFonts w:ascii="Verdana" w:hAnsi="Verdana"/>
          <w:spacing w:val="-4"/>
          <w:sz w:val="16"/>
          <w:szCs w:val="16"/>
          <w:lang w:val="es-CR"/>
        </w:rPr>
      </w:pPr>
      <w:r w:rsidRPr="00353432">
        <w:rPr>
          <w:rStyle w:val="Refdenotaalpie"/>
          <w:rFonts w:ascii="Verdana" w:hAnsi="Verdana"/>
          <w:sz w:val="16"/>
          <w:szCs w:val="16"/>
        </w:rPr>
        <w:footnoteRef/>
      </w:r>
      <w:r>
        <w:rPr>
          <w:rFonts w:ascii="Verdana" w:eastAsia="Batang" w:hAnsi="Verdana"/>
          <w:spacing w:val="-2"/>
          <w:sz w:val="16"/>
          <w:szCs w:val="16"/>
        </w:rPr>
        <w:t xml:space="preserve"> </w:t>
      </w:r>
      <w:r w:rsidRPr="00353432">
        <w:rPr>
          <w:rFonts w:ascii="Verdana" w:eastAsia="Batang" w:hAnsi="Verdana"/>
          <w:spacing w:val="-2"/>
          <w:sz w:val="16"/>
          <w:szCs w:val="16"/>
        </w:rPr>
        <w:t>Lo mismo es cierto para los casos de violencia y violación sexual, en los cuales no necesariamente se verá reflejada la ocurrencia de los mismos en un examen médico, ya que no todos los casos de violación y/o violación sexual ocasionan lesiones físicas o enfermedades verificables a través de un examen médico</w:t>
      </w:r>
      <w:r>
        <w:rPr>
          <w:rFonts w:ascii="Verdana" w:eastAsia="Batang" w:hAnsi="Verdana"/>
          <w:spacing w:val="-2"/>
          <w:sz w:val="16"/>
          <w:szCs w:val="16"/>
        </w:rPr>
        <w:t xml:space="preserve">. </w:t>
      </w:r>
      <w:r>
        <w:rPr>
          <w:rFonts w:ascii="Verdana" w:eastAsia="Batang" w:hAnsi="Verdana"/>
          <w:i/>
          <w:spacing w:val="-2"/>
          <w:sz w:val="16"/>
          <w:szCs w:val="16"/>
        </w:rPr>
        <w:t xml:space="preserve">Cfr. </w:t>
      </w:r>
      <w:r w:rsidRPr="00697D37">
        <w:rPr>
          <w:rFonts w:ascii="Verdana" w:eastAsia="Batang" w:hAnsi="Verdana"/>
          <w:i/>
          <w:spacing w:val="-2"/>
          <w:sz w:val="16"/>
          <w:szCs w:val="16"/>
        </w:rPr>
        <w:t>Caso Fernández Ortega y otros</w:t>
      </w:r>
      <w:r>
        <w:rPr>
          <w:rFonts w:ascii="Verdana" w:eastAsia="Batang" w:hAnsi="Verdana"/>
          <w:i/>
          <w:spacing w:val="-2"/>
          <w:sz w:val="16"/>
          <w:szCs w:val="16"/>
        </w:rPr>
        <w:t>, supra</w:t>
      </w:r>
      <w:r w:rsidRPr="00353432">
        <w:rPr>
          <w:rFonts w:ascii="Verdana" w:hAnsi="Verdana"/>
          <w:spacing w:val="-4"/>
          <w:sz w:val="16"/>
          <w:szCs w:val="16"/>
          <w:lang w:val="es-VE"/>
        </w:rPr>
        <w:t xml:space="preserve">, párr. </w:t>
      </w:r>
      <w:r w:rsidRPr="00353432">
        <w:rPr>
          <w:rFonts w:ascii="Verdana" w:hAnsi="Verdana"/>
          <w:bCs/>
          <w:spacing w:val="-4"/>
          <w:sz w:val="16"/>
          <w:szCs w:val="16"/>
          <w:lang w:val="es-CR"/>
        </w:rPr>
        <w:t xml:space="preserve">124, </w:t>
      </w:r>
      <w:r w:rsidRPr="00353432">
        <w:rPr>
          <w:rFonts w:ascii="Verdana" w:hAnsi="Verdana"/>
          <w:spacing w:val="-4"/>
          <w:sz w:val="16"/>
          <w:szCs w:val="16"/>
          <w:lang w:val="es-ES"/>
        </w:rPr>
        <w:t>y</w:t>
      </w:r>
      <w:r>
        <w:rPr>
          <w:rFonts w:ascii="Verdana" w:hAnsi="Verdana"/>
          <w:spacing w:val="-4"/>
          <w:sz w:val="16"/>
          <w:szCs w:val="16"/>
          <w:lang w:val="es-ES"/>
        </w:rPr>
        <w:t xml:space="preserve"> </w:t>
      </w:r>
      <w:r w:rsidRPr="003622B1">
        <w:rPr>
          <w:rFonts w:ascii="Verdana" w:hAnsi="Verdana"/>
          <w:i/>
          <w:spacing w:val="-4"/>
          <w:sz w:val="16"/>
          <w:szCs w:val="16"/>
          <w:lang w:val="es-ES"/>
        </w:rPr>
        <w:t>Caso J.</w:t>
      </w:r>
      <w:r>
        <w:rPr>
          <w:rFonts w:ascii="Verdana" w:hAnsi="Verdana"/>
          <w:i/>
          <w:spacing w:val="-4"/>
          <w:sz w:val="16"/>
          <w:szCs w:val="16"/>
          <w:lang w:val="es-ES"/>
        </w:rPr>
        <w:t>, supra</w:t>
      </w:r>
      <w:r>
        <w:rPr>
          <w:rFonts w:ascii="Verdana" w:hAnsi="Verdana"/>
          <w:spacing w:val="-4"/>
          <w:sz w:val="16"/>
          <w:szCs w:val="16"/>
          <w:lang w:val="es-ES"/>
        </w:rPr>
        <w:t>, párr. 329</w:t>
      </w:r>
      <w:r w:rsidRPr="00353432">
        <w:rPr>
          <w:rFonts w:ascii="Verdana" w:hAnsi="Verdana"/>
          <w:spacing w:val="-4"/>
          <w:sz w:val="16"/>
          <w:szCs w:val="16"/>
          <w:lang w:val="es-ES"/>
        </w:rPr>
        <w:t xml:space="preserve">. </w:t>
      </w:r>
      <w:r w:rsidRPr="00353432">
        <w:rPr>
          <w:rFonts w:ascii="Verdana" w:hAnsi="Verdana"/>
          <w:i/>
          <w:spacing w:val="-4"/>
          <w:sz w:val="16"/>
          <w:szCs w:val="16"/>
          <w:lang w:val="es-ES"/>
        </w:rPr>
        <w:t xml:space="preserve">Véase también, </w:t>
      </w:r>
      <w:r w:rsidRPr="00353432">
        <w:rPr>
          <w:rFonts w:ascii="Verdana" w:hAnsi="Verdana"/>
          <w:spacing w:val="-4"/>
          <w:sz w:val="16"/>
          <w:szCs w:val="16"/>
          <w:lang w:val="es-CR"/>
        </w:rPr>
        <w:t xml:space="preserve">TEDH, </w:t>
      </w:r>
      <w:r w:rsidRPr="00353432">
        <w:rPr>
          <w:rFonts w:ascii="Verdana" w:hAnsi="Verdana"/>
          <w:i/>
          <w:spacing w:val="-4"/>
          <w:sz w:val="16"/>
          <w:szCs w:val="16"/>
          <w:lang w:val="es-CR"/>
        </w:rPr>
        <w:t>M.C. Vs. Bulgaria,</w:t>
      </w:r>
      <w:r w:rsidRPr="00353432">
        <w:rPr>
          <w:rFonts w:ascii="Verdana" w:hAnsi="Verdana"/>
          <w:spacing w:val="-4"/>
          <w:sz w:val="16"/>
          <w:szCs w:val="16"/>
          <w:lang w:val="es-CR"/>
        </w:rPr>
        <w:t xml:space="preserve"> no. 39272/98, 4 de diciembre de 2003, párr. 166.</w:t>
      </w:r>
    </w:p>
  </w:footnote>
  <w:footnote w:id="290">
    <w:p w:rsidR="0081535F" w:rsidRPr="00492642" w:rsidRDefault="0081535F" w:rsidP="00D36B0B">
      <w:pPr>
        <w:pStyle w:val="Textonotapie"/>
        <w:ind w:left="-180"/>
        <w:jc w:val="both"/>
        <w:rPr>
          <w:rFonts w:ascii="Verdana" w:hAnsi="Verdana"/>
          <w:sz w:val="16"/>
          <w:szCs w:val="16"/>
        </w:rPr>
      </w:pPr>
      <w:r w:rsidRPr="00492642">
        <w:rPr>
          <w:rStyle w:val="Refdenotaalpie"/>
          <w:rFonts w:ascii="Verdana" w:hAnsi="Verdana"/>
          <w:sz w:val="16"/>
          <w:szCs w:val="16"/>
        </w:rPr>
        <w:footnoteRef/>
      </w:r>
      <w:r w:rsidRPr="00492642">
        <w:rPr>
          <w:rFonts w:ascii="Verdana" w:hAnsi="Verdana"/>
          <w:sz w:val="16"/>
          <w:szCs w:val="16"/>
        </w:rPr>
        <w:t xml:space="preserve"> </w:t>
      </w:r>
      <w:r>
        <w:rPr>
          <w:rFonts w:ascii="Verdana" w:hAnsi="Verdana"/>
          <w:i/>
          <w:sz w:val="16"/>
          <w:szCs w:val="16"/>
        </w:rPr>
        <w:t xml:space="preserve">Cfr. </w:t>
      </w:r>
      <w:r>
        <w:rPr>
          <w:rFonts w:ascii="Verdana" w:hAnsi="Verdana"/>
          <w:sz w:val="16"/>
          <w:szCs w:val="16"/>
          <w:lang w:val="es-CR"/>
        </w:rPr>
        <w:t>Ampliación y conclusión de informe</w:t>
      </w:r>
      <w:r w:rsidRPr="00507192">
        <w:rPr>
          <w:rFonts w:ascii="Verdana" w:hAnsi="Verdana"/>
          <w:sz w:val="16"/>
          <w:szCs w:val="16"/>
          <w:lang w:val="es-CR"/>
        </w:rPr>
        <w:t xml:space="preserve"> rendid</w:t>
      </w:r>
      <w:r>
        <w:rPr>
          <w:rFonts w:ascii="Verdana" w:hAnsi="Verdana"/>
          <w:sz w:val="16"/>
          <w:szCs w:val="16"/>
          <w:lang w:val="es-CR"/>
        </w:rPr>
        <w:t>a</w:t>
      </w:r>
      <w:r w:rsidRPr="00507192">
        <w:rPr>
          <w:rFonts w:ascii="Verdana" w:hAnsi="Verdana"/>
          <w:sz w:val="16"/>
          <w:szCs w:val="16"/>
          <w:lang w:val="es-CR"/>
        </w:rPr>
        <w:t xml:space="preserve"> </w:t>
      </w:r>
      <w:r>
        <w:rPr>
          <w:rFonts w:ascii="Verdana" w:hAnsi="Verdana"/>
          <w:sz w:val="16"/>
          <w:szCs w:val="16"/>
          <w:lang w:val="es-CR"/>
        </w:rPr>
        <w:t>por el Técnico en Investigaciones Criminalísticas I,</w:t>
      </w:r>
      <w:r w:rsidRPr="00D36B0B">
        <w:rPr>
          <w:rFonts w:ascii="Verdana" w:hAnsi="Verdana"/>
          <w:i/>
          <w:sz w:val="16"/>
          <w:szCs w:val="16"/>
          <w:lang w:val="es-CR"/>
        </w:rPr>
        <w:t xml:space="preserve"> supra</w:t>
      </w:r>
      <w:r>
        <w:rPr>
          <w:rFonts w:ascii="Verdana" w:hAnsi="Verdana"/>
          <w:i/>
          <w:sz w:val="16"/>
          <w:szCs w:val="16"/>
          <w:lang w:val="es-CR"/>
        </w:rPr>
        <w:t>.</w:t>
      </w:r>
    </w:p>
  </w:footnote>
  <w:footnote w:id="291">
    <w:p w:rsidR="0081535F" w:rsidRPr="00F76346" w:rsidRDefault="0081535F" w:rsidP="00422232">
      <w:pPr>
        <w:pStyle w:val="Textonotapie"/>
        <w:spacing w:line="19" w:lineRule="atLeast"/>
        <w:ind w:left="-180" w:right="-174"/>
        <w:jc w:val="both"/>
        <w:rPr>
          <w:rFonts w:ascii="Verdana" w:hAnsi="Verdana"/>
          <w:sz w:val="16"/>
          <w:szCs w:val="16"/>
        </w:rPr>
      </w:pPr>
      <w:r w:rsidRPr="00353432">
        <w:rPr>
          <w:rStyle w:val="Refdenotaalpie"/>
          <w:rFonts w:ascii="Verdana" w:hAnsi="Verdana"/>
          <w:sz w:val="16"/>
          <w:szCs w:val="16"/>
        </w:rPr>
        <w:footnoteRef/>
      </w:r>
      <w:r w:rsidRPr="00353432">
        <w:rPr>
          <w:rFonts w:ascii="Verdana" w:hAnsi="Verdana"/>
          <w:sz w:val="16"/>
          <w:szCs w:val="16"/>
        </w:rPr>
        <w:t xml:space="preserve"> </w:t>
      </w:r>
      <w:r w:rsidRPr="00A502F4">
        <w:rPr>
          <w:rFonts w:ascii="Verdana" w:hAnsi="Verdana"/>
          <w:sz w:val="16"/>
          <w:szCs w:val="16"/>
        </w:rPr>
        <w:t xml:space="preserve">En relación con las diligencias efectuadas en el presente caso, el perito José Mario Nájera Ochoa en señaló que “durante el levantamiento del cadáver no estaba presente un [m]édico [f]orense, por el área en que ocurrió y en la fecha, no estaba asignado uno a la Fiscalía”. Cabe agregar que en su informe pericial manifestó que si no asiste un médico forense al levantamiento de cadáveres “cuando se efectúa la necropsia médico legal, el [m]édico [f]orense no cuenta con datos importantes, como por ejemplo: posición original del cuerpo, fenómenos cadavéricos presentes, indicios y/o evidencias presentes, cantidad de sangre, datos que deben concatenarse para el dictamen final”. Opinó que “una de las principales limitaciones, que […] se presentan es que en el grupo que efectúa las diligencias de levantamiento de cadáveres no está incluido un médico forense”. </w:t>
      </w:r>
      <w:r w:rsidRPr="00A502F4">
        <w:rPr>
          <w:rFonts w:ascii="Verdana" w:eastAsia="Times New Roman" w:hAnsi="Verdana" w:cs="Arial"/>
          <w:i/>
          <w:sz w:val="16"/>
          <w:szCs w:val="16"/>
          <w:lang w:val="es-MX"/>
        </w:rPr>
        <w:t>Cfr.</w:t>
      </w:r>
      <w:r w:rsidRPr="00A502F4">
        <w:rPr>
          <w:rFonts w:ascii="Verdana" w:eastAsia="Times New Roman" w:hAnsi="Verdana" w:cs="Arial"/>
          <w:sz w:val="16"/>
          <w:szCs w:val="16"/>
          <w:lang w:val="es-MX"/>
        </w:rPr>
        <w:t xml:space="preserve"> </w:t>
      </w:r>
      <w:r w:rsidRPr="00A502F4">
        <w:rPr>
          <w:rFonts w:ascii="Verdana" w:hAnsi="Verdana"/>
          <w:sz w:val="16"/>
          <w:szCs w:val="16"/>
        </w:rPr>
        <w:t xml:space="preserve">Declaración pericial rendida por José Mario Nájera Ochoa, </w:t>
      </w:r>
      <w:r w:rsidRPr="00A502F4">
        <w:rPr>
          <w:rFonts w:ascii="Verdana" w:hAnsi="Verdana"/>
          <w:i/>
          <w:sz w:val="16"/>
          <w:szCs w:val="16"/>
        </w:rPr>
        <w:t>supra</w:t>
      </w:r>
      <w:r w:rsidRPr="00A502F4">
        <w:rPr>
          <w:rFonts w:ascii="Verdana" w:hAnsi="Verdana"/>
          <w:sz w:val="16"/>
          <w:szCs w:val="16"/>
        </w:rPr>
        <w:t xml:space="preserve">. En ese mismo sentido, el Estado reconoció que efectivamente en la época de los hechos no existía médico forense en la fiscalía municipal de Mixco, por eso “[a] falta de un forense en la escena del crimen (por razones de presupuesto)”, el Estado “en la medida de sus posibilidades y de conformidad con los procedimientos vigentes al momento de </w:t>
      </w:r>
      <w:r w:rsidRPr="00F76346">
        <w:rPr>
          <w:rFonts w:ascii="Verdana" w:hAnsi="Verdana"/>
          <w:sz w:val="16"/>
          <w:szCs w:val="16"/>
        </w:rPr>
        <w:t xml:space="preserve">los hechos, hizo todo lo posible relativo al levantamiento del cadáver”. </w:t>
      </w:r>
    </w:p>
  </w:footnote>
  <w:footnote w:id="292">
    <w:p w:rsidR="0081535F" w:rsidRPr="00856A1B" w:rsidRDefault="0081535F" w:rsidP="00422232">
      <w:pPr>
        <w:pStyle w:val="Textonotapie"/>
        <w:spacing w:line="19" w:lineRule="atLeast"/>
        <w:ind w:left="-180" w:right="-174"/>
        <w:jc w:val="both"/>
        <w:rPr>
          <w:rFonts w:ascii="Verdana" w:hAnsi="Verdana"/>
          <w:sz w:val="16"/>
          <w:szCs w:val="16"/>
          <w:lang w:val="es-CR"/>
        </w:rPr>
      </w:pPr>
      <w:r w:rsidRPr="00F76346">
        <w:rPr>
          <w:rStyle w:val="Refdenotaalpie"/>
          <w:rFonts w:ascii="Verdana" w:hAnsi="Verdana"/>
          <w:sz w:val="16"/>
          <w:szCs w:val="16"/>
        </w:rPr>
        <w:footnoteRef/>
      </w:r>
      <w:r w:rsidRPr="00F76346">
        <w:rPr>
          <w:rFonts w:ascii="Verdana" w:hAnsi="Verdana"/>
          <w:sz w:val="16"/>
          <w:szCs w:val="16"/>
        </w:rPr>
        <w:t xml:space="preserve"> Por ejemplo, en el acta de levantamiento del cadáver de 18 de diciembre de 2001 elaborada por la Auxiliar Fiscal I de la Agencia No. 5 de Mixco se limita a hacer una descripción de las condiciones físicas de cómo se </w:t>
      </w:r>
      <w:r>
        <w:rPr>
          <w:rFonts w:ascii="Verdana" w:hAnsi="Verdana"/>
          <w:sz w:val="16"/>
          <w:szCs w:val="16"/>
        </w:rPr>
        <w:t>encontraba el cuerpo de la niña</w:t>
      </w:r>
      <w:r w:rsidRPr="00F76346">
        <w:rPr>
          <w:rFonts w:ascii="Verdana" w:hAnsi="Verdana"/>
          <w:sz w:val="16"/>
          <w:szCs w:val="16"/>
        </w:rPr>
        <w:t>, la ropa que llevaba y diversos objetos que se encontraban en los bolsillos del vestuario (</w:t>
      </w:r>
      <w:r w:rsidRPr="00F76346">
        <w:rPr>
          <w:rFonts w:ascii="Verdana" w:hAnsi="Verdana"/>
          <w:i/>
          <w:sz w:val="16"/>
          <w:szCs w:val="16"/>
        </w:rPr>
        <w:t>supra</w:t>
      </w:r>
      <w:r w:rsidRPr="00F76346">
        <w:rPr>
          <w:rFonts w:ascii="Verdana" w:hAnsi="Verdana"/>
          <w:sz w:val="16"/>
          <w:szCs w:val="16"/>
        </w:rPr>
        <w:t xml:space="preserve"> párr.  99). En el informe de inspección ocular no dice nada sobre la posición del cadáver, pero la Auxiliar Fiscal en el acta describió que el cadáver estaba en posición “de cúbico ventral” y con la “cara hacia abajo”, mientras que en las fotografías respectivas el cuerpo aparece sobre la espalda (</w:t>
      </w:r>
      <w:r w:rsidRPr="00F76346">
        <w:rPr>
          <w:rFonts w:ascii="Verdana" w:hAnsi="Verdana"/>
          <w:i/>
          <w:sz w:val="16"/>
          <w:szCs w:val="16"/>
        </w:rPr>
        <w:t>supra</w:t>
      </w:r>
      <w:r w:rsidRPr="00F76346">
        <w:rPr>
          <w:rFonts w:ascii="Verdana" w:hAnsi="Verdana"/>
          <w:sz w:val="16"/>
          <w:szCs w:val="16"/>
        </w:rPr>
        <w:t xml:space="preserve"> párr. 113). Además el técnico describe la cuerda nylon de colores “blanco, negro, café y verde”, pero la Auxiliar fiscal la describe de color “negra” (</w:t>
      </w:r>
      <w:r w:rsidRPr="00F76346">
        <w:rPr>
          <w:rFonts w:ascii="Verdana" w:hAnsi="Verdana"/>
          <w:i/>
          <w:sz w:val="16"/>
          <w:szCs w:val="16"/>
        </w:rPr>
        <w:t>supra</w:t>
      </w:r>
      <w:r w:rsidRPr="00F76346">
        <w:rPr>
          <w:rFonts w:ascii="Verdana" w:hAnsi="Verdana"/>
          <w:sz w:val="16"/>
          <w:szCs w:val="16"/>
        </w:rPr>
        <w:t xml:space="preserve"> párr. 99).  Además, la Auxiliar Fiscal describe que “una cortada en la parte superior del pabellón de la oreja posiblemente provocada con arma blanca[,..] mordí[s]cos en las extremidades superiores”, y “abundantes residuos de alimentos en la boca y nariz”, aspectos que no fueron descritos por el técnico que realizó la inspección ocular. Lo mismo sucede en relación “con la bolsa de nylon grande color negro con dibujos de un canguro”; el técnico en el informe de la Inspección Ocular señala que “observó </w:t>
      </w:r>
      <w:r w:rsidRPr="00F76346">
        <w:rPr>
          <w:rFonts w:ascii="Verdana" w:hAnsi="Verdana"/>
          <w:sz w:val="16"/>
          <w:szCs w:val="16"/>
          <w:lang w:val="es-CR"/>
        </w:rPr>
        <w:t>a 25 centímetros de la cabeza de la occisa al [S]ur–[p]oniente, una bolsa de nylon grande color negro con dibujos de un canguro blanco</w:t>
      </w:r>
      <w:r w:rsidRPr="00F76346">
        <w:rPr>
          <w:rFonts w:ascii="Verdana" w:hAnsi="Verdana"/>
          <w:sz w:val="16"/>
          <w:szCs w:val="16"/>
        </w:rPr>
        <w:t xml:space="preserve">”, y en el mismo indica que la Auxiliar fiscal dijo que “la tenía puesta […] en el rostro de la occisa”. No obstante, este Tribunal hace notar que lo anterior no fue mencionado por la Auxiliar fiscal en el acta de levantamiento del cadáver. Por otra parte, </w:t>
      </w:r>
      <w:r w:rsidRPr="00F76346">
        <w:rPr>
          <w:rFonts w:ascii="Verdana" w:hAnsi="Verdana"/>
          <w:sz w:val="16"/>
          <w:szCs w:val="16"/>
          <w:lang w:val="es-CR"/>
        </w:rPr>
        <w:t xml:space="preserve">en la inspección ocular se indicó que se realizaron las tomas fotográficas y se elaboró un croquis del lugar. Dichas tomas fotográficas constan en el reporte fotográfico número 1791-2001 de la PNC, el cual contenía 8 fotografías y consta de 4 páginas, que fue remitido por el Servicio de Inspecciones Oculares del Servicio de Investigación Criminal de la PNC el 3 de marzo de 2002. Sin embargo, con dicho reporte fotográfico no se acompañó el croquis </w:t>
      </w:r>
      <w:r>
        <w:rPr>
          <w:rFonts w:ascii="Verdana" w:hAnsi="Verdana"/>
          <w:sz w:val="16"/>
          <w:szCs w:val="16"/>
          <w:lang w:val="es-CR"/>
        </w:rPr>
        <w:t xml:space="preserve">mencionado </w:t>
      </w:r>
      <w:r w:rsidRPr="00F76346">
        <w:rPr>
          <w:rFonts w:ascii="Verdana" w:hAnsi="Verdana"/>
          <w:sz w:val="16"/>
          <w:szCs w:val="16"/>
          <w:lang w:val="es-CR"/>
        </w:rPr>
        <w:t xml:space="preserve">en la inspección ocular del cadáver emitido por el técnico, de acuerdo a los expedientes aportados por las partes. </w:t>
      </w:r>
      <w:r w:rsidRPr="00F76346">
        <w:rPr>
          <w:rFonts w:ascii="Verdana" w:hAnsi="Verdana"/>
          <w:i/>
          <w:sz w:val="16"/>
          <w:szCs w:val="16"/>
          <w:lang w:val="es-CR"/>
        </w:rPr>
        <w:t>Cfr.</w:t>
      </w:r>
      <w:r w:rsidRPr="00F76346">
        <w:rPr>
          <w:rFonts w:ascii="Verdana" w:hAnsi="Verdana"/>
          <w:sz w:val="16"/>
          <w:szCs w:val="16"/>
          <w:lang w:val="es-CR"/>
        </w:rPr>
        <w:t xml:space="preserve"> Inspección ocular emitida por técnico de la Sección de Inspecciones Oculares del Servicio de Investigación Criminal de la Policía Nacional Civil, </w:t>
      </w:r>
      <w:r w:rsidRPr="00F76346">
        <w:rPr>
          <w:rFonts w:ascii="Verdana" w:hAnsi="Verdana"/>
          <w:i/>
          <w:sz w:val="16"/>
          <w:szCs w:val="16"/>
          <w:lang w:val="es-CR"/>
        </w:rPr>
        <w:t xml:space="preserve">supra; </w:t>
      </w:r>
      <w:r w:rsidRPr="00F76346">
        <w:rPr>
          <w:rFonts w:ascii="Verdana" w:hAnsi="Verdana"/>
          <w:sz w:val="16"/>
          <w:szCs w:val="16"/>
          <w:lang w:val="es-CR"/>
        </w:rPr>
        <w:t xml:space="preserve">Acta de levantamiento de cadáver por la Auxiliar Fiscal I de la Agencia No. 5 de Mixco, </w:t>
      </w:r>
      <w:r w:rsidRPr="00F76346">
        <w:rPr>
          <w:rFonts w:ascii="Verdana" w:hAnsi="Verdana"/>
          <w:i/>
          <w:sz w:val="16"/>
          <w:szCs w:val="16"/>
          <w:lang w:val="es-CR"/>
        </w:rPr>
        <w:t xml:space="preserve">supra, </w:t>
      </w:r>
      <w:r w:rsidRPr="00F76346">
        <w:rPr>
          <w:rFonts w:ascii="Verdana" w:hAnsi="Verdana"/>
          <w:sz w:val="16"/>
          <w:szCs w:val="16"/>
          <w:lang w:val="es-CR"/>
        </w:rPr>
        <w:t xml:space="preserve">y Reportaje fotográfico No. 4791-2001, </w:t>
      </w:r>
      <w:r w:rsidRPr="00F76346">
        <w:rPr>
          <w:rFonts w:ascii="Verdana" w:hAnsi="Verdana"/>
          <w:i/>
          <w:sz w:val="16"/>
          <w:szCs w:val="16"/>
          <w:lang w:val="es-CR"/>
        </w:rPr>
        <w:t>supra.</w:t>
      </w:r>
    </w:p>
  </w:footnote>
  <w:footnote w:id="293">
    <w:p w:rsidR="0081535F" w:rsidRPr="00856A1B" w:rsidRDefault="0081535F" w:rsidP="00422232">
      <w:pPr>
        <w:pStyle w:val="Textonotapie"/>
        <w:spacing w:line="19" w:lineRule="atLeast"/>
        <w:ind w:left="-180" w:right="-174"/>
        <w:jc w:val="both"/>
        <w:rPr>
          <w:rFonts w:ascii="Verdana" w:hAnsi="Verdana"/>
          <w:sz w:val="16"/>
          <w:szCs w:val="16"/>
          <w:lang w:val="es-CR"/>
        </w:rPr>
      </w:pPr>
      <w:r w:rsidRPr="00856A1B">
        <w:rPr>
          <w:rStyle w:val="Refdenotaalpie"/>
          <w:rFonts w:ascii="Verdana" w:hAnsi="Verdana"/>
          <w:sz w:val="16"/>
          <w:szCs w:val="16"/>
        </w:rPr>
        <w:footnoteRef/>
      </w:r>
      <w:r w:rsidRPr="00856A1B">
        <w:rPr>
          <w:rFonts w:ascii="Verdana" w:hAnsi="Verdana"/>
          <w:sz w:val="16"/>
          <w:szCs w:val="16"/>
        </w:rPr>
        <w:t xml:space="preserve"> </w:t>
      </w:r>
      <w:r w:rsidRPr="00856A1B">
        <w:rPr>
          <w:rFonts w:ascii="Verdana" w:hAnsi="Verdana"/>
          <w:sz w:val="16"/>
          <w:szCs w:val="16"/>
          <w:lang w:val="es-CR"/>
        </w:rPr>
        <w:t>Declaración de un agente de la Policía Nacional Civil de 21 de julio de 2009 (expediente de anexos al escrito de solicitudes y argumentos, anexo 112, fs. 12</w:t>
      </w:r>
      <w:r>
        <w:rPr>
          <w:rFonts w:ascii="Verdana" w:hAnsi="Verdana"/>
          <w:sz w:val="16"/>
          <w:szCs w:val="16"/>
          <w:lang w:val="es-CR"/>
        </w:rPr>
        <w:t>,</w:t>
      </w:r>
      <w:r w:rsidRPr="00856A1B">
        <w:rPr>
          <w:rFonts w:ascii="Verdana" w:hAnsi="Verdana"/>
          <w:sz w:val="16"/>
          <w:szCs w:val="16"/>
          <w:lang w:val="es-CR"/>
        </w:rPr>
        <w:t>641 y 12</w:t>
      </w:r>
      <w:r>
        <w:rPr>
          <w:rFonts w:ascii="Verdana" w:hAnsi="Verdana"/>
          <w:sz w:val="16"/>
          <w:szCs w:val="16"/>
          <w:lang w:val="es-CR"/>
        </w:rPr>
        <w:t>,</w:t>
      </w:r>
      <w:r w:rsidRPr="00856A1B">
        <w:rPr>
          <w:rFonts w:ascii="Verdana" w:hAnsi="Verdana"/>
          <w:sz w:val="16"/>
          <w:szCs w:val="16"/>
          <w:lang w:val="es-CR"/>
        </w:rPr>
        <w:t>642).</w:t>
      </w:r>
    </w:p>
  </w:footnote>
  <w:footnote w:id="294">
    <w:p w:rsidR="0081535F" w:rsidRPr="00353432" w:rsidRDefault="0081535F" w:rsidP="00422232">
      <w:pPr>
        <w:pStyle w:val="Textonotapie"/>
        <w:spacing w:line="19" w:lineRule="atLeast"/>
        <w:ind w:left="-180" w:right="-174"/>
        <w:jc w:val="both"/>
        <w:rPr>
          <w:rFonts w:ascii="Verdana" w:hAnsi="Verdana"/>
          <w:sz w:val="16"/>
          <w:szCs w:val="16"/>
          <w:lang w:val="es-CR"/>
        </w:rPr>
      </w:pPr>
      <w:r w:rsidRPr="00856A1B">
        <w:rPr>
          <w:rStyle w:val="Refdenotaalpie"/>
          <w:rFonts w:ascii="Verdana" w:hAnsi="Verdana"/>
          <w:sz w:val="16"/>
          <w:szCs w:val="16"/>
        </w:rPr>
        <w:footnoteRef/>
      </w:r>
      <w:r w:rsidRPr="00856A1B">
        <w:rPr>
          <w:rFonts w:ascii="Verdana" w:hAnsi="Verdana"/>
          <w:sz w:val="16"/>
          <w:szCs w:val="16"/>
          <w:lang w:val="es-CR"/>
        </w:rPr>
        <w:t xml:space="preserve"> </w:t>
      </w:r>
      <w:r w:rsidRPr="00856A1B">
        <w:rPr>
          <w:rFonts w:ascii="Verdana" w:hAnsi="Verdana"/>
          <w:i/>
          <w:sz w:val="16"/>
          <w:szCs w:val="16"/>
          <w:lang w:val="es-CR"/>
        </w:rPr>
        <w:t>Cfr.</w:t>
      </w:r>
      <w:r w:rsidRPr="00856A1B">
        <w:rPr>
          <w:rFonts w:ascii="Verdana" w:hAnsi="Verdana"/>
          <w:sz w:val="16"/>
          <w:szCs w:val="16"/>
          <w:lang w:val="es-CR"/>
        </w:rPr>
        <w:t xml:space="preserve"> </w:t>
      </w:r>
      <w:r w:rsidRPr="00856A1B">
        <w:rPr>
          <w:rFonts w:ascii="Verdana" w:hAnsi="Verdana"/>
          <w:sz w:val="16"/>
          <w:szCs w:val="16"/>
          <w:lang w:val="es-CL"/>
        </w:rPr>
        <w:t>Oficio emitido por el Auxiliar Fiscal de la Agencia No. 1  de la Fiscalía Municipal de Mixco dirigido</w:t>
      </w:r>
      <w:r>
        <w:rPr>
          <w:rFonts w:ascii="Verdana" w:hAnsi="Verdana"/>
          <w:sz w:val="16"/>
          <w:szCs w:val="16"/>
          <w:lang w:val="es-CL"/>
        </w:rPr>
        <w:t xml:space="preserve"> al Jefe de Bomberos Municipales de ciudad capital, </w:t>
      </w:r>
      <w:r>
        <w:rPr>
          <w:rFonts w:ascii="Verdana" w:hAnsi="Verdana"/>
          <w:i/>
          <w:sz w:val="16"/>
          <w:szCs w:val="16"/>
          <w:lang w:val="es-CL"/>
        </w:rPr>
        <w:t>supra</w:t>
      </w:r>
      <w:r>
        <w:rPr>
          <w:rFonts w:ascii="Verdana" w:hAnsi="Verdana"/>
          <w:sz w:val="16"/>
          <w:szCs w:val="16"/>
          <w:lang w:val="es-CL"/>
        </w:rPr>
        <w:t>.</w:t>
      </w:r>
    </w:p>
  </w:footnote>
  <w:footnote w:id="295">
    <w:p w:rsidR="0081535F" w:rsidRPr="00353432" w:rsidRDefault="0081535F" w:rsidP="00422232">
      <w:pPr>
        <w:pStyle w:val="Textonotapie"/>
        <w:spacing w:line="19" w:lineRule="atLeast"/>
        <w:ind w:left="-180" w:right="-174"/>
        <w:jc w:val="both"/>
        <w:rPr>
          <w:rFonts w:ascii="Verdana" w:hAnsi="Verdana"/>
          <w:sz w:val="16"/>
          <w:szCs w:val="16"/>
          <w:lang w:val="es-CR"/>
        </w:rPr>
      </w:pPr>
      <w:r w:rsidRPr="00353432">
        <w:rPr>
          <w:rStyle w:val="Refdenotaalpie"/>
          <w:rFonts w:ascii="Verdana" w:hAnsi="Verdana"/>
          <w:sz w:val="16"/>
          <w:szCs w:val="16"/>
        </w:rPr>
        <w:footnoteRef/>
      </w:r>
      <w:r w:rsidRPr="00353432">
        <w:rPr>
          <w:rFonts w:ascii="Verdana" w:hAnsi="Verdana"/>
          <w:sz w:val="16"/>
          <w:szCs w:val="16"/>
          <w:lang w:val="es-CR"/>
        </w:rPr>
        <w:t xml:space="preserve"> </w:t>
      </w:r>
      <w:r w:rsidRPr="00353432">
        <w:rPr>
          <w:rFonts w:ascii="Verdana" w:hAnsi="Verdana"/>
          <w:i/>
          <w:sz w:val="16"/>
          <w:szCs w:val="16"/>
          <w:lang w:val="es-CR"/>
        </w:rPr>
        <w:t>Cfr.</w:t>
      </w:r>
      <w:r w:rsidRPr="00353432">
        <w:rPr>
          <w:rFonts w:ascii="Verdana" w:hAnsi="Verdana"/>
          <w:sz w:val="16"/>
          <w:szCs w:val="16"/>
          <w:lang w:val="es-CR"/>
        </w:rPr>
        <w:t xml:space="preserve"> Informe del Cuerpo de Bomberos, de 27 de julio de 2009 (</w:t>
      </w:r>
      <w:r>
        <w:rPr>
          <w:rFonts w:ascii="Verdana" w:hAnsi="Verdana"/>
          <w:sz w:val="16"/>
          <w:szCs w:val="16"/>
          <w:lang w:val="es-CR"/>
        </w:rPr>
        <w:t>e</w:t>
      </w:r>
      <w:r w:rsidRPr="00353432">
        <w:rPr>
          <w:rFonts w:ascii="Verdana" w:hAnsi="Verdana"/>
          <w:sz w:val="16"/>
          <w:szCs w:val="16"/>
          <w:lang w:val="es-CR"/>
        </w:rPr>
        <w:t>xpediente de anexos al escrito</w:t>
      </w:r>
      <w:r>
        <w:rPr>
          <w:rFonts w:ascii="Verdana" w:hAnsi="Verdana"/>
          <w:sz w:val="16"/>
          <w:szCs w:val="16"/>
          <w:lang w:val="es-CR"/>
        </w:rPr>
        <w:t xml:space="preserve"> de solicitudes y argumentos,  a</w:t>
      </w:r>
      <w:r w:rsidRPr="00353432">
        <w:rPr>
          <w:rFonts w:ascii="Verdana" w:hAnsi="Verdana"/>
          <w:sz w:val="16"/>
          <w:szCs w:val="16"/>
          <w:lang w:val="es-CR"/>
        </w:rPr>
        <w:t>nexo 114, f. 12</w:t>
      </w:r>
      <w:r>
        <w:rPr>
          <w:rFonts w:ascii="Verdana" w:hAnsi="Verdana"/>
          <w:sz w:val="16"/>
          <w:szCs w:val="16"/>
          <w:lang w:val="es-CR"/>
        </w:rPr>
        <w:t>,</w:t>
      </w:r>
      <w:r w:rsidRPr="00353432">
        <w:rPr>
          <w:rFonts w:ascii="Verdana" w:hAnsi="Verdana"/>
          <w:sz w:val="16"/>
          <w:szCs w:val="16"/>
          <w:lang w:val="es-CR"/>
        </w:rPr>
        <w:t>646).</w:t>
      </w:r>
    </w:p>
  </w:footnote>
  <w:footnote w:id="296">
    <w:p w:rsidR="0081535F" w:rsidRDefault="0081535F" w:rsidP="00422232">
      <w:pPr>
        <w:pStyle w:val="Textonotapie"/>
        <w:ind w:left="-180" w:right="-174"/>
        <w:jc w:val="both"/>
        <w:rPr>
          <w:rFonts w:ascii="Verdana" w:hAnsi="Verdana"/>
          <w:sz w:val="16"/>
          <w:szCs w:val="16"/>
        </w:rPr>
      </w:pPr>
      <w:r w:rsidRPr="003622B1">
        <w:rPr>
          <w:rStyle w:val="Refdenotaalpie"/>
          <w:rFonts w:ascii="Verdana" w:hAnsi="Verdana"/>
          <w:sz w:val="16"/>
          <w:szCs w:val="16"/>
        </w:rPr>
        <w:footnoteRef/>
      </w:r>
      <w:r w:rsidRPr="003622B1">
        <w:rPr>
          <w:rFonts w:ascii="Verdana" w:hAnsi="Verdana"/>
          <w:sz w:val="16"/>
          <w:szCs w:val="16"/>
        </w:rPr>
        <w:t xml:space="preserve"> </w:t>
      </w:r>
      <w:r w:rsidRPr="003622B1">
        <w:rPr>
          <w:rFonts w:ascii="Verdana" w:hAnsi="Verdana"/>
          <w:i/>
          <w:sz w:val="16"/>
          <w:szCs w:val="16"/>
        </w:rPr>
        <w:t>Cfr.</w:t>
      </w:r>
      <w:r w:rsidRPr="008569C9">
        <w:rPr>
          <w:rFonts w:ascii="Verdana" w:hAnsi="Verdana"/>
          <w:sz w:val="16"/>
          <w:szCs w:val="16"/>
        </w:rPr>
        <w:t xml:space="preserve"> </w:t>
      </w:r>
      <w:r w:rsidRPr="003A491F">
        <w:rPr>
          <w:rFonts w:ascii="Verdana" w:hAnsi="Verdana"/>
          <w:sz w:val="16"/>
          <w:szCs w:val="16"/>
          <w:lang w:val="es-CR"/>
        </w:rPr>
        <w:t>Oficio No. 1,131-2</w:t>
      </w:r>
      <w:r>
        <w:rPr>
          <w:rFonts w:ascii="Verdana" w:hAnsi="Verdana"/>
          <w:sz w:val="16"/>
          <w:szCs w:val="16"/>
          <w:lang w:val="es-CR"/>
        </w:rPr>
        <w:t>,</w:t>
      </w:r>
      <w:r w:rsidRPr="003A491F">
        <w:rPr>
          <w:rFonts w:ascii="Verdana" w:hAnsi="Verdana"/>
          <w:sz w:val="16"/>
          <w:szCs w:val="16"/>
          <w:lang w:val="es-CR"/>
        </w:rPr>
        <w:t>001 emitido por el Jefe de la Sub-estación 1651 de la Policía Nacional Civil dirigido al Auxiliar Fiscal del Ministerio Público del Municipio de Mixco</w:t>
      </w:r>
      <w:r>
        <w:rPr>
          <w:rFonts w:ascii="Verdana" w:hAnsi="Verdana"/>
          <w:sz w:val="16"/>
          <w:szCs w:val="16"/>
          <w:lang w:val="es-CR"/>
        </w:rPr>
        <w:t xml:space="preserve">, </w:t>
      </w:r>
      <w:r>
        <w:rPr>
          <w:rFonts w:ascii="Verdana" w:hAnsi="Verdana"/>
          <w:i/>
          <w:sz w:val="16"/>
          <w:szCs w:val="16"/>
          <w:lang w:val="es-CR"/>
        </w:rPr>
        <w:t xml:space="preserve">supra; </w:t>
      </w:r>
      <w:r w:rsidRPr="00F77273">
        <w:rPr>
          <w:rFonts w:ascii="Verdana" w:hAnsi="Verdana"/>
          <w:sz w:val="16"/>
          <w:szCs w:val="16"/>
          <w:lang w:val="es-CR"/>
        </w:rPr>
        <w:t xml:space="preserve">Inspección ocular emitida por técnico de la Sección de Inspecciones Oculares del Servicio de Investigación Criminal de la Policía Nacional Civil, </w:t>
      </w:r>
      <w:r w:rsidRPr="00F77273">
        <w:rPr>
          <w:rFonts w:ascii="Verdana" w:hAnsi="Verdana"/>
          <w:i/>
          <w:sz w:val="16"/>
          <w:szCs w:val="16"/>
          <w:lang w:val="es-CR"/>
        </w:rPr>
        <w:t>supra</w:t>
      </w:r>
      <w:r>
        <w:rPr>
          <w:rFonts w:ascii="Verdana" w:hAnsi="Verdana"/>
          <w:i/>
          <w:sz w:val="16"/>
          <w:szCs w:val="16"/>
          <w:lang w:val="es-CR"/>
        </w:rPr>
        <w:t xml:space="preserve">, </w:t>
      </w:r>
      <w:r w:rsidRPr="00F77273">
        <w:rPr>
          <w:rFonts w:ascii="Verdana" w:hAnsi="Verdana"/>
          <w:sz w:val="16"/>
          <w:szCs w:val="16"/>
          <w:lang w:val="es-CR"/>
        </w:rPr>
        <w:t>y</w:t>
      </w:r>
      <w:r>
        <w:rPr>
          <w:rFonts w:ascii="Verdana" w:hAnsi="Verdana"/>
          <w:i/>
          <w:sz w:val="16"/>
          <w:szCs w:val="16"/>
          <w:lang w:val="es-CR"/>
        </w:rPr>
        <w:t xml:space="preserve"> </w:t>
      </w:r>
      <w:r w:rsidRPr="00623B5B">
        <w:rPr>
          <w:rFonts w:ascii="Verdana" w:hAnsi="Verdana"/>
          <w:sz w:val="16"/>
          <w:szCs w:val="16"/>
          <w:lang w:val="es-CR"/>
        </w:rPr>
        <w:t>Acta de levantamiento de cadáver</w:t>
      </w:r>
      <w:r>
        <w:rPr>
          <w:rFonts w:ascii="Verdana" w:hAnsi="Verdana"/>
          <w:sz w:val="16"/>
          <w:szCs w:val="16"/>
          <w:lang w:val="es-CR"/>
        </w:rPr>
        <w:t xml:space="preserve"> por</w:t>
      </w:r>
      <w:r w:rsidRPr="007802D0">
        <w:rPr>
          <w:rFonts w:ascii="Verdana" w:hAnsi="Verdana"/>
          <w:sz w:val="16"/>
          <w:szCs w:val="16"/>
          <w:lang w:val="es-CR"/>
        </w:rPr>
        <w:t xml:space="preserve"> la Auxiliar Fiscal </w:t>
      </w:r>
      <w:r>
        <w:rPr>
          <w:rFonts w:ascii="Verdana" w:hAnsi="Verdana"/>
          <w:sz w:val="16"/>
          <w:szCs w:val="16"/>
          <w:lang w:val="es-CR"/>
        </w:rPr>
        <w:t xml:space="preserve">I de la Agencia No. 5 de Mixco, </w:t>
      </w:r>
      <w:r>
        <w:rPr>
          <w:rFonts w:ascii="Verdana" w:hAnsi="Verdana"/>
          <w:i/>
          <w:sz w:val="16"/>
          <w:szCs w:val="16"/>
          <w:lang w:val="es-CR"/>
        </w:rPr>
        <w:t>supra</w:t>
      </w:r>
      <w:r>
        <w:rPr>
          <w:rFonts w:ascii="Verdana" w:hAnsi="Verdana"/>
          <w:sz w:val="16"/>
          <w:szCs w:val="16"/>
        </w:rPr>
        <w:t>.</w:t>
      </w:r>
    </w:p>
  </w:footnote>
  <w:footnote w:id="297">
    <w:p w:rsidR="0081535F" w:rsidRPr="00353432" w:rsidRDefault="0081535F" w:rsidP="00422232">
      <w:pPr>
        <w:pStyle w:val="Textonotapie"/>
        <w:spacing w:line="19" w:lineRule="atLeast"/>
        <w:ind w:left="-180" w:right="-174"/>
        <w:jc w:val="both"/>
        <w:rPr>
          <w:rFonts w:ascii="Verdana" w:hAnsi="Verdana"/>
          <w:sz w:val="16"/>
          <w:szCs w:val="16"/>
        </w:rPr>
      </w:pPr>
      <w:r w:rsidRPr="00353432">
        <w:rPr>
          <w:rStyle w:val="Refdenotaalpie"/>
          <w:rFonts w:ascii="Verdana" w:hAnsi="Verdana"/>
          <w:sz w:val="16"/>
          <w:szCs w:val="16"/>
        </w:rPr>
        <w:footnoteRef/>
      </w:r>
      <w:r w:rsidRPr="00353432">
        <w:rPr>
          <w:rFonts w:ascii="Verdana" w:hAnsi="Verdana"/>
          <w:sz w:val="16"/>
          <w:szCs w:val="16"/>
        </w:rPr>
        <w:t xml:space="preserve"> Como surge de los hechos, las pruebas no fueron requeridas y, al ser consultado, el médico forense interviniente expresó que no se realizaban de oficio (</w:t>
      </w:r>
      <w:r w:rsidRPr="00353432">
        <w:rPr>
          <w:rFonts w:ascii="Verdana" w:hAnsi="Verdana"/>
          <w:i/>
          <w:sz w:val="16"/>
          <w:szCs w:val="16"/>
        </w:rPr>
        <w:t>supra</w:t>
      </w:r>
      <w:r w:rsidRPr="00353432">
        <w:rPr>
          <w:rFonts w:ascii="Verdana" w:hAnsi="Verdana"/>
          <w:sz w:val="16"/>
          <w:szCs w:val="16"/>
        </w:rPr>
        <w:t xml:space="preserve"> párr. </w:t>
      </w:r>
      <w:r>
        <w:rPr>
          <w:rFonts w:ascii="Verdana" w:hAnsi="Verdana"/>
          <w:sz w:val="16"/>
          <w:szCs w:val="16"/>
        </w:rPr>
        <w:t>110</w:t>
      </w:r>
      <w:r w:rsidRPr="00353432">
        <w:rPr>
          <w:rFonts w:ascii="Verdana" w:hAnsi="Verdana"/>
          <w:sz w:val="16"/>
          <w:szCs w:val="16"/>
        </w:rPr>
        <w:t>).</w:t>
      </w:r>
    </w:p>
  </w:footnote>
  <w:footnote w:id="298">
    <w:p w:rsidR="0081535F" w:rsidRPr="00353432" w:rsidRDefault="0081535F" w:rsidP="00422232">
      <w:pPr>
        <w:pStyle w:val="Textonotapie"/>
        <w:spacing w:line="19" w:lineRule="atLeast"/>
        <w:ind w:left="-180" w:right="-174"/>
        <w:jc w:val="both"/>
        <w:rPr>
          <w:rFonts w:ascii="Verdana" w:hAnsi="Verdana"/>
          <w:sz w:val="16"/>
          <w:szCs w:val="16"/>
        </w:rPr>
      </w:pPr>
      <w:r w:rsidRPr="00353432">
        <w:rPr>
          <w:rStyle w:val="Refdenotaalpie"/>
          <w:rFonts w:ascii="Verdana" w:hAnsi="Verdana"/>
          <w:sz w:val="16"/>
          <w:szCs w:val="16"/>
        </w:rPr>
        <w:footnoteRef/>
      </w:r>
      <w:r w:rsidRPr="00353432">
        <w:rPr>
          <w:rFonts w:ascii="Verdana" w:hAnsi="Verdana"/>
          <w:sz w:val="16"/>
          <w:szCs w:val="16"/>
        </w:rPr>
        <w:t xml:space="preserve"> </w:t>
      </w:r>
      <w:r w:rsidRPr="00353432">
        <w:rPr>
          <w:rFonts w:ascii="Verdana" w:hAnsi="Verdana"/>
          <w:i/>
          <w:sz w:val="16"/>
          <w:szCs w:val="16"/>
        </w:rPr>
        <w:t>Cfr</w:t>
      </w:r>
      <w:r w:rsidRPr="00353432">
        <w:rPr>
          <w:rFonts w:ascii="Verdana" w:hAnsi="Verdana"/>
          <w:sz w:val="16"/>
          <w:szCs w:val="16"/>
        </w:rPr>
        <w:t xml:space="preserve">. </w:t>
      </w:r>
      <w:r w:rsidRPr="00F34FA6">
        <w:rPr>
          <w:rFonts w:ascii="Verdana" w:hAnsi="Verdana"/>
          <w:sz w:val="16"/>
          <w:szCs w:val="16"/>
        </w:rPr>
        <w:t>Declaración pericial rendida por José Mario Nájera Ochoa</w:t>
      </w:r>
      <w:r>
        <w:rPr>
          <w:rFonts w:ascii="Verdana" w:hAnsi="Verdana"/>
          <w:sz w:val="16"/>
          <w:szCs w:val="16"/>
        </w:rPr>
        <w:t xml:space="preserve">, </w:t>
      </w:r>
      <w:r w:rsidRPr="008840F4">
        <w:rPr>
          <w:rFonts w:ascii="Verdana" w:hAnsi="Verdana"/>
          <w:i/>
          <w:sz w:val="16"/>
          <w:szCs w:val="16"/>
        </w:rPr>
        <w:t>supra</w:t>
      </w:r>
      <w:r>
        <w:rPr>
          <w:rFonts w:ascii="Verdana" w:hAnsi="Verdana"/>
          <w:sz w:val="16"/>
          <w:szCs w:val="16"/>
        </w:rPr>
        <w:t>.</w:t>
      </w:r>
      <w:r w:rsidRPr="00353432">
        <w:rPr>
          <w:rFonts w:ascii="Verdana" w:hAnsi="Verdana"/>
          <w:sz w:val="16"/>
          <w:szCs w:val="16"/>
        </w:rPr>
        <w:t xml:space="preserve"> </w:t>
      </w:r>
    </w:p>
  </w:footnote>
  <w:footnote w:id="299">
    <w:p w:rsidR="0081535F" w:rsidRPr="00353432" w:rsidRDefault="0081535F" w:rsidP="00422232">
      <w:pPr>
        <w:pStyle w:val="Textonotapie"/>
        <w:spacing w:line="19" w:lineRule="atLeast"/>
        <w:ind w:left="-180" w:right="-174"/>
        <w:jc w:val="both"/>
        <w:rPr>
          <w:rFonts w:ascii="Verdana" w:hAnsi="Verdana"/>
          <w:sz w:val="16"/>
          <w:szCs w:val="16"/>
        </w:rPr>
      </w:pPr>
      <w:r w:rsidRPr="00353432">
        <w:rPr>
          <w:rStyle w:val="Refdenotaalpie"/>
          <w:rFonts w:ascii="Verdana" w:hAnsi="Verdana"/>
          <w:sz w:val="16"/>
          <w:szCs w:val="16"/>
        </w:rPr>
        <w:footnoteRef/>
      </w:r>
      <w:r w:rsidRPr="00353432">
        <w:rPr>
          <w:rFonts w:ascii="Verdana" w:hAnsi="Verdana"/>
          <w:sz w:val="16"/>
          <w:szCs w:val="16"/>
        </w:rPr>
        <w:t xml:space="preserve"> El perito manifestó que entre las conclusiones se menciona síndrome asfíctico y en los datos del levanta</w:t>
      </w:r>
      <w:r>
        <w:rPr>
          <w:rFonts w:ascii="Verdana" w:hAnsi="Verdana"/>
          <w:sz w:val="16"/>
          <w:szCs w:val="16"/>
        </w:rPr>
        <w:t xml:space="preserve">miento del cadáver se menciona </w:t>
      </w:r>
      <w:r w:rsidRPr="00763922">
        <w:rPr>
          <w:rFonts w:ascii="Verdana" w:hAnsi="Verdana"/>
          <w:sz w:val="16"/>
          <w:szCs w:val="16"/>
        </w:rPr>
        <w:t>“[p]resenta señales de ahorcamiento con una cuerda plástica color negra en el cuello”.</w:t>
      </w:r>
      <w:r w:rsidRPr="00763922">
        <w:t xml:space="preserve"> </w:t>
      </w:r>
      <w:r w:rsidRPr="00763922">
        <w:rPr>
          <w:rFonts w:ascii="Verdana" w:hAnsi="Verdana"/>
          <w:i/>
          <w:sz w:val="16"/>
          <w:szCs w:val="16"/>
        </w:rPr>
        <w:t>Cfr.</w:t>
      </w:r>
      <w:r w:rsidRPr="00763922">
        <w:rPr>
          <w:rFonts w:ascii="Verdana" w:hAnsi="Verdana"/>
          <w:sz w:val="16"/>
          <w:szCs w:val="16"/>
        </w:rPr>
        <w:t xml:space="preserve"> Declaración pericial rendida por José Mario Nájera Ochoa, </w:t>
      </w:r>
      <w:r w:rsidRPr="00763922">
        <w:rPr>
          <w:rFonts w:ascii="Verdana" w:hAnsi="Verdana"/>
          <w:i/>
          <w:sz w:val="16"/>
          <w:szCs w:val="16"/>
        </w:rPr>
        <w:t>supra</w:t>
      </w:r>
      <w:r w:rsidRPr="00763922">
        <w:rPr>
          <w:rFonts w:ascii="Verdana" w:hAnsi="Verdana"/>
          <w:sz w:val="16"/>
          <w:szCs w:val="16"/>
        </w:rPr>
        <w:t>.</w:t>
      </w:r>
    </w:p>
  </w:footnote>
  <w:footnote w:id="300">
    <w:p w:rsidR="0081535F" w:rsidRPr="00353432" w:rsidRDefault="0081535F" w:rsidP="00422232">
      <w:pPr>
        <w:spacing w:after="0" w:line="19" w:lineRule="atLeast"/>
        <w:ind w:left="-180" w:right="-174"/>
        <w:jc w:val="both"/>
        <w:rPr>
          <w:rFonts w:ascii="Verdana" w:hAnsi="Verdana" w:cs="Arial"/>
          <w:sz w:val="16"/>
          <w:szCs w:val="16"/>
          <w:lang w:val="es-CR"/>
        </w:rPr>
      </w:pPr>
      <w:r w:rsidRPr="00353432">
        <w:rPr>
          <w:rStyle w:val="Refdenotaalpie"/>
          <w:rFonts w:ascii="Verdana" w:hAnsi="Verdana"/>
          <w:sz w:val="16"/>
          <w:szCs w:val="16"/>
        </w:rPr>
        <w:footnoteRef/>
      </w:r>
      <w:r w:rsidRPr="00353432">
        <w:rPr>
          <w:rFonts w:ascii="Verdana" w:hAnsi="Verdana"/>
          <w:sz w:val="16"/>
          <w:szCs w:val="16"/>
          <w:lang w:val="es-CR"/>
        </w:rPr>
        <w:t xml:space="preserve"> </w:t>
      </w:r>
      <w:r w:rsidRPr="00353432">
        <w:rPr>
          <w:rFonts w:ascii="Verdana" w:hAnsi="Verdana" w:cs="Arial"/>
          <w:sz w:val="16"/>
          <w:szCs w:val="16"/>
          <w:lang w:val="es-CR"/>
        </w:rPr>
        <w:t>Por su parte, la Federación Internacional de los Derechos Humanos presentó en abril del 2006 su Informe de la Misión Internacional de Investigación, "El Feminicidio en México y Guatemala", en el cual señaló como ejemplo de carencia de medios técnicos para la realización de investigaciones efectivas la inexistencia de bases para cotejar las huellas digitales, la ausencia de bases de datos para hacer comparación de pruebas de ADN entre otros. Señaló también que a pesar de la existencia de patrones en los cadáveres de mujeres la inexistencia de perfiles de agresores impide hacer los cruces necesarios, y que una grave deficiencia en la etapa investigativa consiste en que muchos casos cuando una mujer es encontrada asesinada, no se le practican exámenes para establecer si ha sido violada</w:t>
      </w:r>
      <w:r>
        <w:rPr>
          <w:rFonts w:ascii="Verdana" w:hAnsi="Verdana" w:cs="Arial"/>
          <w:sz w:val="16"/>
          <w:szCs w:val="16"/>
          <w:lang w:val="es-CR"/>
        </w:rPr>
        <w:t xml:space="preserve">. </w:t>
      </w:r>
      <w:r>
        <w:rPr>
          <w:rFonts w:ascii="Verdana" w:hAnsi="Verdana" w:cs="Arial"/>
          <w:i/>
          <w:sz w:val="16"/>
          <w:szCs w:val="16"/>
          <w:lang w:val="es-CR"/>
        </w:rPr>
        <w:t xml:space="preserve">Cfr. </w:t>
      </w:r>
      <w:r w:rsidRPr="00353432">
        <w:rPr>
          <w:rFonts w:ascii="Verdana" w:hAnsi="Verdana" w:cs="Arial"/>
          <w:sz w:val="16"/>
          <w:szCs w:val="16"/>
        </w:rPr>
        <w:t>Federación Internacional de los Derechos Humanos</w:t>
      </w:r>
      <w:r>
        <w:rPr>
          <w:rFonts w:ascii="Verdana" w:hAnsi="Verdana" w:cs="Arial"/>
          <w:sz w:val="16"/>
          <w:szCs w:val="16"/>
        </w:rPr>
        <w:t>.</w:t>
      </w:r>
      <w:r w:rsidRPr="00353432">
        <w:rPr>
          <w:rFonts w:ascii="Verdana" w:hAnsi="Verdana" w:cs="Arial"/>
          <w:sz w:val="16"/>
          <w:szCs w:val="16"/>
        </w:rPr>
        <w:t xml:space="preserve"> Informe de la Misión Internacional de Investigación</w:t>
      </w:r>
      <w:r>
        <w:rPr>
          <w:rFonts w:ascii="Verdana" w:hAnsi="Verdana" w:cs="Arial"/>
          <w:sz w:val="16"/>
          <w:szCs w:val="16"/>
        </w:rPr>
        <w:t>.</w:t>
      </w:r>
      <w:r w:rsidRPr="00353432">
        <w:rPr>
          <w:rFonts w:ascii="Verdana" w:hAnsi="Verdana" w:cs="Arial"/>
          <w:sz w:val="16"/>
          <w:szCs w:val="16"/>
        </w:rPr>
        <w:t xml:space="preserve"> "El Feminicidio en México y Guatemala", n°446/3 </w:t>
      </w:r>
      <w:r>
        <w:rPr>
          <w:rFonts w:ascii="Verdana" w:hAnsi="Verdana" w:cs="Arial"/>
          <w:sz w:val="16"/>
          <w:szCs w:val="16"/>
        </w:rPr>
        <w:t>(</w:t>
      </w:r>
      <w:r w:rsidRPr="00353432">
        <w:rPr>
          <w:rFonts w:ascii="Verdana" w:hAnsi="Verdana" w:cs="Arial"/>
          <w:sz w:val="16"/>
          <w:szCs w:val="16"/>
        </w:rPr>
        <w:t>2006</w:t>
      </w:r>
      <w:r>
        <w:rPr>
          <w:rFonts w:ascii="Verdana" w:hAnsi="Verdana" w:cs="Arial"/>
          <w:sz w:val="16"/>
          <w:szCs w:val="16"/>
        </w:rPr>
        <w:t>)</w:t>
      </w:r>
      <w:r w:rsidRPr="00353432">
        <w:rPr>
          <w:rFonts w:ascii="Verdana" w:hAnsi="Verdana" w:cs="Arial"/>
          <w:sz w:val="16"/>
          <w:szCs w:val="16"/>
        </w:rPr>
        <w:t xml:space="preserve"> </w:t>
      </w:r>
      <w:r>
        <w:rPr>
          <w:rFonts w:ascii="Verdana" w:hAnsi="Verdana" w:cs="Arial"/>
          <w:sz w:val="16"/>
          <w:szCs w:val="16"/>
        </w:rPr>
        <w:t>(expediente de anexos al Informe de Fondo, a</w:t>
      </w:r>
      <w:r w:rsidRPr="00353432">
        <w:rPr>
          <w:rFonts w:ascii="Verdana" w:hAnsi="Verdana" w:cs="Arial"/>
          <w:sz w:val="16"/>
          <w:szCs w:val="16"/>
        </w:rPr>
        <w:t>nexo 34</w:t>
      </w:r>
      <w:r>
        <w:rPr>
          <w:rFonts w:ascii="Verdana" w:hAnsi="Verdana" w:cs="Arial"/>
          <w:sz w:val="16"/>
          <w:szCs w:val="16"/>
        </w:rPr>
        <w:t>, f. 438</w:t>
      </w:r>
      <w:r w:rsidRPr="00353432">
        <w:rPr>
          <w:rFonts w:ascii="Verdana" w:hAnsi="Verdana" w:cs="Arial"/>
          <w:sz w:val="16"/>
          <w:szCs w:val="16"/>
        </w:rPr>
        <w:t>).</w:t>
      </w:r>
      <w:r w:rsidRPr="00353432">
        <w:rPr>
          <w:rFonts w:ascii="Verdana" w:hAnsi="Verdana" w:cs="Arial"/>
          <w:sz w:val="16"/>
          <w:szCs w:val="16"/>
          <w:lang w:val="es-CR"/>
        </w:rPr>
        <w:t xml:space="preserve"> </w:t>
      </w:r>
    </w:p>
  </w:footnote>
  <w:footnote w:id="301">
    <w:p w:rsidR="0081535F" w:rsidRPr="00353432" w:rsidRDefault="0081535F" w:rsidP="00422232">
      <w:pPr>
        <w:pStyle w:val="Textonotapie"/>
        <w:spacing w:line="19" w:lineRule="atLeast"/>
        <w:ind w:left="-180" w:right="-174"/>
        <w:jc w:val="both"/>
        <w:rPr>
          <w:rFonts w:ascii="Verdana" w:hAnsi="Verdana"/>
          <w:sz w:val="16"/>
          <w:szCs w:val="16"/>
        </w:rPr>
      </w:pPr>
      <w:r w:rsidRPr="00353432">
        <w:rPr>
          <w:rStyle w:val="Refdenotaalpie"/>
          <w:rFonts w:ascii="Verdana" w:hAnsi="Verdana"/>
          <w:sz w:val="16"/>
          <w:szCs w:val="16"/>
        </w:rPr>
        <w:footnoteRef/>
      </w:r>
      <w:r w:rsidRPr="00353432">
        <w:rPr>
          <w:rFonts w:ascii="Verdana" w:hAnsi="Verdana"/>
          <w:sz w:val="16"/>
          <w:szCs w:val="16"/>
        </w:rPr>
        <w:t xml:space="preserve"> </w:t>
      </w:r>
      <w:r w:rsidRPr="00353432">
        <w:rPr>
          <w:rFonts w:ascii="Verdana" w:hAnsi="Verdana"/>
          <w:i/>
          <w:sz w:val="16"/>
          <w:szCs w:val="16"/>
        </w:rPr>
        <w:t>Cfr</w:t>
      </w:r>
      <w:r w:rsidRPr="00353432">
        <w:rPr>
          <w:rFonts w:ascii="Verdana" w:hAnsi="Verdana"/>
          <w:sz w:val="16"/>
          <w:szCs w:val="16"/>
        </w:rPr>
        <w:t xml:space="preserve">. </w:t>
      </w:r>
      <w:r w:rsidRPr="00E92566">
        <w:rPr>
          <w:rFonts w:ascii="Verdana" w:hAnsi="Verdana"/>
          <w:sz w:val="16"/>
          <w:szCs w:val="16"/>
        </w:rPr>
        <w:t>Declaración pericial rendida por José Mario Nájera Ochoa</w:t>
      </w:r>
      <w:r>
        <w:rPr>
          <w:rFonts w:ascii="Verdana" w:hAnsi="Verdana"/>
          <w:sz w:val="16"/>
          <w:szCs w:val="16"/>
        </w:rPr>
        <w:t xml:space="preserve">, </w:t>
      </w:r>
      <w:r w:rsidRPr="008840F4">
        <w:rPr>
          <w:rFonts w:ascii="Verdana" w:hAnsi="Verdana"/>
          <w:i/>
          <w:sz w:val="16"/>
          <w:szCs w:val="16"/>
        </w:rPr>
        <w:t>supra</w:t>
      </w:r>
      <w:r w:rsidRPr="00E92566">
        <w:rPr>
          <w:rFonts w:ascii="Verdana" w:hAnsi="Verdana"/>
          <w:sz w:val="16"/>
          <w:szCs w:val="16"/>
        </w:rPr>
        <w:t>.</w:t>
      </w:r>
    </w:p>
  </w:footnote>
  <w:footnote w:id="302">
    <w:p w:rsidR="0081535F" w:rsidRPr="00353432" w:rsidRDefault="0081535F" w:rsidP="00422232">
      <w:pPr>
        <w:pStyle w:val="Textonotapie"/>
        <w:spacing w:line="19" w:lineRule="atLeast"/>
        <w:ind w:left="-180" w:right="-174"/>
        <w:jc w:val="both"/>
        <w:rPr>
          <w:rFonts w:ascii="Verdana" w:hAnsi="Verdana"/>
          <w:sz w:val="16"/>
          <w:szCs w:val="16"/>
          <w:lang w:val="es-CR"/>
        </w:rPr>
      </w:pPr>
      <w:r w:rsidRPr="00353432">
        <w:rPr>
          <w:rStyle w:val="Refdenotaalpie"/>
          <w:rFonts w:ascii="Verdana" w:hAnsi="Verdana"/>
          <w:sz w:val="16"/>
          <w:szCs w:val="16"/>
        </w:rPr>
        <w:footnoteRef/>
      </w:r>
      <w:r w:rsidRPr="00353432">
        <w:rPr>
          <w:rFonts w:ascii="Verdana" w:hAnsi="Verdana"/>
          <w:sz w:val="16"/>
          <w:szCs w:val="16"/>
        </w:rPr>
        <w:t xml:space="preserve"> </w:t>
      </w:r>
      <w:r w:rsidRPr="00353432">
        <w:rPr>
          <w:rFonts w:ascii="Verdana" w:hAnsi="Verdana"/>
          <w:sz w:val="16"/>
          <w:szCs w:val="16"/>
          <w:lang w:val="es-CR"/>
        </w:rPr>
        <w:t>También aclaró el Estado que no hubo error en cuanto al lugar, como señalaron la Comisión y l</w:t>
      </w:r>
      <w:r>
        <w:rPr>
          <w:rFonts w:ascii="Verdana" w:hAnsi="Verdana"/>
          <w:sz w:val="16"/>
          <w:szCs w:val="16"/>
          <w:lang w:val="es-CR"/>
        </w:rPr>
        <w:t>a</w:t>
      </w:r>
      <w:r w:rsidRPr="00353432">
        <w:rPr>
          <w:rFonts w:ascii="Verdana" w:hAnsi="Verdana"/>
          <w:sz w:val="16"/>
          <w:szCs w:val="16"/>
          <w:lang w:val="es-CR"/>
        </w:rPr>
        <w:t>s representantes, ya que donde se efectuó fue en el inmueble que se encuentra ubicado en la zona 3 del Municipio de Mixco y ya no pertenece a la zona 7, sino que es colindante.</w:t>
      </w:r>
    </w:p>
  </w:footnote>
  <w:footnote w:id="303">
    <w:p w:rsidR="0081535F" w:rsidRDefault="0081535F" w:rsidP="00422232">
      <w:pPr>
        <w:pStyle w:val="Textonotapie"/>
        <w:ind w:left="-180" w:right="-174"/>
        <w:jc w:val="both"/>
        <w:rPr>
          <w:rFonts w:ascii="Verdana" w:hAnsi="Verdana"/>
          <w:sz w:val="16"/>
          <w:szCs w:val="16"/>
        </w:rPr>
      </w:pPr>
      <w:r w:rsidRPr="003622B1">
        <w:rPr>
          <w:rStyle w:val="Refdenotaalpie"/>
          <w:rFonts w:ascii="Verdana" w:hAnsi="Verdana"/>
          <w:sz w:val="16"/>
          <w:szCs w:val="16"/>
        </w:rPr>
        <w:footnoteRef/>
      </w:r>
      <w:r w:rsidRPr="003622B1">
        <w:rPr>
          <w:rFonts w:ascii="Verdana" w:hAnsi="Verdana"/>
          <w:sz w:val="16"/>
          <w:szCs w:val="16"/>
        </w:rPr>
        <w:t xml:space="preserve"> </w:t>
      </w:r>
      <w:r w:rsidRPr="003622B1">
        <w:rPr>
          <w:rFonts w:ascii="Verdana" w:hAnsi="Verdana"/>
          <w:i/>
          <w:sz w:val="16"/>
          <w:szCs w:val="16"/>
        </w:rPr>
        <w:t>Cfr.</w:t>
      </w:r>
      <w:r w:rsidRPr="003622B1">
        <w:rPr>
          <w:rFonts w:ascii="Verdana" w:hAnsi="Verdana"/>
          <w:sz w:val="16"/>
          <w:szCs w:val="16"/>
        </w:rPr>
        <w:t xml:space="preserve"> Oficio C-105-2002/6º emitido por el Juzgado de Primera Instancia de Mixco</w:t>
      </w:r>
      <w:r>
        <w:rPr>
          <w:rFonts w:ascii="Verdana" w:hAnsi="Verdana"/>
          <w:sz w:val="16"/>
          <w:szCs w:val="16"/>
        </w:rPr>
        <w:t xml:space="preserve">, </w:t>
      </w:r>
      <w:r>
        <w:rPr>
          <w:rFonts w:ascii="Verdana" w:hAnsi="Verdana"/>
          <w:i/>
          <w:sz w:val="16"/>
          <w:szCs w:val="16"/>
        </w:rPr>
        <w:t>supra</w:t>
      </w:r>
      <w:r>
        <w:rPr>
          <w:rFonts w:ascii="Verdana" w:hAnsi="Verdana"/>
          <w:sz w:val="16"/>
          <w:szCs w:val="16"/>
        </w:rPr>
        <w:t>.</w:t>
      </w:r>
    </w:p>
  </w:footnote>
  <w:footnote w:id="304">
    <w:p w:rsidR="0081535F" w:rsidRPr="00671862" w:rsidRDefault="0081535F" w:rsidP="00422232">
      <w:pPr>
        <w:pStyle w:val="Textonotapie"/>
        <w:spacing w:line="19" w:lineRule="atLeast"/>
        <w:ind w:left="-180" w:right="-174"/>
        <w:jc w:val="both"/>
        <w:rPr>
          <w:rFonts w:ascii="Verdana" w:hAnsi="Verdana"/>
          <w:sz w:val="16"/>
          <w:szCs w:val="16"/>
          <w:lang w:val="es-CR"/>
        </w:rPr>
      </w:pPr>
      <w:r w:rsidRPr="003622B1">
        <w:rPr>
          <w:rStyle w:val="Refdenotaalpie"/>
          <w:rFonts w:ascii="Verdana" w:hAnsi="Verdana"/>
          <w:sz w:val="16"/>
          <w:szCs w:val="16"/>
        </w:rPr>
        <w:footnoteRef/>
      </w:r>
      <w:r w:rsidRPr="003622B1">
        <w:rPr>
          <w:rFonts w:ascii="Verdana" w:hAnsi="Verdana"/>
          <w:sz w:val="16"/>
          <w:szCs w:val="16"/>
          <w:lang w:val="es-CR"/>
        </w:rPr>
        <w:t xml:space="preserve"> </w:t>
      </w:r>
      <w:r w:rsidRPr="003622B1">
        <w:rPr>
          <w:rFonts w:ascii="Verdana" w:hAnsi="Verdana"/>
          <w:i/>
          <w:sz w:val="16"/>
          <w:szCs w:val="16"/>
          <w:lang w:val="es-CR"/>
        </w:rPr>
        <w:t xml:space="preserve">Cfr. Propuesta de Modificación a la Constitución Política de Costa Rica relacionada con la Naturalización. </w:t>
      </w:r>
      <w:r w:rsidRPr="003622B1">
        <w:rPr>
          <w:rFonts w:ascii="Verdana" w:hAnsi="Verdana"/>
          <w:sz w:val="16"/>
          <w:szCs w:val="16"/>
          <w:lang w:val="es-CR"/>
        </w:rPr>
        <w:t>Opinión Consultiva OC-4/84 del 19 de enero de 1984. Serie A No.</w:t>
      </w:r>
      <w:r>
        <w:rPr>
          <w:rFonts w:ascii="Verdana" w:hAnsi="Verdana"/>
          <w:sz w:val="16"/>
          <w:szCs w:val="16"/>
          <w:lang w:val="es-CR"/>
        </w:rPr>
        <w:t xml:space="preserve"> </w:t>
      </w:r>
      <w:r w:rsidRPr="003622B1">
        <w:rPr>
          <w:rFonts w:ascii="Verdana" w:hAnsi="Verdana"/>
          <w:sz w:val="16"/>
          <w:szCs w:val="16"/>
          <w:lang w:val="es-CR"/>
        </w:rPr>
        <w:t>4, párr. 53</w:t>
      </w:r>
      <w:r>
        <w:rPr>
          <w:rFonts w:ascii="Verdana" w:hAnsi="Verdana"/>
          <w:sz w:val="16"/>
          <w:szCs w:val="16"/>
          <w:lang w:val="es-CR"/>
        </w:rPr>
        <w:t xml:space="preserve">, y </w:t>
      </w:r>
      <w:r w:rsidRPr="003622B1">
        <w:rPr>
          <w:rFonts w:ascii="Verdana" w:hAnsi="Verdana"/>
          <w:i/>
          <w:sz w:val="16"/>
          <w:szCs w:val="16"/>
          <w:lang w:val="es-CR"/>
        </w:rPr>
        <w:t>Caso de las Comunidades Afrodescendientes Desplazadas de la Cuenca del Río Cacarica (Operación Génesis)</w:t>
      </w:r>
      <w:r>
        <w:rPr>
          <w:rFonts w:ascii="Verdana" w:hAnsi="Verdana"/>
          <w:i/>
          <w:sz w:val="16"/>
          <w:szCs w:val="16"/>
          <w:lang w:val="es-CR"/>
        </w:rPr>
        <w:t>, supra</w:t>
      </w:r>
      <w:r>
        <w:rPr>
          <w:rFonts w:ascii="Verdana" w:hAnsi="Verdana"/>
          <w:sz w:val="16"/>
          <w:szCs w:val="16"/>
          <w:lang w:val="es-CR"/>
        </w:rPr>
        <w:t>, párr. 332.</w:t>
      </w:r>
    </w:p>
  </w:footnote>
  <w:footnote w:id="305">
    <w:p w:rsidR="0081535F" w:rsidRPr="008840F4" w:rsidRDefault="0081535F" w:rsidP="00422232">
      <w:pPr>
        <w:pStyle w:val="Textonotapie"/>
        <w:spacing w:line="19" w:lineRule="atLeast"/>
        <w:ind w:left="-180" w:right="-174"/>
        <w:jc w:val="both"/>
        <w:rPr>
          <w:rFonts w:ascii="Verdana" w:hAnsi="Verdana" w:cs="Arial"/>
          <w:i/>
          <w:iCs/>
          <w:sz w:val="16"/>
          <w:szCs w:val="16"/>
          <w:lang w:val="es-CR"/>
        </w:rPr>
      </w:pPr>
      <w:r w:rsidRPr="003622B1">
        <w:rPr>
          <w:rStyle w:val="Refdenotaalpie"/>
          <w:rFonts w:ascii="Verdana" w:hAnsi="Verdana"/>
          <w:sz w:val="16"/>
          <w:szCs w:val="16"/>
        </w:rPr>
        <w:footnoteRef/>
      </w:r>
      <w:r w:rsidRPr="003622B1">
        <w:rPr>
          <w:rFonts w:ascii="Verdana" w:hAnsi="Verdana"/>
          <w:sz w:val="16"/>
          <w:szCs w:val="16"/>
          <w:lang w:val="es-CR"/>
        </w:rPr>
        <w:t xml:space="preserve"> </w:t>
      </w:r>
      <w:r>
        <w:rPr>
          <w:rFonts w:ascii="Verdana" w:hAnsi="Verdana"/>
          <w:i/>
          <w:sz w:val="16"/>
          <w:szCs w:val="16"/>
          <w:lang w:val="es-CR"/>
        </w:rPr>
        <w:t xml:space="preserve">Cfr. </w:t>
      </w:r>
      <w:r w:rsidRPr="003622B1">
        <w:rPr>
          <w:rFonts w:ascii="Verdana" w:hAnsi="Verdana" w:cs="Arial"/>
          <w:i/>
          <w:iCs/>
          <w:sz w:val="16"/>
          <w:szCs w:val="16"/>
          <w:lang w:val="es-CR"/>
        </w:rPr>
        <w:t xml:space="preserve">Condición Jurídica y Derechos de los Migrantes Indocumentados. </w:t>
      </w:r>
      <w:r w:rsidRPr="003622B1">
        <w:rPr>
          <w:rFonts w:ascii="Verdana" w:hAnsi="Verdana" w:cs="Arial"/>
          <w:sz w:val="16"/>
          <w:szCs w:val="16"/>
          <w:lang w:val="es-CR"/>
        </w:rPr>
        <w:t>Opinión Consultiva OC-18/03 del 17 de septiembre de 2003.</w:t>
      </w:r>
      <w:r>
        <w:rPr>
          <w:rFonts w:ascii="Verdana" w:hAnsi="Verdana" w:cs="Arial"/>
          <w:sz w:val="16"/>
          <w:szCs w:val="16"/>
          <w:lang w:val="es-CR"/>
        </w:rPr>
        <w:t xml:space="preserve"> </w:t>
      </w:r>
      <w:r w:rsidRPr="003622B1">
        <w:rPr>
          <w:rFonts w:ascii="Verdana" w:hAnsi="Verdana" w:cs="Arial"/>
          <w:sz w:val="16"/>
          <w:szCs w:val="16"/>
          <w:lang w:val="es-CR"/>
        </w:rPr>
        <w:t>Serie A No. 18, párr. 85</w:t>
      </w:r>
      <w:r>
        <w:rPr>
          <w:rFonts w:ascii="Verdana" w:hAnsi="Verdana" w:cs="Arial"/>
          <w:sz w:val="16"/>
          <w:szCs w:val="16"/>
          <w:lang w:val="es-CR"/>
        </w:rPr>
        <w:t xml:space="preserve">, y </w:t>
      </w:r>
      <w:r w:rsidRPr="003622B1">
        <w:rPr>
          <w:rFonts w:ascii="Verdana" w:hAnsi="Verdana" w:cs="Arial"/>
          <w:i/>
          <w:sz w:val="16"/>
          <w:szCs w:val="16"/>
          <w:lang w:val="es-CR"/>
        </w:rPr>
        <w:t>Caso Nadege Dorzema y otros Vs. República Dominicana. Fondo Reparaciones y Costas.</w:t>
      </w:r>
      <w:r w:rsidRPr="00671862">
        <w:rPr>
          <w:rFonts w:ascii="Verdana" w:hAnsi="Verdana" w:cs="Arial"/>
          <w:sz w:val="16"/>
          <w:szCs w:val="16"/>
          <w:lang w:val="es-CR"/>
        </w:rPr>
        <w:t xml:space="preserve"> Sentencia de 24 de octubre de 2012</w:t>
      </w:r>
      <w:r>
        <w:rPr>
          <w:rFonts w:ascii="Verdana" w:hAnsi="Verdana" w:cs="Arial"/>
          <w:sz w:val="16"/>
          <w:szCs w:val="16"/>
          <w:lang w:val="es-CR"/>
        </w:rPr>
        <w:t>.</w:t>
      </w:r>
      <w:r w:rsidRPr="00671862">
        <w:rPr>
          <w:rFonts w:ascii="Verdana" w:hAnsi="Verdana" w:cs="Arial"/>
          <w:sz w:val="16"/>
          <w:szCs w:val="16"/>
          <w:lang w:val="es-CR"/>
        </w:rPr>
        <w:t xml:space="preserve"> Serie C No. 251</w:t>
      </w:r>
      <w:r>
        <w:rPr>
          <w:rFonts w:ascii="Verdana" w:hAnsi="Verdana" w:cs="Arial"/>
          <w:sz w:val="16"/>
          <w:szCs w:val="16"/>
          <w:lang w:val="es-CR"/>
        </w:rPr>
        <w:t>, párr. 236.</w:t>
      </w:r>
    </w:p>
  </w:footnote>
  <w:footnote w:id="306">
    <w:p w:rsidR="0081535F" w:rsidRPr="00671862" w:rsidRDefault="0081535F" w:rsidP="00422232">
      <w:pPr>
        <w:pStyle w:val="Textonotapie"/>
        <w:spacing w:line="19" w:lineRule="atLeast"/>
        <w:ind w:left="-180" w:right="-174"/>
        <w:jc w:val="both"/>
        <w:rPr>
          <w:rFonts w:ascii="Verdana" w:hAnsi="Verdana"/>
          <w:sz w:val="16"/>
          <w:szCs w:val="16"/>
          <w:lang w:val="es-CR"/>
        </w:rPr>
      </w:pPr>
      <w:r w:rsidRPr="003622B1">
        <w:rPr>
          <w:rStyle w:val="Refdenotaalpie"/>
          <w:rFonts w:ascii="Verdana" w:hAnsi="Verdana"/>
          <w:sz w:val="16"/>
          <w:szCs w:val="16"/>
        </w:rPr>
        <w:footnoteRef/>
      </w:r>
      <w:r w:rsidRPr="003622B1">
        <w:rPr>
          <w:rFonts w:ascii="Verdana" w:hAnsi="Verdana"/>
          <w:sz w:val="16"/>
          <w:szCs w:val="16"/>
          <w:lang w:val="es-CR"/>
        </w:rPr>
        <w:t xml:space="preserve"> </w:t>
      </w:r>
      <w:r>
        <w:rPr>
          <w:rFonts w:ascii="Verdana" w:hAnsi="Verdana"/>
          <w:i/>
          <w:sz w:val="16"/>
          <w:szCs w:val="16"/>
          <w:lang w:val="es-CR"/>
        </w:rPr>
        <w:t xml:space="preserve">Cfr. </w:t>
      </w:r>
      <w:r w:rsidRPr="00671862">
        <w:rPr>
          <w:rFonts w:ascii="Verdana" w:hAnsi="Verdana" w:cs="Arial"/>
          <w:i/>
          <w:iCs/>
          <w:sz w:val="16"/>
          <w:szCs w:val="16"/>
          <w:lang w:val="es-CR"/>
        </w:rPr>
        <w:t>Condición Jurídica y Derechos de los Migrantes Indocumentados</w:t>
      </w:r>
      <w:r>
        <w:rPr>
          <w:rFonts w:ascii="Verdana" w:hAnsi="Verdana" w:cs="Arial"/>
          <w:i/>
          <w:iCs/>
          <w:sz w:val="16"/>
          <w:szCs w:val="16"/>
          <w:lang w:val="es-CR"/>
        </w:rPr>
        <w:t xml:space="preserve">, </w:t>
      </w:r>
      <w:r w:rsidRPr="008840F4">
        <w:rPr>
          <w:rFonts w:ascii="Verdana" w:hAnsi="Verdana" w:cs="Arial"/>
          <w:i/>
          <w:iCs/>
          <w:sz w:val="16"/>
          <w:szCs w:val="16"/>
          <w:lang w:val="es-CR"/>
        </w:rPr>
        <w:t>supra</w:t>
      </w:r>
      <w:r w:rsidRPr="003622B1">
        <w:rPr>
          <w:rFonts w:ascii="Verdana" w:hAnsi="Verdana" w:cs="Arial"/>
          <w:i/>
          <w:iCs/>
          <w:sz w:val="16"/>
          <w:szCs w:val="16"/>
          <w:lang w:val="es-CR"/>
        </w:rPr>
        <w:t xml:space="preserve">, </w:t>
      </w:r>
      <w:r w:rsidRPr="003622B1">
        <w:rPr>
          <w:rFonts w:ascii="Verdana" w:hAnsi="Verdana" w:cs="Arial"/>
          <w:sz w:val="16"/>
          <w:szCs w:val="16"/>
          <w:lang w:val="es-CR"/>
        </w:rPr>
        <w:t xml:space="preserve">párr. 53, y </w:t>
      </w:r>
      <w:r w:rsidRPr="003622B1">
        <w:rPr>
          <w:rFonts w:ascii="Verdana" w:hAnsi="Verdana" w:cs="Arial"/>
          <w:i/>
          <w:sz w:val="16"/>
          <w:szCs w:val="16"/>
          <w:lang w:val="es-CR"/>
        </w:rPr>
        <w:t>Caso Nadege Dorzema y otros</w:t>
      </w:r>
      <w:r>
        <w:rPr>
          <w:rFonts w:ascii="Verdana" w:hAnsi="Verdana" w:cs="Arial"/>
          <w:i/>
          <w:sz w:val="16"/>
          <w:szCs w:val="16"/>
          <w:lang w:val="es-CR"/>
        </w:rPr>
        <w:t>, supra</w:t>
      </w:r>
      <w:r>
        <w:rPr>
          <w:rFonts w:ascii="Verdana" w:hAnsi="Verdana" w:cs="Arial"/>
          <w:sz w:val="16"/>
          <w:szCs w:val="16"/>
          <w:lang w:val="es-CR"/>
        </w:rPr>
        <w:t>,</w:t>
      </w:r>
      <w:r w:rsidRPr="003622B1">
        <w:rPr>
          <w:rFonts w:ascii="Verdana" w:hAnsi="Verdana" w:cs="Arial"/>
          <w:sz w:val="16"/>
          <w:szCs w:val="16"/>
          <w:lang w:val="es-CR"/>
        </w:rPr>
        <w:t xml:space="preserve"> párr. 224.</w:t>
      </w:r>
    </w:p>
  </w:footnote>
  <w:footnote w:id="307">
    <w:p w:rsidR="0081535F" w:rsidRPr="00671862" w:rsidRDefault="0081535F" w:rsidP="00422232">
      <w:pPr>
        <w:pStyle w:val="Textonotapie"/>
        <w:spacing w:line="19" w:lineRule="atLeast"/>
        <w:ind w:left="-180" w:right="-174"/>
        <w:jc w:val="both"/>
        <w:rPr>
          <w:rFonts w:ascii="Verdana" w:hAnsi="Verdana" w:cs="Arial"/>
          <w:sz w:val="16"/>
          <w:szCs w:val="16"/>
          <w:lang w:val="es-CR"/>
        </w:rPr>
      </w:pPr>
      <w:r w:rsidRPr="003622B1">
        <w:rPr>
          <w:rStyle w:val="Refdenotaalpie"/>
          <w:rFonts w:ascii="Verdana" w:hAnsi="Verdana"/>
          <w:sz w:val="16"/>
          <w:szCs w:val="16"/>
        </w:rPr>
        <w:footnoteRef/>
      </w:r>
      <w:r w:rsidRPr="003622B1">
        <w:rPr>
          <w:rFonts w:ascii="Verdana" w:hAnsi="Verdana"/>
          <w:sz w:val="16"/>
          <w:szCs w:val="16"/>
          <w:lang w:val="es-CR"/>
        </w:rPr>
        <w:t xml:space="preserve"> </w:t>
      </w:r>
      <w:r>
        <w:rPr>
          <w:rFonts w:ascii="Verdana" w:hAnsi="Verdana"/>
          <w:i/>
          <w:sz w:val="16"/>
          <w:szCs w:val="16"/>
          <w:lang w:val="es-CR"/>
        </w:rPr>
        <w:t xml:space="preserve">Cfr. </w:t>
      </w:r>
      <w:r w:rsidRPr="00A078A1">
        <w:rPr>
          <w:rFonts w:ascii="Verdana" w:hAnsi="Verdana"/>
          <w:i/>
          <w:sz w:val="16"/>
          <w:szCs w:val="16"/>
          <w:lang w:val="es-CR"/>
        </w:rPr>
        <w:t xml:space="preserve">Caso Comunidad Indígena Xákmok Kásek. Vs. Paraguay. Fondo, Reparaciones y Costas. </w:t>
      </w:r>
      <w:r w:rsidRPr="003622B1">
        <w:rPr>
          <w:rFonts w:ascii="Verdana" w:hAnsi="Verdana"/>
          <w:sz w:val="16"/>
          <w:szCs w:val="16"/>
          <w:lang w:val="es-CR"/>
        </w:rPr>
        <w:t>Sentencia de 24 de agosto de 2010</w:t>
      </w:r>
      <w:r>
        <w:rPr>
          <w:rFonts w:ascii="Verdana" w:hAnsi="Verdana"/>
          <w:sz w:val="16"/>
          <w:szCs w:val="16"/>
          <w:lang w:val="es-CR"/>
        </w:rPr>
        <w:t>.</w:t>
      </w:r>
      <w:r w:rsidRPr="003622B1">
        <w:rPr>
          <w:rFonts w:ascii="Verdana" w:hAnsi="Verdana"/>
          <w:sz w:val="16"/>
          <w:szCs w:val="16"/>
          <w:lang w:val="es-CR"/>
        </w:rPr>
        <w:t xml:space="preserve"> Serie C No. 214, párr. 269</w:t>
      </w:r>
      <w:r>
        <w:rPr>
          <w:rFonts w:ascii="Verdana" w:hAnsi="Verdana"/>
          <w:i/>
          <w:sz w:val="16"/>
          <w:szCs w:val="16"/>
          <w:lang w:val="es-CR"/>
        </w:rPr>
        <w:t>,</w:t>
      </w:r>
      <w:r w:rsidRPr="00C20142">
        <w:rPr>
          <w:rFonts w:ascii="Verdana" w:hAnsi="Verdana"/>
          <w:sz w:val="16"/>
          <w:szCs w:val="16"/>
          <w:lang w:val="es-CR"/>
        </w:rPr>
        <w:t xml:space="preserve"> y </w:t>
      </w:r>
      <w:r w:rsidRPr="00671862">
        <w:rPr>
          <w:rFonts w:ascii="Verdana" w:hAnsi="Verdana" w:cs="Arial"/>
          <w:i/>
          <w:sz w:val="16"/>
          <w:szCs w:val="16"/>
          <w:lang w:val="es-CR"/>
        </w:rPr>
        <w:t>Caso Nadege Dorzema y otros</w:t>
      </w:r>
      <w:r>
        <w:rPr>
          <w:rFonts w:ascii="Verdana" w:hAnsi="Verdana" w:cs="Arial"/>
          <w:i/>
          <w:sz w:val="16"/>
          <w:szCs w:val="16"/>
          <w:lang w:val="es-CR"/>
        </w:rPr>
        <w:t>, supra</w:t>
      </w:r>
      <w:r>
        <w:rPr>
          <w:rFonts w:ascii="Verdana" w:hAnsi="Verdana" w:cs="Arial"/>
          <w:sz w:val="16"/>
          <w:szCs w:val="16"/>
          <w:lang w:val="es-CR"/>
        </w:rPr>
        <w:t xml:space="preserve">, </w:t>
      </w:r>
      <w:r w:rsidRPr="003622B1">
        <w:rPr>
          <w:rFonts w:ascii="Verdana" w:hAnsi="Verdana" w:cs="Arial"/>
          <w:sz w:val="16"/>
          <w:szCs w:val="16"/>
          <w:lang w:val="es-CR"/>
        </w:rPr>
        <w:t xml:space="preserve">párr. 225. </w:t>
      </w:r>
    </w:p>
  </w:footnote>
  <w:footnote w:id="308">
    <w:p w:rsidR="0081535F" w:rsidRPr="00671862" w:rsidRDefault="0081535F" w:rsidP="00422232">
      <w:pPr>
        <w:pStyle w:val="Textonotapie"/>
        <w:spacing w:line="19" w:lineRule="atLeast"/>
        <w:ind w:left="-180" w:right="-174"/>
        <w:jc w:val="both"/>
        <w:rPr>
          <w:rFonts w:ascii="Verdana" w:hAnsi="Verdana"/>
          <w:sz w:val="16"/>
          <w:szCs w:val="16"/>
          <w:lang w:val="es-CR"/>
        </w:rPr>
      </w:pPr>
      <w:r w:rsidRPr="003622B1">
        <w:rPr>
          <w:rStyle w:val="Refdenotaalpie"/>
          <w:rFonts w:ascii="Verdana" w:hAnsi="Verdana"/>
          <w:sz w:val="16"/>
          <w:szCs w:val="16"/>
        </w:rPr>
        <w:footnoteRef/>
      </w:r>
      <w:r w:rsidRPr="003622B1">
        <w:rPr>
          <w:rFonts w:ascii="Verdana" w:hAnsi="Verdana"/>
          <w:sz w:val="16"/>
          <w:szCs w:val="16"/>
          <w:lang w:val="es-CR"/>
        </w:rPr>
        <w:t xml:space="preserve"> </w:t>
      </w:r>
      <w:r>
        <w:rPr>
          <w:rFonts w:ascii="Verdana" w:hAnsi="Verdana"/>
          <w:i/>
          <w:sz w:val="16"/>
          <w:szCs w:val="16"/>
          <w:lang w:val="es-CR"/>
        </w:rPr>
        <w:t xml:space="preserve">Cfr. </w:t>
      </w:r>
      <w:r w:rsidRPr="00671862">
        <w:rPr>
          <w:rFonts w:ascii="Verdana" w:hAnsi="Verdana" w:cs="Arial"/>
          <w:i/>
          <w:iCs/>
          <w:sz w:val="16"/>
          <w:szCs w:val="16"/>
          <w:lang w:val="es-CR"/>
        </w:rPr>
        <w:t>Condición Jurídica y Derechos de los Migrantes Indocumentados</w:t>
      </w:r>
      <w:r>
        <w:rPr>
          <w:rFonts w:ascii="Verdana" w:hAnsi="Verdana" w:cs="Arial"/>
          <w:i/>
          <w:iCs/>
          <w:sz w:val="16"/>
          <w:szCs w:val="16"/>
          <w:lang w:val="es-CR"/>
        </w:rPr>
        <w:t>, supra</w:t>
      </w:r>
      <w:r w:rsidRPr="003622B1">
        <w:rPr>
          <w:rFonts w:ascii="Verdana" w:hAnsi="Verdana" w:cs="Arial"/>
          <w:i/>
          <w:iCs/>
          <w:sz w:val="16"/>
          <w:szCs w:val="16"/>
          <w:lang w:val="es-CR"/>
        </w:rPr>
        <w:t xml:space="preserve">, </w:t>
      </w:r>
      <w:r w:rsidRPr="003622B1">
        <w:rPr>
          <w:rFonts w:ascii="Verdana" w:hAnsi="Verdana" w:cs="Arial"/>
          <w:sz w:val="16"/>
          <w:szCs w:val="16"/>
          <w:lang w:val="es-CR"/>
        </w:rPr>
        <w:t xml:space="preserve">párr. 101, y </w:t>
      </w:r>
      <w:r w:rsidRPr="00671862">
        <w:rPr>
          <w:rFonts w:ascii="Verdana" w:hAnsi="Verdana" w:cs="Arial"/>
          <w:i/>
          <w:sz w:val="16"/>
          <w:szCs w:val="16"/>
          <w:lang w:val="es-CR"/>
        </w:rPr>
        <w:t>Caso Nadege Dorzema y otros</w:t>
      </w:r>
      <w:r>
        <w:rPr>
          <w:rFonts w:ascii="Verdana" w:hAnsi="Verdana" w:cs="Arial"/>
          <w:i/>
          <w:sz w:val="16"/>
          <w:szCs w:val="16"/>
          <w:lang w:val="es-CR"/>
        </w:rPr>
        <w:t>, supra</w:t>
      </w:r>
      <w:r>
        <w:rPr>
          <w:rFonts w:ascii="Verdana" w:hAnsi="Verdana" w:cs="Arial"/>
          <w:sz w:val="16"/>
          <w:szCs w:val="16"/>
          <w:lang w:val="es-CR"/>
        </w:rPr>
        <w:t>, párr. 225.</w:t>
      </w:r>
    </w:p>
  </w:footnote>
  <w:footnote w:id="309">
    <w:p w:rsidR="0081535F" w:rsidRPr="00671862" w:rsidRDefault="0081535F" w:rsidP="00422232">
      <w:pPr>
        <w:pStyle w:val="Textonotapie"/>
        <w:spacing w:line="19" w:lineRule="atLeast"/>
        <w:ind w:left="-180" w:right="-174"/>
        <w:jc w:val="both"/>
        <w:rPr>
          <w:rFonts w:ascii="Verdana" w:hAnsi="Verdana" w:cs="Arial"/>
          <w:sz w:val="16"/>
          <w:szCs w:val="16"/>
          <w:lang w:val="es-CR"/>
        </w:rPr>
      </w:pPr>
      <w:r w:rsidRPr="003622B1">
        <w:rPr>
          <w:rStyle w:val="Refdenotaalpie"/>
          <w:rFonts w:ascii="Verdana" w:hAnsi="Verdana"/>
          <w:sz w:val="16"/>
          <w:szCs w:val="16"/>
        </w:rPr>
        <w:footnoteRef/>
      </w:r>
      <w:r w:rsidRPr="003622B1">
        <w:rPr>
          <w:rFonts w:ascii="Verdana" w:hAnsi="Verdana"/>
          <w:sz w:val="16"/>
          <w:szCs w:val="16"/>
          <w:lang w:val="es-CR"/>
        </w:rPr>
        <w:t xml:space="preserve"> </w:t>
      </w:r>
      <w:r w:rsidRPr="003622B1">
        <w:rPr>
          <w:rFonts w:ascii="Verdana" w:hAnsi="Verdana" w:cs="Arial"/>
          <w:i/>
          <w:iCs/>
          <w:sz w:val="16"/>
          <w:szCs w:val="16"/>
          <w:lang w:val="es-CR"/>
        </w:rPr>
        <w:t xml:space="preserve">Cfr. </w:t>
      </w:r>
      <w:r w:rsidRPr="00671862">
        <w:rPr>
          <w:rFonts w:ascii="Verdana" w:hAnsi="Verdana" w:cs="Arial"/>
          <w:i/>
          <w:iCs/>
          <w:sz w:val="16"/>
          <w:szCs w:val="16"/>
          <w:lang w:val="es-CR"/>
        </w:rPr>
        <w:t>Condición Jurídica y Derechos de los Migrantes Indocumentados</w:t>
      </w:r>
      <w:r>
        <w:rPr>
          <w:rFonts w:ascii="Verdana" w:hAnsi="Verdana" w:cs="Arial"/>
          <w:i/>
          <w:iCs/>
          <w:sz w:val="16"/>
          <w:szCs w:val="16"/>
          <w:lang w:val="es-CR"/>
        </w:rPr>
        <w:t>, supra</w:t>
      </w:r>
      <w:r w:rsidRPr="00671862">
        <w:rPr>
          <w:rFonts w:ascii="Verdana" w:hAnsi="Verdana" w:cs="Arial"/>
          <w:sz w:val="16"/>
          <w:szCs w:val="16"/>
          <w:lang w:val="es-CR"/>
        </w:rPr>
        <w:t>,</w:t>
      </w:r>
      <w:r w:rsidRPr="003622B1">
        <w:rPr>
          <w:rFonts w:ascii="Verdana" w:hAnsi="Verdana" w:cs="Arial"/>
          <w:sz w:val="16"/>
          <w:szCs w:val="16"/>
          <w:lang w:val="es-CR"/>
        </w:rPr>
        <w:t xml:space="preserve"> párr. 103</w:t>
      </w:r>
      <w:r>
        <w:rPr>
          <w:rFonts w:ascii="Verdana" w:hAnsi="Verdana" w:cs="Arial"/>
          <w:sz w:val="16"/>
          <w:szCs w:val="16"/>
          <w:lang w:val="es-CR"/>
        </w:rPr>
        <w:t xml:space="preserve">, y </w:t>
      </w:r>
      <w:r w:rsidRPr="003622B1">
        <w:rPr>
          <w:rFonts w:ascii="Verdana" w:hAnsi="Verdana" w:cs="Arial"/>
          <w:i/>
          <w:sz w:val="16"/>
          <w:szCs w:val="16"/>
          <w:lang w:val="es-CR"/>
        </w:rPr>
        <w:t>Caso Nadege Dorzema y otros</w:t>
      </w:r>
      <w:r>
        <w:rPr>
          <w:rFonts w:ascii="Verdana" w:hAnsi="Verdana" w:cs="Arial"/>
          <w:i/>
          <w:sz w:val="16"/>
          <w:szCs w:val="16"/>
          <w:lang w:val="es-CR"/>
        </w:rPr>
        <w:t>, supra</w:t>
      </w:r>
      <w:r>
        <w:rPr>
          <w:rFonts w:ascii="Verdana" w:hAnsi="Verdana" w:cs="Arial"/>
          <w:sz w:val="16"/>
          <w:szCs w:val="16"/>
          <w:lang w:val="es-CR"/>
        </w:rPr>
        <w:t>, párr. 236.</w:t>
      </w:r>
    </w:p>
  </w:footnote>
  <w:footnote w:id="310">
    <w:p w:rsidR="0081535F" w:rsidRPr="00671862" w:rsidRDefault="0081535F" w:rsidP="00422232">
      <w:pPr>
        <w:pStyle w:val="Textonotapie"/>
        <w:spacing w:line="19" w:lineRule="atLeast"/>
        <w:ind w:left="-180" w:right="-174"/>
        <w:jc w:val="both"/>
        <w:rPr>
          <w:rFonts w:ascii="Verdana" w:hAnsi="Verdana" w:cs="Arial"/>
          <w:sz w:val="16"/>
          <w:szCs w:val="16"/>
          <w:lang w:val="es-CR"/>
        </w:rPr>
      </w:pPr>
      <w:r w:rsidRPr="003622B1">
        <w:rPr>
          <w:rStyle w:val="Refdenotaalpie"/>
          <w:rFonts w:ascii="Verdana" w:hAnsi="Verdana"/>
          <w:sz w:val="16"/>
          <w:szCs w:val="16"/>
        </w:rPr>
        <w:footnoteRef/>
      </w:r>
      <w:r w:rsidRPr="003622B1">
        <w:rPr>
          <w:rFonts w:ascii="Verdana" w:hAnsi="Verdana"/>
          <w:sz w:val="16"/>
          <w:szCs w:val="16"/>
          <w:lang w:val="es-CR"/>
        </w:rPr>
        <w:t xml:space="preserve"> </w:t>
      </w:r>
      <w:r w:rsidRPr="003622B1">
        <w:rPr>
          <w:rFonts w:ascii="Verdana" w:hAnsi="Verdana" w:cs="Arial"/>
          <w:i/>
          <w:iCs/>
          <w:sz w:val="16"/>
          <w:szCs w:val="16"/>
          <w:lang w:val="es-CR"/>
        </w:rPr>
        <w:t>Cfr</w:t>
      </w:r>
      <w:r w:rsidRPr="003622B1">
        <w:rPr>
          <w:rFonts w:ascii="Verdana" w:hAnsi="Verdana" w:cs="Arial"/>
          <w:sz w:val="16"/>
          <w:szCs w:val="16"/>
          <w:lang w:val="es-CR"/>
        </w:rPr>
        <w:t xml:space="preserve">. </w:t>
      </w:r>
      <w:r w:rsidRPr="003622B1">
        <w:rPr>
          <w:rFonts w:ascii="Verdana" w:hAnsi="Verdana" w:cs="Arial"/>
          <w:i/>
          <w:sz w:val="16"/>
          <w:szCs w:val="16"/>
          <w:lang w:val="es-CR"/>
        </w:rPr>
        <w:t>Condición Jurídica y Derechos de los Migrantes Indocumentados</w:t>
      </w:r>
      <w:r>
        <w:rPr>
          <w:rFonts w:ascii="Verdana" w:hAnsi="Verdana" w:cs="Arial"/>
          <w:i/>
          <w:sz w:val="16"/>
          <w:szCs w:val="16"/>
          <w:lang w:val="es-CR"/>
        </w:rPr>
        <w:t>, supra</w:t>
      </w:r>
      <w:r>
        <w:rPr>
          <w:rFonts w:ascii="Verdana" w:hAnsi="Verdana" w:cs="Arial"/>
          <w:sz w:val="16"/>
          <w:szCs w:val="16"/>
          <w:lang w:val="es-CR"/>
        </w:rPr>
        <w:t xml:space="preserve">, </w:t>
      </w:r>
      <w:r w:rsidRPr="003622B1">
        <w:rPr>
          <w:rFonts w:ascii="Verdana" w:hAnsi="Verdana" w:cs="Arial"/>
          <w:sz w:val="16"/>
          <w:szCs w:val="16"/>
          <w:lang w:val="es-CR"/>
        </w:rPr>
        <w:t xml:space="preserve">párr. 104, y </w:t>
      </w:r>
      <w:r>
        <w:rPr>
          <w:rFonts w:ascii="Verdana" w:hAnsi="Verdana" w:cs="Arial"/>
          <w:sz w:val="16"/>
          <w:szCs w:val="16"/>
          <w:lang w:val="es-CR"/>
        </w:rPr>
        <w:t xml:space="preserve"> </w:t>
      </w:r>
      <w:r w:rsidRPr="003622B1">
        <w:rPr>
          <w:rFonts w:ascii="Verdana" w:hAnsi="Verdana" w:cs="Arial"/>
          <w:i/>
          <w:sz w:val="16"/>
          <w:szCs w:val="16"/>
          <w:lang w:val="es-CR"/>
        </w:rPr>
        <w:t>Caso Nadege Dorzema y otros</w:t>
      </w:r>
      <w:r>
        <w:rPr>
          <w:rFonts w:ascii="Verdana" w:hAnsi="Verdana" w:cs="Arial"/>
          <w:i/>
          <w:sz w:val="16"/>
          <w:szCs w:val="16"/>
          <w:lang w:val="es-CR"/>
        </w:rPr>
        <w:t>, supra</w:t>
      </w:r>
      <w:r>
        <w:rPr>
          <w:rFonts w:ascii="Verdana" w:hAnsi="Verdana" w:cs="Arial"/>
          <w:sz w:val="16"/>
          <w:szCs w:val="16"/>
          <w:lang w:val="es-CR"/>
        </w:rPr>
        <w:t>, párr. 236.</w:t>
      </w:r>
    </w:p>
  </w:footnote>
  <w:footnote w:id="311">
    <w:p w:rsidR="0081535F" w:rsidRPr="00671862" w:rsidRDefault="0081535F" w:rsidP="00422232">
      <w:pPr>
        <w:pStyle w:val="Textonotapie"/>
        <w:spacing w:line="19" w:lineRule="atLeast"/>
        <w:ind w:left="-180" w:right="-174"/>
        <w:jc w:val="both"/>
        <w:rPr>
          <w:rFonts w:ascii="Verdana" w:hAnsi="Verdana"/>
          <w:sz w:val="16"/>
          <w:szCs w:val="16"/>
          <w:lang w:val="fr-FR"/>
        </w:rPr>
      </w:pPr>
      <w:r w:rsidRPr="003622B1">
        <w:rPr>
          <w:rStyle w:val="Refdenotaalpie"/>
          <w:rFonts w:ascii="Verdana" w:hAnsi="Verdana"/>
          <w:sz w:val="16"/>
          <w:szCs w:val="16"/>
        </w:rPr>
        <w:footnoteRef/>
      </w:r>
      <w:r w:rsidRPr="003622B1">
        <w:rPr>
          <w:rFonts w:ascii="Verdana" w:hAnsi="Verdana"/>
          <w:sz w:val="16"/>
          <w:szCs w:val="16"/>
          <w:lang w:val="es-CR"/>
        </w:rPr>
        <w:t xml:space="preserve"> </w:t>
      </w:r>
      <w:r>
        <w:rPr>
          <w:rFonts w:ascii="Verdana" w:hAnsi="Verdana"/>
          <w:i/>
          <w:sz w:val="16"/>
          <w:szCs w:val="16"/>
          <w:lang w:val="es-CR"/>
        </w:rPr>
        <w:t xml:space="preserve">Cfr. </w:t>
      </w:r>
      <w:r w:rsidRPr="00A078A1">
        <w:rPr>
          <w:rFonts w:ascii="Verdana" w:hAnsi="Verdana"/>
          <w:i/>
          <w:sz w:val="16"/>
          <w:szCs w:val="16"/>
          <w:lang w:val="es-CR"/>
        </w:rPr>
        <w:t>Caso del Penal Miguel Castro Castro</w:t>
      </w:r>
      <w:r>
        <w:rPr>
          <w:rFonts w:ascii="Verdana" w:hAnsi="Verdana"/>
          <w:i/>
          <w:sz w:val="16"/>
          <w:szCs w:val="16"/>
          <w:lang w:val="es-CR"/>
        </w:rPr>
        <w:t xml:space="preserve">, supra, </w:t>
      </w:r>
      <w:r>
        <w:rPr>
          <w:rFonts w:ascii="Verdana" w:hAnsi="Verdana"/>
          <w:sz w:val="16"/>
          <w:szCs w:val="16"/>
          <w:lang w:val="fr-FR"/>
        </w:rPr>
        <w:t>párr. 303, y</w:t>
      </w:r>
      <w:r w:rsidRPr="003622B1">
        <w:rPr>
          <w:rFonts w:ascii="Verdana" w:hAnsi="Verdana"/>
          <w:sz w:val="16"/>
          <w:szCs w:val="16"/>
          <w:lang w:val="fr-FR"/>
        </w:rPr>
        <w:t xml:space="preserve"> </w:t>
      </w:r>
      <w:r w:rsidRPr="00A078A1">
        <w:rPr>
          <w:rFonts w:ascii="Verdana" w:hAnsi="Verdana"/>
          <w:i/>
          <w:sz w:val="16"/>
          <w:szCs w:val="16"/>
          <w:lang w:val="es-CR"/>
        </w:rPr>
        <w:t>Caso González y otras (“Campo Algodonero”)</w:t>
      </w:r>
      <w:r>
        <w:rPr>
          <w:rFonts w:ascii="Verdana" w:hAnsi="Verdana"/>
          <w:i/>
          <w:sz w:val="16"/>
          <w:szCs w:val="16"/>
          <w:lang w:val="es-CR"/>
        </w:rPr>
        <w:t xml:space="preserve">, supra, </w:t>
      </w:r>
      <w:r w:rsidRPr="003622B1">
        <w:rPr>
          <w:rFonts w:ascii="Verdana" w:hAnsi="Verdana"/>
          <w:sz w:val="16"/>
          <w:szCs w:val="16"/>
          <w:lang w:val="es-CR"/>
        </w:rPr>
        <w:t>párrs. 394</w:t>
      </w:r>
      <w:r>
        <w:rPr>
          <w:rFonts w:ascii="Verdana" w:hAnsi="Verdana"/>
          <w:sz w:val="16"/>
          <w:szCs w:val="16"/>
          <w:lang w:val="es-CR"/>
        </w:rPr>
        <w:t xml:space="preserve"> a 402. Ver también,</w:t>
      </w:r>
      <w:r w:rsidRPr="003622B1">
        <w:rPr>
          <w:rFonts w:ascii="Verdana" w:hAnsi="Verdana"/>
          <w:sz w:val="16"/>
          <w:szCs w:val="16"/>
          <w:lang w:val="es-CR"/>
        </w:rPr>
        <w:t xml:space="preserve"> </w:t>
      </w:r>
      <w:r w:rsidRPr="003622B1">
        <w:rPr>
          <w:rFonts w:ascii="Verdana" w:hAnsi="Verdana"/>
          <w:sz w:val="16"/>
          <w:szCs w:val="16"/>
          <w:lang w:val="fr-FR"/>
        </w:rPr>
        <w:t xml:space="preserve">TEDH, </w:t>
      </w:r>
      <w:r w:rsidRPr="003622B1">
        <w:rPr>
          <w:rFonts w:ascii="Verdana" w:hAnsi="Verdana"/>
          <w:i/>
          <w:sz w:val="16"/>
          <w:szCs w:val="16"/>
          <w:lang w:val="fr-FR"/>
        </w:rPr>
        <w:t xml:space="preserve">Opuz Vs. Turquía, </w:t>
      </w:r>
      <w:r w:rsidRPr="003622B1">
        <w:rPr>
          <w:rFonts w:ascii="Verdana" w:hAnsi="Verdana"/>
          <w:sz w:val="16"/>
          <w:szCs w:val="16"/>
          <w:lang w:val="fr-FR"/>
        </w:rPr>
        <w:t>sentencia de</w:t>
      </w:r>
      <w:r>
        <w:rPr>
          <w:rFonts w:ascii="Verdana" w:hAnsi="Verdana"/>
          <w:sz w:val="16"/>
          <w:szCs w:val="16"/>
          <w:lang w:val="fr-FR"/>
        </w:rPr>
        <w:t xml:space="preserve"> 9 de junio de 2009, párr. 200, y</w:t>
      </w:r>
      <w:r w:rsidRPr="003622B1">
        <w:rPr>
          <w:rFonts w:ascii="Verdana" w:hAnsi="Verdana"/>
          <w:sz w:val="16"/>
          <w:szCs w:val="16"/>
          <w:lang w:val="fr-FR"/>
        </w:rPr>
        <w:t xml:space="preserve"> </w:t>
      </w:r>
      <w:r>
        <w:rPr>
          <w:rFonts w:ascii="Verdana" w:hAnsi="Verdana"/>
          <w:sz w:val="16"/>
          <w:szCs w:val="16"/>
          <w:lang w:val="fr-FR"/>
        </w:rPr>
        <w:t>CEDAW, Recomendación General 19</w:t>
      </w:r>
      <w:r w:rsidRPr="003622B1">
        <w:rPr>
          <w:rFonts w:ascii="Verdana" w:hAnsi="Verdana"/>
          <w:sz w:val="16"/>
          <w:szCs w:val="16"/>
          <w:lang w:val="fr-FR"/>
        </w:rPr>
        <w:t>: La Violencia contra la Mujer (1992), párr</w:t>
      </w:r>
      <w:r>
        <w:rPr>
          <w:rFonts w:ascii="Verdana" w:hAnsi="Verdana"/>
          <w:sz w:val="16"/>
          <w:szCs w:val="16"/>
          <w:lang w:val="fr-FR"/>
        </w:rPr>
        <w:t>s</w:t>
      </w:r>
      <w:r w:rsidRPr="003622B1">
        <w:rPr>
          <w:rFonts w:ascii="Verdana" w:hAnsi="Verdana"/>
          <w:sz w:val="16"/>
          <w:szCs w:val="16"/>
          <w:lang w:val="fr-FR"/>
        </w:rPr>
        <w:t xml:space="preserve">. 1 y 6. </w:t>
      </w:r>
    </w:p>
  </w:footnote>
  <w:footnote w:id="312">
    <w:p w:rsidR="0081535F" w:rsidRPr="00F53694" w:rsidRDefault="0081535F" w:rsidP="00422232">
      <w:pPr>
        <w:pStyle w:val="Textonotapie"/>
        <w:spacing w:line="19" w:lineRule="atLeast"/>
        <w:ind w:left="-180" w:right="-174"/>
        <w:jc w:val="both"/>
        <w:rPr>
          <w:rFonts w:ascii="Verdana" w:hAnsi="Verdana"/>
          <w:sz w:val="16"/>
          <w:szCs w:val="16"/>
          <w:lang w:val="es-CR"/>
        </w:rPr>
      </w:pPr>
      <w:r w:rsidRPr="003622B1">
        <w:rPr>
          <w:rStyle w:val="Refdenotaalpie"/>
          <w:rFonts w:ascii="Verdana" w:hAnsi="Verdana"/>
          <w:sz w:val="16"/>
          <w:szCs w:val="16"/>
        </w:rPr>
        <w:footnoteRef/>
      </w:r>
      <w:r w:rsidRPr="003622B1">
        <w:rPr>
          <w:rFonts w:ascii="Verdana" w:hAnsi="Verdana"/>
          <w:sz w:val="16"/>
          <w:szCs w:val="16"/>
          <w:lang w:val="es-CR"/>
        </w:rPr>
        <w:t xml:space="preserve"> Preámbulo del Convenio</w:t>
      </w:r>
      <w:r>
        <w:rPr>
          <w:rFonts w:ascii="Verdana" w:hAnsi="Verdana"/>
          <w:sz w:val="16"/>
          <w:szCs w:val="16"/>
          <w:lang w:val="es-CR"/>
        </w:rPr>
        <w:t xml:space="preserve"> del Consejo de Europa sobre prevención y lucha contra la violencia contra las mujeres y la violencia doméstica. (Estambul, 2011)</w:t>
      </w:r>
      <w:r w:rsidRPr="003622B1">
        <w:rPr>
          <w:rFonts w:ascii="Verdana" w:hAnsi="Verdana"/>
          <w:sz w:val="16"/>
          <w:szCs w:val="16"/>
          <w:lang w:val="es-CR"/>
        </w:rPr>
        <w:t xml:space="preserve">. Este Convenio no ha entrado todavía en vigor, por falta de ratificaciones (se necesitan 10 ratificaciones). </w:t>
      </w:r>
    </w:p>
  </w:footnote>
  <w:footnote w:id="313">
    <w:p w:rsidR="0081535F" w:rsidRPr="00F53694" w:rsidRDefault="0081535F" w:rsidP="00422232">
      <w:pPr>
        <w:pStyle w:val="Textonotapie"/>
        <w:spacing w:line="19" w:lineRule="atLeast"/>
        <w:ind w:left="-180" w:right="-174"/>
        <w:jc w:val="both"/>
        <w:rPr>
          <w:rFonts w:ascii="Verdana" w:hAnsi="Verdana"/>
          <w:sz w:val="16"/>
          <w:szCs w:val="16"/>
          <w:lang w:val="es-CR"/>
        </w:rPr>
      </w:pPr>
      <w:r w:rsidRPr="003622B1">
        <w:rPr>
          <w:rStyle w:val="Refdenotaalpie"/>
          <w:rFonts w:ascii="Verdana" w:hAnsi="Verdana"/>
          <w:sz w:val="16"/>
          <w:szCs w:val="16"/>
        </w:rPr>
        <w:footnoteRef/>
      </w:r>
      <w:r w:rsidRPr="003622B1">
        <w:rPr>
          <w:rFonts w:ascii="Verdana" w:hAnsi="Verdana"/>
          <w:sz w:val="16"/>
          <w:szCs w:val="16"/>
          <w:lang w:val="es-CR"/>
        </w:rPr>
        <w:t xml:space="preserve"> </w:t>
      </w:r>
      <w:r>
        <w:rPr>
          <w:rFonts w:ascii="Verdana" w:hAnsi="Verdana"/>
          <w:i/>
          <w:sz w:val="16"/>
          <w:szCs w:val="16"/>
          <w:lang w:val="es-CR"/>
        </w:rPr>
        <w:t xml:space="preserve">Cfr. </w:t>
      </w:r>
      <w:r w:rsidRPr="00F53694">
        <w:rPr>
          <w:rFonts w:ascii="Verdana" w:hAnsi="Verdana"/>
          <w:i/>
          <w:sz w:val="16"/>
          <w:szCs w:val="16"/>
          <w:lang w:val="es-CR"/>
        </w:rPr>
        <w:t>Caso González y otras (“Campo Algodonero”)</w:t>
      </w:r>
      <w:r>
        <w:rPr>
          <w:rFonts w:ascii="Verdana" w:hAnsi="Verdana"/>
          <w:i/>
          <w:sz w:val="16"/>
          <w:szCs w:val="16"/>
          <w:lang w:val="es-CR"/>
        </w:rPr>
        <w:t>, supra</w:t>
      </w:r>
      <w:r w:rsidRPr="003622B1">
        <w:rPr>
          <w:rFonts w:ascii="Verdana" w:hAnsi="Verdana"/>
          <w:i/>
          <w:sz w:val="16"/>
          <w:szCs w:val="16"/>
          <w:lang w:val="es-CR"/>
        </w:rPr>
        <w:t xml:space="preserve">, </w:t>
      </w:r>
      <w:r w:rsidRPr="003622B1">
        <w:rPr>
          <w:rFonts w:ascii="Verdana" w:hAnsi="Verdana"/>
          <w:sz w:val="16"/>
          <w:szCs w:val="16"/>
          <w:lang w:val="es-CR"/>
        </w:rPr>
        <w:t>párr</w:t>
      </w:r>
      <w:r>
        <w:rPr>
          <w:rFonts w:ascii="Verdana" w:hAnsi="Verdana"/>
          <w:sz w:val="16"/>
          <w:szCs w:val="16"/>
          <w:lang w:val="es-CR"/>
        </w:rPr>
        <w:t>s</w:t>
      </w:r>
      <w:r w:rsidRPr="003622B1">
        <w:rPr>
          <w:rFonts w:ascii="Verdana" w:hAnsi="Verdana"/>
          <w:sz w:val="16"/>
          <w:szCs w:val="16"/>
          <w:lang w:val="es-CR"/>
        </w:rPr>
        <w:t>. 388 y 400.</w:t>
      </w:r>
    </w:p>
  </w:footnote>
  <w:footnote w:id="314">
    <w:p w:rsidR="0081535F" w:rsidRPr="00F53694" w:rsidRDefault="0081535F" w:rsidP="00422232">
      <w:pPr>
        <w:pStyle w:val="Textonotapie"/>
        <w:spacing w:line="19" w:lineRule="atLeast"/>
        <w:ind w:left="-180" w:right="-174"/>
        <w:jc w:val="both"/>
        <w:rPr>
          <w:rFonts w:ascii="Verdana" w:hAnsi="Verdana"/>
          <w:sz w:val="16"/>
          <w:szCs w:val="16"/>
          <w:lang w:val="es-CR"/>
        </w:rPr>
      </w:pPr>
      <w:r w:rsidRPr="003622B1">
        <w:rPr>
          <w:rStyle w:val="Refdenotaalpie"/>
          <w:rFonts w:ascii="Verdana" w:hAnsi="Verdana"/>
          <w:sz w:val="16"/>
          <w:szCs w:val="16"/>
        </w:rPr>
        <w:footnoteRef/>
      </w:r>
      <w:r w:rsidRPr="003622B1">
        <w:rPr>
          <w:rFonts w:ascii="Verdana" w:hAnsi="Verdana"/>
          <w:sz w:val="16"/>
          <w:szCs w:val="16"/>
          <w:lang w:val="es-CR"/>
        </w:rPr>
        <w:t xml:space="preserve"> </w:t>
      </w:r>
      <w:r>
        <w:rPr>
          <w:rFonts w:ascii="Verdana" w:hAnsi="Verdana"/>
          <w:i/>
          <w:sz w:val="16"/>
          <w:szCs w:val="16"/>
          <w:lang w:val="es-CR"/>
        </w:rPr>
        <w:t xml:space="preserve">Cfr. </w:t>
      </w:r>
      <w:r w:rsidRPr="00F53694">
        <w:rPr>
          <w:rFonts w:ascii="Verdana" w:hAnsi="Verdana"/>
          <w:i/>
          <w:sz w:val="16"/>
          <w:szCs w:val="16"/>
          <w:lang w:val="es-CR"/>
        </w:rPr>
        <w:t>Caso González y otras (“Campo Algodonero”)</w:t>
      </w:r>
      <w:r>
        <w:rPr>
          <w:rFonts w:ascii="Verdana" w:hAnsi="Verdana"/>
          <w:i/>
          <w:sz w:val="16"/>
          <w:szCs w:val="16"/>
          <w:lang w:val="es-CR"/>
        </w:rPr>
        <w:t>, supra</w:t>
      </w:r>
      <w:r w:rsidRPr="003622B1">
        <w:rPr>
          <w:rFonts w:ascii="Verdana" w:hAnsi="Verdana"/>
          <w:i/>
          <w:sz w:val="16"/>
          <w:szCs w:val="16"/>
          <w:lang w:val="es-CR"/>
        </w:rPr>
        <w:t>,</w:t>
      </w:r>
      <w:r>
        <w:rPr>
          <w:rFonts w:ascii="Verdana" w:hAnsi="Verdana"/>
          <w:sz w:val="16"/>
          <w:szCs w:val="16"/>
          <w:lang w:val="es-CR"/>
        </w:rPr>
        <w:t xml:space="preserve"> y</w:t>
      </w:r>
      <w:r>
        <w:rPr>
          <w:rFonts w:ascii="Verdana" w:hAnsi="Verdana"/>
          <w:i/>
          <w:sz w:val="16"/>
          <w:szCs w:val="16"/>
          <w:lang w:val="es-CR"/>
        </w:rPr>
        <w:t xml:space="preserve"> </w:t>
      </w:r>
      <w:r w:rsidRPr="006B7B23">
        <w:rPr>
          <w:rFonts w:ascii="Verdana" w:hAnsi="Verdana"/>
          <w:sz w:val="16"/>
          <w:szCs w:val="16"/>
          <w:lang w:val="es-CR"/>
        </w:rPr>
        <w:t>Programa de las Naciones Unidas para el Desarrollo</w:t>
      </w:r>
      <w:r>
        <w:rPr>
          <w:rFonts w:ascii="Verdana" w:hAnsi="Verdana"/>
          <w:sz w:val="16"/>
          <w:szCs w:val="16"/>
          <w:lang w:val="es-CR"/>
        </w:rPr>
        <w:t xml:space="preserve">, </w:t>
      </w:r>
      <w:r w:rsidRPr="00C20142">
        <w:rPr>
          <w:rFonts w:ascii="Verdana" w:hAnsi="Verdana"/>
          <w:i/>
          <w:sz w:val="16"/>
          <w:szCs w:val="16"/>
          <w:lang w:val="es-CR"/>
        </w:rPr>
        <w:t>supra</w:t>
      </w:r>
      <w:r>
        <w:rPr>
          <w:rFonts w:ascii="Verdana" w:hAnsi="Verdana"/>
          <w:sz w:val="16"/>
          <w:szCs w:val="16"/>
          <w:lang w:val="es-CR"/>
        </w:rPr>
        <w:t>,</w:t>
      </w:r>
      <w:r w:rsidRPr="006B7B23">
        <w:rPr>
          <w:rFonts w:ascii="Verdana" w:hAnsi="Verdana"/>
          <w:sz w:val="16"/>
          <w:szCs w:val="16"/>
          <w:lang w:val="es-CR"/>
        </w:rPr>
        <w:t xml:space="preserve"> </w:t>
      </w:r>
      <w:r w:rsidRPr="003622B1">
        <w:rPr>
          <w:rFonts w:ascii="Verdana" w:hAnsi="Verdana"/>
          <w:sz w:val="16"/>
          <w:szCs w:val="16"/>
          <w:lang w:val="es-CR"/>
        </w:rPr>
        <w:t>párr. 400.</w:t>
      </w:r>
      <w:r>
        <w:rPr>
          <w:rFonts w:ascii="Verdana" w:hAnsi="Verdana"/>
          <w:sz w:val="16"/>
          <w:szCs w:val="16"/>
          <w:lang w:val="es-CR"/>
        </w:rPr>
        <w:t xml:space="preserve"> </w:t>
      </w:r>
    </w:p>
  </w:footnote>
  <w:footnote w:id="315">
    <w:p w:rsidR="0081535F" w:rsidRPr="00E74BC1" w:rsidRDefault="0081535F" w:rsidP="00422232">
      <w:pPr>
        <w:pStyle w:val="Textonotapie"/>
        <w:ind w:left="-180" w:right="-174"/>
        <w:jc w:val="both"/>
        <w:rPr>
          <w:rFonts w:ascii="Verdana" w:hAnsi="Verdana"/>
          <w:b/>
          <w:sz w:val="16"/>
          <w:szCs w:val="16"/>
        </w:rPr>
      </w:pPr>
      <w:r w:rsidRPr="003622B1">
        <w:rPr>
          <w:rStyle w:val="Refdenotaalpie"/>
          <w:rFonts w:ascii="Verdana" w:hAnsi="Verdana"/>
          <w:sz w:val="16"/>
          <w:szCs w:val="16"/>
        </w:rPr>
        <w:footnoteRef/>
      </w:r>
      <w:r w:rsidRPr="003622B1">
        <w:rPr>
          <w:rFonts w:ascii="Verdana" w:hAnsi="Verdana"/>
          <w:sz w:val="16"/>
          <w:szCs w:val="16"/>
          <w:lang w:val="es-CR"/>
        </w:rPr>
        <w:t xml:space="preserve"> </w:t>
      </w:r>
      <w:r w:rsidRPr="003622B1">
        <w:rPr>
          <w:rFonts w:ascii="Verdana" w:hAnsi="Verdana"/>
          <w:sz w:val="16"/>
          <w:szCs w:val="16"/>
          <w:lang w:val="fr-FR"/>
        </w:rPr>
        <w:t xml:space="preserve">El artículo 54 del Convenio del Consejo de Europa sobre prevención y lucha contra la violencia contra las mujeres y la violencia doméstica establece que </w:t>
      </w:r>
      <w:r>
        <w:rPr>
          <w:rFonts w:ascii="Verdana" w:hAnsi="Verdana"/>
          <w:sz w:val="16"/>
          <w:szCs w:val="16"/>
          <w:lang w:val="es-CR"/>
        </w:rPr>
        <w:t>“</w:t>
      </w:r>
      <w:r w:rsidRPr="003622B1">
        <w:rPr>
          <w:rFonts w:ascii="Verdana" w:hAnsi="Verdana"/>
          <w:sz w:val="16"/>
          <w:szCs w:val="16"/>
          <w:lang w:val="fr-FR"/>
        </w:rPr>
        <w:t>las Partes adoptarán las medidas legislativas o de otro tipo necesarias para que en cualquier procedimiento, civil o penal, las pruebas relativas a los antecedentes sexuales y al comportamiento de la víctima no sean admitidas salvo que sea pertinente y necesario</w:t>
      </w:r>
      <w:r w:rsidRPr="00F53694">
        <w:rPr>
          <w:rFonts w:ascii="Verdana" w:hAnsi="Verdana"/>
          <w:i/>
          <w:sz w:val="16"/>
          <w:szCs w:val="16"/>
          <w:lang w:val="es-CR"/>
        </w:rPr>
        <w:t>”</w:t>
      </w:r>
      <w:r>
        <w:rPr>
          <w:rFonts w:ascii="Verdana" w:hAnsi="Verdana"/>
          <w:i/>
          <w:sz w:val="16"/>
          <w:szCs w:val="16"/>
          <w:lang w:val="es-CR"/>
        </w:rPr>
        <w:t>.</w:t>
      </w:r>
      <w:r>
        <w:rPr>
          <w:rFonts w:ascii="Verdana" w:hAnsi="Verdana"/>
          <w:sz w:val="16"/>
          <w:szCs w:val="16"/>
          <w:lang w:val="fr-FR"/>
        </w:rPr>
        <w:t xml:space="preserve"> </w:t>
      </w:r>
      <w:r w:rsidRPr="003622B1">
        <w:rPr>
          <w:rFonts w:ascii="Verdana" w:hAnsi="Verdana"/>
          <w:sz w:val="16"/>
          <w:szCs w:val="16"/>
          <w:lang w:val="fr-FR"/>
        </w:rPr>
        <w:t xml:space="preserve">Las Reglas de Procedimiento y Prueba de la Corte Penal Internacional se han pronunciado también sobre la importancia de no inferir consentimiento por parte de la víctima en casos de violencia sexual. Así, por ejemplo, </w:t>
      </w:r>
      <w:r w:rsidRPr="00F53694">
        <w:rPr>
          <w:rFonts w:ascii="Verdana" w:hAnsi="Verdana"/>
          <w:i/>
          <w:sz w:val="16"/>
          <w:szCs w:val="16"/>
          <w:lang w:val="es-CR"/>
        </w:rPr>
        <w:t>“</w:t>
      </w:r>
      <w:r w:rsidRPr="003622B1">
        <w:rPr>
          <w:rFonts w:ascii="Verdana" w:hAnsi="Verdana"/>
          <w:sz w:val="16"/>
          <w:szCs w:val="16"/>
          <w:lang w:val="fr-FR"/>
        </w:rPr>
        <w:t>la credibilidad, la honorabilidad o la disponibilidad sexual de la víctima o de un testigo no podrán inferirse de la naturaleza sexual del comportamiento anterior o posterior de la víctima o de un testigo</w:t>
      </w:r>
      <w:r w:rsidRPr="00F53694">
        <w:rPr>
          <w:rFonts w:ascii="Verdana" w:hAnsi="Verdana"/>
          <w:i/>
          <w:sz w:val="16"/>
          <w:szCs w:val="16"/>
          <w:lang w:val="es-CR"/>
        </w:rPr>
        <w:t>”</w:t>
      </w:r>
      <w:r>
        <w:rPr>
          <w:rFonts w:ascii="Verdana" w:hAnsi="Verdana"/>
          <w:sz w:val="16"/>
          <w:szCs w:val="16"/>
          <w:lang w:val="fr-FR"/>
        </w:rPr>
        <w:t xml:space="preserve"> y</w:t>
      </w:r>
      <w:r w:rsidRPr="003622B1">
        <w:rPr>
          <w:rFonts w:ascii="Verdana" w:hAnsi="Verdana"/>
          <w:sz w:val="16"/>
          <w:szCs w:val="16"/>
          <w:lang w:val="fr-FR"/>
        </w:rPr>
        <w:t xml:space="preserve"> </w:t>
      </w:r>
      <w:r w:rsidRPr="00F53694">
        <w:rPr>
          <w:rFonts w:ascii="Verdana" w:hAnsi="Verdana"/>
          <w:i/>
          <w:sz w:val="16"/>
          <w:szCs w:val="16"/>
          <w:lang w:val="es-CR"/>
        </w:rPr>
        <w:t>“</w:t>
      </w:r>
      <w:r w:rsidRPr="003622B1">
        <w:rPr>
          <w:rFonts w:ascii="Verdana" w:hAnsi="Verdana"/>
          <w:sz w:val="16"/>
          <w:szCs w:val="16"/>
          <w:lang w:val="fr-FR"/>
        </w:rPr>
        <w:t>Son inadmisibles las evidencias de la conducta sexual previa de la víctima</w:t>
      </w:r>
      <w:r w:rsidRPr="00F53694">
        <w:rPr>
          <w:rFonts w:ascii="Verdana" w:hAnsi="Verdana"/>
          <w:i/>
          <w:sz w:val="16"/>
          <w:szCs w:val="16"/>
          <w:lang w:val="es-CR"/>
        </w:rPr>
        <w:t>”</w:t>
      </w:r>
      <w:r>
        <w:rPr>
          <w:rFonts w:ascii="Verdana" w:hAnsi="Verdana"/>
          <w:sz w:val="16"/>
          <w:szCs w:val="16"/>
          <w:lang w:val="fr-FR"/>
        </w:rPr>
        <w:t xml:space="preserve">. </w:t>
      </w:r>
      <w:r>
        <w:rPr>
          <w:rFonts w:ascii="Verdana" w:hAnsi="Verdana"/>
          <w:i/>
          <w:sz w:val="16"/>
          <w:szCs w:val="16"/>
          <w:lang w:val="fr-FR"/>
        </w:rPr>
        <w:t xml:space="preserve">Cfr. </w:t>
      </w:r>
      <w:r w:rsidRPr="00F53694">
        <w:rPr>
          <w:rFonts w:ascii="Verdana" w:hAnsi="Verdana"/>
          <w:sz w:val="16"/>
          <w:szCs w:val="16"/>
          <w:lang w:val="es-CR"/>
        </w:rPr>
        <w:t>Convenio</w:t>
      </w:r>
      <w:r>
        <w:rPr>
          <w:rFonts w:ascii="Verdana" w:hAnsi="Verdana"/>
          <w:sz w:val="16"/>
          <w:szCs w:val="16"/>
          <w:lang w:val="es-CR"/>
        </w:rPr>
        <w:t xml:space="preserve"> del Consejo de Europa sobre prevención y lucha contra la violencia contra las mujeres y la violencia doméstica, </w:t>
      </w:r>
      <w:r w:rsidRPr="00525912">
        <w:rPr>
          <w:rFonts w:ascii="Verdana" w:hAnsi="Verdana"/>
          <w:i/>
          <w:sz w:val="16"/>
          <w:szCs w:val="16"/>
          <w:lang w:val="es-CR"/>
        </w:rPr>
        <w:t>supra</w:t>
      </w:r>
      <w:r>
        <w:rPr>
          <w:rFonts w:ascii="Verdana" w:hAnsi="Verdana"/>
          <w:sz w:val="16"/>
          <w:szCs w:val="16"/>
          <w:lang w:val="es-CR"/>
        </w:rPr>
        <w:t>, art. 54.</w:t>
      </w:r>
    </w:p>
  </w:footnote>
  <w:footnote w:id="316">
    <w:p w:rsidR="0081535F" w:rsidRPr="00F53694" w:rsidRDefault="0081535F" w:rsidP="00422232">
      <w:pPr>
        <w:pStyle w:val="Textonotapie"/>
        <w:spacing w:line="19" w:lineRule="atLeast"/>
        <w:ind w:left="-180" w:right="-174"/>
        <w:jc w:val="both"/>
        <w:rPr>
          <w:rFonts w:ascii="Verdana" w:hAnsi="Verdana"/>
          <w:sz w:val="16"/>
          <w:szCs w:val="16"/>
          <w:lang w:val="es-CR"/>
        </w:rPr>
      </w:pPr>
      <w:r w:rsidRPr="003622B1">
        <w:rPr>
          <w:rStyle w:val="Refdenotaalpie"/>
          <w:rFonts w:ascii="Verdana" w:hAnsi="Verdana"/>
          <w:sz w:val="16"/>
          <w:szCs w:val="16"/>
        </w:rPr>
        <w:footnoteRef/>
      </w:r>
      <w:r w:rsidRPr="003622B1">
        <w:rPr>
          <w:rFonts w:ascii="Verdana" w:hAnsi="Verdana"/>
          <w:sz w:val="16"/>
          <w:szCs w:val="16"/>
        </w:rPr>
        <w:t xml:space="preserve"> </w:t>
      </w:r>
      <w:r w:rsidRPr="003622B1">
        <w:rPr>
          <w:rFonts w:ascii="Verdana" w:hAnsi="Verdana"/>
          <w:sz w:val="16"/>
          <w:szCs w:val="16"/>
          <w:lang w:val="es-CR"/>
        </w:rPr>
        <w:t>Ley contra el Femicidio y otras formas de Violencia contra la Mujer de 2008; Ley contra la Violencia Sexual, Explotación y Trata de Personas de 2009; creación de Juzgados y Tribunales con Competencia en Femicidio y otras Formas de Violencia contra la Mujer en 2010</w:t>
      </w:r>
      <w:r>
        <w:rPr>
          <w:rFonts w:ascii="Verdana" w:hAnsi="Verdana"/>
          <w:sz w:val="16"/>
          <w:szCs w:val="16"/>
          <w:lang w:val="es-CR"/>
        </w:rPr>
        <w:t>, y</w:t>
      </w:r>
      <w:r w:rsidRPr="003622B1">
        <w:rPr>
          <w:rFonts w:ascii="Verdana" w:hAnsi="Verdana"/>
          <w:sz w:val="16"/>
          <w:szCs w:val="16"/>
          <w:lang w:val="es-CR"/>
        </w:rPr>
        <w:t xml:space="preserve"> protocolos específicos para un correcto levantamiento de cadáveres (utilizados en el Instituto Nacional de Ciencias Forenses).</w:t>
      </w:r>
    </w:p>
  </w:footnote>
  <w:footnote w:id="317">
    <w:p w:rsidR="0081535F" w:rsidRDefault="0081535F" w:rsidP="00422232">
      <w:pPr>
        <w:pStyle w:val="Textonotapie"/>
        <w:ind w:left="-180" w:right="-174"/>
        <w:jc w:val="both"/>
        <w:rPr>
          <w:rFonts w:ascii="Verdana" w:hAnsi="Verdana"/>
          <w:sz w:val="16"/>
          <w:szCs w:val="16"/>
        </w:rPr>
      </w:pPr>
      <w:r w:rsidRPr="003622B1">
        <w:rPr>
          <w:rStyle w:val="Refdenotaalpie"/>
          <w:rFonts w:ascii="Verdana" w:hAnsi="Verdana"/>
          <w:sz w:val="16"/>
          <w:szCs w:val="16"/>
        </w:rPr>
        <w:footnoteRef/>
      </w:r>
      <w:r w:rsidRPr="003622B1">
        <w:rPr>
          <w:rFonts w:ascii="Verdana" w:hAnsi="Verdana"/>
          <w:sz w:val="16"/>
          <w:szCs w:val="16"/>
        </w:rPr>
        <w:t xml:space="preserve"> </w:t>
      </w:r>
      <w:r w:rsidRPr="003622B1">
        <w:rPr>
          <w:rFonts w:ascii="Verdana" w:hAnsi="Verdana"/>
          <w:i/>
          <w:sz w:val="16"/>
          <w:szCs w:val="16"/>
        </w:rPr>
        <w:t xml:space="preserve">Cfr. </w:t>
      </w:r>
      <w:r w:rsidRPr="003622B1">
        <w:rPr>
          <w:rFonts w:ascii="Verdana" w:hAnsi="Verdana"/>
          <w:sz w:val="16"/>
          <w:szCs w:val="16"/>
        </w:rPr>
        <w:t>Escrito de Rosa Elvira Franco Sandoval dirigido a la Comisión</w:t>
      </w:r>
      <w:r>
        <w:rPr>
          <w:rFonts w:ascii="Verdana" w:hAnsi="Verdana"/>
          <w:sz w:val="16"/>
          <w:szCs w:val="16"/>
        </w:rPr>
        <w:t xml:space="preserve"> Interamericana, </w:t>
      </w:r>
      <w:r>
        <w:rPr>
          <w:rFonts w:ascii="Verdana" w:hAnsi="Verdana"/>
          <w:i/>
          <w:sz w:val="16"/>
          <w:szCs w:val="16"/>
        </w:rPr>
        <w:t>supra</w:t>
      </w:r>
      <w:r>
        <w:rPr>
          <w:rFonts w:ascii="Verdana" w:hAnsi="Verdana"/>
          <w:sz w:val="16"/>
          <w:szCs w:val="16"/>
        </w:rPr>
        <w:t>.</w:t>
      </w:r>
    </w:p>
  </w:footnote>
  <w:footnote w:id="318">
    <w:p w:rsidR="0081535F" w:rsidRPr="00353432" w:rsidRDefault="0081535F" w:rsidP="00422232">
      <w:pPr>
        <w:pStyle w:val="Textonotapie"/>
        <w:spacing w:line="19" w:lineRule="atLeast"/>
        <w:ind w:left="-180" w:right="-174"/>
        <w:jc w:val="both"/>
        <w:rPr>
          <w:rFonts w:ascii="Verdana" w:hAnsi="Verdana"/>
          <w:sz w:val="16"/>
          <w:szCs w:val="16"/>
          <w:lang w:val="es-CR"/>
        </w:rPr>
      </w:pPr>
      <w:r w:rsidRPr="003622B1">
        <w:rPr>
          <w:rStyle w:val="Refdenotaalpie"/>
          <w:rFonts w:ascii="Verdana" w:hAnsi="Verdana"/>
          <w:sz w:val="16"/>
          <w:szCs w:val="16"/>
        </w:rPr>
        <w:footnoteRef/>
      </w:r>
      <w:r w:rsidRPr="003622B1">
        <w:rPr>
          <w:rFonts w:ascii="Verdana" w:hAnsi="Verdana"/>
          <w:sz w:val="16"/>
          <w:szCs w:val="16"/>
          <w:lang w:val="es-CR"/>
        </w:rPr>
        <w:t xml:space="preserve"> </w:t>
      </w:r>
      <w:r>
        <w:rPr>
          <w:rFonts w:ascii="Verdana" w:hAnsi="Verdana"/>
          <w:i/>
          <w:sz w:val="16"/>
          <w:szCs w:val="16"/>
          <w:lang w:val="es-CR"/>
        </w:rPr>
        <w:t xml:space="preserve">Cfr. </w:t>
      </w:r>
      <w:r w:rsidRPr="002F740A">
        <w:rPr>
          <w:rFonts w:ascii="Verdana" w:hAnsi="Verdana"/>
          <w:i/>
          <w:sz w:val="16"/>
          <w:szCs w:val="16"/>
          <w:lang w:val="es-CR"/>
        </w:rPr>
        <w:t>Caso González y otras (“Campo Algodonero”)</w:t>
      </w:r>
      <w:r>
        <w:rPr>
          <w:rFonts w:ascii="Verdana" w:hAnsi="Verdana"/>
          <w:i/>
          <w:sz w:val="16"/>
          <w:szCs w:val="16"/>
          <w:lang w:val="es-CR"/>
        </w:rPr>
        <w:t>, supra</w:t>
      </w:r>
      <w:r w:rsidRPr="003622B1">
        <w:rPr>
          <w:rFonts w:ascii="Verdana" w:hAnsi="Verdana"/>
          <w:i/>
          <w:sz w:val="16"/>
          <w:szCs w:val="16"/>
          <w:lang w:val="es-CR"/>
        </w:rPr>
        <w:t xml:space="preserve">, </w:t>
      </w:r>
      <w:r w:rsidRPr="003622B1">
        <w:rPr>
          <w:rFonts w:ascii="Verdana" w:hAnsi="Verdana"/>
          <w:sz w:val="16"/>
          <w:szCs w:val="16"/>
          <w:lang w:val="es-CR"/>
        </w:rPr>
        <w:t>párr</w:t>
      </w:r>
      <w:r>
        <w:rPr>
          <w:rFonts w:ascii="Verdana" w:hAnsi="Verdana"/>
          <w:sz w:val="16"/>
          <w:szCs w:val="16"/>
          <w:lang w:val="es-CR"/>
        </w:rPr>
        <w:t>s</w:t>
      </w:r>
      <w:r w:rsidRPr="003622B1">
        <w:rPr>
          <w:rFonts w:ascii="Verdana" w:hAnsi="Verdana"/>
          <w:sz w:val="16"/>
          <w:szCs w:val="16"/>
          <w:lang w:val="es-CR"/>
        </w:rPr>
        <w:t>.</w:t>
      </w:r>
      <w:r>
        <w:rPr>
          <w:rFonts w:ascii="Verdana" w:hAnsi="Verdana"/>
          <w:sz w:val="16"/>
          <w:szCs w:val="16"/>
          <w:lang w:val="es-CR"/>
        </w:rPr>
        <w:t xml:space="preserve"> 400 y</w:t>
      </w:r>
      <w:r w:rsidRPr="003622B1">
        <w:rPr>
          <w:rFonts w:ascii="Verdana" w:hAnsi="Verdana"/>
          <w:sz w:val="16"/>
          <w:szCs w:val="16"/>
          <w:lang w:val="es-CR"/>
        </w:rPr>
        <w:t xml:space="preserve"> </w:t>
      </w:r>
      <w:r w:rsidRPr="009B438C">
        <w:rPr>
          <w:rFonts w:ascii="Verdana" w:hAnsi="Verdana"/>
          <w:sz w:val="16"/>
          <w:szCs w:val="16"/>
          <w:lang w:val="es-CR"/>
        </w:rPr>
        <w:t xml:space="preserve">401, y CIDH, </w:t>
      </w:r>
      <w:r w:rsidRPr="009B438C">
        <w:rPr>
          <w:rFonts w:ascii="Verdana" w:hAnsi="Verdana"/>
          <w:i/>
          <w:sz w:val="16"/>
          <w:szCs w:val="16"/>
          <w:lang w:val="es-CR"/>
        </w:rPr>
        <w:t xml:space="preserve">Acceso a la justicia para las mujeres víctimas de violencia en las Américas, </w:t>
      </w:r>
      <w:r w:rsidRPr="009B438C">
        <w:rPr>
          <w:rFonts w:ascii="Verdana" w:hAnsi="Verdana"/>
          <w:sz w:val="16"/>
          <w:szCs w:val="16"/>
          <w:lang w:val="es-CR"/>
        </w:rPr>
        <w:t>OEA/Ser.L/V/II. Doc. 68, 20 enero 2007.</w:t>
      </w:r>
      <w:r w:rsidRPr="00353432">
        <w:rPr>
          <w:rFonts w:ascii="Verdana" w:hAnsi="Verdana"/>
          <w:sz w:val="16"/>
          <w:szCs w:val="16"/>
          <w:lang w:val="es-CR"/>
        </w:rPr>
        <w:t xml:space="preserve"> </w:t>
      </w:r>
    </w:p>
  </w:footnote>
  <w:footnote w:id="319">
    <w:p w:rsidR="0081535F" w:rsidRPr="002F740A" w:rsidRDefault="0081535F" w:rsidP="00422232">
      <w:pPr>
        <w:pStyle w:val="Textonotapie"/>
        <w:spacing w:line="19" w:lineRule="atLeast"/>
        <w:ind w:left="-180" w:right="-174"/>
        <w:jc w:val="both"/>
        <w:rPr>
          <w:rFonts w:ascii="Verdana" w:hAnsi="Verdana" w:cs="Arial"/>
          <w:sz w:val="16"/>
          <w:szCs w:val="16"/>
          <w:lang w:val="es-CR"/>
        </w:rPr>
      </w:pPr>
      <w:r w:rsidRPr="003622B1">
        <w:rPr>
          <w:rStyle w:val="Refdenotaalpie"/>
          <w:rFonts w:ascii="Verdana" w:hAnsi="Verdana"/>
          <w:sz w:val="16"/>
          <w:szCs w:val="16"/>
        </w:rPr>
        <w:footnoteRef/>
      </w:r>
      <w:r w:rsidRPr="003622B1">
        <w:rPr>
          <w:rFonts w:ascii="Verdana" w:hAnsi="Verdana"/>
          <w:sz w:val="16"/>
          <w:szCs w:val="16"/>
          <w:lang w:val="es-CR"/>
        </w:rPr>
        <w:t xml:space="preserve"> </w:t>
      </w:r>
      <w:r>
        <w:rPr>
          <w:rFonts w:ascii="Verdana" w:hAnsi="Verdana"/>
          <w:i/>
          <w:sz w:val="16"/>
          <w:szCs w:val="16"/>
          <w:lang w:val="es-CR"/>
        </w:rPr>
        <w:t xml:space="preserve">Cfr. </w:t>
      </w:r>
      <w:r w:rsidRPr="003622B1">
        <w:rPr>
          <w:rFonts w:ascii="Verdana" w:hAnsi="Verdana"/>
          <w:i/>
          <w:sz w:val="16"/>
          <w:szCs w:val="16"/>
          <w:lang w:val="es-CR"/>
        </w:rPr>
        <w:t>Caso Apitz Barbera y otros Vs. Venezuela.</w:t>
      </w:r>
      <w:r w:rsidRPr="003622B1">
        <w:rPr>
          <w:rFonts w:ascii="Verdana" w:hAnsi="Verdana"/>
          <w:sz w:val="16"/>
          <w:szCs w:val="16"/>
          <w:lang w:val="es-CR"/>
        </w:rPr>
        <w:t xml:space="preserve"> </w:t>
      </w:r>
      <w:r w:rsidRPr="003622B1">
        <w:rPr>
          <w:rFonts w:ascii="Verdana" w:hAnsi="Verdana"/>
          <w:i/>
          <w:sz w:val="16"/>
          <w:szCs w:val="16"/>
          <w:lang w:val="es-CR"/>
        </w:rPr>
        <w:t>Excepción Preliminar, Fondo, Reparaciones y Costas</w:t>
      </w:r>
      <w:r w:rsidRPr="003622B1">
        <w:rPr>
          <w:rFonts w:ascii="Verdana" w:hAnsi="Verdana"/>
          <w:sz w:val="16"/>
          <w:szCs w:val="16"/>
          <w:lang w:val="es-CR"/>
        </w:rPr>
        <w:t>. Sentencia de 5 de agosto de 2008</w:t>
      </w:r>
      <w:r>
        <w:rPr>
          <w:rFonts w:ascii="Verdana" w:hAnsi="Verdana"/>
          <w:sz w:val="16"/>
          <w:szCs w:val="16"/>
          <w:lang w:val="es-CR"/>
        </w:rPr>
        <w:t xml:space="preserve">. </w:t>
      </w:r>
      <w:r w:rsidRPr="002F740A">
        <w:rPr>
          <w:rFonts w:ascii="Verdana" w:hAnsi="Verdana"/>
          <w:sz w:val="16"/>
          <w:szCs w:val="16"/>
          <w:lang w:val="es-CR"/>
        </w:rPr>
        <w:t>Serie C No. 182</w:t>
      </w:r>
      <w:r>
        <w:rPr>
          <w:rFonts w:ascii="Verdana" w:hAnsi="Verdana"/>
          <w:sz w:val="16"/>
          <w:szCs w:val="16"/>
          <w:lang w:val="es-CR"/>
        </w:rPr>
        <w:t>,</w:t>
      </w:r>
      <w:r w:rsidRPr="003622B1">
        <w:rPr>
          <w:rFonts w:ascii="Verdana" w:hAnsi="Verdana"/>
          <w:sz w:val="16"/>
          <w:szCs w:val="16"/>
          <w:lang w:val="es-CR"/>
        </w:rPr>
        <w:t xml:space="preserve"> párr. 209,</w:t>
      </w:r>
      <w:r>
        <w:rPr>
          <w:rFonts w:ascii="Verdana" w:hAnsi="Verdana"/>
          <w:sz w:val="16"/>
          <w:szCs w:val="16"/>
          <w:lang w:val="es-CR"/>
        </w:rPr>
        <w:t xml:space="preserve"> y</w:t>
      </w:r>
      <w:r w:rsidRPr="003622B1">
        <w:rPr>
          <w:rFonts w:ascii="Verdana" w:hAnsi="Verdana"/>
          <w:sz w:val="16"/>
          <w:szCs w:val="16"/>
          <w:lang w:val="es-CR"/>
        </w:rPr>
        <w:t xml:space="preserve"> </w:t>
      </w:r>
      <w:r w:rsidRPr="003622B1">
        <w:rPr>
          <w:rFonts w:ascii="Verdana" w:hAnsi="Verdana" w:cs="Arial"/>
          <w:i/>
          <w:sz w:val="16"/>
          <w:szCs w:val="16"/>
          <w:lang w:val="es-CR"/>
        </w:rPr>
        <w:t>Caso de las Comunidades Afrodescendientes Desplazadas de la Cuenca del Río Cacarica (Operación Génesis)</w:t>
      </w:r>
      <w:r>
        <w:rPr>
          <w:rFonts w:ascii="Verdana" w:hAnsi="Verdana" w:cs="Arial"/>
          <w:i/>
          <w:sz w:val="16"/>
          <w:szCs w:val="16"/>
          <w:lang w:val="es-CR"/>
        </w:rPr>
        <w:t>, supra</w:t>
      </w:r>
      <w:r>
        <w:rPr>
          <w:rFonts w:ascii="Verdana" w:hAnsi="Verdana" w:cs="Arial"/>
          <w:sz w:val="16"/>
          <w:szCs w:val="16"/>
          <w:lang w:val="es-CR"/>
        </w:rPr>
        <w:t>, párr. 333.</w:t>
      </w:r>
    </w:p>
  </w:footnote>
  <w:footnote w:id="320">
    <w:p w:rsidR="0081535F" w:rsidRPr="002F740A" w:rsidRDefault="0081535F" w:rsidP="00422232">
      <w:pPr>
        <w:pStyle w:val="Textonotapie"/>
        <w:spacing w:line="19" w:lineRule="atLeast"/>
        <w:ind w:left="-180" w:right="-174"/>
        <w:jc w:val="both"/>
        <w:rPr>
          <w:rFonts w:ascii="Verdana" w:hAnsi="Verdana"/>
          <w:sz w:val="16"/>
          <w:szCs w:val="16"/>
        </w:rPr>
      </w:pPr>
      <w:r>
        <w:rPr>
          <w:rStyle w:val="Refdenotaalpie"/>
          <w:rFonts w:ascii="Verdana" w:hAnsi="Verdana"/>
          <w:sz w:val="16"/>
          <w:szCs w:val="16"/>
        </w:rPr>
        <w:footnoteRef/>
      </w:r>
      <w:r w:rsidRPr="003622B1">
        <w:rPr>
          <w:rFonts w:ascii="Verdana" w:hAnsi="Verdana"/>
          <w:sz w:val="16"/>
          <w:szCs w:val="16"/>
        </w:rPr>
        <w:t xml:space="preserve"> </w:t>
      </w:r>
      <w:r w:rsidRPr="003622B1">
        <w:rPr>
          <w:rFonts w:ascii="Verdana" w:hAnsi="Verdana"/>
          <w:i/>
          <w:iCs/>
          <w:sz w:val="16"/>
          <w:szCs w:val="16"/>
          <w:lang w:val="es-CR"/>
        </w:rPr>
        <w:t xml:space="preserve">Cfr. Caso Hilaire, Constantine y Benjamín y otros Vs. Trinidad y Tobago. Fondo, Reparaciones y Costas. </w:t>
      </w:r>
      <w:r w:rsidRPr="003622B1">
        <w:rPr>
          <w:rFonts w:ascii="Verdana" w:hAnsi="Verdana"/>
          <w:sz w:val="16"/>
          <w:szCs w:val="16"/>
          <w:lang w:val="es-CR"/>
        </w:rPr>
        <w:t>Sentencia de 21 de junio de 2002. Serie C No. 94, párr. 14,</w:t>
      </w:r>
      <w:r w:rsidRPr="003622B1">
        <w:rPr>
          <w:rFonts w:ascii="Verdana" w:hAnsi="Verdana"/>
          <w:i/>
          <w:iCs/>
          <w:sz w:val="16"/>
          <w:szCs w:val="16"/>
          <w:lang w:val="es-CR"/>
        </w:rPr>
        <w:t xml:space="preserve"> </w:t>
      </w:r>
      <w:r w:rsidRPr="003622B1">
        <w:rPr>
          <w:rFonts w:ascii="Verdana" w:hAnsi="Verdana"/>
          <w:sz w:val="16"/>
          <w:szCs w:val="16"/>
          <w:lang w:val="es-CR"/>
        </w:rPr>
        <w:t xml:space="preserve">y </w:t>
      </w:r>
      <w:r w:rsidRPr="00712E08">
        <w:rPr>
          <w:rFonts w:ascii="Verdana" w:hAnsi="Verdana"/>
          <w:i/>
          <w:iCs/>
          <w:color w:val="000000"/>
          <w:sz w:val="16"/>
          <w:szCs w:val="16"/>
          <w:lang w:val="es-CR"/>
        </w:rPr>
        <w:t>Caso García y Familiares, supra</w:t>
      </w:r>
      <w:r w:rsidRPr="00712E08">
        <w:rPr>
          <w:rFonts w:ascii="Verdana" w:hAnsi="Verdana"/>
          <w:iCs/>
          <w:color w:val="000000"/>
          <w:sz w:val="16"/>
          <w:szCs w:val="16"/>
          <w:lang w:val="es-CR"/>
        </w:rPr>
        <w:t>, párr. 152.</w:t>
      </w:r>
    </w:p>
  </w:footnote>
  <w:footnote w:id="321">
    <w:p w:rsidR="0081535F" w:rsidRPr="002F740A" w:rsidRDefault="0081535F" w:rsidP="00422232">
      <w:pPr>
        <w:pStyle w:val="Textonotapie"/>
        <w:spacing w:line="19" w:lineRule="atLeast"/>
        <w:ind w:left="-180" w:right="-174"/>
        <w:jc w:val="both"/>
        <w:rPr>
          <w:rFonts w:ascii="Verdana" w:hAnsi="Verdana"/>
          <w:sz w:val="16"/>
          <w:szCs w:val="16"/>
          <w:lang w:val="es-CR"/>
        </w:rPr>
      </w:pPr>
      <w:r>
        <w:rPr>
          <w:rStyle w:val="Refdenotaalpie"/>
          <w:rFonts w:ascii="Verdana" w:hAnsi="Verdana"/>
          <w:sz w:val="16"/>
          <w:szCs w:val="16"/>
        </w:rPr>
        <w:footnoteRef/>
      </w:r>
      <w:r w:rsidRPr="003622B1">
        <w:rPr>
          <w:rFonts w:ascii="Verdana" w:hAnsi="Verdana"/>
          <w:sz w:val="16"/>
          <w:szCs w:val="16"/>
        </w:rPr>
        <w:t xml:space="preserve"> </w:t>
      </w:r>
      <w:r w:rsidRPr="003622B1">
        <w:rPr>
          <w:rFonts w:ascii="Verdana" w:hAnsi="Verdana"/>
          <w:i/>
          <w:iCs/>
          <w:sz w:val="16"/>
          <w:szCs w:val="16"/>
          <w:lang w:val="es-CR"/>
        </w:rPr>
        <w:t>Cfr. Caso Suárez Rosero Vs. Ecuador. Fondo</w:t>
      </w:r>
      <w:r w:rsidRPr="003622B1">
        <w:rPr>
          <w:rFonts w:ascii="Verdana" w:hAnsi="Verdana"/>
          <w:sz w:val="16"/>
          <w:szCs w:val="16"/>
          <w:lang w:val="es-CR"/>
        </w:rPr>
        <w:t>. Sentencia de 12 de noviembre de 1997. Serie C No. 35, párr</w:t>
      </w:r>
      <w:r>
        <w:rPr>
          <w:rFonts w:ascii="Verdana" w:hAnsi="Verdana"/>
          <w:sz w:val="16"/>
          <w:szCs w:val="16"/>
          <w:lang w:val="es-CR"/>
        </w:rPr>
        <w:t>s</w:t>
      </w:r>
      <w:r w:rsidRPr="003622B1">
        <w:rPr>
          <w:rFonts w:ascii="Verdana" w:hAnsi="Verdana"/>
          <w:sz w:val="16"/>
          <w:szCs w:val="16"/>
          <w:lang w:val="es-CR"/>
        </w:rPr>
        <w:t xml:space="preserve">. </w:t>
      </w:r>
      <w:r>
        <w:rPr>
          <w:rFonts w:ascii="Verdana" w:hAnsi="Verdana"/>
          <w:sz w:val="16"/>
          <w:szCs w:val="16"/>
          <w:lang w:val="es-CR"/>
        </w:rPr>
        <w:t xml:space="preserve">70 y </w:t>
      </w:r>
      <w:r w:rsidRPr="003622B1">
        <w:rPr>
          <w:rFonts w:ascii="Verdana" w:hAnsi="Verdana"/>
          <w:sz w:val="16"/>
          <w:szCs w:val="16"/>
          <w:lang w:val="es-CR"/>
        </w:rPr>
        <w:t>71, y</w:t>
      </w:r>
      <w:r>
        <w:rPr>
          <w:rFonts w:ascii="Verdana" w:hAnsi="Verdana"/>
          <w:sz w:val="16"/>
          <w:szCs w:val="16"/>
          <w:lang w:val="es-CR"/>
        </w:rPr>
        <w:t xml:space="preserve"> </w:t>
      </w:r>
      <w:r w:rsidRPr="00712E08">
        <w:rPr>
          <w:rFonts w:ascii="Verdana" w:hAnsi="Verdana"/>
          <w:i/>
          <w:sz w:val="16"/>
          <w:szCs w:val="16"/>
          <w:lang w:val="es-CR"/>
        </w:rPr>
        <w:t>Caso Mémoli Vs. Argentina. Excepciones Preliminares, Fondo, Reparaciones y Costas</w:t>
      </w:r>
      <w:r w:rsidRPr="00712E08">
        <w:rPr>
          <w:rFonts w:ascii="Verdana" w:hAnsi="Verdana"/>
          <w:sz w:val="16"/>
          <w:szCs w:val="16"/>
          <w:lang w:val="es-CR"/>
        </w:rPr>
        <w:t>. Sentencia de 22 de agosto de 2013. Serie C No. 265, párr. 171.</w:t>
      </w:r>
    </w:p>
  </w:footnote>
  <w:footnote w:id="322">
    <w:p w:rsidR="0081535F" w:rsidRPr="002F740A" w:rsidRDefault="0081535F" w:rsidP="00422232">
      <w:pPr>
        <w:pStyle w:val="Textonotapie"/>
        <w:spacing w:line="19" w:lineRule="atLeast"/>
        <w:ind w:left="-180" w:right="-174"/>
        <w:jc w:val="both"/>
        <w:rPr>
          <w:rFonts w:ascii="Verdana" w:hAnsi="Verdana"/>
          <w:sz w:val="16"/>
          <w:szCs w:val="16"/>
        </w:rPr>
      </w:pPr>
      <w:r>
        <w:rPr>
          <w:rStyle w:val="Refdenotaalpie"/>
          <w:rFonts w:ascii="Verdana" w:hAnsi="Verdana"/>
          <w:sz w:val="16"/>
          <w:szCs w:val="16"/>
        </w:rPr>
        <w:footnoteRef/>
      </w:r>
      <w:r w:rsidRPr="003622B1">
        <w:rPr>
          <w:rFonts w:ascii="Verdana" w:hAnsi="Verdana"/>
          <w:sz w:val="16"/>
          <w:szCs w:val="16"/>
        </w:rPr>
        <w:t xml:space="preserve"> </w:t>
      </w:r>
      <w:r w:rsidRPr="003622B1">
        <w:rPr>
          <w:rFonts w:ascii="Verdana" w:hAnsi="Verdana"/>
          <w:i/>
          <w:iCs/>
          <w:sz w:val="16"/>
          <w:szCs w:val="16"/>
          <w:lang w:val="es-CR"/>
        </w:rPr>
        <w:t>Cfr.</w:t>
      </w:r>
      <w:r w:rsidRPr="003622B1">
        <w:rPr>
          <w:rFonts w:ascii="Verdana" w:hAnsi="Verdana"/>
          <w:b/>
          <w:bCs/>
          <w:sz w:val="16"/>
          <w:szCs w:val="16"/>
          <w:lang w:val="es-CR"/>
        </w:rPr>
        <w:t xml:space="preserve"> </w:t>
      </w:r>
      <w:r w:rsidRPr="002F740A">
        <w:rPr>
          <w:rFonts w:ascii="Verdana" w:hAnsi="Verdana"/>
          <w:i/>
          <w:iCs/>
          <w:sz w:val="16"/>
          <w:szCs w:val="16"/>
          <w:lang w:val="es-CR"/>
        </w:rPr>
        <w:t>Caso Hilaire, Constantine y Benjamín y otros</w:t>
      </w:r>
      <w:r>
        <w:rPr>
          <w:rFonts w:ascii="Verdana" w:hAnsi="Verdana"/>
          <w:i/>
          <w:iCs/>
          <w:sz w:val="16"/>
          <w:szCs w:val="16"/>
          <w:lang w:val="es-CR"/>
        </w:rPr>
        <w:t xml:space="preserve">, supra, </w:t>
      </w:r>
      <w:r w:rsidRPr="003622B1">
        <w:rPr>
          <w:rFonts w:ascii="Verdana" w:hAnsi="Verdana"/>
          <w:color w:val="000000"/>
          <w:sz w:val="16"/>
          <w:szCs w:val="16"/>
        </w:rPr>
        <w:t xml:space="preserve">párr. </w:t>
      </w:r>
      <w:r w:rsidRPr="003622B1">
        <w:rPr>
          <w:rFonts w:ascii="Verdana" w:hAnsi="Verdana"/>
          <w:sz w:val="16"/>
          <w:szCs w:val="16"/>
          <w:lang w:val="es-CR"/>
        </w:rPr>
        <w:t>229</w:t>
      </w:r>
      <w:r>
        <w:rPr>
          <w:rFonts w:ascii="Verdana" w:hAnsi="Verdana"/>
          <w:sz w:val="16"/>
          <w:szCs w:val="16"/>
          <w:lang w:val="es-CR"/>
        </w:rPr>
        <w:t xml:space="preserve">, y </w:t>
      </w:r>
      <w:r w:rsidRPr="00712E08">
        <w:rPr>
          <w:rFonts w:ascii="Verdana" w:hAnsi="Verdana"/>
          <w:i/>
          <w:sz w:val="16"/>
          <w:szCs w:val="16"/>
          <w:lang w:val="es-CR"/>
        </w:rPr>
        <w:t>Caso Osorio Rivera y Familiares, supra</w:t>
      </w:r>
      <w:r w:rsidRPr="00712E08">
        <w:rPr>
          <w:rFonts w:ascii="Verdana" w:hAnsi="Verdana"/>
          <w:sz w:val="16"/>
          <w:szCs w:val="16"/>
          <w:lang w:val="es-CR"/>
        </w:rPr>
        <w:t>, párr. 192.</w:t>
      </w:r>
    </w:p>
  </w:footnote>
  <w:footnote w:id="323">
    <w:p w:rsidR="0081535F" w:rsidRPr="002F740A" w:rsidRDefault="0081535F" w:rsidP="00422232">
      <w:pPr>
        <w:pStyle w:val="Textonotapie"/>
        <w:spacing w:line="19" w:lineRule="atLeast"/>
        <w:ind w:left="-180" w:right="-174"/>
        <w:jc w:val="both"/>
        <w:rPr>
          <w:rFonts w:ascii="Verdana" w:hAnsi="Verdana"/>
          <w:sz w:val="16"/>
          <w:szCs w:val="16"/>
        </w:rPr>
      </w:pPr>
      <w:r>
        <w:rPr>
          <w:rStyle w:val="Refdenotaalpie"/>
          <w:rFonts w:ascii="Verdana" w:hAnsi="Verdana"/>
          <w:sz w:val="16"/>
          <w:szCs w:val="16"/>
        </w:rPr>
        <w:footnoteRef/>
      </w:r>
      <w:r w:rsidRPr="003622B1">
        <w:rPr>
          <w:rFonts w:ascii="Verdana" w:hAnsi="Verdana"/>
          <w:sz w:val="16"/>
          <w:szCs w:val="16"/>
        </w:rPr>
        <w:t xml:space="preserve"> Las cuestiones de competencia se encuentran reguladas en los artículos 56 a 6</w:t>
      </w:r>
      <w:r>
        <w:rPr>
          <w:rFonts w:ascii="Verdana" w:hAnsi="Verdana"/>
          <w:sz w:val="16"/>
          <w:szCs w:val="16"/>
        </w:rPr>
        <w:t>1 de</w:t>
      </w:r>
      <w:r w:rsidRPr="003622B1">
        <w:rPr>
          <w:rFonts w:ascii="Verdana" w:hAnsi="Verdana"/>
          <w:sz w:val="16"/>
          <w:szCs w:val="16"/>
        </w:rPr>
        <w:t xml:space="preserve"> la Sección Quinta del Código Procesal Penal de Guatemala. </w:t>
      </w:r>
      <w:r w:rsidRPr="003622B1">
        <w:rPr>
          <w:rFonts w:ascii="Verdana" w:hAnsi="Verdana"/>
          <w:i/>
          <w:sz w:val="16"/>
          <w:szCs w:val="16"/>
        </w:rPr>
        <w:t>Cfr.</w:t>
      </w:r>
      <w:r w:rsidRPr="003622B1">
        <w:rPr>
          <w:rFonts w:ascii="Verdana" w:hAnsi="Verdana"/>
          <w:sz w:val="16"/>
          <w:szCs w:val="16"/>
        </w:rPr>
        <w:t xml:space="preserve"> </w:t>
      </w:r>
      <w:r>
        <w:rPr>
          <w:rFonts w:ascii="Verdana" w:hAnsi="Verdana"/>
          <w:sz w:val="16"/>
          <w:szCs w:val="16"/>
        </w:rPr>
        <w:t xml:space="preserve">Congreso de la República de Guatemala. </w:t>
      </w:r>
      <w:r w:rsidRPr="003622B1">
        <w:rPr>
          <w:rFonts w:ascii="Verdana" w:hAnsi="Verdana"/>
          <w:sz w:val="16"/>
          <w:szCs w:val="16"/>
        </w:rPr>
        <w:t>Código Procesal Penal</w:t>
      </w:r>
      <w:r>
        <w:rPr>
          <w:rFonts w:ascii="Verdana" w:hAnsi="Verdana"/>
          <w:sz w:val="16"/>
          <w:szCs w:val="16"/>
        </w:rPr>
        <w:t>.</w:t>
      </w:r>
      <w:r w:rsidRPr="003622B1">
        <w:rPr>
          <w:rFonts w:ascii="Verdana" w:hAnsi="Verdana"/>
          <w:sz w:val="16"/>
          <w:szCs w:val="16"/>
        </w:rPr>
        <w:t xml:space="preserve"> Decreto 51-92 y sus reformas</w:t>
      </w:r>
      <w:r>
        <w:rPr>
          <w:rFonts w:ascii="Verdana" w:hAnsi="Verdana"/>
          <w:sz w:val="16"/>
          <w:szCs w:val="16"/>
        </w:rPr>
        <w:t>,</w:t>
      </w:r>
      <w:r w:rsidRPr="003622B1">
        <w:rPr>
          <w:rFonts w:ascii="Verdana" w:hAnsi="Verdana"/>
          <w:sz w:val="16"/>
          <w:szCs w:val="16"/>
        </w:rPr>
        <w:t xml:space="preserve"> </w:t>
      </w:r>
      <w:r>
        <w:rPr>
          <w:rFonts w:ascii="Verdana" w:hAnsi="Verdana"/>
          <w:i/>
          <w:sz w:val="16"/>
          <w:szCs w:val="16"/>
        </w:rPr>
        <w:t>supra</w:t>
      </w:r>
      <w:r w:rsidRPr="003622B1">
        <w:rPr>
          <w:rFonts w:ascii="Verdana" w:hAnsi="Verdana"/>
          <w:sz w:val="16"/>
          <w:szCs w:val="16"/>
        </w:rPr>
        <w:t>.</w:t>
      </w:r>
    </w:p>
  </w:footnote>
  <w:footnote w:id="324">
    <w:p w:rsidR="0081535F" w:rsidRPr="002F740A" w:rsidRDefault="0081535F" w:rsidP="00422232">
      <w:pPr>
        <w:pStyle w:val="Textonotapie"/>
        <w:spacing w:line="19" w:lineRule="atLeast"/>
        <w:ind w:left="-180" w:right="-174"/>
        <w:jc w:val="both"/>
        <w:rPr>
          <w:rFonts w:ascii="Verdana" w:hAnsi="Verdana"/>
          <w:sz w:val="16"/>
          <w:szCs w:val="16"/>
        </w:rPr>
      </w:pPr>
      <w:r>
        <w:rPr>
          <w:rStyle w:val="Refdenotaalpie"/>
          <w:rFonts w:ascii="Verdana" w:hAnsi="Verdana"/>
          <w:sz w:val="16"/>
          <w:szCs w:val="16"/>
        </w:rPr>
        <w:footnoteRef/>
      </w:r>
      <w:r w:rsidRPr="003622B1">
        <w:rPr>
          <w:rFonts w:ascii="Verdana" w:hAnsi="Verdana"/>
          <w:sz w:val="16"/>
          <w:szCs w:val="16"/>
        </w:rPr>
        <w:t xml:space="preserve"> El artículo 332 indica, en lo conducente, que “[l]a etapa intermedia tiene por objeto que el juez evalúe si existe o no fundamento para someter a una persona a juicio oral y público, por la probabilidad de su participación en un hecho delictivo o para verificar la fundamentación de las otras solicitudes del Ministerio Público”.</w:t>
      </w:r>
      <w:r w:rsidRPr="003622B1">
        <w:rPr>
          <w:rFonts w:ascii="Verdana" w:hAnsi="Verdana"/>
          <w:i/>
          <w:sz w:val="16"/>
          <w:szCs w:val="16"/>
        </w:rPr>
        <w:t xml:space="preserve"> Cfr.</w:t>
      </w:r>
      <w:r w:rsidRPr="003622B1">
        <w:rPr>
          <w:rFonts w:ascii="Verdana" w:hAnsi="Verdana"/>
          <w:sz w:val="16"/>
          <w:szCs w:val="16"/>
        </w:rPr>
        <w:t xml:space="preserve"> </w:t>
      </w:r>
      <w:r>
        <w:rPr>
          <w:rFonts w:ascii="Verdana" w:hAnsi="Verdana"/>
          <w:sz w:val="16"/>
          <w:szCs w:val="16"/>
        </w:rPr>
        <w:t xml:space="preserve">Congreso de la República de Guatemala. </w:t>
      </w:r>
      <w:r w:rsidRPr="002F740A">
        <w:rPr>
          <w:rFonts w:ascii="Verdana" w:hAnsi="Verdana"/>
          <w:sz w:val="16"/>
          <w:szCs w:val="16"/>
        </w:rPr>
        <w:t>Código Procesal Penal</w:t>
      </w:r>
      <w:r>
        <w:rPr>
          <w:rFonts w:ascii="Verdana" w:hAnsi="Verdana"/>
          <w:sz w:val="16"/>
          <w:szCs w:val="16"/>
        </w:rPr>
        <w:t>.</w:t>
      </w:r>
      <w:r w:rsidRPr="002F740A">
        <w:rPr>
          <w:rFonts w:ascii="Verdana" w:hAnsi="Verdana"/>
          <w:sz w:val="16"/>
          <w:szCs w:val="16"/>
        </w:rPr>
        <w:t xml:space="preserve"> Decreto 51-92 y sus reformas</w:t>
      </w:r>
      <w:r>
        <w:rPr>
          <w:rFonts w:ascii="Verdana" w:hAnsi="Verdana"/>
          <w:sz w:val="16"/>
          <w:szCs w:val="16"/>
        </w:rPr>
        <w:t>,</w:t>
      </w:r>
      <w:r w:rsidRPr="002F740A">
        <w:rPr>
          <w:rFonts w:ascii="Verdana" w:hAnsi="Verdana"/>
          <w:sz w:val="16"/>
          <w:szCs w:val="16"/>
        </w:rPr>
        <w:t xml:space="preserve"> </w:t>
      </w:r>
      <w:r>
        <w:rPr>
          <w:rFonts w:ascii="Verdana" w:hAnsi="Verdana"/>
          <w:i/>
          <w:sz w:val="16"/>
          <w:szCs w:val="16"/>
        </w:rPr>
        <w:t>supra</w:t>
      </w:r>
      <w:r w:rsidRPr="002F740A">
        <w:rPr>
          <w:rFonts w:ascii="Verdana" w:hAnsi="Verdana"/>
          <w:sz w:val="16"/>
          <w:szCs w:val="16"/>
        </w:rPr>
        <w:t>.</w:t>
      </w:r>
    </w:p>
  </w:footnote>
  <w:footnote w:id="325">
    <w:p w:rsidR="0081535F" w:rsidRPr="00353432" w:rsidRDefault="0081535F" w:rsidP="00422232">
      <w:pPr>
        <w:pStyle w:val="Textonotapie"/>
        <w:spacing w:line="19" w:lineRule="atLeast"/>
        <w:ind w:left="-180" w:right="-174"/>
        <w:jc w:val="both"/>
        <w:rPr>
          <w:rFonts w:ascii="Verdana" w:hAnsi="Verdana"/>
          <w:sz w:val="16"/>
          <w:szCs w:val="16"/>
          <w:lang w:val="es-CR"/>
        </w:rPr>
      </w:pPr>
      <w:r w:rsidRPr="00353432">
        <w:rPr>
          <w:rStyle w:val="Refdenotaalpie"/>
          <w:rFonts w:ascii="Verdana" w:hAnsi="Verdana"/>
          <w:sz w:val="16"/>
          <w:szCs w:val="16"/>
        </w:rPr>
        <w:footnoteRef/>
      </w:r>
      <w:r w:rsidRPr="00353432">
        <w:rPr>
          <w:rFonts w:ascii="Verdana" w:hAnsi="Verdana"/>
          <w:sz w:val="16"/>
          <w:szCs w:val="16"/>
        </w:rPr>
        <w:t xml:space="preserve"> Resolución de 26 de marzo de 200</w:t>
      </w:r>
      <w:r>
        <w:rPr>
          <w:rFonts w:ascii="Verdana" w:hAnsi="Verdana"/>
          <w:sz w:val="16"/>
          <w:szCs w:val="16"/>
        </w:rPr>
        <w:t>2</w:t>
      </w:r>
      <w:r w:rsidRPr="00353432">
        <w:rPr>
          <w:rFonts w:ascii="Verdana" w:hAnsi="Verdana"/>
          <w:sz w:val="16"/>
          <w:szCs w:val="16"/>
        </w:rPr>
        <w:t xml:space="preserve"> emitida por el Juzgado Primero de Mix</w:t>
      </w:r>
      <w:r>
        <w:rPr>
          <w:rFonts w:ascii="Verdana" w:hAnsi="Verdana"/>
          <w:sz w:val="16"/>
          <w:szCs w:val="16"/>
        </w:rPr>
        <w:t>c</w:t>
      </w:r>
      <w:r w:rsidRPr="00353432">
        <w:rPr>
          <w:rFonts w:ascii="Verdana" w:hAnsi="Verdana"/>
          <w:sz w:val="16"/>
          <w:szCs w:val="16"/>
        </w:rPr>
        <w:t xml:space="preserve">o en la que se indica que “se tiene a la vista para resolver el memorial presentado por el agente fiscal del Ministerio Público […], donde se solicita </w:t>
      </w:r>
      <w:r>
        <w:rPr>
          <w:rFonts w:ascii="Verdana" w:hAnsi="Verdana"/>
          <w:sz w:val="16"/>
          <w:szCs w:val="16"/>
        </w:rPr>
        <w:t xml:space="preserve">[…] </w:t>
      </w:r>
      <w:r w:rsidRPr="00353432">
        <w:rPr>
          <w:rFonts w:ascii="Verdana" w:hAnsi="Verdana"/>
          <w:sz w:val="16"/>
          <w:szCs w:val="16"/>
        </w:rPr>
        <w:t xml:space="preserve">requerir DESPLIEGUE de llamadas a [diversas] empresas de telecomunicaciones”, y señala que “del estudio del presente caso, el juez que controla la investigación considera que es procedente acceder a lo solicitado por la institución en mención, lo cual consiste en AUTORIZAR para requerir </w:t>
      </w:r>
      <w:r>
        <w:rPr>
          <w:rFonts w:ascii="Verdana" w:hAnsi="Verdana"/>
          <w:sz w:val="16"/>
          <w:szCs w:val="16"/>
        </w:rPr>
        <w:t xml:space="preserve">el </w:t>
      </w:r>
      <w:r w:rsidRPr="00353432">
        <w:rPr>
          <w:rFonts w:ascii="Verdana" w:hAnsi="Verdana"/>
          <w:sz w:val="16"/>
          <w:szCs w:val="16"/>
        </w:rPr>
        <w:t>DESPLIEGUE de llamadas a las empresas de telecomunicaciones”.  Es decir, se ordenó solo una diligencia por el juez, aunque se tramitaron distintos oficios</w:t>
      </w:r>
      <w:r>
        <w:rPr>
          <w:rFonts w:ascii="Verdana" w:hAnsi="Verdana"/>
          <w:sz w:val="16"/>
          <w:szCs w:val="16"/>
        </w:rPr>
        <w:t>.</w:t>
      </w:r>
      <w:r w:rsidRPr="00353432">
        <w:rPr>
          <w:rFonts w:ascii="Verdana" w:hAnsi="Verdana"/>
          <w:sz w:val="16"/>
          <w:szCs w:val="16"/>
        </w:rPr>
        <w:t xml:space="preserve"> </w:t>
      </w:r>
      <w:r w:rsidRPr="00353432">
        <w:rPr>
          <w:rFonts w:ascii="Verdana" w:hAnsi="Verdana"/>
          <w:i/>
          <w:sz w:val="16"/>
          <w:szCs w:val="16"/>
        </w:rPr>
        <w:t>Cfr.</w:t>
      </w:r>
      <w:r w:rsidRPr="00353432">
        <w:rPr>
          <w:rFonts w:ascii="Verdana" w:hAnsi="Verdana"/>
          <w:sz w:val="16"/>
          <w:szCs w:val="16"/>
        </w:rPr>
        <w:t xml:space="preserve"> </w:t>
      </w:r>
      <w:r w:rsidRPr="007802D0">
        <w:rPr>
          <w:rFonts w:ascii="Verdana" w:hAnsi="Verdana"/>
          <w:sz w:val="16"/>
          <w:szCs w:val="16"/>
          <w:lang w:val="es-CR"/>
        </w:rPr>
        <w:t>Oficio C-105-2002/6º emitido por el Juzgado de Primera Instancia de Mixco</w:t>
      </w:r>
      <w:r>
        <w:rPr>
          <w:rFonts w:ascii="Verdana" w:hAnsi="Verdana"/>
          <w:sz w:val="16"/>
          <w:szCs w:val="16"/>
          <w:lang w:val="es-CR"/>
        </w:rPr>
        <w:t xml:space="preserve">, </w:t>
      </w:r>
      <w:r>
        <w:rPr>
          <w:rFonts w:ascii="Verdana" w:hAnsi="Verdana"/>
          <w:i/>
          <w:sz w:val="16"/>
          <w:szCs w:val="16"/>
          <w:lang w:val="es-CR"/>
        </w:rPr>
        <w:t>sup</w:t>
      </w:r>
      <w:r w:rsidRPr="006A3F93">
        <w:rPr>
          <w:rFonts w:ascii="Verdana" w:hAnsi="Verdana"/>
          <w:i/>
          <w:sz w:val="16"/>
          <w:szCs w:val="16"/>
          <w:lang w:val="es-CR"/>
        </w:rPr>
        <w:t>ra</w:t>
      </w:r>
      <w:r w:rsidRPr="006A3F93">
        <w:rPr>
          <w:rFonts w:ascii="Verdana" w:hAnsi="Verdana"/>
          <w:sz w:val="16"/>
          <w:szCs w:val="16"/>
          <w:lang w:val="es-CR"/>
        </w:rPr>
        <w:t xml:space="preserve">. </w:t>
      </w:r>
      <w:r w:rsidRPr="006A3F93">
        <w:rPr>
          <w:rFonts w:ascii="Verdana" w:hAnsi="Verdana"/>
          <w:sz w:val="16"/>
          <w:szCs w:val="16"/>
        </w:rPr>
        <w:t>Además, constan solicitudes d</w:t>
      </w:r>
      <w:r w:rsidRPr="006A3F93">
        <w:rPr>
          <w:rFonts w:ascii="Verdana" w:hAnsi="Verdana"/>
          <w:sz w:val="16"/>
          <w:szCs w:val="16"/>
          <w:lang w:val="es-CR"/>
        </w:rPr>
        <w:t xml:space="preserve">el Agente Fiscal de la Agencia No. 32 de Guatemala remitida al Servicio de Investigación Criminal del Ministerio Público para que enviara investigadores a la Fiscalía para darles nuevos lineamientos y más detalles de la investigación. </w:t>
      </w:r>
      <w:r w:rsidRPr="006A3F93">
        <w:rPr>
          <w:rFonts w:ascii="Verdana" w:hAnsi="Verdana"/>
          <w:i/>
          <w:sz w:val="16"/>
          <w:szCs w:val="16"/>
          <w:lang w:val="es-CR"/>
        </w:rPr>
        <w:t xml:space="preserve">Cfr. </w:t>
      </w:r>
      <w:r w:rsidRPr="006A3F93">
        <w:rPr>
          <w:rFonts w:ascii="Verdana" w:hAnsi="Verdana"/>
          <w:sz w:val="16"/>
          <w:szCs w:val="16"/>
          <w:lang w:val="es-CR"/>
        </w:rPr>
        <w:t>Oficio emitido por el Auxiliar Fiscal de la Agencia No. 32 de Guatemala de 26 de septiembre de 2002 (expediente de anexos a la contestación, anexos 3-3b, f. 13</w:t>
      </w:r>
      <w:r>
        <w:rPr>
          <w:rFonts w:ascii="Verdana" w:hAnsi="Verdana"/>
          <w:sz w:val="16"/>
          <w:szCs w:val="16"/>
          <w:lang w:val="es-CR"/>
        </w:rPr>
        <w:t>,</w:t>
      </w:r>
      <w:r w:rsidRPr="006A3F93">
        <w:rPr>
          <w:rFonts w:ascii="Verdana" w:hAnsi="Verdana"/>
          <w:sz w:val="16"/>
          <w:szCs w:val="16"/>
          <w:lang w:val="es-CR"/>
        </w:rPr>
        <w:t>228)</w:t>
      </w:r>
      <w:r w:rsidRPr="006A3F93">
        <w:rPr>
          <w:rFonts w:ascii="Verdana" w:hAnsi="Verdana"/>
          <w:sz w:val="16"/>
          <w:szCs w:val="16"/>
          <w:lang w:val="es-CL"/>
        </w:rPr>
        <w:t>.</w:t>
      </w:r>
    </w:p>
  </w:footnote>
  <w:footnote w:id="326">
    <w:p w:rsidR="0081535F" w:rsidRPr="00353432" w:rsidRDefault="0081535F" w:rsidP="00422232">
      <w:pPr>
        <w:pStyle w:val="Textonotapie"/>
        <w:spacing w:line="19" w:lineRule="atLeast"/>
        <w:ind w:left="-180" w:right="-174"/>
        <w:jc w:val="both"/>
        <w:rPr>
          <w:rFonts w:ascii="Verdana" w:hAnsi="Verdana"/>
          <w:b/>
          <w:sz w:val="16"/>
          <w:szCs w:val="16"/>
        </w:rPr>
      </w:pPr>
      <w:r w:rsidRPr="00353432">
        <w:rPr>
          <w:rStyle w:val="Refdenotaalpie"/>
          <w:rFonts w:ascii="Verdana" w:hAnsi="Verdana"/>
          <w:sz w:val="16"/>
          <w:szCs w:val="16"/>
        </w:rPr>
        <w:footnoteRef/>
      </w:r>
      <w:r w:rsidRPr="00353432">
        <w:rPr>
          <w:rFonts w:ascii="Verdana" w:hAnsi="Verdana"/>
          <w:sz w:val="16"/>
          <w:szCs w:val="16"/>
        </w:rPr>
        <w:t xml:space="preserve"> </w:t>
      </w:r>
      <w:r w:rsidRPr="00353432">
        <w:rPr>
          <w:rFonts w:ascii="Verdana" w:hAnsi="Verdana"/>
          <w:i/>
          <w:sz w:val="16"/>
          <w:szCs w:val="16"/>
          <w:lang w:val="es-CR"/>
        </w:rPr>
        <w:t>Cfr.</w:t>
      </w:r>
      <w:r w:rsidRPr="00353432">
        <w:rPr>
          <w:rFonts w:ascii="Verdana" w:hAnsi="Verdana"/>
          <w:sz w:val="16"/>
          <w:szCs w:val="16"/>
          <w:lang w:val="es-CR"/>
        </w:rPr>
        <w:t xml:space="preserve"> </w:t>
      </w:r>
      <w:r w:rsidRPr="007802D0">
        <w:rPr>
          <w:rFonts w:ascii="Verdana" w:hAnsi="Verdana"/>
          <w:sz w:val="16"/>
          <w:szCs w:val="16"/>
          <w:lang w:val="es-CR"/>
        </w:rPr>
        <w:t>Oficio emitido por agente de la Fiscalía de Mixco para el Sub-Secretario Ejecutivo del Ministerio Público</w:t>
      </w:r>
      <w:r>
        <w:rPr>
          <w:rFonts w:ascii="Verdana" w:hAnsi="Verdana"/>
          <w:sz w:val="16"/>
          <w:szCs w:val="16"/>
          <w:lang w:val="es-CR"/>
        </w:rPr>
        <w:t xml:space="preserve">, </w:t>
      </w:r>
      <w:r>
        <w:rPr>
          <w:rFonts w:ascii="Verdana" w:hAnsi="Verdana"/>
          <w:i/>
          <w:sz w:val="16"/>
          <w:szCs w:val="16"/>
          <w:lang w:val="es-CR"/>
        </w:rPr>
        <w:t>supra</w:t>
      </w:r>
      <w:r w:rsidRPr="00122C63">
        <w:rPr>
          <w:rFonts w:ascii="Verdana" w:hAnsi="Verdana"/>
          <w:sz w:val="16"/>
          <w:szCs w:val="16"/>
          <w:lang w:val="es-CR"/>
        </w:rPr>
        <w:t>.</w:t>
      </w:r>
      <w:r w:rsidRPr="00353432">
        <w:rPr>
          <w:rFonts w:ascii="Verdana" w:hAnsi="Verdana"/>
          <w:sz w:val="16"/>
          <w:szCs w:val="16"/>
        </w:rPr>
        <w:t xml:space="preserve"> Cabe señalar también que el artículo 312 establece que el “pedido de incompetencia no eximirá al Ministerio Público del deber de practicar los actos de investigación que no admitan demora”. </w:t>
      </w:r>
      <w:r w:rsidRPr="00353432">
        <w:rPr>
          <w:rFonts w:ascii="Verdana" w:hAnsi="Verdana"/>
          <w:i/>
          <w:sz w:val="16"/>
          <w:szCs w:val="16"/>
        </w:rPr>
        <w:t>Cfr.</w:t>
      </w:r>
      <w:r w:rsidRPr="00353432">
        <w:rPr>
          <w:rFonts w:ascii="Verdana" w:hAnsi="Verdana"/>
          <w:sz w:val="16"/>
          <w:szCs w:val="16"/>
        </w:rPr>
        <w:t xml:space="preserve"> </w:t>
      </w:r>
      <w:r>
        <w:rPr>
          <w:rFonts w:ascii="Verdana" w:hAnsi="Verdana"/>
          <w:sz w:val="16"/>
          <w:szCs w:val="16"/>
        </w:rPr>
        <w:t xml:space="preserve">Congreso de la República de Guatemala. </w:t>
      </w:r>
      <w:r w:rsidRPr="002F740A">
        <w:rPr>
          <w:rFonts w:ascii="Verdana" w:hAnsi="Verdana"/>
          <w:sz w:val="16"/>
          <w:szCs w:val="16"/>
        </w:rPr>
        <w:t>Código Procesal Penal</w:t>
      </w:r>
      <w:r>
        <w:rPr>
          <w:rFonts w:ascii="Verdana" w:hAnsi="Verdana"/>
          <w:sz w:val="16"/>
          <w:szCs w:val="16"/>
        </w:rPr>
        <w:t>.</w:t>
      </w:r>
      <w:r w:rsidRPr="002F740A">
        <w:rPr>
          <w:rFonts w:ascii="Verdana" w:hAnsi="Verdana"/>
          <w:sz w:val="16"/>
          <w:szCs w:val="16"/>
        </w:rPr>
        <w:t xml:space="preserve"> Decreto 51-92 y sus reformas</w:t>
      </w:r>
      <w:r>
        <w:rPr>
          <w:rFonts w:ascii="Verdana" w:hAnsi="Verdana"/>
          <w:sz w:val="16"/>
          <w:szCs w:val="16"/>
        </w:rPr>
        <w:t>,</w:t>
      </w:r>
      <w:r w:rsidRPr="002F740A">
        <w:rPr>
          <w:rFonts w:ascii="Verdana" w:hAnsi="Verdana"/>
          <w:sz w:val="16"/>
          <w:szCs w:val="16"/>
        </w:rPr>
        <w:t xml:space="preserve"> </w:t>
      </w:r>
      <w:r>
        <w:rPr>
          <w:rFonts w:ascii="Verdana" w:hAnsi="Verdana"/>
          <w:i/>
          <w:sz w:val="16"/>
          <w:szCs w:val="16"/>
        </w:rPr>
        <w:t>supra</w:t>
      </w:r>
      <w:r w:rsidRPr="002F740A">
        <w:rPr>
          <w:rFonts w:ascii="Verdana" w:hAnsi="Verdana"/>
          <w:sz w:val="16"/>
          <w:szCs w:val="16"/>
        </w:rPr>
        <w:t>.</w:t>
      </w:r>
      <w:r>
        <w:rPr>
          <w:rFonts w:ascii="Verdana" w:hAnsi="Verdana"/>
          <w:b/>
          <w:sz w:val="16"/>
          <w:szCs w:val="16"/>
        </w:rPr>
        <w:t xml:space="preserve"> </w:t>
      </w:r>
      <w:r w:rsidRPr="00E36E91">
        <w:rPr>
          <w:rFonts w:ascii="Verdana" w:hAnsi="Verdana"/>
          <w:sz w:val="16"/>
          <w:szCs w:val="16"/>
        </w:rPr>
        <w:t>El Estado hace referencia al Código Procesal Penal de Guatemala, Decreto 51-92</w:t>
      </w:r>
      <w:r>
        <w:rPr>
          <w:rFonts w:ascii="Verdana" w:hAnsi="Verdana"/>
          <w:sz w:val="16"/>
          <w:szCs w:val="16"/>
        </w:rPr>
        <w:t>, y también a la Ley Orgánica del Ministerio Público, Decreto 40-94</w:t>
      </w:r>
      <w:r w:rsidRPr="00E36E91">
        <w:rPr>
          <w:rFonts w:ascii="Verdana" w:hAnsi="Verdana"/>
          <w:sz w:val="16"/>
          <w:szCs w:val="16"/>
        </w:rPr>
        <w:t xml:space="preserve"> y</w:t>
      </w:r>
      <w:r>
        <w:rPr>
          <w:rFonts w:ascii="Verdana" w:hAnsi="Verdana"/>
          <w:sz w:val="16"/>
          <w:szCs w:val="16"/>
        </w:rPr>
        <w:t xml:space="preserve"> a</w:t>
      </w:r>
      <w:r w:rsidRPr="00E36E91">
        <w:rPr>
          <w:rFonts w:ascii="Verdana" w:hAnsi="Verdana"/>
          <w:sz w:val="16"/>
          <w:szCs w:val="16"/>
        </w:rPr>
        <w:t xml:space="preserve"> la Ley del Organismo Judicial, Decreto 2-89</w:t>
      </w:r>
      <w:r>
        <w:rPr>
          <w:rFonts w:ascii="Verdana" w:hAnsi="Verdana"/>
          <w:sz w:val="16"/>
          <w:szCs w:val="16"/>
        </w:rPr>
        <w:t xml:space="preserve">. </w:t>
      </w:r>
    </w:p>
  </w:footnote>
  <w:footnote w:id="327">
    <w:p w:rsidR="0081535F" w:rsidRPr="009B438C" w:rsidRDefault="0081535F" w:rsidP="00422232">
      <w:pPr>
        <w:pStyle w:val="NormalWeb"/>
        <w:spacing w:before="0" w:beforeAutospacing="0" w:after="0" w:afterAutospacing="0" w:line="19" w:lineRule="atLeast"/>
        <w:ind w:left="-180" w:right="-174"/>
        <w:jc w:val="both"/>
        <w:rPr>
          <w:rFonts w:ascii="Verdana" w:hAnsi="Verdana" w:cs="Arial"/>
          <w:color w:val="333333"/>
          <w:sz w:val="16"/>
          <w:szCs w:val="16"/>
          <w:lang w:val="es-MX"/>
        </w:rPr>
      </w:pPr>
      <w:r w:rsidRPr="00353432">
        <w:rPr>
          <w:rStyle w:val="Refdenotaalpie"/>
          <w:rFonts w:ascii="Verdana" w:hAnsi="Verdana"/>
          <w:sz w:val="16"/>
          <w:szCs w:val="16"/>
        </w:rPr>
        <w:footnoteRef/>
      </w:r>
      <w:r w:rsidRPr="00353432">
        <w:rPr>
          <w:rFonts w:ascii="Verdana" w:hAnsi="Verdana" w:cs="Arial"/>
          <w:color w:val="333333"/>
          <w:sz w:val="16"/>
          <w:szCs w:val="16"/>
          <w:lang w:val="es-MX"/>
        </w:rPr>
        <w:t xml:space="preserve"> </w:t>
      </w:r>
      <w:r>
        <w:rPr>
          <w:rFonts w:ascii="Verdana" w:hAnsi="Verdana" w:cs="Arial"/>
          <w:i/>
          <w:color w:val="333333"/>
          <w:sz w:val="16"/>
          <w:szCs w:val="16"/>
          <w:lang w:val="es-MX"/>
        </w:rPr>
        <w:t xml:space="preserve">Cfr. </w:t>
      </w:r>
      <w:r w:rsidRPr="009B438C">
        <w:rPr>
          <w:rFonts w:ascii="Verdana" w:hAnsi="Verdana" w:cs="Arial"/>
          <w:i/>
          <w:color w:val="333333"/>
          <w:sz w:val="16"/>
          <w:szCs w:val="16"/>
          <w:lang w:val="es-MX"/>
        </w:rPr>
        <w:t xml:space="preserve">Caso Anzualdo Castro Vs. Perú. Excepción Preliminar, Fondo, Reparaciones y Costas. </w:t>
      </w:r>
      <w:r w:rsidRPr="009B438C">
        <w:rPr>
          <w:rFonts w:ascii="Verdana" w:hAnsi="Verdana" w:cs="Arial"/>
          <w:color w:val="333333"/>
          <w:sz w:val="16"/>
          <w:szCs w:val="16"/>
          <w:lang w:val="es-MX"/>
        </w:rPr>
        <w:t>Sentencia de 22 de Septiembre de 2009. Serie C No. 202,</w:t>
      </w:r>
      <w:r w:rsidRPr="009B438C">
        <w:rPr>
          <w:rFonts w:ascii="Verdana" w:hAnsi="Verdana" w:cs="Arial"/>
          <w:i/>
          <w:color w:val="333333"/>
          <w:sz w:val="16"/>
          <w:szCs w:val="16"/>
          <w:lang w:val="es-MX"/>
        </w:rPr>
        <w:t xml:space="preserve"> </w:t>
      </w:r>
      <w:r w:rsidRPr="009B438C">
        <w:rPr>
          <w:rFonts w:ascii="Verdana" w:hAnsi="Verdana" w:cs="Arial"/>
          <w:color w:val="333333"/>
          <w:sz w:val="16"/>
          <w:szCs w:val="16"/>
          <w:lang w:val="es-MX"/>
        </w:rPr>
        <w:t>párr. 156. En dicho caso,</w:t>
      </w:r>
      <w:r w:rsidRPr="009B438C">
        <w:rPr>
          <w:rFonts w:ascii="Verdana" w:hAnsi="Verdana"/>
          <w:sz w:val="16"/>
          <w:szCs w:val="16"/>
        </w:rPr>
        <w:t xml:space="preserve"> este </w:t>
      </w:r>
      <w:r w:rsidRPr="009B438C">
        <w:rPr>
          <w:rFonts w:ascii="Verdana" w:hAnsi="Verdana"/>
          <w:sz w:val="16"/>
          <w:szCs w:val="16"/>
          <w:lang w:val="es-MX"/>
        </w:rPr>
        <w:t>Tribunal ha determinado que</w:t>
      </w:r>
      <w:r w:rsidRPr="009B438C">
        <w:rPr>
          <w:rFonts w:ascii="Verdana" w:hAnsi="Verdana" w:cs="Arial"/>
          <w:sz w:val="16"/>
          <w:szCs w:val="16"/>
          <w:lang w:val="es-MX"/>
        </w:rPr>
        <w:t xml:space="preserve"> el artículo 8.1 de la Convención Americana establece como uno de los elementos del debido proceso que los tribunales decidan los casos sometidos a su conocimiento en un </w:t>
      </w:r>
      <w:r w:rsidRPr="009B438C">
        <w:rPr>
          <w:rStyle w:val="nfasis"/>
          <w:rFonts w:ascii="Verdana" w:hAnsi="Verdana" w:cs="Arial"/>
          <w:bCs/>
          <w:sz w:val="16"/>
          <w:szCs w:val="16"/>
          <w:lang w:val="es-MX"/>
        </w:rPr>
        <w:t xml:space="preserve">plazo razonable. </w:t>
      </w:r>
    </w:p>
  </w:footnote>
  <w:footnote w:id="328">
    <w:p w:rsidR="0081535F" w:rsidRPr="00353432" w:rsidRDefault="0081535F" w:rsidP="00422232">
      <w:pPr>
        <w:pStyle w:val="NormalWeb"/>
        <w:spacing w:before="0" w:beforeAutospacing="0" w:after="0" w:afterAutospacing="0" w:line="19" w:lineRule="atLeast"/>
        <w:ind w:left="-180" w:right="-174"/>
        <w:jc w:val="both"/>
        <w:rPr>
          <w:rFonts w:ascii="Verdana" w:hAnsi="Verdana"/>
          <w:sz w:val="16"/>
          <w:szCs w:val="16"/>
          <w:lang w:val="es-MX"/>
        </w:rPr>
      </w:pPr>
      <w:r w:rsidRPr="009B438C">
        <w:rPr>
          <w:rStyle w:val="Refdenotaalpie"/>
          <w:rFonts w:ascii="Verdana" w:hAnsi="Verdana"/>
          <w:sz w:val="16"/>
          <w:szCs w:val="16"/>
        </w:rPr>
        <w:footnoteRef/>
      </w:r>
      <w:r w:rsidRPr="009B438C">
        <w:rPr>
          <w:rFonts w:ascii="Verdana" w:hAnsi="Verdana"/>
          <w:sz w:val="16"/>
          <w:szCs w:val="16"/>
        </w:rPr>
        <w:t xml:space="preserve"> </w:t>
      </w:r>
      <w:r w:rsidRPr="009B438C">
        <w:rPr>
          <w:rFonts w:ascii="Verdana" w:hAnsi="Verdana" w:cs="Calibri"/>
          <w:sz w:val="16"/>
          <w:szCs w:val="16"/>
        </w:rPr>
        <w:t xml:space="preserve">El Estado si bien alegó que se han realizado múltiples y diversas diligencias en la investigación, también es consciente de que la investigación se debe realizar dentro de determinados plazos. Al respecto, afirmó que </w:t>
      </w:r>
      <w:r w:rsidRPr="009B438C">
        <w:rPr>
          <w:rFonts w:ascii="Verdana" w:hAnsi="Verdana"/>
          <w:sz w:val="16"/>
          <w:szCs w:val="16"/>
        </w:rPr>
        <w:t xml:space="preserve">“[d]ebido al tiempo transcurrido, y de conformidad con la ley guatemalteca existen lineamientos y plazos dentro de los cuales una investigación puede y debe permanecer abierta, [por lo que] la Fiscal de Mixco solicit[ó] investigadores de tiempo completo para que colaboren en el presente caso y de ese modo avanzar, dentro de las posibilidades del Estado, en la individualización del responsable de la muerte de María Isabel”. Oficio de solicitud emitido por la Fiscal de Distrito Adjunto de la Agencia No. 5 de Mixco, </w:t>
      </w:r>
      <w:r w:rsidRPr="009B438C">
        <w:rPr>
          <w:rFonts w:ascii="Verdana" w:hAnsi="Verdana"/>
          <w:i/>
          <w:sz w:val="16"/>
          <w:szCs w:val="16"/>
        </w:rPr>
        <w:t>supra</w:t>
      </w:r>
      <w:r w:rsidRPr="009B438C">
        <w:rPr>
          <w:rFonts w:ascii="Verdana" w:hAnsi="Verdana"/>
          <w:sz w:val="16"/>
          <w:szCs w:val="16"/>
          <w:lang w:val="es-CL"/>
        </w:rPr>
        <w:t>.</w:t>
      </w:r>
    </w:p>
  </w:footnote>
  <w:footnote w:id="329">
    <w:p w:rsidR="0081535F" w:rsidRPr="00A6365A" w:rsidRDefault="0081535F" w:rsidP="00422232">
      <w:pPr>
        <w:pStyle w:val="Textonotapie"/>
        <w:spacing w:line="19" w:lineRule="atLeast"/>
        <w:ind w:left="-180" w:right="-174"/>
        <w:jc w:val="both"/>
        <w:rPr>
          <w:rFonts w:ascii="Verdana" w:hAnsi="Verdana"/>
          <w:i/>
          <w:sz w:val="16"/>
          <w:szCs w:val="16"/>
          <w:lang w:val="es-MX"/>
        </w:rPr>
      </w:pPr>
      <w:r w:rsidRPr="00353432">
        <w:rPr>
          <w:rStyle w:val="Refdenotaalpie"/>
          <w:rFonts w:ascii="Verdana" w:hAnsi="Verdana"/>
          <w:sz w:val="16"/>
          <w:szCs w:val="16"/>
        </w:rPr>
        <w:footnoteRef/>
      </w:r>
      <w:r w:rsidRPr="00353432">
        <w:rPr>
          <w:rFonts w:ascii="Verdana" w:hAnsi="Verdana"/>
          <w:sz w:val="16"/>
          <w:szCs w:val="16"/>
        </w:rPr>
        <w:t xml:space="preserve"> </w:t>
      </w:r>
      <w:r w:rsidRPr="00353432">
        <w:rPr>
          <w:rFonts w:ascii="Verdana" w:hAnsi="Verdana"/>
          <w:sz w:val="16"/>
          <w:szCs w:val="16"/>
          <w:lang w:val="es-MX"/>
        </w:rPr>
        <w:t>El</w:t>
      </w:r>
      <w:r w:rsidRPr="00353432">
        <w:rPr>
          <w:rFonts w:ascii="Verdana" w:hAnsi="Verdana"/>
          <w:i/>
          <w:sz w:val="16"/>
          <w:szCs w:val="16"/>
          <w:lang w:val="es-MX"/>
        </w:rPr>
        <w:t xml:space="preserve"> </w:t>
      </w:r>
      <w:r w:rsidRPr="00353432">
        <w:rPr>
          <w:rFonts w:ascii="Verdana" w:hAnsi="Verdana"/>
          <w:sz w:val="16"/>
          <w:szCs w:val="16"/>
          <w:lang w:val="es-MX"/>
        </w:rPr>
        <w:t>artículo 324 del Código Procesal Penal establece “[c]uando el Ministerio Público estime que la investigación proporciona fundamento serio para el enjuiciamiento público del imputado, requerirá por escrito al juez la decisión de apertura del juicio. Con la apertura se formulará la acusación</w:t>
      </w:r>
      <w:r>
        <w:rPr>
          <w:rFonts w:ascii="Verdana" w:hAnsi="Verdana"/>
          <w:sz w:val="16"/>
          <w:szCs w:val="16"/>
          <w:lang w:val="es-MX"/>
        </w:rPr>
        <w:t>”</w:t>
      </w:r>
      <w:r w:rsidRPr="00353432">
        <w:rPr>
          <w:rFonts w:ascii="Verdana" w:hAnsi="Verdana"/>
          <w:sz w:val="16"/>
          <w:szCs w:val="16"/>
          <w:lang w:val="es-MX"/>
        </w:rPr>
        <w:t>.</w:t>
      </w:r>
      <w:r>
        <w:rPr>
          <w:rFonts w:ascii="Verdana" w:hAnsi="Verdana"/>
          <w:sz w:val="16"/>
          <w:szCs w:val="16"/>
          <w:lang w:val="es-MX"/>
        </w:rPr>
        <w:t xml:space="preserve"> </w:t>
      </w:r>
      <w:r>
        <w:rPr>
          <w:rFonts w:ascii="Verdana" w:hAnsi="Verdana"/>
          <w:i/>
          <w:sz w:val="16"/>
          <w:szCs w:val="16"/>
          <w:lang w:val="es-MX"/>
        </w:rPr>
        <w:t xml:space="preserve">Cfr. </w:t>
      </w:r>
      <w:r>
        <w:rPr>
          <w:rFonts w:ascii="Verdana" w:hAnsi="Verdana"/>
          <w:sz w:val="16"/>
          <w:szCs w:val="16"/>
        </w:rPr>
        <w:t xml:space="preserve">Congreso de la República de Guatemala. </w:t>
      </w:r>
      <w:r w:rsidRPr="002F740A">
        <w:rPr>
          <w:rFonts w:ascii="Verdana" w:hAnsi="Verdana"/>
          <w:sz w:val="16"/>
          <w:szCs w:val="16"/>
        </w:rPr>
        <w:t>Código Procesal Penal</w:t>
      </w:r>
      <w:r>
        <w:rPr>
          <w:rFonts w:ascii="Verdana" w:hAnsi="Verdana"/>
          <w:sz w:val="16"/>
          <w:szCs w:val="16"/>
        </w:rPr>
        <w:t>.</w:t>
      </w:r>
      <w:r w:rsidRPr="002F740A">
        <w:rPr>
          <w:rFonts w:ascii="Verdana" w:hAnsi="Verdana"/>
          <w:sz w:val="16"/>
          <w:szCs w:val="16"/>
        </w:rPr>
        <w:t xml:space="preserve"> Decreto 51-92 y sus reformas</w:t>
      </w:r>
      <w:r>
        <w:rPr>
          <w:rFonts w:ascii="Verdana" w:hAnsi="Verdana"/>
          <w:sz w:val="16"/>
          <w:szCs w:val="16"/>
        </w:rPr>
        <w:t>,</w:t>
      </w:r>
      <w:r w:rsidRPr="002F740A">
        <w:rPr>
          <w:rFonts w:ascii="Verdana" w:hAnsi="Verdana"/>
          <w:sz w:val="16"/>
          <w:szCs w:val="16"/>
        </w:rPr>
        <w:t xml:space="preserve"> </w:t>
      </w:r>
      <w:r w:rsidRPr="00525912">
        <w:rPr>
          <w:rFonts w:ascii="Verdana" w:hAnsi="Verdana"/>
          <w:i/>
          <w:sz w:val="16"/>
          <w:szCs w:val="16"/>
        </w:rPr>
        <w:t>supra</w:t>
      </w:r>
      <w:r w:rsidRPr="002F740A">
        <w:rPr>
          <w:rFonts w:ascii="Verdana" w:hAnsi="Verdana"/>
          <w:sz w:val="16"/>
          <w:szCs w:val="16"/>
        </w:rPr>
        <w:t>.</w:t>
      </w:r>
    </w:p>
  </w:footnote>
  <w:footnote w:id="330">
    <w:p w:rsidR="0081535F" w:rsidRPr="00353432" w:rsidRDefault="0081535F" w:rsidP="00422232">
      <w:pPr>
        <w:pStyle w:val="Textonotapie"/>
        <w:spacing w:line="19" w:lineRule="atLeast"/>
        <w:ind w:left="-180" w:right="-174"/>
        <w:jc w:val="both"/>
        <w:rPr>
          <w:rFonts w:ascii="Verdana" w:hAnsi="Verdana"/>
          <w:sz w:val="16"/>
          <w:szCs w:val="16"/>
          <w:lang w:val="es-MX"/>
        </w:rPr>
      </w:pPr>
      <w:r w:rsidRPr="00353432">
        <w:rPr>
          <w:rStyle w:val="Refdenotaalpie"/>
          <w:rFonts w:ascii="Verdana" w:hAnsi="Verdana"/>
          <w:sz w:val="16"/>
          <w:szCs w:val="16"/>
        </w:rPr>
        <w:footnoteRef/>
      </w:r>
      <w:r w:rsidRPr="00353432">
        <w:rPr>
          <w:rFonts w:ascii="Verdana" w:hAnsi="Verdana"/>
          <w:sz w:val="16"/>
          <w:szCs w:val="16"/>
          <w:lang w:val="es-MX"/>
        </w:rPr>
        <w:t xml:space="preserve"> </w:t>
      </w:r>
      <w:r w:rsidRPr="00353432">
        <w:rPr>
          <w:rFonts w:ascii="Verdana" w:hAnsi="Verdana"/>
          <w:i/>
          <w:sz w:val="16"/>
          <w:szCs w:val="16"/>
          <w:lang w:val="es-MX"/>
        </w:rPr>
        <w:t>Cfr.</w:t>
      </w:r>
      <w:r w:rsidRPr="00353432">
        <w:rPr>
          <w:rFonts w:ascii="Verdana" w:hAnsi="Verdana"/>
          <w:sz w:val="16"/>
          <w:szCs w:val="16"/>
          <w:lang w:val="es-MX"/>
        </w:rPr>
        <w:t xml:space="preserve"> </w:t>
      </w:r>
      <w:r w:rsidRPr="003622B1">
        <w:rPr>
          <w:rFonts w:ascii="Verdana" w:hAnsi="Verdana"/>
          <w:i/>
          <w:sz w:val="16"/>
          <w:szCs w:val="16"/>
          <w:lang w:val="es-MX"/>
        </w:rPr>
        <w:t>Caso Velásquez Rodríguez. Fondo</w:t>
      </w:r>
      <w:r>
        <w:rPr>
          <w:rFonts w:ascii="Verdana" w:hAnsi="Verdana"/>
          <w:i/>
          <w:sz w:val="16"/>
          <w:szCs w:val="16"/>
          <w:lang w:val="es-MX"/>
        </w:rPr>
        <w:t>, supra</w:t>
      </w:r>
      <w:r>
        <w:rPr>
          <w:rFonts w:ascii="Verdana" w:hAnsi="Verdana"/>
          <w:sz w:val="16"/>
          <w:szCs w:val="16"/>
          <w:lang w:val="es-MX"/>
        </w:rPr>
        <w:t xml:space="preserve">, </w:t>
      </w:r>
      <w:r w:rsidRPr="00353432">
        <w:rPr>
          <w:rFonts w:ascii="Verdana" w:hAnsi="Verdana"/>
          <w:sz w:val="16"/>
          <w:szCs w:val="16"/>
          <w:lang w:val="es-MX"/>
        </w:rPr>
        <w:t>párr. 177</w:t>
      </w:r>
      <w:r>
        <w:rPr>
          <w:rFonts w:ascii="Verdana" w:hAnsi="Verdana"/>
          <w:sz w:val="16"/>
          <w:szCs w:val="16"/>
          <w:lang w:val="es-MX"/>
        </w:rPr>
        <w:t xml:space="preserve">, y </w:t>
      </w:r>
      <w:r>
        <w:rPr>
          <w:rFonts w:ascii="Verdana" w:hAnsi="Verdana"/>
          <w:i/>
          <w:sz w:val="16"/>
          <w:szCs w:val="16"/>
          <w:lang w:val="es-MX"/>
        </w:rPr>
        <w:t>Caso Liakat Ali Alibu, supra</w:t>
      </w:r>
      <w:r>
        <w:rPr>
          <w:rFonts w:ascii="Verdana" w:hAnsi="Verdana"/>
          <w:sz w:val="16"/>
          <w:szCs w:val="16"/>
          <w:lang w:val="es-MX"/>
        </w:rPr>
        <w:t>, párr. 39.</w:t>
      </w:r>
    </w:p>
  </w:footnote>
  <w:footnote w:id="331">
    <w:p w:rsidR="0081535F" w:rsidRPr="00353432" w:rsidRDefault="0081535F" w:rsidP="00422232">
      <w:pPr>
        <w:pStyle w:val="Textonotapie"/>
        <w:spacing w:line="19" w:lineRule="atLeast"/>
        <w:ind w:left="-180" w:right="-174"/>
        <w:jc w:val="both"/>
        <w:rPr>
          <w:rFonts w:ascii="Verdana" w:hAnsi="Verdana"/>
          <w:sz w:val="16"/>
          <w:szCs w:val="16"/>
          <w:lang w:val="es-MX"/>
        </w:rPr>
      </w:pPr>
      <w:r w:rsidRPr="00353432">
        <w:rPr>
          <w:rStyle w:val="Refdenotaalpie"/>
          <w:rFonts w:ascii="Verdana" w:hAnsi="Verdana"/>
          <w:sz w:val="16"/>
          <w:szCs w:val="16"/>
        </w:rPr>
        <w:footnoteRef/>
      </w:r>
      <w:r w:rsidRPr="00353432">
        <w:rPr>
          <w:rFonts w:ascii="Verdana" w:hAnsi="Verdana"/>
          <w:sz w:val="16"/>
          <w:szCs w:val="16"/>
          <w:lang w:val="es-MX"/>
        </w:rPr>
        <w:t xml:space="preserve"> </w:t>
      </w:r>
      <w:r w:rsidRPr="00353432">
        <w:rPr>
          <w:rFonts w:ascii="Verdana" w:hAnsi="Verdana"/>
          <w:i/>
          <w:sz w:val="16"/>
          <w:szCs w:val="16"/>
          <w:lang w:val="es-MX"/>
        </w:rPr>
        <w:t xml:space="preserve">Cfr. </w:t>
      </w:r>
      <w:r w:rsidRPr="00A6365A">
        <w:rPr>
          <w:rFonts w:ascii="Verdana" w:hAnsi="Verdana"/>
          <w:i/>
          <w:sz w:val="16"/>
          <w:szCs w:val="16"/>
          <w:lang w:val="es-MX"/>
        </w:rPr>
        <w:t>Caso Velásquez Rodríguez. Fondo</w:t>
      </w:r>
      <w:r>
        <w:rPr>
          <w:rFonts w:ascii="Verdana" w:hAnsi="Verdana"/>
          <w:i/>
          <w:sz w:val="16"/>
          <w:szCs w:val="16"/>
          <w:lang w:val="es-MX"/>
        </w:rPr>
        <w:t>, supra</w:t>
      </w:r>
      <w:r>
        <w:rPr>
          <w:rFonts w:ascii="Verdana" w:hAnsi="Verdana"/>
          <w:sz w:val="16"/>
          <w:szCs w:val="16"/>
          <w:lang w:val="es-MX"/>
        </w:rPr>
        <w:t xml:space="preserve">, </w:t>
      </w:r>
      <w:r w:rsidRPr="00353432">
        <w:rPr>
          <w:rFonts w:ascii="Verdana" w:hAnsi="Verdana"/>
          <w:sz w:val="16"/>
          <w:szCs w:val="16"/>
          <w:lang w:val="es-MX"/>
        </w:rPr>
        <w:t xml:space="preserve">párr. </w:t>
      </w:r>
      <w:r w:rsidRPr="00712E08">
        <w:rPr>
          <w:rFonts w:ascii="Verdana" w:hAnsi="Verdana"/>
          <w:sz w:val="16"/>
          <w:szCs w:val="16"/>
          <w:lang w:val="es-MX"/>
        </w:rPr>
        <w:t>177, y</w:t>
      </w:r>
      <w:r w:rsidRPr="00712E08">
        <w:t xml:space="preserve"> </w:t>
      </w:r>
      <w:hyperlink r:id="rId20" w:history="1">
        <w:r w:rsidRPr="00A60953">
          <w:rPr>
            <w:rFonts w:ascii="Verdana" w:eastAsia="Times New Roman" w:hAnsi="Verdana" w:cs="Arial"/>
            <w:i/>
            <w:sz w:val="16"/>
            <w:szCs w:val="16"/>
            <w:lang w:eastAsia="es-CR"/>
          </w:rPr>
          <w:t>Caso Gutiérrez y Familia Vs. Argentina</w:t>
        </w:r>
        <w:r w:rsidRPr="00A60953">
          <w:rPr>
            <w:rFonts w:ascii="Verdana" w:eastAsia="Times New Roman" w:hAnsi="Verdana" w:cs="Arial"/>
            <w:sz w:val="16"/>
            <w:szCs w:val="16"/>
            <w:lang w:eastAsia="es-CR"/>
          </w:rPr>
          <w:t>. Fondo, Reparaciones y Costas. Sentencia de 25 de noviembre de 2013. Serie C No. 271</w:t>
        </w:r>
      </w:hyperlink>
      <w:r>
        <w:rPr>
          <w:rFonts w:ascii="Verdana" w:eastAsia="Times New Roman" w:hAnsi="Verdana" w:cs="Arial"/>
          <w:sz w:val="16"/>
          <w:szCs w:val="16"/>
          <w:lang w:eastAsia="es-CR"/>
        </w:rPr>
        <w:t xml:space="preserve">, </w:t>
      </w:r>
      <w:r w:rsidRPr="00712E08">
        <w:rPr>
          <w:rFonts w:ascii="Verdana" w:hAnsi="Verdana"/>
          <w:sz w:val="16"/>
          <w:szCs w:val="16"/>
          <w:lang w:val="es-MX"/>
        </w:rPr>
        <w:t>párr. 98.</w:t>
      </w:r>
    </w:p>
  </w:footnote>
  <w:footnote w:id="332">
    <w:p w:rsidR="0081535F" w:rsidRPr="00353432" w:rsidRDefault="0081535F" w:rsidP="00422232">
      <w:pPr>
        <w:pStyle w:val="Textonotapie"/>
        <w:spacing w:line="19" w:lineRule="atLeast"/>
        <w:ind w:left="-180" w:right="-174"/>
        <w:jc w:val="both"/>
        <w:rPr>
          <w:rFonts w:ascii="Verdana" w:hAnsi="Verdana"/>
          <w:sz w:val="16"/>
          <w:szCs w:val="16"/>
          <w:lang w:val="es-MX"/>
        </w:rPr>
      </w:pPr>
      <w:r w:rsidRPr="00353432">
        <w:rPr>
          <w:rStyle w:val="Refdenotaalpie"/>
          <w:rFonts w:ascii="Verdana" w:hAnsi="Verdana"/>
          <w:sz w:val="16"/>
          <w:szCs w:val="16"/>
        </w:rPr>
        <w:footnoteRef/>
      </w:r>
      <w:r w:rsidRPr="00353432">
        <w:rPr>
          <w:rFonts w:ascii="Verdana" w:hAnsi="Verdana"/>
          <w:sz w:val="16"/>
          <w:szCs w:val="16"/>
          <w:lang w:val="es-MX"/>
        </w:rPr>
        <w:t xml:space="preserve"> </w:t>
      </w:r>
      <w:r w:rsidRPr="00A6365A">
        <w:rPr>
          <w:rFonts w:ascii="Verdana" w:hAnsi="Verdana"/>
          <w:i/>
          <w:sz w:val="16"/>
          <w:szCs w:val="16"/>
          <w:lang w:val="es-MX"/>
        </w:rPr>
        <w:t xml:space="preserve">Caso Cantoral Huamaní y García Santa Cruz Vs. Perú. Excepción Preliminar, Fondo, Reparaciones y Costas. </w:t>
      </w:r>
      <w:r w:rsidRPr="003622B1">
        <w:rPr>
          <w:rFonts w:ascii="Verdana" w:hAnsi="Verdana"/>
          <w:sz w:val="16"/>
          <w:szCs w:val="16"/>
          <w:lang w:val="es-MX"/>
        </w:rPr>
        <w:t>Sentencia de 10 de julio de 2007. Serie C No. 167</w:t>
      </w:r>
      <w:r w:rsidRPr="00353432">
        <w:rPr>
          <w:rFonts w:ascii="Verdana" w:hAnsi="Verdana"/>
          <w:i/>
          <w:color w:val="000000"/>
          <w:sz w:val="16"/>
          <w:szCs w:val="16"/>
          <w:lang w:val="es-MX"/>
        </w:rPr>
        <w:t xml:space="preserve">, </w:t>
      </w:r>
      <w:r w:rsidRPr="00353432">
        <w:rPr>
          <w:rFonts w:ascii="Verdana" w:hAnsi="Verdana"/>
          <w:color w:val="000000"/>
          <w:sz w:val="16"/>
          <w:szCs w:val="16"/>
          <w:lang w:val="es-MX"/>
        </w:rPr>
        <w:t>párr.</w:t>
      </w:r>
      <w:r>
        <w:rPr>
          <w:rFonts w:ascii="Verdana" w:hAnsi="Verdana"/>
          <w:sz w:val="16"/>
          <w:szCs w:val="16"/>
          <w:lang w:val="es-MX"/>
        </w:rPr>
        <w:t xml:space="preserve"> 131, y </w:t>
      </w:r>
      <w:r w:rsidRPr="003622B1">
        <w:rPr>
          <w:rFonts w:ascii="Verdana" w:hAnsi="Verdana"/>
          <w:i/>
          <w:sz w:val="16"/>
          <w:szCs w:val="16"/>
          <w:lang w:val="es-MX"/>
        </w:rPr>
        <w:t>Caso Masacres de Río Negro</w:t>
      </w:r>
      <w:r>
        <w:rPr>
          <w:rFonts w:ascii="Verdana" w:hAnsi="Verdana"/>
          <w:i/>
          <w:sz w:val="16"/>
          <w:szCs w:val="16"/>
          <w:lang w:val="es-MX"/>
        </w:rPr>
        <w:t>, supra</w:t>
      </w:r>
      <w:r>
        <w:rPr>
          <w:rFonts w:ascii="Verdana" w:hAnsi="Verdana"/>
          <w:sz w:val="16"/>
          <w:szCs w:val="16"/>
          <w:lang w:val="es-MX"/>
        </w:rPr>
        <w:t>, párr. 192.</w:t>
      </w:r>
    </w:p>
  </w:footnote>
  <w:footnote w:id="333">
    <w:p w:rsidR="0081535F" w:rsidRPr="00353432" w:rsidRDefault="0081535F" w:rsidP="00422232">
      <w:pPr>
        <w:pStyle w:val="Textonotapie"/>
        <w:spacing w:line="19" w:lineRule="atLeast"/>
        <w:ind w:left="-180" w:right="-174"/>
        <w:jc w:val="both"/>
        <w:rPr>
          <w:rFonts w:ascii="Verdana" w:hAnsi="Verdana"/>
          <w:sz w:val="16"/>
          <w:szCs w:val="16"/>
          <w:lang w:val="es-MX"/>
        </w:rPr>
      </w:pPr>
      <w:r w:rsidRPr="00353432">
        <w:rPr>
          <w:rStyle w:val="Refdenotaalpie"/>
          <w:rFonts w:ascii="Verdana" w:hAnsi="Verdana"/>
          <w:sz w:val="16"/>
          <w:szCs w:val="16"/>
        </w:rPr>
        <w:footnoteRef/>
      </w:r>
      <w:r w:rsidRPr="00353432">
        <w:rPr>
          <w:rFonts w:ascii="Verdana" w:hAnsi="Verdana"/>
          <w:sz w:val="16"/>
          <w:szCs w:val="16"/>
          <w:lang w:val="es-MX"/>
        </w:rPr>
        <w:t xml:space="preserve">  </w:t>
      </w:r>
      <w:r>
        <w:rPr>
          <w:rFonts w:ascii="Verdana" w:hAnsi="Verdana"/>
          <w:i/>
          <w:sz w:val="16"/>
          <w:szCs w:val="16"/>
          <w:lang w:val="es-MX"/>
        </w:rPr>
        <w:t xml:space="preserve">Cfr. </w:t>
      </w:r>
      <w:r w:rsidRPr="00A6365A">
        <w:rPr>
          <w:rFonts w:ascii="Verdana" w:hAnsi="Verdana"/>
          <w:i/>
          <w:sz w:val="16"/>
          <w:szCs w:val="16"/>
          <w:lang w:val="es-MX"/>
        </w:rPr>
        <w:t>Caso González y otras (“Campo Algodonero”)</w:t>
      </w:r>
      <w:r>
        <w:rPr>
          <w:rFonts w:ascii="Verdana" w:hAnsi="Verdana"/>
          <w:i/>
          <w:sz w:val="16"/>
          <w:szCs w:val="16"/>
          <w:lang w:val="es-CR"/>
        </w:rPr>
        <w:t>, supra</w:t>
      </w:r>
      <w:r w:rsidRPr="003622B1">
        <w:rPr>
          <w:rFonts w:ascii="Verdana" w:hAnsi="Verdana"/>
          <w:i/>
          <w:sz w:val="16"/>
          <w:szCs w:val="16"/>
          <w:lang w:val="es-CR"/>
        </w:rPr>
        <w:t>,</w:t>
      </w:r>
      <w:r w:rsidRPr="00A6365A" w:rsidDel="00A6365A">
        <w:rPr>
          <w:rFonts w:ascii="Verdana" w:hAnsi="Verdana"/>
          <w:i/>
          <w:sz w:val="16"/>
          <w:szCs w:val="16"/>
          <w:lang w:val="es-MX"/>
        </w:rPr>
        <w:t xml:space="preserve"> </w:t>
      </w:r>
      <w:r w:rsidRPr="00353432">
        <w:rPr>
          <w:rFonts w:ascii="Verdana" w:hAnsi="Verdana"/>
          <w:sz w:val="16"/>
          <w:szCs w:val="16"/>
          <w:lang w:val="es-MX"/>
        </w:rPr>
        <w:t>párr. 368</w:t>
      </w:r>
      <w:r>
        <w:rPr>
          <w:rFonts w:ascii="Verdana" w:hAnsi="Verdana"/>
          <w:sz w:val="16"/>
          <w:szCs w:val="16"/>
          <w:lang w:val="es-MX"/>
        </w:rPr>
        <w:t xml:space="preserve">, y </w:t>
      </w:r>
      <w:r w:rsidRPr="003622B1">
        <w:rPr>
          <w:rFonts w:ascii="Verdana" w:hAnsi="Verdana"/>
          <w:i/>
          <w:spacing w:val="-4"/>
          <w:sz w:val="16"/>
          <w:szCs w:val="16"/>
          <w:lang w:val="es-CR"/>
        </w:rPr>
        <w:t>Caso Osorio Rivera y Familiares</w:t>
      </w:r>
      <w:r>
        <w:rPr>
          <w:rFonts w:ascii="Verdana" w:hAnsi="Verdana"/>
          <w:i/>
          <w:spacing w:val="-4"/>
          <w:sz w:val="16"/>
          <w:szCs w:val="16"/>
          <w:lang w:val="es-CR"/>
        </w:rPr>
        <w:t>, supra,</w:t>
      </w:r>
      <w:r w:rsidRPr="003622B1">
        <w:rPr>
          <w:rFonts w:ascii="Verdana" w:hAnsi="Verdana"/>
          <w:i/>
          <w:spacing w:val="-4"/>
          <w:sz w:val="16"/>
          <w:szCs w:val="16"/>
          <w:lang w:val="es-CR"/>
        </w:rPr>
        <w:t xml:space="preserve"> </w:t>
      </w:r>
      <w:r>
        <w:rPr>
          <w:rFonts w:ascii="Verdana" w:hAnsi="Verdana"/>
          <w:spacing w:val="-4"/>
          <w:sz w:val="16"/>
          <w:szCs w:val="16"/>
          <w:lang w:val="es-CR"/>
        </w:rPr>
        <w:t>párr. 228</w:t>
      </w:r>
      <w:r w:rsidRPr="00353432">
        <w:rPr>
          <w:rFonts w:ascii="Verdana" w:hAnsi="Verdana"/>
          <w:sz w:val="16"/>
          <w:szCs w:val="16"/>
          <w:lang w:val="es-MX"/>
        </w:rPr>
        <w:t>.</w:t>
      </w:r>
    </w:p>
  </w:footnote>
  <w:footnote w:id="334">
    <w:p w:rsidR="0081535F" w:rsidRPr="003F7A72" w:rsidRDefault="0081535F" w:rsidP="00422232">
      <w:pPr>
        <w:pStyle w:val="Textonotapie"/>
        <w:spacing w:line="19" w:lineRule="atLeast"/>
        <w:ind w:left="-180" w:right="-174"/>
        <w:jc w:val="both"/>
        <w:rPr>
          <w:rFonts w:ascii="Verdana" w:hAnsi="Verdana"/>
          <w:sz w:val="16"/>
          <w:szCs w:val="16"/>
          <w:lang w:val="es-MX"/>
        </w:rPr>
      </w:pPr>
      <w:r w:rsidRPr="00353432">
        <w:rPr>
          <w:rStyle w:val="Refdenotaalpie"/>
          <w:rFonts w:ascii="Verdana" w:hAnsi="Verdana"/>
          <w:sz w:val="16"/>
          <w:szCs w:val="16"/>
        </w:rPr>
        <w:footnoteRef/>
      </w:r>
      <w:r w:rsidRPr="00353432">
        <w:rPr>
          <w:rFonts w:ascii="Verdana" w:hAnsi="Verdana"/>
          <w:sz w:val="16"/>
          <w:szCs w:val="16"/>
          <w:lang w:val="es-CR"/>
        </w:rPr>
        <w:t xml:space="preserve"> </w:t>
      </w:r>
      <w:r w:rsidRPr="003622B1">
        <w:rPr>
          <w:rFonts w:ascii="Verdana" w:hAnsi="Verdana" w:cs="Verdana"/>
          <w:i/>
          <w:sz w:val="16"/>
          <w:szCs w:val="16"/>
          <w:lang w:val="es-CR"/>
        </w:rPr>
        <w:t>Caso</w:t>
      </w:r>
      <w:r>
        <w:rPr>
          <w:rFonts w:ascii="Verdana" w:hAnsi="Verdana" w:cs="Verdana"/>
          <w:i/>
          <w:sz w:val="16"/>
          <w:szCs w:val="16"/>
          <w:lang w:val="es-CR"/>
        </w:rPr>
        <w:t xml:space="preserve"> </w:t>
      </w:r>
      <w:r w:rsidRPr="003622B1">
        <w:rPr>
          <w:rFonts w:ascii="Verdana" w:hAnsi="Verdana" w:cs="Verdana"/>
          <w:i/>
          <w:sz w:val="16"/>
          <w:szCs w:val="16"/>
          <w:lang w:val="es-CR"/>
        </w:rPr>
        <w:t>de los “Niños de la Calle” (Villagrán Morales y Otros). Fondo</w:t>
      </w:r>
      <w:r>
        <w:rPr>
          <w:rFonts w:ascii="Verdana" w:hAnsi="Verdana" w:cs="Verdana"/>
          <w:i/>
          <w:sz w:val="16"/>
          <w:szCs w:val="16"/>
          <w:lang w:val="es-CR"/>
        </w:rPr>
        <w:t>, supra</w:t>
      </w:r>
      <w:r>
        <w:rPr>
          <w:rFonts w:ascii="Verdana" w:hAnsi="Verdana" w:cs="Verdana"/>
          <w:sz w:val="16"/>
          <w:szCs w:val="16"/>
          <w:lang w:val="es-CR"/>
        </w:rPr>
        <w:t>, párr. 174</w:t>
      </w:r>
      <w:r w:rsidRPr="009B438C">
        <w:rPr>
          <w:rFonts w:ascii="Verdana" w:hAnsi="Verdana" w:cs="Verdana"/>
          <w:sz w:val="16"/>
          <w:szCs w:val="16"/>
          <w:lang w:val="es-CR"/>
        </w:rPr>
        <w:t xml:space="preserve">, y </w:t>
      </w:r>
      <w:r w:rsidRPr="003622B1">
        <w:rPr>
          <w:rFonts w:ascii="Verdana" w:hAnsi="Verdana"/>
          <w:i/>
          <w:spacing w:val="-4"/>
          <w:sz w:val="16"/>
          <w:szCs w:val="16"/>
          <w:lang w:val="es-CR"/>
        </w:rPr>
        <w:t>Caso Osorio Rivera y Familiares</w:t>
      </w:r>
      <w:r>
        <w:rPr>
          <w:rFonts w:ascii="Verdana" w:hAnsi="Verdana"/>
          <w:i/>
          <w:spacing w:val="-4"/>
          <w:sz w:val="16"/>
          <w:szCs w:val="16"/>
          <w:lang w:val="es-CR"/>
        </w:rPr>
        <w:t>, supra,</w:t>
      </w:r>
      <w:r w:rsidRPr="003622B1">
        <w:rPr>
          <w:rFonts w:ascii="Verdana" w:hAnsi="Verdana"/>
          <w:i/>
          <w:spacing w:val="-4"/>
          <w:sz w:val="16"/>
          <w:szCs w:val="16"/>
          <w:lang w:val="es-CR"/>
        </w:rPr>
        <w:t xml:space="preserve"> </w:t>
      </w:r>
      <w:r>
        <w:rPr>
          <w:rFonts w:ascii="Verdana" w:hAnsi="Verdana"/>
          <w:spacing w:val="-4"/>
          <w:sz w:val="16"/>
          <w:szCs w:val="16"/>
          <w:lang w:val="es-CR"/>
        </w:rPr>
        <w:t>párr. 228</w:t>
      </w:r>
      <w:r>
        <w:rPr>
          <w:rFonts w:ascii="Verdana" w:hAnsi="Verdana"/>
          <w:sz w:val="16"/>
          <w:szCs w:val="16"/>
          <w:lang w:val="es-MX"/>
        </w:rPr>
        <w:t>.</w:t>
      </w:r>
    </w:p>
  </w:footnote>
  <w:footnote w:id="335">
    <w:p w:rsidR="0081535F" w:rsidRPr="00353432" w:rsidRDefault="0081535F" w:rsidP="00422232">
      <w:pPr>
        <w:spacing w:after="0" w:line="19" w:lineRule="atLeast"/>
        <w:ind w:left="-180" w:right="-174"/>
        <w:jc w:val="both"/>
        <w:rPr>
          <w:rFonts w:ascii="Verdana" w:hAnsi="Verdana"/>
          <w:sz w:val="16"/>
          <w:szCs w:val="16"/>
        </w:rPr>
      </w:pPr>
      <w:r w:rsidRPr="009B438C">
        <w:rPr>
          <w:rStyle w:val="Refdenotaalpie"/>
          <w:rFonts w:ascii="Verdana" w:hAnsi="Verdana"/>
          <w:sz w:val="16"/>
          <w:szCs w:val="16"/>
        </w:rPr>
        <w:footnoteRef/>
      </w:r>
      <w:r>
        <w:rPr>
          <w:rFonts w:ascii="Verdana" w:hAnsi="Verdana"/>
          <w:sz w:val="16"/>
          <w:szCs w:val="16"/>
        </w:rPr>
        <w:t xml:space="preserve"> </w:t>
      </w:r>
      <w:r w:rsidRPr="009B438C">
        <w:rPr>
          <w:rFonts w:ascii="Verdana" w:hAnsi="Verdana"/>
          <w:i/>
          <w:sz w:val="16"/>
          <w:szCs w:val="16"/>
        </w:rPr>
        <w:t>Caso Blake Vs. Guatemala. Fondo</w:t>
      </w:r>
      <w:r w:rsidRPr="009B438C">
        <w:rPr>
          <w:rFonts w:ascii="Verdana" w:hAnsi="Verdana"/>
          <w:sz w:val="16"/>
          <w:szCs w:val="16"/>
        </w:rPr>
        <w:t xml:space="preserve">. Sentencia de 24 de enero de 1998. Serie C No. 36, párr. 114, y </w:t>
      </w:r>
      <w:r w:rsidRPr="003F7A72">
        <w:rPr>
          <w:rFonts w:ascii="Verdana" w:hAnsi="Verdana"/>
          <w:i/>
          <w:sz w:val="16"/>
          <w:szCs w:val="16"/>
        </w:rPr>
        <w:t>Caso Fernández Ortega y otros, supra</w:t>
      </w:r>
      <w:r w:rsidRPr="003F7A72">
        <w:rPr>
          <w:rFonts w:ascii="Verdana" w:hAnsi="Verdana"/>
          <w:sz w:val="16"/>
          <w:szCs w:val="16"/>
        </w:rPr>
        <w:t>, párr. 143.</w:t>
      </w:r>
    </w:p>
  </w:footnote>
  <w:footnote w:id="336">
    <w:p w:rsidR="0081535F" w:rsidRDefault="0081535F" w:rsidP="00422232">
      <w:pPr>
        <w:pStyle w:val="Textonotapie"/>
        <w:spacing w:line="19" w:lineRule="atLeast"/>
        <w:ind w:left="-180" w:right="-174"/>
        <w:jc w:val="both"/>
        <w:rPr>
          <w:rFonts w:ascii="Verdana" w:hAnsi="Verdana"/>
          <w:sz w:val="16"/>
          <w:szCs w:val="16"/>
          <w:lang w:val="es-CR"/>
        </w:rPr>
      </w:pPr>
      <w:r w:rsidRPr="00353432">
        <w:rPr>
          <w:rStyle w:val="Refdenotaalpie"/>
          <w:rFonts w:ascii="Verdana" w:hAnsi="Verdana"/>
          <w:sz w:val="16"/>
          <w:szCs w:val="16"/>
        </w:rPr>
        <w:footnoteRef/>
      </w:r>
      <w:r w:rsidRPr="00353432">
        <w:rPr>
          <w:rFonts w:ascii="Verdana" w:hAnsi="Verdana"/>
          <w:sz w:val="16"/>
          <w:szCs w:val="16"/>
          <w:lang w:val="es-CR"/>
        </w:rPr>
        <w:t xml:space="preserve"> </w:t>
      </w:r>
      <w:r w:rsidRPr="00D1085A">
        <w:rPr>
          <w:rFonts w:ascii="Verdana" w:hAnsi="Verdana"/>
          <w:sz w:val="16"/>
          <w:szCs w:val="16"/>
          <w:lang w:val="es-CR"/>
        </w:rPr>
        <w:t xml:space="preserve">Declaración de Leonel Enrique Veliz </w:t>
      </w:r>
      <w:r w:rsidRPr="00BD3EAF">
        <w:rPr>
          <w:rFonts w:ascii="Verdana" w:hAnsi="Verdana"/>
          <w:sz w:val="16"/>
          <w:szCs w:val="16"/>
          <w:lang w:val="es-CR"/>
        </w:rPr>
        <w:t xml:space="preserve">Franco, </w:t>
      </w:r>
      <w:r w:rsidRPr="00BD3EAF">
        <w:rPr>
          <w:rFonts w:ascii="Verdana" w:hAnsi="Verdana"/>
          <w:i/>
          <w:sz w:val="16"/>
          <w:szCs w:val="16"/>
          <w:lang w:val="es-CR"/>
        </w:rPr>
        <w:t>supra</w:t>
      </w:r>
      <w:r w:rsidRPr="00BD3EAF">
        <w:rPr>
          <w:rFonts w:ascii="Verdana" w:hAnsi="Verdana"/>
          <w:sz w:val="16"/>
          <w:szCs w:val="16"/>
          <w:lang w:val="es-CR"/>
        </w:rPr>
        <w:t>.</w:t>
      </w:r>
    </w:p>
  </w:footnote>
  <w:footnote w:id="337">
    <w:p w:rsidR="0081535F" w:rsidRPr="00353432" w:rsidRDefault="0081535F" w:rsidP="00422232">
      <w:pPr>
        <w:pStyle w:val="Textonotapie"/>
        <w:spacing w:line="19" w:lineRule="atLeast"/>
        <w:ind w:left="-180" w:right="-174"/>
        <w:jc w:val="both"/>
        <w:rPr>
          <w:rFonts w:ascii="Verdana" w:hAnsi="Verdana"/>
          <w:sz w:val="16"/>
          <w:szCs w:val="16"/>
          <w:lang w:val="es-CR"/>
        </w:rPr>
      </w:pPr>
      <w:r w:rsidRPr="00353432">
        <w:rPr>
          <w:rStyle w:val="Refdenotaalpie"/>
          <w:rFonts w:ascii="Verdana" w:hAnsi="Verdana"/>
          <w:sz w:val="16"/>
          <w:szCs w:val="16"/>
        </w:rPr>
        <w:footnoteRef/>
      </w:r>
      <w:r w:rsidRPr="00353432">
        <w:rPr>
          <w:rFonts w:ascii="Verdana" w:hAnsi="Verdana"/>
          <w:sz w:val="16"/>
          <w:szCs w:val="16"/>
          <w:lang w:val="es-CR"/>
        </w:rPr>
        <w:t xml:space="preserve"> </w:t>
      </w:r>
      <w:r w:rsidRPr="00036337">
        <w:rPr>
          <w:rFonts w:ascii="Verdana" w:hAnsi="Verdana"/>
          <w:sz w:val="16"/>
          <w:szCs w:val="16"/>
          <w:lang w:val="es-CR"/>
        </w:rPr>
        <w:t>Decl</w:t>
      </w:r>
      <w:r>
        <w:rPr>
          <w:rFonts w:ascii="Verdana" w:hAnsi="Verdana"/>
          <w:sz w:val="16"/>
          <w:szCs w:val="16"/>
          <w:lang w:val="es-CR"/>
        </w:rPr>
        <w:t xml:space="preserve">aración de José Roberto Franco rendida mediante </w:t>
      </w:r>
      <w:r w:rsidRPr="00525912">
        <w:rPr>
          <w:rFonts w:ascii="Verdana" w:hAnsi="Verdana"/>
          <w:i/>
          <w:sz w:val="16"/>
          <w:szCs w:val="16"/>
          <w:lang w:val="es-CR"/>
        </w:rPr>
        <w:t>affidávit</w:t>
      </w:r>
      <w:r>
        <w:rPr>
          <w:rFonts w:ascii="Verdana" w:hAnsi="Verdana"/>
          <w:sz w:val="16"/>
          <w:szCs w:val="16"/>
          <w:lang w:val="es-CR"/>
        </w:rPr>
        <w:t xml:space="preserve"> </w:t>
      </w:r>
      <w:r w:rsidRPr="00153F7E">
        <w:rPr>
          <w:rFonts w:ascii="Verdana" w:hAnsi="Verdana"/>
          <w:sz w:val="16"/>
          <w:szCs w:val="16"/>
          <w:lang w:val="es-CR"/>
        </w:rPr>
        <w:t xml:space="preserve">el </w:t>
      </w:r>
      <w:r>
        <w:rPr>
          <w:rFonts w:ascii="Verdana" w:hAnsi="Verdana"/>
          <w:sz w:val="16"/>
          <w:szCs w:val="16"/>
          <w:lang w:val="es-CR"/>
        </w:rPr>
        <w:t xml:space="preserve">16 de abril de 2013 </w:t>
      </w:r>
      <w:r w:rsidRPr="00C378CA">
        <w:rPr>
          <w:rFonts w:ascii="Verdana" w:hAnsi="Verdana"/>
          <w:sz w:val="16"/>
          <w:szCs w:val="16"/>
          <w:lang w:val="es-CR"/>
        </w:rPr>
        <w:t>(</w:t>
      </w:r>
      <w:r w:rsidRPr="00525912">
        <w:rPr>
          <w:rFonts w:ascii="Verdana" w:hAnsi="Verdana"/>
          <w:sz w:val="16"/>
          <w:szCs w:val="16"/>
          <w:lang w:val="es-CR"/>
        </w:rPr>
        <w:t>expediente de excepciones preliminares, fondo y reparaciones y costas</w:t>
      </w:r>
      <w:r w:rsidRPr="00C378CA">
        <w:rPr>
          <w:rFonts w:ascii="Verdana" w:hAnsi="Verdana"/>
          <w:sz w:val="16"/>
          <w:szCs w:val="16"/>
          <w:lang w:val="es-CR"/>
        </w:rPr>
        <w:t xml:space="preserve">, fs. </w:t>
      </w:r>
      <w:r>
        <w:rPr>
          <w:rFonts w:ascii="Verdana" w:hAnsi="Verdana"/>
          <w:sz w:val="16"/>
          <w:szCs w:val="16"/>
          <w:lang w:val="es-CR"/>
        </w:rPr>
        <w:t>823 a 828</w:t>
      </w:r>
      <w:r w:rsidRPr="00C378CA">
        <w:rPr>
          <w:rFonts w:ascii="Verdana" w:hAnsi="Verdana"/>
          <w:sz w:val="16"/>
          <w:szCs w:val="16"/>
          <w:lang w:val="es-CR"/>
        </w:rPr>
        <w:t>).</w:t>
      </w:r>
    </w:p>
  </w:footnote>
  <w:footnote w:id="338">
    <w:p w:rsidR="0081535F" w:rsidRPr="00353432" w:rsidRDefault="0081535F" w:rsidP="00422232">
      <w:pPr>
        <w:pStyle w:val="Textonotapie"/>
        <w:spacing w:line="19" w:lineRule="atLeast"/>
        <w:ind w:left="-180" w:right="-174"/>
        <w:jc w:val="both"/>
        <w:rPr>
          <w:rFonts w:ascii="Verdana" w:hAnsi="Verdana"/>
          <w:sz w:val="16"/>
          <w:szCs w:val="16"/>
          <w:lang w:val="es-CR"/>
        </w:rPr>
      </w:pPr>
      <w:r w:rsidRPr="00353432">
        <w:rPr>
          <w:rStyle w:val="Refdenotaalpie"/>
          <w:rFonts w:ascii="Verdana" w:hAnsi="Verdana"/>
          <w:sz w:val="16"/>
          <w:szCs w:val="16"/>
        </w:rPr>
        <w:footnoteRef/>
      </w:r>
      <w:r w:rsidRPr="00353432">
        <w:rPr>
          <w:rFonts w:ascii="Verdana" w:hAnsi="Verdana"/>
          <w:sz w:val="16"/>
          <w:szCs w:val="16"/>
          <w:lang w:val="es-CR"/>
        </w:rPr>
        <w:t xml:space="preserve"> </w:t>
      </w:r>
      <w:r w:rsidRPr="00036337">
        <w:rPr>
          <w:rFonts w:ascii="Verdana" w:hAnsi="Verdana"/>
          <w:sz w:val="16"/>
          <w:szCs w:val="16"/>
          <w:lang w:val="es-CR"/>
        </w:rPr>
        <w:t>Declaraci</w:t>
      </w:r>
      <w:r>
        <w:rPr>
          <w:rFonts w:ascii="Verdana" w:hAnsi="Verdana"/>
          <w:sz w:val="16"/>
          <w:szCs w:val="16"/>
          <w:lang w:val="es-CR"/>
        </w:rPr>
        <w:t xml:space="preserve">ón de Rodolfo Kepfer Rodríguez rendida mediante </w:t>
      </w:r>
      <w:r w:rsidRPr="00525912">
        <w:rPr>
          <w:rFonts w:ascii="Verdana" w:hAnsi="Verdana"/>
          <w:i/>
          <w:sz w:val="16"/>
          <w:szCs w:val="16"/>
          <w:lang w:val="es-CR"/>
        </w:rPr>
        <w:t>affidávit</w:t>
      </w:r>
      <w:r>
        <w:rPr>
          <w:rFonts w:ascii="Verdana" w:hAnsi="Verdana"/>
          <w:sz w:val="16"/>
          <w:szCs w:val="16"/>
          <w:lang w:val="es-CR"/>
        </w:rPr>
        <w:t xml:space="preserve"> </w:t>
      </w:r>
      <w:r w:rsidRPr="00A741E6">
        <w:rPr>
          <w:rFonts w:ascii="Verdana" w:hAnsi="Verdana"/>
          <w:sz w:val="16"/>
          <w:szCs w:val="16"/>
          <w:lang w:val="es-CR"/>
        </w:rPr>
        <w:t>el</w:t>
      </w:r>
      <w:r w:rsidRPr="00525912">
        <w:rPr>
          <w:rFonts w:ascii="Verdana" w:hAnsi="Verdana"/>
          <w:sz w:val="16"/>
          <w:szCs w:val="16"/>
          <w:lang w:val="es-CR"/>
        </w:rPr>
        <w:t xml:space="preserve"> 26 de abril de 2013</w:t>
      </w:r>
      <w:r>
        <w:rPr>
          <w:rFonts w:ascii="Verdana" w:hAnsi="Verdana"/>
          <w:sz w:val="16"/>
          <w:szCs w:val="16"/>
          <w:lang w:val="es-CR"/>
        </w:rPr>
        <w:t xml:space="preserve"> </w:t>
      </w:r>
      <w:r w:rsidRPr="00F34FA6">
        <w:rPr>
          <w:rFonts w:ascii="Verdana" w:hAnsi="Verdana"/>
          <w:sz w:val="16"/>
          <w:szCs w:val="16"/>
          <w:lang w:val="es-CR"/>
        </w:rPr>
        <w:t>(</w:t>
      </w:r>
      <w:r w:rsidRPr="00525912">
        <w:rPr>
          <w:rFonts w:ascii="Verdana" w:hAnsi="Verdana"/>
          <w:sz w:val="16"/>
          <w:szCs w:val="16"/>
          <w:lang w:val="es-CR"/>
        </w:rPr>
        <w:t>expediente de excepciones preliminares, fondo y reparaciones y costas</w:t>
      </w:r>
      <w:r w:rsidRPr="00F34FA6">
        <w:rPr>
          <w:rFonts w:ascii="Verdana" w:hAnsi="Verdana"/>
          <w:sz w:val="16"/>
          <w:szCs w:val="16"/>
          <w:lang w:val="es-CR"/>
        </w:rPr>
        <w:t>,</w:t>
      </w:r>
      <w:r>
        <w:rPr>
          <w:rFonts w:ascii="Verdana" w:hAnsi="Verdana"/>
          <w:sz w:val="16"/>
          <w:szCs w:val="16"/>
          <w:lang w:val="es-CR"/>
        </w:rPr>
        <w:t xml:space="preserve"> fs. 838 a 854).</w:t>
      </w:r>
    </w:p>
  </w:footnote>
  <w:footnote w:id="339">
    <w:p w:rsidR="0081535F" w:rsidRPr="0064289A" w:rsidRDefault="0081535F" w:rsidP="00422232">
      <w:pPr>
        <w:pStyle w:val="Textonotapie"/>
        <w:ind w:left="-180" w:right="-174"/>
        <w:jc w:val="both"/>
        <w:rPr>
          <w:rFonts w:ascii="Verdana" w:hAnsi="Verdana"/>
          <w:sz w:val="16"/>
          <w:szCs w:val="16"/>
        </w:rPr>
      </w:pPr>
      <w:r w:rsidRPr="0064289A">
        <w:rPr>
          <w:rStyle w:val="Refdenotaalpie"/>
          <w:rFonts w:ascii="Verdana" w:hAnsi="Verdana"/>
          <w:sz w:val="16"/>
          <w:szCs w:val="16"/>
        </w:rPr>
        <w:footnoteRef/>
      </w:r>
      <w:r w:rsidRPr="0064289A">
        <w:rPr>
          <w:rFonts w:ascii="Verdana" w:hAnsi="Verdana"/>
          <w:sz w:val="16"/>
          <w:szCs w:val="16"/>
        </w:rPr>
        <w:t xml:space="preserve"> </w:t>
      </w:r>
      <w:r w:rsidRPr="0064289A">
        <w:rPr>
          <w:rFonts w:ascii="Verdana" w:hAnsi="Verdana"/>
          <w:sz w:val="16"/>
          <w:szCs w:val="16"/>
          <w:lang w:val="es-CR"/>
        </w:rPr>
        <w:t>El artículo 63.1 de la Convención dispone que “[c]</w:t>
      </w:r>
      <w:proofErr w:type="spellStart"/>
      <w:r w:rsidRPr="0064289A">
        <w:rPr>
          <w:rFonts w:ascii="Verdana" w:hAnsi="Verdana"/>
          <w:sz w:val="16"/>
          <w:szCs w:val="16"/>
          <w:lang w:val="es-CR"/>
        </w:rPr>
        <w:t>uando</w:t>
      </w:r>
      <w:proofErr w:type="spellEnd"/>
      <w:r w:rsidRPr="0064289A">
        <w:rPr>
          <w:rFonts w:ascii="Verdana" w:hAnsi="Verdana"/>
          <w:sz w:val="16"/>
          <w:szCs w:val="16"/>
          <w:lang w:val="es-CR"/>
        </w:rPr>
        <w:t xml:space="preserve"> decida que hubo violación de un derecho o libertad protegidos en [la] Convención, la Corte dispondrá que se garantice al lesionado en el goce de su derecho o libertad conculcados. Dispondrá asimismo, si ello fuera procedente, que se reparen las consecuencias de la medida o situación que ha configurado la vulneración de esos derechos y el pago de una justa indemnización a la parte lesionada”.</w:t>
      </w:r>
    </w:p>
  </w:footnote>
  <w:footnote w:id="340">
    <w:p w:rsidR="0081535F" w:rsidRPr="00353432" w:rsidRDefault="0081535F" w:rsidP="00422232">
      <w:pPr>
        <w:spacing w:after="0" w:line="19" w:lineRule="atLeast"/>
        <w:ind w:left="-180" w:right="-174"/>
        <w:jc w:val="both"/>
        <w:rPr>
          <w:rFonts w:ascii="Verdana" w:hAnsi="Verdana"/>
          <w:sz w:val="16"/>
          <w:szCs w:val="16"/>
          <w:lang w:val="es-ES"/>
        </w:rPr>
      </w:pPr>
      <w:r w:rsidRPr="00353432">
        <w:rPr>
          <w:rStyle w:val="Refdenotaalpie"/>
          <w:rFonts w:ascii="Verdana" w:hAnsi="Verdana"/>
          <w:sz w:val="16"/>
          <w:szCs w:val="16"/>
        </w:rPr>
        <w:footnoteRef/>
      </w:r>
      <w:r w:rsidRPr="00353432">
        <w:rPr>
          <w:rFonts w:ascii="Verdana" w:hAnsi="Verdana"/>
          <w:sz w:val="16"/>
          <w:szCs w:val="16"/>
          <w:lang w:val="es-ES"/>
        </w:rPr>
        <w:t xml:space="preserve"> </w:t>
      </w:r>
      <w:r w:rsidRPr="00353432">
        <w:rPr>
          <w:rFonts w:ascii="Verdana" w:hAnsi="Verdana"/>
          <w:i/>
          <w:sz w:val="16"/>
          <w:szCs w:val="16"/>
          <w:lang w:val="es-ES"/>
        </w:rPr>
        <w:t>Cfr</w:t>
      </w:r>
      <w:r w:rsidRPr="00353432">
        <w:rPr>
          <w:rFonts w:ascii="Verdana" w:hAnsi="Verdana"/>
          <w:sz w:val="16"/>
          <w:szCs w:val="16"/>
          <w:lang w:val="es-ES"/>
        </w:rPr>
        <w:t xml:space="preserve">. </w:t>
      </w:r>
      <w:r w:rsidRPr="00353432">
        <w:rPr>
          <w:rFonts w:ascii="Verdana" w:hAnsi="Verdana"/>
          <w:i/>
          <w:sz w:val="16"/>
          <w:szCs w:val="16"/>
          <w:lang w:val="es-ES"/>
        </w:rPr>
        <w:t>Caso Velásquez Rodríguez Vs. Honduras. Reparaciones y Costas</w:t>
      </w:r>
      <w:r>
        <w:rPr>
          <w:rFonts w:ascii="Verdana" w:hAnsi="Verdana"/>
          <w:i/>
          <w:sz w:val="16"/>
          <w:szCs w:val="16"/>
          <w:lang w:val="es-ES"/>
        </w:rPr>
        <w:t>.</w:t>
      </w:r>
      <w:r w:rsidRPr="00CB58F3">
        <w:rPr>
          <w:rFonts w:ascii="Verdana" w:hAnsi="Verdana"/>
          <w:sz w:val="20"/>
          <w:szCs w:val="16"/>
          <w:lang w:val="es-ES_tradnl"/>
        </w:rPr>
        <w:t xml:space="preserve"> </w:t>
      </w:r>
      <w:r w:rsidRPr="00CB58F3">
        <w:rPr>
          <w:rFonts w:ascii="Verdana" w:hAnsi="Verdana"/>
          <w:sz w:val="16"/>
          <w:szCs w:val="16"/>
          <w:lang w:val="es-ES_tradnl"/>
        </w:rPr>
        <w:t>Sentencia de 21 de julio de 1989. Serie C No. 7</w:t>
      </w:r>
      <w:r>
        <w:rPr>
          <w:rFonts w:ascii="Verdana" w:hAnsi="Verdana"/>
          <w:sz w:val="16"/>
          <w:szCs w:val="16"/>
          <w:lang w:val="es-ES_tradnl"/>
        </w:rPr>
        <w:t>,</w:t>
      </w:r>
      <w:r w:rsidRPr="00353432">
        <w:rPr>
          <w:rFonts w:ascii="Verdana" w:hAnsi="Verdana"/>
          <w:sz w:val="16"/>
          <w:szCs w:val="16"/>
          <w:lang w:val="es-ES"/>
        </w:rPr>
        <w:t xml:space="preserve"> párr. 25, y </w:t>
      </w:r>
      <w:r w:rsidRPr="00410F9B">
        <w:rPr>
          <w:rFonts w:ascii="Verdana" w:hAnsi="Verdana"/>
          <w:i/>
          <w:sz w:val="16"/>
          <w:szCs w:val="16"/>
          <w:lang w:val="es-CR"/>
        </w:rPr>
        <w:t>Caso Liakat Ali Alibux</w:t>
      </w:r>
      <w:r>
        <w:rPr>
          <w:rFonts w:ascii="Verdana" w:hAnsi="Verdana"/>
          <w:i/>
          <w:sz w:val="16"/>
          <w:szCs w:val="16"/>
          <w:lang w:val="es-CR"/>
        </w:rPr>
        <w:t>, supra</w:t>
      </w:r>
      <w:r>
        <w:rPr>
          <w:rFonts w:ascii="Verdana" w:hAnsi="Verdana"/>
          <w:sz w:val="16"/>
          <w:szCs w:val="16"/>
          <w:lang w:val="es-CR"/>
        </w:rPr>
        <w:t>, párr. 137.</w:t>
      </w:r>
    </w:p>
  </w:footnote>
  <w:footnote w:id="341">
    <w:p w:rsidR="0081535F" w:rsidRPr="00353432" w:rsidRDefault="0081535F" w:rsidP="00422232">
      <w:pPr>
        <w:spacing w:after="0" w:line="19" w:lineRule="atLeast"/>
        <w:ind w:left="-180" w:right="-174"/>
        <w:jc w:val="both"/>
        <w:rPr>
          <w:rFonts w:ascii="Verdana" w:hAnsi="Verdana"/>
          <w:sz w:val="16"/>
          <w:szCs w:val="16"/>
          <w:lang w:val="es-ES"/>
        </w:rPr>
      </w:pPr>
      <w:r w:rsidRPr="00353432">
        <w:rPr>
          <w:rStyle w:val="Refdenotaalpie"/>
          <w:rFonts w:ascii="Verdana" w:hAnsi="Verdana"/>
          <w:sz w:val="16"/>
          <w:szCs w:val="16"/>
        </w:rPr>
        <w:footnoteRef/>
      </w:r>
      <w:r w:rsidRPr="00353432">
        <w:rPr>
          <w:rFonts w:ascii="Verdana" w:hAnsi="Verdana"/>
          <w:i/>
          <w:sz w:val="16"/>
          <w:szCs w:val="16"/>
          <w:lang w:val="es-ES"/>
        </w:rPr>
        <w:t xml:space="preserve"> Cfr. Caso Ticona Estrada y otros Vs. Bolivia</w:t>
      </w:r>
      <w:r>
        <w:rPr>
          <w:rFonts w:ascii="Verdana" w:hAnsi="Verdana"/>
          <w:i/>
          <w:sz w:val="16"/>
          <w:szCs w:val="16"/>
          <w:lang w:val="es-ES"/>
        </w:rPr>
        <w:t>.</w:t>
      </w:r>
      <w:r w:rsidRPr="00E7228B">
        <w:rPr>
          <w:rFonts w:ascii="Verdana" w:hAnsi="Verdana"/>
          <w:i/>
          <w:sz w:val="16"/>
          <w:szCs w:val="16"/>
          <w:lang w:val="es-CR"/>
        </w:rPr>
        <w:t xml:space="preserve"> Fondo, Reparaciones y Costas. </w:t>
      </w:r>
      <w:r w:rsidRPr="00410F9B">
        <w:rPr>
          <w:rFonts w:ascii="Verdana" w:hAnsi="Verdana"/>
          <w:sz w:val="16"/>
          <w:szCs w:val="16"/>
          <w:lang w:val="es-CR"/>
        </w:rPr>
        <w:t>Sentencia de 27 de noviembre de 2008. Serie C No. 191</w:t>
      </w:r>
      <w:r>
        <w:rPr>
          <w:rFonts w:ascii="Verdana" w:hAnsi="Verdana"/>
          <w:sz w:val="16"/>
          <w:szCs w:val="16"/>
          <w:lang w:val="es-ES"/>
        </w:rPr>
        <w:t>,</w:t>
      </w:r>
      <w:r w:rsidRPr="00353432">
        <w:rPr>
          <w:rFonts w:ascii="Verdana" w:hAnsi="Verdana"/>
          <w:i/>
          <w:sz w:val="16"/>
          <w:szCs w:val="16"/>
          <w:lang w:val="es-ES"/>
        </w:rPr>
        <w:t xml:space="preserve"> </w:t>
      </w:r>
      <w:r w:rsidRPr="00353432">
        <w:rPr>
          <w:rFonts w:ascii="Verdana" w:hAnsi="Verdana"/>
          <w:sz w:val="16"/>
          <w:szCs w:val="16"/>
          <w:lang w:val="es-ES"/>
        </w:rPr>
        <w:t xml:space="preserve">párr. 110, y </w:t>
      </w:r>
      <w:r w:rsidRPr="00CB58F3">
        <w:rPr>
          <w:rFonts w:ascii="Verdana" w:hAnsi="Verdana"/>
          <w:i/>
          <w:sz w:val="16"/>
          <w:szCs w:val="16"/>
          <w:lang w:val="es-CR"/>
        </w:rPr>
        <w:t>Caso Liakat Ali Alibux</w:t>
      </w:r>
      <w:r>
        <w:rPr>
          <w:rFonts w:ascii="Verdana" w:hAnsi="Verdana"/>
          <w:i/>
          <w:sz w:val="16"/>
          <w:szCs w:val="16"/>
          <w:lang w:val="es-CR"/>
        </w:rPr>
        <w:t>, supra</w:t>
      </w:r>
      <w:r>
        <w:rPr>
          <w:rFonts w:ascii="Verdana" w:hAnsi="Verdana"/>
          <w:sz w:val="16"/>
          <w:szCs w:val="16"/>
          <w:lang w:val="es-CR"/>
        </w:rPr>
        <w:t>, párr. 139.</w:t>
      </w:r>
      <w:r w:rsidRPr="00353432">
        <w:rPr>
          <w:rFonts w:ascii="Verdana" w:hAnsi="Verdana"/>
          <w:sz w:val="16"/>
          <w:szCs w:val="16"/>
          <w:lang w:val="es-ES"/>
        </w:rPr>
        <w:t xml:space="preserve"> </w:t>
      </w:r>
    </w:p>
  </w:footnote>
  <w:footnote w:id="342">
    <w:p w:rsidR="0081535F" w:rsidRPr="00353432" w:rsidRDefault="0081535F" w:rsidP="00422232">
      <w:pPr>
        <w:spacing w:after="0" w:line="19" w:lineRule="atLeast"/>
        <w:ind w:left="-180" w:right="-174"/>
        <w:jc w:val="both"/>
        <w:rPr>
          <w:rFonts w:ascii="Verdana" w:hAnsi="Verdana"/>
          <w:sz w:val="16"/>
          <w:szCs w:val="16"/>
          <w:lang w:val="es-ES"/>
        </w:rPr>
      </w:pPr>
      <w:r w:rsidRPr="00353432">
        <w:rPr>
          <w:rStyle w:val="Refdenotaalpie"/>
          <w:rFonts w:ascii="Verdana" w:hAnsi="Verdana"/>
          <w:sz w:val="16"/>
          <w:szCs w:val="16"/>
        </w:rPr>
        <w:footnoteRef/>
      </w:r>
      <w:r w:rsidRPr="00353432">
        <w:rPr>
          <w:rFonts w:ascii="Verdana" w:hAnsi="Verdana"/>
          <w:i/>
          <w:sz w:val="16"/>
          <w:szCs w:val="16"/>
          <w:lang w:val="es-ES"/>
        </w:rPr>
        <w:t xml:space="preserve"> Cfr. Caso Velásquez Rodríguez. Reparaciones y Costas</w:t>
      </w:r>
      <w:r>
        <w:rPr>
          <w:rFonts w:ascii="Verdana" w:hAnsi="Verdana"/>
          <w:i/>
          <w:sz w:val="16"/>
          <w:szCs w:val="16"/>
          <w:lang w:val="es-ES"/>
        </w:rPr>
        <w:t>, supra</w:t>
      </w:r>
      <w:r w:rsidRPr="00353432">
        <w:rPr>
          <w:rFonts w:ascii="Verdana" w:hAnsi="Verdana"/>
          <w:sz w:val="16"/>
          <w:szCs w:val="16"/>
          <w:lang w:val="es-ES"/>
        </w:rPr>
        <w:t>, párrs. 25 a 27, y</w:t>
      </w:r>
      <w:r w:rsidRPr="00353432">
        <w:rPr>
          <w:rFonts w:ascii="Verdana" w:hAnsi="Verdana"/>
          <w:sz w:val="16"/>
          <w:szCs w:val="16"/>
          <w:lang w:val="es-CR"/>
        </w:rPr>
        <w:t xml:space="preserve"> </w:t>
      </w:r>
      <w:r w:rsidRPr="00CB58F3">
        <w:rPr>
          <w:rFonts w:ascii="Verdana" w:hAnsi="Verdana"/>
          <w:i/>
          <w:sz w:val="16"/>
          <w:szCs w:val="16"/>
          <w:lang w:val="es-CR"/>
        </w:rPr>
        <w:t>Caso Liakat Ali Alibux</w:t>
      </w:r>
      <w:r>
        <w:rPr>
          <w:rFonts w:ascii="Verdana" w:hAnsi="Verdana"/>
          <w:i/>
          <w:sz w:val="16"/>
          <w:szCs w:val="16"/>
          <w:lang w:val="es-CR"/>
        </w:rPr>
        <w:t>, supra</w:t>
      </w:r>
      <w:r>
        <w:rPr>
          <w:rFonts w:ascii="Verdana" w:hAnsi="Verdana"/>
          <w:sz w:val="16"/>
          <w:szCs w:val="16"/>
          <w:lang w:val="es-CR"/>
        </w:rPr>
        <w:t>, párr. 138.</w:t>
      </w:r>
    </w:p>
  </w:footnote>
  <w:footnote w:id="343">
    <w:p w:rsidR="0081535F" w:rsidRPr="00EB1622" w:rsidRDefault="0081535F" w:rsidP="00422232">
      <w:pPr>
        <w:spacing w:after="0" w:line="19" w:lineRule="atLeast"/>
        <w:ind w:left="-180" w:right="-174"/>
        <w:jc w:val="both"/>
        <w:rPr>
          <w:rFonts w:ascii="Verdana" w:hAnsi="Verdana"/>
          <w:sz w:val="16"/>
          <w:szCs w:val="16"/>
          <w:lang w:val="es-ES"/>
        </w:rPr>
      </w:pPr>
      <w:r w:rsidRPr="00353432">
        <w:rPr>
          <w:rStyle w:val="Refdenotaalpie"/>
          <w:rFonts w:ascii="Verdana" w:hAnsi="Verdana"/>
          <w:sz w:val="16"/>
          <w:szCs w:val="16"/>
        </w:rPr>
        <w:footnoteRef/>
      </w:r>
      <w:r w:rsidRPr="00353432">
        <w:rPr>
          <w:rFonts w:ascii="Verdana" w:hAnsi="Verdana"/>
          <w:sz w:val="16"/>
          <w:szCs w:val="16"/>
          <w:lang w:val="es-ES"/>
        </w:rPr>
        <w:t xml:space="preserve"> </w:t>
      </w:r>
      <w:r w:rsidRPr="00353432">
        <w:rPr>
          <w:rFonts w:ascii="Verdana" w:hAnsi="Verdana"/>
          <w:i/>
          <w:sz w:val="16"/>
          <w:szCs w:val="16"/>
          <w:lang w:val="es-ES"/>
        </w:rPr>
        <w:t xml:space="preserve">Cfr. </w:t>
      </w:r>
      <w:r w:rsidRPr="0099366C">
        <w:rPr>
          <w:rFonts w:ascii="Verdana" w:hAnsi="Verdana"/>
          <w:i/>
          <w:iCs/>
          <w:sz w:val="16"/>
          <w:szCs w:val="16"/>
          <w:lang w:val="es-CR"/>
        </w:rPr>
        <w:t>Caso de la “Panel Blanca” (Paniagua Morales y otros). Fondo</w:t>
      </w:r>
      <w:r>
        <w:rPr>
          <w:rFonts w:ascii="Verdana" w:hAnsi="Verdana"/>
          <w:i/>
          <w:iCs/>
          <w:sz w:val="16"/>
          <w:szCs w:val="16"/>
          <w:lang w:val="es-CR"/>
        </w:rPr>
        <w:t>, supra</w:t>
      </w:r>
      <w:r w:rsidRPr="00410F9B">
        <w:rPr>
          <w:rFonts w:ascii="Verdana" w:hAnsi="Verdana"/>
          <w:iCs/>
          <w:sz w:val="16"/>
          <w:szCs w:val="16"/>
          <w:lang w:val="es-CR"/>
        </w:rPr>
        <w:t xml:space="preserve">, </w:t>
      </w:r>
      <w:r w:rsidRPr="00410F9B">
        <w:rPr>
          <w:rFonts w:ascii="Verdana" w:hAnsi="Verdana"/>
          <w:sz w:val="16"/>
          <w:szCs w:val="16"/>
          <w:lang w:val="es-CR"/>
        </w:rPr>
        <w:t>párr. 173</w:t>
      </w:r>
      <w:r w:rsidRPr="0099366C">
        <w:rPr>
          <w:rFonts w:ascii="Verdana" w:hAnsi="Verdana"/>
          <w:i/>
          <w:sz w:val="16"/>
          <w:szCs w:val="16"/>
          <w:lang w:val="es-CR"/>
        </w:rPr>
        <w:t xml:space="preserve">, </w:t>
      </w:r>
      <w:r w:rsidRPr="00300107">
        <w:rPr>
          <w:rFonts w:ascii="Verdana" w:hAnsi="Verdana"/>
          <w:sz w:val="16"/>
          <w:szCs w:val="16"/>
          <w:lang w:val="es-CR"/>
        </w:rPr>
        <w:t xml:space="preserve">y </w:t>
      </w:r>
      <w:r w:rsidRPr="0099366C">
        <w:rPr>
          <w:rFonts w:ascii="Verdana" w:hAnsi="Verdana"/>
          <w:i/>
          <w:sz w:val="16"/>
          <w:szCs w:val="16"/>
          <w:lang w:val="es-CR"/>
        </w:rPr>
        <w:t xml:space="preserve">Caso </w:t>
      </w:r>
      <w:r w:rsidRPr="00CB58F3">
        <w:rPr>
          <w:rFonts w:ascii="Verdana" w:hAnsi="Verdana"/>
          <w:i/>
          <w:sz w:val="16"/>
          <w:szCs w:val="16"/>
          <w:lang w:val="es-CR"/>
        </w:rPr>
        <w:t>Liakat Ali Alibux</w:t>
      </w:r>
      <w:r>
        <w:rPr>
          <w:rFonts w:ascii="Verdana" w:hAnsi="Verdana"/>
          <w:i/>
          <w:sz w:val="16"/>
          <w:szCs w:val="16"/>
          <w:lang w:val="es-CR"/>
        </w:rPr>
        <w:t>, supra</w:t>
      </w:r>
      <w:r>
        <w:rPr>
          <w:rFonts w:ascii="Verdana" w:hAnsi="Verdana"/>
          <w:sz w:val="16"/>
          <w:szCs w:val="16"/>
          <w:lang w:val="es-CR"/>
        </w:rPr>
        <w:t>, párr. 42.</w:t>
      </w:r>
    </w:p>
  </w:footnote>
  <w:footnote w:id="344">
    <w:p w:rsidR="0081535F" w:rsidRPr="00353432" w:rsidRDefault="0081535F" w:rsidP="00422232">
      <w:pPr>
        <w:autoSpaceDE w:val="0"/>
        <w:autoSpaceDN w:val="0"/>
        <w:adjustRightInd w:val="0"/>
        <w:spacing w:after="0" w:line="19" w:lineRule="atLeast"/>
        <w:ind w:left="-180" w:right="-174"/>
        <w:jc w:val="both"/>
        <w:rPr>
          <w:rFonts w:ascii="Verdana" w:hAnsi="Verdana" w:cs="Verdana"/>
          <w:sz w:val="16"/>
          <w:szCs w:val="16"/>
          <w:lang w:val="es-CR"/>
        </w:rPr>
      </w:pPr>
      <w:r w:rsidRPr="009B438C">
        <w:rPr>
          <w:rStyle w:val="Refdenotaalpie"/>
          <w:rFonts w:ascii="Verdana" w:hAnsi="Verdana"/>
          <w:sz w:val="16"/>
          <w:szCs w:val="16"/>
        </w:rPr>
        <w:footnoteRef/>
      </w:r>
      <w:r w:rsidRPr="009B438C">
        <w:rPr>
          <w:rFonts w:ascii="Verdana" w:hAnsi="Verdana"/>
          <w:sz w:val="16"/>
          <w:szCs w:val="16"/>
          <w:lang w:val="es-CR"/>
        </w:rPr>
        <w:t xml:space="preserve"> </w:t>
      </w:r>
      <w:r w:rsidRPr="009B438C">
        <w:rPr>
          <w:rFonts w:ascii="Verdana" w:hAnsi="Verdana"/>
          <w:i/>
          <w:sz w:val="16"/>
          <w:szCs w:val="16"/>
          <w:lang w:val="es-CR"/>
        </w:rPr>
        <w:t>Cfr.</w:t>
      </w:r>
      <w:r w:rsidRPr="009B438C">
        <w:rPr>
          <w:rFonts w:ascii="Verdana" w:hAnsi="Verdana"/>
          <w:sz w:val="16"/>
          <w:szCs w:val="16"/>
          <w:lang w:val="es-CR"/>
        </w:rPr>
        <w:t xml:space="preserve"> </w:t>
      </w:r>
      <w:r w:rsidRPr="009B438C">
        <w:rPr>
          <w:rFonts w:ascii="Verdana" w:hAnsi="Verdana"/>
          <w:i/>
          <w:sz w:val="16"/>
          <w:szCs w:val="16"/>
          <w:lang w:val="es-CR"/>
        </w:rPr>
        <w:t>Caso Heliodoro Portugal Vs. Panamá</w:t>
      </w:r>
      <w:r w:rsidRPr="009B438C">
        <w:rPr>
          <w:rFonts w:ascii="Verdana" w:hAnsi="Verdana"/>
          <w:i/>
          <w:iCs/>
          <w:sz w:val="16"/>
          <w:szCs w:val="16"/>
          <w:lang w:val="es-CR"/>
        </w:rPr>
        <w:t xml:space="preserve">. Excepciones Preliminares, Fondo, Reparaciones y Costas. </w:t>
      </w:r>
      <w:r w:rsidRPr="009B438C">
        <w:rPr>
          <w:rFonts w:ascii="Verdana" w:hAnsi="Verdana"/>
          <w:sz w:val="16"/>
          <w:szCs w:val="16"/>
          <w:lang w:val="es-CR"/>
        </w:rPr>
        <w:t>Sentencia de 12 de agosto de 2008. Serie C No. 186,</w:t>
      </w:r>
      <w:r w:rsidRPr="009B438C">
        <w:rPr>
          <w:rFonts w:ascii="Verdana" w:hAnsi="Verdana"/>
          <w:i/>
          <w:sz w:val="16"/>
          <w:szCs w:val="16"/>
          <w:lang w:val="es-CR"/>
        </w:rPr>
        <w:t xml:space="preserve"> </w:t>
      </w:r>
      <w:r w:rsidRPr="009B438C">
        <w:rPr>
          <w:rFonts w:ascii="Verdana" w:hAnsi="Verdana"/>
          <w:sz w:val="16"/>
          <w:szCs w:val="16"/>
          <w:lang w:val="es-CR"/>
        </w:rPr>
        <w:t>párr. 146, y</w:t>
      </w:r>
      <w:r w:rsidRPr="00353432">
        <w:rPr>
          <w:rFonts w:ascii="Verdana" w:hAnsi="Verdana"/>
          <w:sz w:val="16"/>
          <w:szCs w:val="16"/>
          <w:lang w:val="es-CR"/>
        </w:rPr>
        <w:t xml:space="preserve"> </w:t>
      </w:r>
      <w:r w:rsidRPr="00EB1622">
        <w:rPr>
          <w:rFonts w:ascii="Verdana" w:hAnsi="Verdana"/>
          <w:i/>
          <w:sz w:val="16"/>
          <w:szCs w:val="16"/>
          <w:lang w:val="es-CR"/>
        </w:rPr>
        <w:t>Caso Osorio Rivera y Familiares, supra</w:t>
      </w:r>
      <w:r>
        <w:rPr>
          <w:rFonts w:ascii="Verdana" w:hAnsi="Verdana"/>
          <w:sz w:val="16"/>
          <w:szCs w:val="16"/>
          <w:lang w:val="es-CR"/>
        </w:rPr>
        <w:t>, párr. 288</w:t>
      </w:r>
      <w:r w:rsidRPr="00EB1622">
        <w:rPr>
          <w:rFonts w:ascii="Verdana" w:hAnsi="Verdana"/>
          <w:sz w:val="16"/>
          <w:szCs w:val="16"/>
          <w:lang w:val="es-CR"/>
        </w:rPr>
        <w:t>.</w:t>
      </w:r>
    </w:p>
  </w:footnote>
  <w:footnote w:id="345">
    <w:p w:rsidR="0081535F" w:rsidRPr="00353432" w:rsidRDefault="0081535F" w:rsidP="00422232">
      <w:pPr>
        <w:spacing w:after="0" w:line="19" w:lineRule="atLeast"/>
        <w:ind w:left="-180" w:right="-174"/>
        <w:jc w:val="both"/>
        <w:rPr>
          <w:rFonts w:ascii="Verdana" w:hAnsi="Verdana"/>
          <w:sz w:val="16"/>
          <w:szCs w:val="16"/>
          <w:lang w:val="es-ES"/>
        </w:rPr>
      </w:pPr>
      <w:r w:rsidRPr="00353432">
        <w:rPr>
          <w:rStyle w:val="Refdenotaalpie"/>
          <w:rFonts w:ascii="Verdana" w:hAnsi="Verdana"/>
          <w:sz w:val="16"/>
          <w:szCs w:val="16"/>
        </w:rPr>
        <w:footnoteRef/>
      </w:r>
      <w:r w:rsidRPr="00353432">
        <w:rPr>
          <w:rFonts w:ascii="Verdana" w:hAnsi="Verdana"/>
          <w:sz w:val="16"/>
          <w:szCs w:val="16"/>
          <w:lang w:val="es-ES"/>
        </w:rPr>
        <w:t xml:space="preserve"> </w:t>
      </w:r>
      <w:r w:rsidRPr="00353432">
        <w:rPr>
          <w:rFonts w:ascii="Verdana" w:hAnsi="Verdana"/>
          <w:i/>
          <w:sz w:val="16"/>
          <w:szCs w:val="16"/>
          <w:lang w:val="es-ES"/>
        </w:rPr>
        <w:t>Cfr</w:t>
      </w:r>
      <w:r w:rsidRPr="00353432">
        <w:rPr>
          <w:rFonts w:ascii="Verdana" w:hAnsi="Verdana"/>
          <w:sz w:val="16"/>
          <w:szCs w:val="16"/>
          <w:lang w:val="es-ES"/>
        </w:rPr>
        <w:t xml:space="preserve">. </w:t>
      </w:r>
      <w:r w:rsidRPr="00353432">
        <w:rPr>
          <w:rFonts w:ascii="Verdana" w:hAnsi="Verdana"/>
          <w:i/>
          <w:sz w:val="16"/>
          <w:szCs w:val="16"/>
          <w:lang w:val="es-ES"/>
        </w:rPr>
        <w:t xml:space="preserve">Caso Neira Alegría y otros </w:t>
      </w:r>
      <w:r w:rsidRPr="00362FEE">
        <w:rPr>
          <w:rFonts w:ascii="Verdana" w:hAnsi="Verdana"/>
          <w:i/>
          <w:sz w:val="16"/>
          <w:szCs w:val="16"/>
          <w:lang w:val="es-ES"/>
        </w:rPr>
        <w:t>Vs.</w:t>
      </w:r>
      <w:r w:rsidRPr="00353432">
        <w:rPr>
          <w:rFonts w:ascii="Verdana" w:hAnsi="Verdana"/>
          <w:i/>
          <w:sz w:val="16"/>
          <w:szCs w:val="16"/>
          <w:lang w:val="es-ES"/>
        </w:rPr>
        <w:t xml:space="preserve"> Perú. Reparaciones y Costas.</w:t>
      </w:r>
      <w:r w:rsidRPr="00353432">
        <w:rPr>
          <w:rFonts w:ascii="Verdana" w:hAnsi="Verdana"/>
          <w:sz w:val="16"/>
          <w:szCs w:val="16"/>
          <w:lang w:val="es-ES"/>
        </w:rPr>
        <w:t xml:space="preserve"> Sentencia de 19 de septiembre de 1996. Serie C No. 29, párr. 56,</w:t>
      </w:r>
      <w:r w:rsidRPr="00353432">
        <w:rPr>
          <w:rFonts w:ascii="Verdana" w:hAnsi="Verdana"/>
          <w:sz w:val="16"/>
          <w:szCs w:val="16"/>
          <w:lang w:val="es-CR"/>
        </w:rPr>
        <w:t xml:space="preserve"> y </w:t>
      </w:r>
      <w:r w:rsidRPr="00CB58F3">
        <w:rPr>
          <w:rFonts w:ascii="Verdana" w:hAnsi="Verdana"/>
          <w:i/>
          <w:sz w:val="16"/>
          <w:szCs w:val="16"/>
          <w:lang w:val="es-CR"/>
        </w:rPr>
        <w:t>Caso Liakat Ali Alibux</w:t>
      </w:r>
      <w:r>
        <w:rPr>
          <w:rFonts w:ascii="Verdana" w:hAnsi="Verdana"/>
          <w:i/>
          <w:sz w:val="16"/>
          <w:szCs w:val="16"/>
          <w:lang w:val="es-CR"/>
        </w:rPr>
        <w:t>, supra</w:t>
      </w:r>
      <w:r>
        <w:rPr>
          <w:rFonts w:ascii="Verdana" w:hAnsi="Verdana"/>
          <w:sz w:val="16"/>
          <w:szCs w:val="16"/>
          <w:lang w:val="es-CR"/>
        </w:rPr>
        <w:t>, párr. 147.</w:t>
      </w:r>
    </w:p>
  </w:footnote>
  <w:footnote w:id="346">
    <w:p w:rsidR="0081535F" w:rsidRPr="00353432" w:rsidRDefault="0081535F" w:rsidP="00422232">
      <w:pPr>
        <w:pStyle w:val="Textonotapie"/>
        <w:spacing w:line="19" w:lineRule="atLeast"/>
        <w:ind w:left="-180" w:right="-174"/>
        <w:jc w:val="both"/>
        <w:rPr>
          <w:rFonts w:ascii="Verdana" w:hAnsi="Verdana" w:cs="Times-Roman"/>
          <w:bCs/>
          <w:sz w:val="16"/>
          <w:szCs w:val="16"/>
          <w:lang w:val="es-CR"/>
        </w:rPr>
      </w:pPr>
      <w:r w:rsidRPr="00353432">
        <w:rPr>
          <w:rStyle w:val="Refdenotaalpie"/>
          <w:rFonts w:ascii="Verdana" w:hAnsi="Verdana"/>
          <w:sz w:val="16"/>
          <w:szCs w:val="16"/>
        </w:rPr>
        <w:footnoteRef/>
      </w:r>
      <w:r w:rsidRPr="00353432">
        <w:rPr>
          <w:rFonts w:ascii="Verdana" w:hAnsi="Verdana"/>
          <w:sz w:val="16"/>
          <w:szCs w:val="16"/>
        </w:rPr>
        <w:t xml:space="preserve"> S</w:t>
      </w:r>
      <w:proofErr w:type="spellStart"/>
      <w:r w:rsidRPr="00353432">
        <w:rPr>
          <w:rFonts w:ascii="Verdana" w:hAnsi="Verdana" w:cs="Times-Roman"/>
          <w:bCs/>
          <w:sz w:val="16"/>
          <w:szCs w:val="16"/>
          <w:lang w:val="es-CR"/>
        </w:rPr>
        <w:t>olicitaron</w:t>
      </w:r>
      <w:proofErr w:type="spellEnd"/>
      <w:r w:rsidRPr="00353432">
        <w:rPr>
          <w:rFonts w:ascii="Verdana" w:hAnsi="Verdana" w:cs="Times-Roman"/>
          <w:bCs/>
          <w:sz w:val="16"/>
          <w:szCs w:val="16"/>
          <w:lang w:val="es-CR"/>
        </w:rPr>
        <w:t xml:space="preserve"> que “con el fin de conservar viva la memoria de María Isabel</w:t>
      </w:r>
      <w:r>
        <w:rPr>
          <w:rFonts w:ascii="Verdana" w:hAnsi="Verdana" w:cs="Times-Roman"/>
          <w:bCs/>
          <w:sz w:val="16"/>
          <w:szCs w:val="16"/>
          <w:lang w:val="es-CR"/>
        </w:rPr>
        <w:t>,</w:t>
      </w:r>
      <w:r w:rsidRPr="00353432">
        <w:rPr>
          <w:rFonts w:ascii="Verdana" w:hAnsi="Verdana" w:cs="Times-Roman"/>
          <w:bCs/>
          <w:sz w:val="16"/>
          <w:szCs w:val="16"/>
          <w:lang w:val="es-CR"/>
        </w:rPr>
        <w:t xml:space="preserve"> quien en varias oportunidades había manifestado su deseo de cursar estudios superiores</w:t>
      </w:r>
      <w:r>
        <w:rPr>
          <w:rFonts w:ascii="Verdana" w:hAnsi="Verdana" w:cs="Times-Roman"/>
          <w:bCs/>
          <w:sz w:val="16"/>
          <w:szCs w:val="16"/>
          <w:lang w:val="es-CR"/>
        </w:rPr>
        <w:t>,</w:t>
      </w:r>
      <w:r w:rsidRPr="00353432">
        <w:rPr>
          <w:rFonts w:ascii="Verdana" w:hAnsi="Verdana" w:cs="Times-Roman"/>
          <w:bCs/>
          <w:sz w:val="16"/>
          <w:szCs w:val="16"/>
          <w:lang w:val="es-CR"/>
        </w:rPr>
        <w:t xml:space="preserve"> [… la Corte] ordene al Estado la creación de un fondo de becas</w:t>
      </w:r>
      <w:r>
        <w:rPr>
          <w:rFonts w:ascii="Verdana" w:hAnsi="Verdana" w:cs="Times-Roman"/>
          <w:bCs/>
          <w:sz w:val="16"/>
          <w:szCs w:val="16"/>
          <w:lang w:val="es-CR"/>
        </w:rPr>
        <w:t xml:space="preserve"> de estudios</w:t>
      </w:r>
      <w:r w:rsidRPr="00353432">
        <w:rPr>
          <w:rFonts w:ascii="Verdana" w:hAnsi="Verdana" w:cs="Times-Roman"/>
          <w:bCs/>
          <w:sz w:val="16"/>
          <w:szCs w:val="16"/>
          <w:lang w:val="es-CR"/>
        </w:rPr>
        <w:t xml:space="preserve"> en su memoria de una duración no menor de 5 años, de forma que mujeres sobrevivientes de violencia puedan cursar una carrera en la rama de su elección en una institución pública de educación superior”. Por último, indicaron que se “debe garantizar la participación de la señora </w:t>
      </w:r>
      <w:r w:rsidRPr="00C4690D">
        <w:rPr>
          <w:rFonts w:ascii="Verdana" w:hAnsi="Verdana"/>
          <w:w w:val="95"/>
          <w:sz w:val="16"/>
          <w:szCs w:val="16"/>
          <w:lang w:val="es-EC"/>
        </w:rPr>
        <w:t>[…] Franco [Sandoval]</w:t>
      </w:r>
      <w:r w:rsidRPr="00353432">
        <w:rPr>
          <w:rFonts w:ascii="Verdana" w:hAnsi="Verdana" w:cs="Times-Roman"/>
          <w:bCs/>
          <w:sz w:val="16"/>
          <w:szCs w:val="16"/>
          <w:lang w:val="es-CR"/>
        </w:rPr>
        <w:t xml:space="preserve"> y de sus representantes en la implementación de esta medida de reparación”.</w:t>
      </w:r>
    </w:p>
  </w:footnote>
  <w:footnote w:id="347">
    <w:p w:rsidR="0081535F" w:rsidRPr="00353432" w:rsidRDefault="0081535F" w:rsidP="00422232">
      <w:pPr>
        <w:spacing w:after="0" w:line="19" w:lineRule="atLeast"/>
        <w:ind w:left="-180" w:right="-174"/>
        <w:jc w:val="both"/>
        <w:rPr>
          <w:rFonts w:ascii="Verdana" w:hAnsi="Verdana"/>
          <w:sz w:val="16"/>
          <w:szCs w:val="16"/>
          <w:lang w:val="es-EC"/>
        </w:rPr>
      </w:pPr>
      <w:r w:rsidRPr="00353432">
        <w:rPr>
          <w:rStyle w:val="Refdenotaalpie"/>
          <w:rFonts w:ascii="Verdana" w:hAnsi="Verdana"/>
          <w:sz w:val="16"/>
          <w:szCs w:val="16"/>
        </w:rPr>
        <w:footnoteRef/>
      </w:r>
      <w:r w:rsidRPr="00353432">
        <w:rPr>
          <w:rFonts w:ascii="Verdana" w:hAnsi="Verdana"/>
          <w:sz w:val="16"/>
          <w:szCs w:val="16"/>
          <w:lang w:val="es-CR"/>
        </w:rPr>
        <w:t xml:space="preserve"> </w:t>
      </w:r>
      <w:r w:rsidRPr="00353432">
        <w:rPr>
          <w:rFonts w:ascii="Verdana" w:hAnsi="Verdana" w:cs="Times-Roman"/>
          <w:bCs/>
          <w:sz w:val="16"/>
          <w:szCs w:val="16"/>
          <w:lang w:val="es-CR"/>
        </w:rPr>
        <w:t>L</w:t>
      </w:r>
      <w:r>
        <w:rPr>
          <w:rFonts w:ascii="Verdana" w:hAnsi="Verdana" w:cs="Times-Roman"/>
          <w:bCs/>
          <w:sz w:val="16"/>
          <w:szCs w:val="16"/>
          <w:lang w:val="es-CR"/>
        </w:rPr>
        <w:t>a</w:t>
      </w:r>
      <w:r w:rsidRPr="00353432">
        <w:rPr>
          <w:rFonts w:ascii="Verdana" w:hAnsi="Verdana" w:cs="Times-Roman"/>
          <w:bCs/>
          <w:sz w:val="16"/>
          <w:szCs w:val="16"/>
          <w:lang w:val="es-CR"/>
        </w:rPr>
        <w:t xml:space="preserve">s </w:t>
      </w:r>
      <w:r w:rsidRPr="002857CA">
        <w:rPr>
          <w:rFonts w:ascii="Verdana" w:hAnsi="Verdana" w:cs="Times-Roman"/>
          <w:bCs/>
          <w:sz w:val="16"/>
          <w:szCs w:val="16"/>
          <w:lang w:val="es-CR"/>
        </w:rPr>
        <w:t>representantes indicaron que “en diversas oportunidades la Corte Interamericana ha considerado como medida de satisfacción para resarcir la violación y sus consecuencias, el otorgamiento de becas escolares para las víctimas o sus familiares cuando, a raíz de la violación de derechos humanos, han tenido que afrontar dificultades y sufrimientos para completar sus estudios primarios y secundarios o realizar estudios universitarios”. Entendieron que los hermanos de María Isabel “se vieron afectados en sus oportunidades educativas no solo por la pérdida de su hermana, sino también los efectos de la búsqueda por la justicia y la verdad emprendida por su madre”. Por</w:t>
      </w:r>
      <w:r w:rsidRPr="00353432">
        <w:rPr>
          <w:rFonts w:ascii="Verdana" w:hAnsi="Verdana" w:cs="Times-Roman"/>
          <w:bCs/>
          <w:sz w:val="16"/>
          <w:szCs w:val="16"/>
          <w:lang w:val="es-CR"/>
        </w:rPr>
        <w:t xml:space="preserve"> ello, solicitaron que </w:t>
      </w:r>
      <w:r>
        <w:rPr>
          <w:rFonts w:ascii="Verdana" w:hAnsi="Verdana" w:cs="Times-Roman"/>
          <w:bCs/>
          <w:sz w:val="16"/>
          <w:szCs w:val="16"/>
          <w:lang w:val="es-CR"/>
        </w:rPr>
        <w:t xml:space="preserve">se ordene que </w:t>
      </w:r>
      <w:r w:rsidRPr="00353432">
        <w:rPr>
          <w:rFonts w:ascii="Verdana" w:hAnsi="Verdana" w:cs="Times-Roman"/>
          <w:bCs/>
          <w:sz w:val="16"/>
          <w:szCs w:val="16"/>
          <w:lang w:val="es-CR"/>
        </w:rPr>
        <w:t>el Estado les otorgue a Leonel Enrique V</w:t>
      </w:r>
      <w:r>
        <w:rPr>
          <w:rFonts w:ascii="Verdana" w:hAnsi="Verdana" w:cs="Times-Roman"/>
          <w:bCs/>
          <w:sz w:val="16"/>
          <w:szCs w:val="16"/>
          <w:lang w:val="es-CR"/>
        </w:rPr>
        <w:t>e</w:t>
      </w:r>
      <w:r w:rsidRPr="00353432">
        <w:rPr>
          <w:rFonts w:ascii="Verdana" w:hAnsi="Verdana" w:cs="Times-Roman"/>
          <w:bCs/>
          <w:sz w:val="16"/>
          <w:szCs w:val="16"/>
          <w:lang w:val="es-CR"/>
        </w:rPr>
        <w:t>liz Franco y José Roberto Franco “becas para estudios superiores en la rama, oficio y temática que deseen estudiar”.</w:t>
      </w:r>
    </w:p>
  </w:footnote>
  <w:footnote w:id="348">
    <w:p w:rsidR="0081535F" w:rsidRPr="00353432" w:rsidRDefault="0081535F" w:rsidP="00422232">
      <w:pPr>
        <w:spacing w:after="0" w:line="19" w:lineRule="atLeast"/>
        <w:ind w:left="-180" w:right="-174"/>
        <w:jc w:val="both"/>
        <w:rPr>
          <w:rFonts w:ascii="Verdana" w:hAnsi="Verdana"/>
          <w:sz w:val="16"/>
          <w:szCs w:val="16"/>
          <w:lang w:val="es-EC"/>
        </w:rPr>
      </w:pPr>
      <w:r w:rsidRPr="00353432">
        <w:rPr>
          <w:rStyle w:val="Refdenotaalpie"/>
          <w:rFonts w:ascii="Verdana" w:hAnsi="Verdana"/>
          <w:sz w:val="16"/>
          <w:szCs w:val="16"/>
        </w:rPr>
        <w:footnoteRef/>
      </w:r>
      <w:r w:rsidRPr="00353432">
        <w:rPr>
          <w:rFonts w:ascii="Verdana" w:hAnsi="Verdana"/>
          <w:sz w:val="16"/>
          <w:szCs w:val="16"/>
          <w:lang w:val="es-CR"/>
        </w:rPr>
        <w:t xml:space="preserve"> </w:t>
      </w:r>
      <w:r w:rsidRPr="00353432">
        <w:rPr>
          <w:rFonts w:ascii="Verdana" w:hAnsi="Verdana" w:cs="Times-Roman"/>
          <w:bCs/>
          <w:sz w:val="16"/>
          <w:szCs w:val="16"/>
          <w:lang w:val="es-CR"/>
        </w:rPr>
        <w:t xml:space="preserve">Al respecto, el Estado indicó que “cuenta dentro de su acervo institucional </w:t>
      </w:r>
      <w:r>
        <w:rPr>
          <w:rFonts w:ascii="Verdana" w:hAnsi="Verdana" w:cs="Times-Roman"/>
          <w:bCs/>
          <w:sz w:val="16"/>
          <w:szCs w:val="16"/>
          <w:lang w:val="es-CR"/>
        </w:rPr>
        <w:t xml:space="preserve">con </w:t>
      </w:r>
      <w:r w:rsidRPr="00353432">
        <w:rPr>
          <w:rFonts w:ascii="Verdana" w:hAnsi="Verdana" w:cs="Times-Roman"/>
          <w:bCs/>
          <w:sz w:val="16"/>
          <w:szCs w:val="16"/>
          <w:lang w:val="es-CR"/>
        </w:rPr>
        <w:t>diversos programas de becas para jóvenes. Sin embargo, crear un fondo nuevo implica para el gobierno gastos que de momento no puede sufragar”.</w:t>
      </w:r>
    </w:p>
  </w:footnote>
  <w:footnote w:id="349">
    <w:p w:rsidR="0081535F" w:rsidRPr="00353432" w:rsidRDefault="0081535F" w:rsidP="00422232">
      <w:pPr>
        <w:pStyle w:val="Textonotapie"/>
        <w:spacing w:line="19" w:lineRule="atLeast"/>
        <w:ind w:left="-180" w:right="-174"/>
        <w:jc w:val="both"/>
        <w:rPr>
          <w:rFonts w:ascii="Verdana" w:hAnsi="Verdana"/>
          <w:b/>
          <w:sz w:val="16"/>
          <w:szCs w:val="16"/>
          <w:lang w:val="es-CR"/>
        </w:rPr>
      </w:pPr>
      <w:r w:rsidRPr="00353432">
        <w:rPr>
          <w:rStyle w:val="Refdenotaalpie"/>
          <w:rFonts w:ascii="Verdana" w:hAnsi="Verdana"/>
          <w:sz w:val="16"/>
          <w:szCs w:val="16"/>
        </w:rPr>
        <w:footnoteRef/>
      </w:r>
      <w:r w:rsidRPr="00353432">
        <w:rPr>
          <w:rFonts w:ascii="Verdana" w:hAnsi="Verdana"/>
          <w:sz w:val="16"/>
          <w:szCs w:val="16"/>
        </w:rPr>
        <w:t xml:space="preserve"> E</w:t>
      </w:r>
      <w:r w:rsidRPr="00353432">
        <w:rPr>
          <w:rFonts w:ascii="Verdana" w:hAnsi="Verdana" w:cs="Times-Roman"/>
          <w:bCs/>
          <w:sz w:val="16"/>
          <w:szCs w:val="16"/>
          <w:lang w:val="es-CR"/>
        </w:rPr>
        <w:t xml:space="preserve">l </w:t>
      </w:r>
      <w:r w:rsidRPr="00410F9B">
        <w:rPr>
          <w:rFonts w:ascii="Verdana" w:hAnsi="Verdana" w:cs="Times-Roman"/>
          <w:bCs/>
          <w:sz w:val="16"/>
          <w:szCs w:val="16"/>
          <w:lang w:val="es-CR"/>
        </w:rPr>
        <w:t>Estado</w:t>
      </w:r>
      <w:r w:rsidRPr="00353432">
        <w:rPr>
          <w:rFonts w:ascii="Verdana" w:hAnsi="Verdana" w:cs="Times-Roman"/>
          <w:bCs/>
          <w:sz w:val="16"/>
          <w:szCs w:val="16"/>
          <w:lang w:val="es-CR"/>
        </w:rPr>
        <w:t xml:space="preserve"> indicó que “cuenta con instituciones destinadas a proveer de becas a jóvenes de escasos recursos y con necesidad de colaboración en cuanto al pago de sus estudios</w:t>
      </w:r>
      <w:r>
        <w:rPr>
          <w:rFonts w:ascii="Verdana" w:hAnsi="Verdana" w:cs="Times-Roman"/>
          <w:bCs/>
          <w:sz w:val="16"/>
          <w:szCs w:val="16"/>
          <w:lang w:val="es-CR"/>
        </w:rPr>
        <w:t>”</w:t>
      </w:r>
      <w:r w:rsidRPr="00353432">
        <w:rPr>
          <w:rFonts w:ascii="Verdana" w:hAnsi="Verdana" w:cs="Times-Roman"/>
          <w:bCs/>
          <w:sz w:val="16"/>
          <w:szCs w:val="16"/>
          <w:lang w:val="es-CR"/>
        </w:rPr>
        <w:t xml:space="preserve">. Advirtió además que la solicitud de reparación </w:t>
      </w:r>
      <w:r>
        <w:rPr>
          <w:rFonts w:ascii="Verdana" w:hAnsi="Verdana" w:cs="Times-Roman"/>
          <w:bCs/>
          <w:sz w:val="16"/>
          <w:szCs w:val="16"/>
          <w:lang w:val="es-CR"/>
        </w:rPr>
        <w:t>“</w:t>
      </w:r>
      <w:r w:rsidRPr="00353432">
        <w:rPr>
          <w:rFonts w:ascii="Verdana" w:hAnsi="Verdana" w:cs="Times-Roman"/>
          <w:bCs/>
          <w:sz w:val="16"/>
          <w:szCs w:val="16"/>
          <w:lang w:val="es-CR"/>
        </w:rPr>
        <w:t xml:space="preserve">no indica a qué tipo de estudios se refiere, por lo que el Estado insta a los hermanos de María Isabel a aplicar a dichos planes de becas y si reúnen los requisitos solicitados por los programas de </w:t>
      </w:r>
      <w:r>
        <w:rPr>
          <w:rFonts w:ascii="Verdana" w:hAnsi="Verdana" w:cs="Times-Roman"/>
          <w:bCs/>
          <w:sz w:val="16"/>
          <w:szCs w:val="16"/>
          <w:lang w:val="es-CR"/>
        </w:rPr>
        <w:t>[</w:t>
      </w:r>
      <w:r w:rsidRPr="00353432">
        <w:rPr>
          <w:rFonts w:ascii="Verdana" w:hAnsi="Verdana" w:cs="Times-Roman"/>
          <w:bCs/>
          <w:sz w:val="16"/>
          <w:szCs w:val="16"/>
          <w:lang w:val="es-CR"/>
        </w:rPr>
        <w:t>b</w:t>
      </w:r>
      <w:r>
        <w:rPr>
          <w:rFonts w:ascii="Verdana" w:hAnsi="Verdana" w:cs="Times-Roman"/>
          <w:bCs/>
          <w:sz w:val="16"/>
          <w:szCs w:val="16"/>
          <w:lang w:val="es-CR"/>
        </w:rPr>
        <w:t>]</w:t>
      </w:r>
      <w:r w:rsidRPr="00353432">
        <w:rPr>
          <w:rFonts w:ascii="Verdana" w:hAnsi="Verdana" w:cs="Times-Roman"/>
          <w:bCs/>
          <w:sz w:val="16"/>
          <w:szCs w:val="16"/>
          <w:lang w:val="es-CR"/>
        </w:rPr>
        <w:t>ecas, se harán acreedore</w:t>
      </w:r>
      <w:r>
        <w:rPr>
          <w:rFonts w:ascii="Verdana" w:hAnsi="Verdana" w:cs="Times-Roman"/>
          <w:bCs/>
          <w:sz w:val="16"/>
          <w:szCs w:val="16"/>
          <w:lang w:val="es-CR"/>
        </w:rPr>
        <w:t>s de las mismas”. Asimismo señaló</w:t>
      </w:r>
      <w:r w:rsidRPr="00353432">
        <w:rPr>
          <w:rFonts w:ascii="Verdana" w:hAnsi="Verdana" w:cs="Times-Roman"/>
          <w:bCs/>
          <w:sz w:val="16"/>
          <w:szCs w:val="16"/>
          <w:lang w:val="es-CR"/>
        </w:rPr>
        <w:t xml:space="preserve"> que “</w:t>
      </w:r>
      <w:r>
        <w:rPr>
          <w:rFonts w:ascii="Verdana" w:hAnsi="Verdana" w:cs="Times-Roman"/>
          <w:bCs/>
          <w:sz w:val="16"/>
          <w:szCs w:val="16"/>
          <w:lang w:val="es-CR"/>
        </w:rPr>
        <w:t>[</w:t>
      </w:r>
      <w:r w:rsidRPr="00353432">
        <w:rPr>
          <w:rFonts w:ascii="Verdana" w:hAnsi="Verdana" w:cs="Times-Roman"/>
          <w:bCs/>
          <w:sz w:val="16"/>
          <w:szCs w:val="16"/>
          <w:lang w:val="es-CR"/>
        </w:rPr>
        <w:t>e</w:t>
      </w:r>
      <w:r>
        <w:rPr>
          <w:rFonts w:ascii="Verdana" w:hAnsi="Verdana" w:cs="Times-Roman"/>
          <w:bCs/>
          <w:sz w:val="16"/>
          <w:szCs w:val="16"/>
          <w:lang w:val="es-CR"/>
        </w:rPr>
        <w:t>]</w:t>
      </w:r>
      <w:r w:rsidRPr="00353432">
        <w:rPr>
          <w:rFonts w:ascii="Verdana" w:hAnsi="Verdana" w:cs="Times-Roman"/>
          <w:bCs/>
          <w:sz w:val="16"/>
          <w:szCs w:val="16"/>
          <w:lang w:val="es-CR"/>
        </w:rPr>
        <w:t>n el presente caso, no se han presentado pruebas de ninguna clase que lleven a concluir que los hermanos de María Isabel han sufrido de limitaciones escolares que perjudiquen su educación a raíz y como consecuencia de lo que le ocurrió a su hermana”.</w:t>
      </w:r>
    </w:p>
  </w:footnote>
  <w:footnote w:id="350">
    <w:p w:rsidR="0081535F" w:rsidRPr="00353432" w:rsidRDefault="0081535F" w:rsidP="00422232">
      <w:pPr>
        <w:pStyle w:val="Textonotapie"/>
        <w:spacing w:line="19" w:lineRule="atLeast"/>
        <w:ind w:left="-180" w:right="-174"/>
        <w:jc w:val="both"/>
        <w:rPr>
          <w:rFonts w:ascii="Verdana" w:hAnsi="Verdana"/>
          <w:sz w:val="16"/>
          <w:szCs w:val="16"/>
          <w:lang w:val="es-ES"/>
        </w:rPr>
      </w:pPr>
      <w:r w:rsidRPr="00353432">
        <w:rPr>
          <w:rStyle w:val="Refdenotaalpie"/>
          <w:rFonts w:ascii="Verdana" w:hAnsi="Verdana"/>
          <w:sz w:val="16"/>
          <w:szCs w:val="16"/>
        </w:rPr>
        <w:footnoteRef/>
      </w:r>
      <w:r w:rsidRPr="00353432">
        <w:rPr>
          <w:rFonts w:ascii="Verdana" w:hAnsi="Verdana"/>
          <w:sz w:val="16"/>
          <w:szCs w:val="16"/>
        </w:rPr>
        <w:t xml:space="preserve"> </w:t>
      </w:r>
      <w:r w:rsidRPr="00353432">
        <w:rPr>
          <w:rFonts w:ascii="Verdana" w:hAnsi="Verdana"/>
          <w:i/>
          <w:sz w:val="16"/>
          <w:szCs w:val="16"/>
          <w:lang w:val="es-ES"/>
        </w:rPr>
        <w:t>Cf</w:t>
      </w:r>
      <w:r>
        <w:rPr>
          <w:rFonts w:ascii="Verdana" w:hAnsi="Verdana"/>
          <w:i/>
          <w:sz w:val="16"/>
          <w:szCs w:val="16"/>
          <w:lang w:val="es-ES"/>
        </w:rPr>
        <w:t>r.</w:t>
      </w:r>
      <w:r w:rsidRPr="00410F9B">
        <w:rPr>
          <w:rFonts w:ascii="Verdana" w:hAnsi="Verdana"/>
          <w:i/>
          <w:sz w:val="16"/>
          <w:szCs w:val="16"/>
          <w:lang w:val="es-CR"/>
        </w:rPr>
        <w:t xml:space="preserve"> </w:t>
      </w:r>
      <w:r w:rsidRPr="00353432">
        <w:rPr>
          <w:rFonts w:ascii="Verdana" w:hAnsi="Verdana"/>
          <w:i/>
          <w:sz w:val="16"/>
          <w:szCs w:val="16"/>
        </w:rPr>
        <w:t xml:space="preserve">Caso Pacheco Teruel y otros Vs. Honduras. Fondo, Reparaciones y Costas. </w:t>
      </w:r>
      <w:r w:rsidRPr="00353432">
        <w:rPr>
          <w:rFonts w:ascii="Verdana" w:hAnsi="Verdana"/>
          <w:sz w:val="16"/>
          <w:szCs w:val="16"/>
        </w:rPr>
        <w:t>Sentencia de 27 de abril de 2012. Serie C No. 241, párr. 92</w:t>
      </w:r>
      <w:r>
        <w:rPr>
          <w:rFonts w:ascii="Verdana" w:hAnsi="Verdana"/>
          <w:sz w:val="16"/>
          <w:szCs w:val="16"/>
        </w:rPr>
        <w:t xml:space="preserve">, y </w:t>
      </w:r>
      <w:r w:rsidRPr="00EB1622">
        <w:rPr>
          <w:rFonts w:ascii="Verdana" w:hAnsi="Verdana"/>
          <w:i/>
          <w:sz w:val="16"/>
          <w:szCs w:val="16"/>
          <w:lang w:val="es-CR"/>
        </w:rPr>
        <w:t>Caso Luna López, supra</w:t>
      </w:r>
      <w:r w:rsidRPr="00EB1622">
        <w:rPr>
          <w:rFonts w:ascii="Verdana" w:hAnsi="Verdana"/>
          <w:sz w:val="16"/>
          <w:szCs w:val="16"/>
          <w:lang w:val="es-CR"/>
        </w:rPr>
        <w:t>, párr. 234.</w:t>
      </w:r>
      <w:r w:rsidRPr="00353432">
        <w:rPr>
          <w:rFonts w:ascii="Verdana" w:hAnsi="Verdana"/>
          <w:sz w:val="16"/>
          <w:szCs w:val="16"/>
          <w:lang w:val="es-ES"/>
        </w:rPr>
        <w:t xml:space="preserve"> </w:t>
      </w:r>
    </w:p>
  </w:footnote>
  <w:footnote w:id="351">
    <w:p w:rsidR="0081535F" w:rsidRPr="00353432" w:rsidRDefault="0081535F" w:rsidP="00422232">
      <w:pPr>
        <w:spacing w:after="0" w:line="19" w:lineRule="atLeast"/>
        <w:ind w:left="-180" w:right="-174"/>
        <w:jc w:val="both"/>
        <w:rPr>
          <w:rFonts w:ascii="Verdana" w:hAnsi="Verdana"/>
          <w:sz w:val="16"/>
          <w:szCs w:val="16"/>
          <w:lang w:val="es-CR"/>
        </w:rPr>
      </w:pPr>
      <w:r w:rsidRPr="00353432">
        <w:rPr>
          <w:rStyle w:val="Refdenotaalpie"/>
          <w:rFonts w:ascii="Verdana" w:hAnsi="Verdana"/>
          <w:sz w:val="16"/>
          <w:szCs w:val="16"/>
        </w:rPr>
        <w:footnoteRef/>
      </w:r>
      <w:r w:rsidRPr="00353432">
        <w:rPr>
          <w:rFonts w:ascii="Verdana" w:hAnsi="Verdana"/>
          <w:sz w:val="16"/>
          <w:szCs w:val="16"/>
          <w:lang w:val="es-CR"/>
        </w:rPr>
        <w:t xml:space="preserve"> </w:t>
      </w:r>
      <w:r w:rsidRPr="00353432">
        <w:rPr>
          <w:rFonts w:ascii="Verdana" w:hAnsi="Verdana"/>
          <w:i/>
          <w:color w:val="000000"/>
          <w:sz w:val="16"/>
          <w:szCs w:val="16"/>
          <w:lang w:val="es-CR"/>
        </w:rPr>
        <w:t xml:space="preserve">Cfr. </w:t>
      </w:r>
      <w:r w:rsidRPr="00353432">
        <w:rPr>
          <w:rFonts w:ascii="Verdana" w:hAnsi="Verdana"/>
          <w:bCs/>
          <w:i/>
          <w:color w:val="000000"/>
          <w:sz w:val="16"/>
          <w:szCs w:val="16"/>
          <w:lang w:val="es-CR"/>
        </w:rPr>
        <w:t>Caso Velásquez Rodríguez. Reparaciones y Costas</w:t>
      </w:r>
      <w:r>
        <w:rPr>
          <w:rFonts w:ascii="Verdana" w:hAnsi="Verdana"/>
          <w:bCs/>
          <w:i/>
          <w:color w:val="000000"/>
          <w:sz w:val="16"/>
          <w:szCs w:val="16"/>
          <w:lang w:val="es-CR"/>
        </w:rPr>
        <w:t>, supra</w:t>
      </w:r>
      <w:r w:rsidRPr="00410F9B">
        <w:rPr>
          <w:rFonts w:ascii="Verdana" w:hAnsi="Verdana"/>
          <w:bCs/>
          <w:color w:val="000000"/>
          <w:sz w:val="16"/>
          <w:szCs w:val="16"/>
          <w:lang w:val="es-CR"/>
        </w:rPr>
        <w:t>,</w:t>
      </w:r>
      <w:r w:rsidRPr="00353432">
        <w:rPr>
          <w:rFonts w:ascii="Verdana" w:hAnsi="Verdana"/>
          <w:bCs/>
          <w:i/>
          <w:color w:val="000000"/>
          <w:sz w:val="16"/>
          <w:szCs w:val="16"/>
          <w:lang w:val="es-CR"/>
        </w:rPr>
        <w:t xml:space="preserve"> </w:t>
      </w:r>
      <w:r w:rsidRPr="00353432">
        <w:rPr>
          <w:rFonts w:ascii="Verdana" w:hAnsi="Verdana"/>
          <w:bCs/>
          <w:color w:val="000000"/>
          <w:sz w:val="16"/>
          <w:szCs w:val="16"/>
          <w:lang w:val="es-CR"/>
        </w:rPr>
        <w:t>párr</w:t>
      </w:r>
      <w:r w:rsidRPr="00353432">
        <w:rPr>
          <w:rFonts w:ascii="Verdana" w:hAnsi="Verdana"/>
          <w:bCs/>
          <w:i/>
          <w:color w:val="000000"/>
          <w:sz w:val="16"/>
          <w:szCs w:val="16"/>
          <w:lang w:val="es-CR"/>
        </w:rPr>
        <w:t xml:space="preserve">. </w:t>
      </w:r>
      <w:r w:rsidRPr="00353432">
        <w:rPr>
          <w:rFonts w:ascii="Verdana" w:hAnsi="Verdana"/>
          <w:bCs/>
          <w:color w:val="000000"/>
          <w:sz w:val="16"/>
          <w:szCs w:val="16"/>
          <w:lang w:val="es-CR"/>
        </w:rPr>
        <w:t>166</w:t>
      </w:r>
      <w:r w:rsidRPr="00353432">
        <w:rPr>
          <w:rFonts w:ascii="Verdana" w:hAnsi="Verdana"/>
          <w:color w:val="000000"/>
          <w:sz w:val="16"/>
          <w:szCs w:val="16"/>
          <w:lang w:val="es-CR"/>
        </w:rPr>
        <w:t>,</w:t>
      </w:r>
      <w:r w:rsidRPr="00353432">
        <w:rPr>
          <w:rFonts w:ascii="Verdana" w:hAnsi="Verdana"/>
          <w:bCs/>
          <w:color w:val="000000"/>
          <w:sz w:val="16"/>
          <w:szCs w:val="16"/>
          <w:lang w:val="es-CR"/>
        </w:rPr>
        <w:t xml:space="preserve"> y </w:t>
      </w:r>
      <w:r w:rsidRPr="000355DF">
        <w:rPr>
          <w:rFonts w:ascii="Verdana" w:hAnsi="Verdana"/>
          <w:i/>
          <w:sz w:val="16"/>
          <w:szCs w:val="16"/>
          <w:lang w:val="es-CR"/>
        </w:rPr>
        <w:t>Caso Familia Pachec</w:t>
      </w:r>
      <w:r>
        <w:rPr>
          <w:rFonts w:ascii="Verdana" w:hAnsi="Verdana"/>
          <w:i/>
          <w:sz w:val="16"/>
          <w:szCs w:val="16"/>
          <w:lang w:val="es-CR"/>
        </w:rPr>
        <w:t>o Tineo,</w:t>
      </w:r>
      <w:r w:rsidRPr="000355DF">
        <w:rPr>
          <w:rFonts w:ascii="Verdana" w:hAnsi="Verdana"/>
          <w:i/>
          <w:sz w:val="16"/>
          <w:szCs w:val="16"/>
          <w:lang w:val="es-CR"/>
        </w:rPr>
        <w:t xml:space="preserve"> </w:t>
      </w:r>
      <w:r>
        <w:rPr>
          <w:rFonts w:ascii="Verdana" w:hAnsi="Verdana"/>
          <w:i/>
          <w:sz w:val="16"/>
          <w:szCs w:val="16"/>
          <w:lang w:val="es-CR"/>
        </w:rPr>
        <w:t>supra,</w:t>
      </w:r>
      <w:r w:rsidRPr="000355DF">
        <w:rPr>
          <w:rFonts w:ascii="Verdana" w:hAnsi="Verdana"/>
          <w:sz w:val="16"/>
          <w:szCs w:val="16"/>
          <w:lang w:val="es-CR"/>
        </w:rPr>
        <w:t xml:space="preserve"> </w:t>
      </w:r>
      <w:r>
        <w:rPr>
          <w:rFonts w:ascii="Verdana" w:eastAsia="Calibri" w:hAnsi="Verdana"/>
          <w:sz w:val="16"/>
          <w:szCs w:val="16"/>
          <w:lang w:val="es-CR"/>
        </w:rPr>
        <w:t>párr. 265</w:t>
      </w:r>
      <w:r w:rsidRPr="000355DF">
        <w:rPr>
          <w:rFonts w:ascii="Verdana" w:eastAsia="Calibri" w:hAnsi="Verdana"/>
          <w:sz w:val="16"/>
          <w:szCs w:val="16"/>
          <w:lang w:val="es-CR"/>
        </w:rPr>
        <w:t>.</w:t>
      </w:r>
    </w:p>
  </w:footnote>
  <w:footnote w:id="352">
    <w:p w:rsidR="0081535F" w:rsidRPr="00353432" w:rsidRDefault="0081535F" w:rsidP="00422232">
      <w:pPr>
        <w:autoSpaceDE w:val="0"/>
        <w:autoSpaceDN w:val="0"/>
        <w:adjustRightInd w:val="0"/>
        <w:spacing w:after="0" w:line="240" w:lineRule="auto"/>
        <w:ind w:left="-180" w:right="-174"/>
        <w:jc w:val="both"/>
        <w:rPr>
          <w:rFonts w:ascii="Verdana" w:hAnsi="Verdana"/>
          <w:sz w:val="16"/>
          <w:szCs w:val="16"/>
          <w:lang w:val="es-CR"/>
        </w:rPr>
      </w:pPr>
      <w:r w:rsidRPr="00353432">
        <w:rPr>
          <w:rStyle w:val="Refdenotaalpie"/>
          <w:rFonts w:ascii="Verdana" w:hAnsi="Verdana"/>
          <w:sz w:val="16"/>
          <w:szCs w:val="16"/>
        </w:rPr>
        <w:footnoteRef/>
      </w:r>
      <w:r>
        <w:rPr>
          <w:rFonts w:ascii="Verdana" w:hAnsi="Verdana"/>
          <w:sz w:val="16"/>
          <w:szCs w:val="16"/>
          <w:lang w:val="es-CR"/>
        </w:rPr>
        <w:t xml:space="preserve"> </w:t>
      </w:r>
      <w:r w:rsidRPr="00353432">
        <w:rPr>
          <w:rFonts w:ascii="Verdana" w:hAnsi="Verdana" w:cs="Calibri"/>
          <w:sz w:val="16"/>
          <w:szCs w:val="16"/>
          <w:lang w:val="es-CR"/>
        </w:rPr>
        <w:t xml:space="preserve">Debe señalarse, que surge del acervo probatorio y de afirmaciones no controvertidas que el Estado creó la Comisión </w:t>
      </w:r>
      <w:r>
        <w:rPr>
          <w:rFonts w:ascii="Verdana" w:hAnsi="Verdana" w:cs="Calibri"/>
          <w:sz w:val="16"/>
          <w:szCs w:val="16"/>
          <w:lang w:val="es-CR"/>
        </w:rPr>
        <w:t xml:space="preserve">Presidencial </w:t>
      </w:r>
      <w:r w:rsidRPr="00353432">
        <w:rPr>
          <w:rFonts w:ascii="Verdana" w:hAnsi="Verdana" w:cs="Calibri"/>
          <w:sz w:val="16"/>
          <w:szCs w:val="16"/>
          <w:lang w:val="es-CR"/>
        </w:rPr>
        <w:t xml:space="preserve">para el Abordaje del </w:t>
      </w:r>
      <w:proofErr w:type="spellStart"/>
      <w:r w:rsidRPr="00353432">
        <w:rPr>
          <w:rFonts w:ascii="Verdana" w:hAnsi="Verdana" w:cs="Calibri"/>
          <w:sz w:val="16"/>
          <w:szCs w:val="16"/>
          <w:lang w:val="es-CR"/>
        </w:rPr>
        <w:t>Femicidio</w:t>
      </w:r>
      <w:proofErr w:type="spellEnd"/>
      <w:r w:rsidRPr="00353432">
        <w:rPr>
          <w:rFonts w:ascii="Verdana" w:hAnsi="Verdana" w:cs="Calibri"/>
          <w:sz w:val="16"/>
          <w:szCs w:val="16"/>
          <w:lang w:val="es-CR"/>
        </w:rPr>
        <w:t xml:space="preserve">, </w:t>
      </w:r>
      <w:r>
        <w:rPr>
          <w:rFonts w:ascii="Verdana" w:hAnsi="Verdana" w:cs="Calibri"/>
          <w:sz w:val="16"/>
          <w:szCs w:val="16"/>
          <w:lang w:val="es-CR"/>
        </w:rPr>
        <w:t>“</w:t>
      </w:r>
      <w:r w:rsidRPr="00410F9B">
        <w:rPr>
          <w:rFonts w:ascii="Verdana" w:hAnsi="Verdana"/>
          <w:sz w:val="16"/>
          <w:szCs w:val="16"/>
          <w:lang w:val="es-CR"/>
        </w:rPr>
        <w:t>coordinada por la Secretaría Presidencia de la Mujer e integrada por representantes de instituciones de derechos humanos y de seguridad, representantes del Organismo Ejecutivo,</w:t>
      </w:r>
      <w:r>
        <w:rPr>
          <w:rFonts w:ascii="Verdana" w:hAnsi="Verdana"/>
          <w:sz w:val="16"/>
          <w:szCs w:val="16"/>
          <w:lang w:val="es-CR"/>
        </w:rPr>
        <w:t xml:space="preserve"> </w:t>
      </w:r>
      <w:r w:rsidRPr="00410F9B">
        <w:rPr>
          <w:rFonts w:ascii="Verdana" w:hAnsi="Verdana"/>
          <w:sz w:val="16"/>
          <w:szCs w:val="16"/>
          <w:lang w:val="es-CR"/>
        </w:rPr>
        <w:t>Legislativo y Judicial, así como del Ministerio Público</w:t>
      </w:r>
      <w:r>
        <w:rPr>
          <w:rFonts w:ascii="Verdana" w:hAnsi="Verdana"/>
          <w:sz w:val="16"/>
          <w:szCs w:val="16"/>
          <w:lang w:val="es-CR"/>
        </w:rPr>
        <w:t>”</w:t>
      </w:r>
      <w:r>
        <w:rPr>
          <w:rFonts w:ascii="Verdana" w:hAnsi="Verdana" w:cs="Calibri"/>
          <w:sz w:val="16"/>
          <w:szCs w:val="16"/>
          <w:lang w:val="es-CR"/>
        </w:rPr>
        <w:t xml:space="preserve">. La institución </w:t>
      </w:r>
      <w:r w:rsidRPr="0071681D">
        <w:rPr>
          <w:rFonts w:ascii="Verdana" w:hAnsi="Verdana" w:cs="Calibri"/>
          <w:sz w:val="16"/>
          <w:szCs w:val="16"/>
          <w:lang w:val="es-CR"/>
        </w:rPr>
        <w:t>se creó</w:t>
      </w:r>
      <w:r>
        <w:rPr>
          <w:rFonts w:ascii="Verdana" w:hAnsi="Verdana" w:cs="Calibri"/>
          <w:sz w:val="16"/>
          <w:szCs w:val="16"/>
          <w:lang w:val="es-CR"/>
        </w:rPr>
        <w:t xml:space="preserve"> oficialmente el 8 de marzo de 2006 (expediente de anexos al escrito de solicitudes y argumentos, anexo 97, f. 10,810 a 10,824).</w:t>
      </w:r>
      <w:r w:rsidRPr="00353432">
        <w:rPr>
          <w:rFonts w:ascii="Verdana" w:hAnsi="Verdana" w:cs="Calibri"/>
          <w:sz w:val="16"/>
          <w:szCs w:val="16"/>
          <w:lang w:val="es-CR"/>
        </w:rPr>
        <w:t xml:space="preserve"> </w:t>
      </w:r>
      <w:r>
        <w:rPr>
          <w:rFonts w:ascii="Verdana" w:hAnsi="Verdana" w:cs="Calibri"/>
          <w:sz w:val="16"/>
          <w:szCs w:val="16"/>
          <w:lang w:val="es-CR"/>
        </w:rPr>
        <w:t xml:space="preserve"> E</w:t>
      </w:r>
      <w:r w:rsidRPr="00353432">
        <w:rPr>
          <w:rFonts w:ascii="Verdana" w:hAnsi="Verdana" w:cs="Calibri"/>
          <w:sz w:val="16"/>
          <w:szCs w:val="16"/>
          <w:lang w:val="es-CR"/>
        </w:rPr>
        <w:t>l 6 de octubre del mismo año</w:t>
      </w:r>
      <w:r>
        <w:rPr>
          <w:rFonts w:ascii="Verdana" w:hAnsi="Verdana" w:cs="Calibri"/>
          <w:sz w:val="16"/>
          <w:szCs w:val="16"/>
          <w:lang w:val="es-CR"/>
        </w:rPr>
        <w:t>, según indicó la Comisión Interamericana,</w:t>
      </w:r>
      <w:r w:rsidRPr="00353432">
        <w:rPr>
          <w:rFonts w:ascii="Verdana" w:hAnsi="Verdana" w:cs="Calibri"/>
          <w:sz w:val="16"/>
          <w:szCs w:val="16"/>
          <w:lang w:val="es-CR"/>
        </w:rPr>
        <w:t xml:space="preserve"> la Corte Suprema de Justicia cre</w:t>
      </w:r>
      <w:r>
        <w:rPr>
          <w:rFonts w:ascii="Verdana" w:hAnsi="Verdana" w:cs="Calibri"/>
          <w:sz w:val="16"/>
          <w:szCs w:val="16"/>
          <w:lang w:val="es-CR"/>
        </w:rPr>
        <w:t>ó</w:t>
      </w:r>
      <w:r w:rsidRPr="00353432">
        <w:rPr>
          <w:rFonts w:ascii="Verdana" w:hAnsi="Verdana" w:cs="Calibri"/>
          <w:sz w:val="16"/>
          <w:szCs w:val="16"/>
          <w:lang w:val="es-CR"/>
        </w:rPr>
        <w:t xml:space="preserve"> la Unidad de la Mujer y Análisis de Género</w:t>
      </w:r>
      <w:r>
        <w:rPr>
          <w:rFonts w:ascii="Verdana" w:hAnsi="Verdana" w:cs="Calibri"/>
          <w:sz w:val="16"/>
          <w:szCs w:val="16"/>
          <w:lang w:val="es-CR"/>
        </w:rPr>
        <w:t>, actualmente Secretaría de la Mujer y Análisis de Género del Organismo Judicial(Informe de Fondo,</w:t>
      </w:r>
      <w:r w:rsidRPr="00045B3B">
        <w:rPr>
          <w:rFonts w:ascii="Verdana" w:hAnsi="Verdana" w:cs="Calibri"/>
          <w:i/>
          <w:sz w:val="16"/>
          <w:szCs w:val="16"/>
          <w:lang w:val="es-CR"/>
        </w:rPr>
        <w:t xml:space="preserve"> supra</w:t>
      </w:r>
      <w:r>
        <w:rPr>
          <w:rFonts w:ascii="Verdana" w:hAnsi="Verdana" w:cs="Calibri"/>
          <w:i/>
          <w:sz w:val="16"/>
          <w:szCs w:val="16"/>
          <w:lang w:val="es-CR"/>
        </w:rPr>
        <w:t>)</w:t>
      </w:r>
      <w:r w:rsidRPr="00353432">
        <w:rPr>
          <w:rFonts w:ascii="Verdana" w:hAnsi="Verdana" w:cs="Calibri"/>
          <w:sz w:val="16"/>
          <w:szCs w:val="16"/>
          <w:lang w:val="es-CR"/>
        </w:rPr>
        <w:t>;</w:t>
      </w:r>
      <w:r>
        <w:rPr>
          <w:rFonts w:ascii="Verdana" w:hAnsi="Verdana" w:cs="Calibri"/>
          <w:sz w:val="16"/>
          <w:szCs w:val="16"/>
          <w:lang w:val="es-CR"/>
        </w:rPr>
        <w:t xml:space="preserve"> entidad a cuya creación también se refirió el Estado. </w:t>
      </w:r>
      <w:r w:rsidRPr="006A3F93">
        <w:rPr>
          <w:rFonts w:ascii="Verdana" w:hAnsi="Verdana" w:cs="Calibri"/>
          <w:sz w:val="16"/>
          <w:szCs w:val="16"/>
          <w:lang w:val="es-CR"/>
        </w:rPr>
        <w:t xml:space="preserve">Además, según afirmó la Comisión, el 23 de noviembre de 2007, el Pleno del Congreso de la República dictó el Punto Resolutivo 15-2007 mediante el cual condenó el feminicidio en Guatemala (Informe de Fondo, </w:t>
      </w:r>
      <w:r w:rsidRPr="006A3F93">
        <w:rPr>
          <w:rFonts w:ascii="Verdana" w:hAnsi="Verdana" w:cs="Calibri"/>
          <w:i/>
          <w:sz w:val="16"/>
          <w:szCs w:val="16"/>
          <w:lang w:val="es-CR"/>
        </w:rPr>
        <w:t>supra</w:t>
      </w:r>
      <w:r w:rsidRPr="006A3F93">
        <w:rPr>
          <w:rFonts w:ascii="Verdana" w:hAnsi="Verdana" w:cs="Calibri"/>
          <w:sz w:val="16"/>
          <w:szCs w:val="16"/>
          <w:lang w:val="es-CR"/>
        </w:rPr>
        <w:t>. En 2008 se aprobó la Ley contra el Femicidio y otras Formas de Violencia contra la Mujer</w:t>
      </w:r>
      <w:r>
        <w:rPr>
          <w:rFonts w:ascii="Verdana" w:hAnsi="Verdana" w:cs="Calibri"/>
          <w:sz w:val="16"/>
          <w:szCs w:val="16"/>
          <w:lang w:val="es-CR"/>
        </w:rPr>
        <w:t xml:space="preserve"> </w:t>
      </w:r>
      <w:r w:rsidRPr="006A3F93">
        <w:rPr>
          <w:rFonts w:ascii="Verdana" w:hAnsi="Verdana" w:cs="Calibri"/>
          <w:sz w:val="16"/>
          <w:szCs w:val="16"/>
          <w:lang w:val="es-CR"/>
        </w:rPr>
        <w:t>(</w:t>
      </w:r>
      <w:r w:rsidRPr="006A3F93">
        <w:rPr>
          <w:rFonts w:ascii="Verdana" w:hAnsi="Verdana" w:cs="Calibri"/>
          <w:i/>
          <w:sz w:val="16"/>
          <w:szCs w:val="16"/>
          <w:lang w:val="es-CR"/>
        </w:rPr>
        <w:t>supra</w:t>
      </w:r>
      <w:r w:rsidRPr="006A3F93">
        <w:rPr>
          <w:rFonts w:ascii="Verdana" w:hAnsi="Verdana" w:cs="Calibri"/>
          <w:sz w:val="16"/>
          <w:szCs w:val="16"/>
          <w:lang w:val="es-CR"/>
        </w:rPr>
        <w:t xml:space="preserve"> nota al pie de página 68). Esta norma, además de introd</w:t>
      </w:r>
      <w:r>
        <w:rPr>
          <w:rFonts w:ascii="Verdana" w:hAnsi="Verdana" w:cs="Calibri"/>
          <w:sz w:val="16"/>
          <w:szCs w:val="16"/>
          <w:lang w:val="es-CR"/>
        </w:rPr>
        <w:t>ucir delitos de acción pública</w:t>
      </w:r>
      <w:r w:rsidRPr="006A3F93">
        <w:rPr>
          <w:rFonts w:ascii="Verdana" w:hAnsi="Verdana" w:cs="Calibri"/>
          <w:sz w:val="16"/>
          <w:szCs w:val="16"/>
          <w:lang w:val="es-CR"/>
        </w:rPr>
        <w:t>, estableció una serie de obligaciones a cargo del Estado, como la capacitación de funcionarios públicos en materia de violencia de género y la creación de un Sistema Nacional de Información sobre Violencia contra la Mujer.</w:t>
      </w:r>
      <w:r w:rsidRPr="006A3F93">
        <w:rPr>
          <w:rFonts w:ascii="Verdana" w:hAnsi="Verdana" w:cs="Calibri"/>
          <w:b/>
          <w:sz w:val="16"/>
          <w:szCs w:val="16"/>
          <w:lang w:val="es-CR"/>
        </w:rPr>
        <w:t xml:space="preserve"> </w:t>
      </w:r>
      <w:r w:rsidRPr="006A3F93">
        <w:rPr>
          <w:rFonts w:ascii="Verdana" w:hAnsi="Verdana" w:cs="Calibri"/>
          <w:sz w:val="16"/>
          <w:szCs w:val="16"/>
          <w:lang w:val="es-CR"/>
        </w:rPr>
        <w:t xml:space="preserve">Además la ley prevé la creación de “Centros de Apoyo Integral para la Mujer Sobreviviente de Violencia”, y que “[s]erá la […] CONAPREVI quien impulsará su creación”. (Ley contra el Femicidio, </w:t>
      </w:r>
      <w:r w:rsidRPr="006A3F93">
        <w:rPr>
          <w:rFonts w:ascii="Verdana" w:hAnsi="Verdana" w:cs="Calibri"/>
          <w:i/>
          <w:sz w:val="16"/>
          <w:szCs w:val="16"/>
          <w:lang w:val="es-CR"/>
        </w:rPr>
        <w:t>supra</w:t>
      </w:r>
      <w:r w:rsidRPr="006A3F93">
        <w:rPr>
          <w:rFonts w:ascii="Verdana" w:hAnsi="Verdana" w:cs="Calibri"/>
          <w:sz w:val="16"/>
          <w:szCs w:val="16"/>
          <w:lang w:val="es-CR"/>
        </w:rPr>
        <w:t>, artículos 18, 20 y 16, respectivamente; expediente de anexos al escrito de solicitudes y argumentos, anexo 93, fs. 10,776 a 10,786.)</w:t>
      </w:r>
      <w:r w:rsidRPr="006A3F93">
        <w:rPr>
          <w:rFonts w:ascii="Verdana" w:hAnsi="Verdana" w:cs="Calibri"/>
          <w:b/>
          <w:sz w:val="16"/>
          <w:szCs w:val="16"/>
          <w:lang w:val="es-CR"/>
        </w:rPr>
        <w:t xml:space="preserve"> </w:t>
      </w:r>
      <w:r w:rsidRPr="006A3F93">
        <w:rPr>
          <w:rFonts w:ascii="Verdana" w:hAnsi="Verdana" w:cs="Calibri"/>
          <w:sz w:val="16"/>
          <w:szCs w:val="16"/>
          <w:lang w:val="es-CR"/>
        </w:rPr>
        <w:t>En el ámbito judicial, según informó Guatemala (</w:t>
      </w:r>
      <w:r w:rsidRPr="006A3F93">
        <w:rPr>
          <w:rFonts w:ascii="Verdana" w:hAnsi="Verdana" w:cs="Calibri"/>
          <w:i/>
          <w:sz w:val="16"/>
          <w:szCs w:val="16"/>
          <w:lang w:val="es-CR"/>
        </w:rPr>
        <w:t>supra</w:t>
      </w:r>
      <w:r w:rsidRPr="006A3F93">
        <w:rPr>
          <w:rFonts w:ascii="Verdana" w:hAnsi="Verdana" w:cs="Calibri"/>
          <w:sz w:val="16"/>
          <w:szCs w:val="16"/>
          <w:lang w:val="es-CR"/>
        </w:rPr>
        <w:t xml:space="preserve"> párr. 263), así como la Comisión (Informe de Fondo</w:t>
      </w:r>
      <w:r w:rsidRPr="00525912">
        <w:rPr>
          <w:rFonts w:ascii="Verdana" w:hAnsi="Verdana" w:cs="Calibri"/>
          <w:sz w:val="16"/>
          <w:szCs w:val="16"/>
          <w:lang w:val="es-CR"/>
        </w:rPr>
        <w:t xml:space="preserve">, </w:t>
      </w:r>
      <w:r w:rsidRPr="008871B7">
        <w:rPr>
          <w:rFonts w:ascii="Verdana" w:hAnsi="Verdana" w:cs="Calibri"/>
          <w:i/>
          <w:sz w:val="16"/>
          <w:szCs w:val="16"/>
          <w:lang w:val="es-CR"/>
        </w:rPr>
        <w:t>supra</w:t>
      </w:r>
      <w:r>
        <w:rPr>
          <w:rFonts w:ascii="Verdana" w:hAnsi="Verdana" w:cs="Calibri"/>
          <w:sz w:val="16"/>
          <w:szCs w:val="16"/>
          <w:lang w:val="es-CR"/>
        </w:rPr>
        <w:t>),</w:t>
      </w:r>
      <w:r w:rsidRPr="008871B7">
        <w:rPr>
          <w:rFonts w:ascii="Verdana" w:hAnsi="Verdana" w:cs="Calibri"/>
          <w:sz w:val="16"/>
          <w:szCs w:val="16"/>
          <w:lang w:val="es-CR"/>
        </w:rPr>
        <w:t xml:space="preserve"> el</w:t>
      </w:r>
      <w:r w:rsidRPr="00353432">
        <w:rPr>
          <w:rFonts w:ascii="Verdana" w:hAnsi="Verdana" w:cs="Calibri"/>
          <w:sz w:val="16"/>
          <w:szCs w:val="16"/>
          <w:lang w:val="es-CR"/>
        </w:rPr>
        <w:t xml:space="preserve"> Estado cuenta con la Unidad de la Mujer y Análisis de Género</w:t>
      </w:r>
      <w:r>
        <w:rPr>
          <w:rFonts w:ascii="Verdana" w:hAnsi="Verdana" w:cs="Calibri"/>
          <w:sz w:val="16"/>
          <w:szCs w:val="16"/>
          <w:lang w:val="es-CR"/>
        </w:rPr>
        <w:t>.</w:t>
      </w:r>
      <w:r w:rsidRPr="00353432">
        <w:rPr>
          <w:rFonts w:ascii="Verdana" w:hAnsi="Verdana" w:cs="Calibri"/>
          <w:sz w:val="16"/>
          <w:szCs w:val="16"/>
          <w:lang w:val="es-CR"/>
        </w:rPr>
        <w:t xml:space="preserve"> Además, información presentada por el Estado indica que, para fin de 2012, contaba con otras entidades vinculadas a la problemática de la violencia contra la mujer</w:t>
      </w:r>
      <w:r>
        <w:rPr>
          <w:rFonts w:ascii="Verdana" w:hAnsi="Verdana" w:cs="Calibri"/>
          <w:sz w:val="16"/>
          <w:szCs w:val="16"/>
          <w:lang w:val="es-CR"/>
        </w:rPr>
        <w:t>, como</w:t>
      </w:r>
      <w:r w:rsidRPr="00353432">
        <w:rPr>
          <w:rFonts w:ascii="Verdana" w:hAnsi="Verdana" w:cs="Calibri"/>
          <w:sz w:val="16"/>
          <w:szCs w:val="16"/>
          <w:lang w:val="es-CR"/>
        </w:rPr>
        <w:t xml:space="preserve"> la Fuerza de Tarea contra el Femicidio, </w:t>
      </w:r>
      <w:r>
        <w:rPr>
          <w:rFonts w:ascii="Verdana" w:hAnsi="Verdana" w:cs="Calibri"/>
          <w:sz w:val="16"/>
          <w:szCs w:val="16"/>
          <w:lang w:val="es-CR"/>
        </w:rPr>
        <w:t>en el ámbito del</w:t>
      </w:r>
      <w:r w:rsidRPr="00353432">
        <w:rPr>
          <w:rFonts w:ascii="Verdana" w:hAnsi="Verdana" w:cs="Calibri"/>
          <w:sz w:val="16"/>
          <w:szCs w:val="16"/>
          <w:lang w:val="es-CR"/>
        </w:rPr>
        <w:t xml:space="preserve"> del Ministerio de Gobernación</w:t>
      </w:r>
      <w:r>
        <w:rPr>
          <w:rFonts w:ascii="Verdana" w:hAnsi="Verdana" w:cs="Calibri"/>
          <w:sz w:val="16"/>
          <w:szCs w:val="16"/>
          <w:lang w:val="es-CR"/>
        </w:rPr>
        <w:t xml:space="preserve">, o el </w:t>
      </w:r>
      <w:r w:rsidRPr="00353432">
        <w:rPr>
          <w:rFonts w:ascii="Verdana" w:hAnsi="Verdana" w:cs="Calibri"/>
          <w:sz w:val="16"/>
          <w:szCs w:val="16"/>
          <w:lang w:val="es-CR"/>
        </w:rPr>
        <w:t>GEM</w:t>
      </w:r>
      <w:r>
        <w:rPr>
          <w:rFonts w:ascii="Verdana" w:hAnsi="Verdana" w:cs="Calibri"/>
          <w:sz w:val="16"/>
          <w:szCs w:val="16"/>
          <w:lang w:val="es-CR"/>
        </w:rPr>
        <w:t xml:space="preserve"> (</w:t>
      </w:r>
      <w:r>
        <w:rPr>
          <w:rFonts w:ascii="Verdana" w:hAnsi="Verdana" w:cs="Calibri"/>
          <w:i/>
          <w:sz w:val="16"/>
          <w:szCs w:val="16"/>
          <w:lang w:val="es-CR"/>
        </w:rPr>
        <w:t>supra</w:t>
      </w:r>
      <w:r>
        <w:rPr>
          <w:rFonts w:ascii="Verdana" w:hAnsi="Verdana" w:cs="Calibri"/>
          <w:sz w:val="16"/>
          <w:szCs w:val="16"/>
          <w:lang w:val="es-CR"/>
        </w:rPr>
        <w:t xml:space="preserve"> párr. 263)</w:t>
      </w:r>
      <w:r w:rsidRPr="00410F9B">
        <w:rPr>
          <w:rFonts w:ascii="Verdana" w:hAnsi="Verdana"/>
          <w:sz w:val="16"/>
          <w:szCs w:val="16"/>
          <w:lang w:val="es-CR"/>
        </w:rPr>
        <w:t xml:space="preserve">. </w:t>
      </w:r>
      <w:r w:rsidRPr="00353432">
        <w:rPr>
          <w:rFonts w:ascii="Verdana" w:hAnsi="Verdana" w:cs="Calibri"/>
          <w:sz w:val="16"/>
          <w:szCs w:val="16"/>
          <w:lang w:val="es-CR"/>
        </w:rPr>
        <w:t>A</w:t>
      </w:r>
      <w:r>
        <w:rPr>
          <w:rFonts w:ascii="Verdana" w:hAnsi="Verdana" w:cs="Calibri"/>
          <w:sz w:val="16"/>
          <w:szCs w:val="16"/>
          <w:lang w:val="es-CR"/>
        </w:rPr>
        <w:t>simismo,</w:t>
      </w:r>
      <w:r w:rsidRPr="00353432">
        <w:rPr>
          <w:rFonts w:ascii="Verdana" w:hAnsi="Verdana" w:cs="Calibri"/>
          <w:sz w:val="16"/>
          <w:szCs w:val="16"/>
          <w:lang w:val="es-CR"/>
        </w:rPr>
        <w:t xml:space="preserve"> </w:t>
      </w:r>
      <w:r>
        <w:rPr>
          <w:rFonts w:ascii="Verdana" w:hAnsi="Verdana" w:cs="Calibri"/>
          <w:sz w:val="16"/>
          <w:szCs w:val="16"/>
          <w:lang w:val="es-CR"/>
        </w:rPr>
        <w:t xml:space="preserve">como se señaló </w:t>
      </w:r>
      <w:r w:rsidRPr="005B67FD">
        <w:rPr>
          <w:rFonts w:ascii="Verdana" w:hAnsi="Verdana" w:cs="Calibri"/>
          <w:sz w:val="16"/>
          <w:szCs w:val="16"/>
          <w:lang w:val="es-CR"/>
        </w:rPr>
        <w:t>Guatemala</w:t>
      </w:r>
      <w:r w:rsidRPr="00353432">
        <w:rPr>
          <w:rFonts w:ascii="Verdana" w:hAnsi="Verdana" w:cs="Calibri"/>
          <w:sz w:val="16"/>
          <w:szCs w:val="16"/>
          <w:lang w:val="es-CR"/>
        </w:rPr>
        <w:t xml:space="preserve"> indicó la existencia del PLANOVI y </w:t>
      </w:r>
      <w:r>
        <w:rPr>
          <w:rFonts w:ascii="Verdana" w:hAnsi="Verdana" w:cs="Calibri"/>
          <w:sz w:val="16"/>
          <w:szCs w:val="16"/>
          <w:lang w:val="es-CR"/>
        </w:rPr>
        <w:t xml:space="preserve">el </w:t>
      </w:r>
      <w:r w:rsidRPr="00353432">
        <w:rPr>
          <w:rFonts w:ascii="Verdana" w:hAnsi="Verdana" w:cs="Calibri"/>
          <w:sz w:val="16"/>
          <w:szCs w:val="16"/>
          <w:lang w:val="es-CR"/>
        </w:rPr>
        <w:t>PEO (</w:t>
      </w:r>
      <w:r w:rsidRPr="006D6711">
        <w:rPr>
          <w:rFonts w:ascii="Verdana" w:hAnsi="Verdana" w:cs="Calibri"/>
          <w:i/>
          <w:sz w:val="16"/>
          <w:szCs w:val="16"/>
          <w:lang w:val="es-CR"/>
        </w:rPr>
        <w:t>supra</w:t>
      </w:r>
      <w:r>
        <w:rPr>
          <w:rFonts w:ascii="Verdana" w:hAnsi="Verdana" w:cs="Calibri"/>
          <w:sz w:val="16"/>
          <w:szCs w:val="16"/>
          <w:lang w:val="es-CR"/>
        </w:rPr>
        <w:t xml:space="preserve"> párr. 263), </w:t>
      </w:r>
      <w:r w:rsidRPr="00CB2D0C">
        <w:rPr>
          <w:rFonts w:ascii="Verdana" w:hAnsi="Verdana" w:cs="Calibri"/>
          <w:sz w:val="16"/>
          <w:szCs w:val="16"/>
          <w:lang w:val="es-CR"/>
        </w:rPr>
        <w:t>a</w:t>
      </w:r>
      <w:r w:rsidRPr="00CB2D0C">
        <w:rPr>
          <w:rFonts w:ascii="Verdana" w:hAnsi="Verdana"/>
          <w:sz w:val="16"/>
          <w:szCs w:val="16"/>
          <w:lang w:val="es-CR"/>
        </w:rPr>
        <w:t>doptados</w:t>
      </w:r>
      <w:r w:rsidRPr="00410F9B">
        <w:rPr>
          <w:rFonts w:ascii="Verdana" w:hAnsi="Verdana"/>
          <w:sz w:val="16"/>
          <w:szCs w:val="16"/>
          <w:lang w:val="es-CR"/>
        </w:rPr>
        <w:t xml:space="preserve"> por Acuerdo Gubernativo No. 302-2009, de 11 de noviembre de 2009 </w:t>
      </w:r>
      <w:r>
        <w:rPr>
          <w:rFonts w:ascii="Verdana" w:hAnsi="Verdana"/>
          <w:sz w:val="16"/>
          <w:szCs w:val="16"/>
          <w:lang w:val="es-CR"/>
        </w:rPr>
        <w:t>(e</w:t>
      </w:r>
      <w:r w:rsidRPr="00410F9B">
        <w:rPr>
          <w:rFonts w:ascii="Verdana" w:hAnsi="Verdana"/>
          <w:sz w:val="16"/>
          <w:szCs w:val="16"/>
          <w:lang w:val="es-CR"/>
        </w:rPr>
        <w:t xml:space="preserve">xpediente de anexos al escrito de contestación, </w:t>
      </w:r>
      <w:r>
        <w:rPr>
          <w:rFonts w:ascii="Verdana" w:hAnsi="Verdana"/>
          <w:sz w:val="16"/>
          <w:szCs w:val="16"/>
          <w:lang w:val="es-CR"/>
        </w:rPr>
        <w:t>anexo 26, fs. 14,272 a 14,</w:t>
      </w:r>
      <w:r w:rsidRPr="00410F9B">
        <w:rPr>
          <w:rFonts w:ascii="Verdana" w:hAnsi="Verdana"/>
          <w:sz w:val="16"/>
          <w:szCs w:val="16"/>
          <w:lang w:val="es-CR"/>
        </w:rPr>
        <w:t>471). El Estado indicó que uno de los ejes del PNPDIM y el PEO es “la ‘[e]rradicación de la [v]iolencia contra las [m]ujeres’ y[,</w:t>
      </w:r>
      <w:r>
        <w:rPr>
          <w:rFonts w:ascii="Verdana" w:hAnsi="Verdana"/>
          <w:sz w:val="16"/>
          <w:szCs w:val="16"/>
          <w:lang w:val="es-CR"/>
        </w:rPr>
        <w:t xml:space="preserve">] </w:t>
      </w:r>
      <w:r w:rsidRPr="00410F9B">
        <w:rPr>
          <w:rFonts w:ascii="Verdana" w:hAnsi="Verdana"/>
          <w:sz w:val="16"/>
          <w:szCs w:val="16"/>
          <w:lang w:val="es-CR"/>
        </w:rPr>
        <w:t>como objetivo específico</w:t>
      </w:r>
      <w:r>
        <w:rPr>
          <w:rFonts w:ascii="Verdana" w:hAnsi="Verdana"/>
          <w:sz w:val="16"/>
          <w:szCs w:val="16"/>
          <w:lang w:val="es-CR"/>
        </w:rPr>
        <w:t>[,]</w:t>
      </w:r>
      <w:r w:rsidRPr="00410F9B">
        <w:rPr>
          <w:rFonts w:ascii="Verdana" w:hAnsi="Verdana"/>
          <w:sz w:val="16"/>
          <w:szCs w:val="16"/>
          <w:lang w:val="es-CR"/>
        </w:rPr>
        <w:t xml:space="preserve"> ‘[p]revenir, sancionar y erradicar la violencia contra las mujeres en sus diferentes manifestaciones; violencia física, económica, social, psicológica, sexual y discriminación</w:t>
      </w:r>
      <w:r>
        <w:rPr>
          <w:rFonts w:ascii="Verdana" w:hAnsi="Verdana"/>
          <w:sz w:val="16"/>
          <w:szCs w:val="16"/>
          <w:lang w:val="es-CR"/>
        </w:rPr>
        <w:t>’</w:t>
      </w:r>
      <w:r w:rsidRPr="00410F9B">
        <w:rPr>
          <w:rFonts w:ascii="Verdana" w:hAnsi="Verdana"/>
          <w:sz w:val="16"/>
          <w:szCs w:val="16"/>
          <w:lang w:val="es-CR"/>
        </w:rPr>
        <w:t>”</w:t>
      </w:r>
      <w:r>
        <w:rPr>
          <w:rFonts w:ascii="Verdana" w:hAnsi="Verdana"/>
          <w:sz w:val="16"/>
          <w:szCs w:val="16"/>
          <w:lang w:val="es-CR"/>
        </w:rPr>
        <w:t>.</w:t>
      </w:r>
      <w:r w:rsidRPr="00353432">
        <w:rPr>
          <w:rFonts w:ascii="Verdana" w:hAnsi="Verdana" w:cs="Calibri"/>
          <w:b/>
          <w:sz w:val="16"/>
          <w:szCs w:val="16"/>
          <w:lang w:val="es-CR"/>
        </w:rPr>
        <w:t xml:space="preserve"> </w:t>
      </w:r>
      <w:r w:rsidRPr="00353432">
        <w:rPr>
          <w:rFonts w:ascii="Verdana" w:hAnsi="Verdana" w:cs="Calibri"/>
          <w:sz w:val="16"/>
          <w:szCs w:val="16"/>
          <w:lang w:val="es-CR"/>
        </w:rPr>
        <w:t>También mencionó la sanción, mediante el Decreto</w:t>
      </w:r>
      <w:r>
        <w:rPr>
          <w:rFonts w:ascii="Verdana" w:hAnsi="Verdana" w:cs="Calibri"/>
          <w:sz w:val="16"/>
          <w:szCs w:val="16"/>
          <w:lang w:val="es-CR"/>
        </w:rPr>
        <w:t xml:space="preserve"> No.</w:t>
      </w:r>
      <w:r w:rsidRPr="00353432">
        <w:rPr>
          <w:rFonts w:ascii="Verdana" w:hAnsi="Verdana" w:cs="Calibri"/>
          <w:sz w:val="16"/>
          <w:szCs w:val="16"/>
          <w:lang w:val="es-CR"/>
        </w:rPr>
        <w:t xml:space="preserve"> 9-2009 de la Ley contra la Violencia Sexual, Explotación y Trata de Personas, por la que se creó una Secretaría en la materia</w:t>
      </w:r>
      <w:r>
        <w:rPr>
          <w:rFonts w:ascii="Verdana" w:hAnsi="Verdana" w:cs="Calibri"/>
          <w:sz w:val="16"/>
          <w:szCs w:val="16"/>
          <w:lang w:val="es-CR"/>
        </w:rPr>
        <w:t>, la SVET (</w:t>
      </w:r>
      <w:r>
        <w:rPr>
          <w:rFonts w:ascii="Verdana" w:hAnsi="Verdana" w:cs="Calibri"/>
          <w:i/>
          <w:sz w:val="16"/>
          <w:szCs w:val="16"/>
          <w:lang w:val="es-CR"/>
        </w:rPr>
        <w:t>supra</w:t>
      </w:r>
      <w:r>
        <w:rPr>
          <w:rFonts w:ascii="Verdana" w:hAnsi="Verdana" w:cs="Calibri"/>
          <w:sz w:val="16"/>
          <w:szCs w:val="16"/>
          <w:lang w:val="es-CR"/>
        </w:rPr>
        <w:t xml:space="preserve"> párr. 263).</w:t>
      </w:r>
      <w:r w:rsidRPr="00353432">
        <w:rPr>
          <w:rFonts w:ascii="Verdana" w:hAnsi="Verdana"/>
          <w:sz w:val="16"/>
          <w:szCs w:val="16"/>
          <w:lang w:val="es-CR"/>
        </w:rPr>
        <w:t xml:space="preserve"> </w:t>
      </w:r>
      <w:r w:rsidRPr="00353432">
        <w:rPr>
          <w:rFonts w:ascii="Verdana" w:hAnsi="Verdana" w:cs="Calibri"/>
          <w:sz w:val="16"/>
          <w:szCs w:val="16"/>
          <w:lang w:val="es-CR"/>
        </w:rPr>
        <w:t xml:space="preserve">Por otra parte, </w:t>
      </w:r>
      <w:r>
        <w:rPr>
          <w:rFonts w:ascii="Verdana" w:hAnsi="Verdana" w:cs="Calibri"/>
          <w:sz w:val="16"/>
          <w:szCs w:val="16"/>
          <w:lang w:val="es-CR"/>
        </w:rPr>
        <w:t xml:space="preserve">expresó que </w:t>
      </w:r>
      <w:r w:rsidRPr="00353432">
        <w:rPr>
          <w:rFonts w:ascii="Verdana" w:hAnsi="Verdana" w:cs="Calibri"/>
          <w:sz w:val="16"/>
          <w:szCs w:val="16"/>
          <w:lang w:val="es-CR"/>
        </w:rPr>
        <w:t>dentro de las comisiones de trabajo del “Organismo Legislativo” existe la Comisión de la Mujer</w:t>
      </w:r>
      <w:r>
        <w:rPr>
          <w:rFonts w:ascii="Verdana" w:hAnsi="Verdana" w:cs="Calibri"/>
          <w:sz w:val="16"/>
          <w:szCs w:val="16"/>
          <w:lang w:val="es-CR"/>
        </w:rPr>
        <w:t xml:space="preserve"> (</w:t>
      </w:r>
      <w:r>
        <w:rPr>
          <w:rFonts w:ascii="Verdana" w:hAnsi="Verdana" w:cs="Calibri"/>
          <w:i/>
          <w:sz w:val="16"/>
          <w:szCs w:val="16"/>
          <w:lang w:val="es-CR"/>
        </w:rPr>
        <w:t>supra</w:t>
      </w:r>
      <w:r>
        <w:rPr>
          <w:rFonts w:ascii="Verdana" w:hAnsi="Verdana" w:cs="Calibri"/>
          <w:sz w:val="16"/>
          <w:szCs w:val="16"/>
          <w:lang w:val="es-CR"/>
        </w:rPr>
        <w:t xml:space="preserve"> párr. 263), que, según dijo,</w:t>
      </w:r>
      <w:r w:rsidRPr="00353432">
        <w:rPr>
          <w:rFonts w:ascii="Verdana" w:hAnsi="Verdana"/>
          <w:sz w:val="16"/>
          <w:szCs w:val="16"/>
          <w:lang w:val="es-CR"/>
        </w:rPr>
        <w:t xml:space="preserve"> </w:t>
      </w:r>
      <w:r>
        <w:rPr>
          <w:rFonts w:ascii="Verdana" w:hAnsi="Verdana"/>
          <w:sz w:val="16"/>
          <w:szCs w:val="16"/>
          <w:lang w:val="es-CR"/>
        </w:rPr>
        <w:t>tiene entre sus “funciones […r]</w:t>
      </w:r>
      <w:r w:rsidRPr="00503FE4">
        <w:rPr>
          <w:rFonts w:ascii="Verdana" w:hAnsi="Verdana"/>
          <w:sz w:val="16"/>
          <w:szCs w:val="16"/>
          <w:lang w:val="es-CR"/>
        </w:rPr>
        <w:t>ecomendar la aprobación de normas y procedimientos a las distintas entidades del Estado en materia de su competencia</w:t>
      </w:r>
      <w:r>
        <w:rPr>
          <w:rFonts w:ascii="Verdana" w:hAnsi="Verdana"/>
          <w:sz w:val="16"/>
          <w:szCs w:val="16"/>
          <w:lang w:val="es-CR"/>
        </w:rPr>
        <w:t xml:space="preserve">” </w:t>
      </w:r>
      <w:r w:rsidRPr="00353432">
        <w:rPr>
          <w:rFonts w:ascii="Verdana" w:hAnsi="Verdana" w:cs="Calibri"/>
          <w:sz w:val="16"/>
          <w:szCs w:val="16"/>
          <w:lang w:val="es-CR"/>
        </w:rPr>
        <w:t>Por otra parte, en cuanto a investigaciones criminales en general, de acuerdo a lo expresado por l</w:t>
      </w:r>
      <w:r>
        <w:rPr>
          <w:rFonts w:ascii="Verdana" w:hAnsi="Verdana" w:cs="Calibri"/>
          <w:sz w:val="16"/>
          <w:szCs w:val="16"/>
          <w:lang w:val="es-CR"/>
        </w:rPr>
        <w:t>a</w:t>
      </w:r>
      <w:r w:rsidRPr="00353432">
        <w:rPr>
          <w:rFonts w:ascii="Verdana" w:hAnsi="Verdana" w:cs="Calibri"/>
          <w:sz w:val="16"/>
          <w:szCs w:val="16"/>
          <w:lang w:val="es-CR"/>
        </w:rPr>
        <w:t xml:space="preserve"> representante y según surge del acervo probatorio, el Estado adoptó algunas medidas tendientes a mejorar su efectividad: El Ministerio Público emitió, el 1 de febrero de 2006, “Instrucciones Generales” estableciendo lineamientos para la investigación criminal</w:t>
      </w:r>
      <w:r>
        <w:rPr>
          <w:rFonts w:ascii="Verdana" w:hAnsi="Verdana" w:cs="Calibri"/>
          <w:sz w:val="16"/>
          <w:szCs w:val="16"/>
          <w:lang w:val="es-CR"/>
        </w:rPr>
        <w:t xml:space="preserve"> (expediente de anexos al escrito de solicitudes y argumentos, anexo 100, fs. 10,833 a 10,852).</w:t>
      </w:r>
      <w:r w:rsidRPr="00353432" w:rsidDel="00503FE4">
        <w:rPr>
          <w:rFonts w:ascii="Verdana" w:hAnsi="Verdana"/>
          <w:sz w:val="16"/>
          <w:szCs w:val="16"/>
          <w:lang w:val="es-CR"/>
        </w:rPr>
        <w:t xml:space="preserve"> </w:t>
      </w:r>
    </w:p>
  </w:footnote>
  <w:footnote w:id="353">
    <w:p w:rsidR="0081535F" w:rsidRPr="005F48F7" w:rsidRDefault="0081535F" w:rsidP="00422232">
      <w:pPr>
        <w:pStyle w:val="Textonotapie"/>
        <w:ind w:left="-180" w:right="-174"/>
        <w:jc w:val="both"/>
        <w:rPr>
          <w:lang w:val="es-CR"/>
        </w:rPr>
      </w:pPr>
      <w:r w:rsidRPr="00300107">
        <w:rPr>
          <w:rStyle w:val="Refdenotaalpie"/>
          <w:rFonts w:ascii="Verdana" w:hAnsi="Verdana"/>
          <w:sz w:val="16"/>
          <w:szCs w:val="16"/>
        </w:rPr>
        <w:footnoteRef/>
      </w:r>
      <w:r w:rsidRPr="00410F9B">
        <w:rPr>
          <w:rFonts w:ascii="Verdana" w:hAnsi="Verdana"/>
          <w:i/>
          <w:sz w:val="16"/>
          <w:szCs w:val="16"/>
        </w:rPr>
        <w:t>Cfr.</w:t>
      </w:r>
      <w:r w:rsidRPr="00410F9B">
        <w:rPr>
          <w:rFonts w:ascii="Verdana" w:hAnsi="Verdana"/>
          <w:sz w:val="16"/>
          <w:szCs w:val="16"/>
        </w:rPr>
        <w:t xml:space="preserve"> El Observador Judicial. No. 87. Año 12. Marzo-abril 2010. Instituto Nacional de Ciencias Forenses de Guatemala. Estado de Situación 2012, pág</w:t>
      </w:r>
      <w:r>
        <w:rPr>
          <w:rFonts w:ascii="Verdana" w:hAnsi="Verdana"/>
          <w:sz w:val="16"/>
          <w:szCs w:val="16"/>
        </w:rPr>
        <w:t>.</w:t>
      </w:r>
      <w:r w:rsidRPr="00410F9B">
        <w:rPr>
          <w:rFonts w:ascii="Verdana" w:hAnsi="Verdana"/>
          <w:sz w:val="16"/>
          <w:szCs w:val="16"/>
        </w:rPr>
        <w:t xml:space="preserve"> 15</w:t>
      </w:r>
      <w:r>
        <w:rPr>
          <w:rFonts w:ascii="Verdana" w:hAnsi="Verdana"/>
          <w:sz w:val="16"/>
          <w:szCs w:val="16"/>
        </w:rPr>
        <w:t xml:space="preserve"> </w:t>
      </w:r>
      <w:r w:rsidRPr="00410F9B">
        <w:rPr>
          <w:rFonts w:ascii="Verdana" w:hAnsi="Verdana"/>
          <w:sz w:val="16"/>
          <w:szCs w:val="16"/>
        </w:rPr>
        <w:t>(expediente de anexos al escrito de solicitudes y argumentos, anexo 73, fs. 9667 a 9701</w:t>
      </w:r>
      <w:r>
        <w:rPr>
          <w:rFonts w:ascii="Verdana" w:hAnsi="Verdana"/>
          <w:sz w:val="16"/>
          <w:szCs w:val="16"/>
        </w:rPr>
        <w:t>)</w:t>
      </w:r>
      <w:r w:rsidRPr="00410F9B">
        <w:rPr>
          <w:rFonts w:ascii="Verdana" w:hAnsi="Verdana"/>
          <w:sz w:val="16"/>
          <w:szCs w:val="16"/>
        </w:rPr>
        <w:t xml:space="preserve">. </w:t>
      </w:r>
      <w:r w:rsidRPr="002857CA">
        <w:rPr>
          <w:rFonts w:ascii="Verdana" w:hAnsi="Verdana"/>
          <w:sz w:val="16"/>
          <w:szCs w:val="16"/>
        </w:rPr>
        <w:t>Allí se señala que “se puede concluir que es necesario incrementar significativamente el presupuesto asignado y vigente en 38,6% para hacer corresponder el presupuesto asignado al presupuesto ejecutado y para recuperar el nivel presupuestario a precios de 2006, lo cual debería ser un objetivo de gestión institucional en los próximo períodos”),</w:t>
      </w:r>
      <w:r w:rsidRPr="00410F9B">
        <w:rPr>
          <w:rFonts w:ascii="Verdana" w:hAnsi="Verdana"/>
          <w:sz w:val="16"/>
          <w:szCs w:val="16"/>
        </w:rPr>
        <w:t xml:space="preserve"> y El Periódico, Guatemala, jueves 11 de marzo de 2010, “I[NACIF] suspende el 80% de servicios” y Noticiasguate.com - Noticias de Guatemala, 19 de abril de 2010, “El I[NACIF] podría desaparecer”, notas periodísticas citadas por la representante, disponible, respectivamente, en http://www.elperiodico.com.gt/es/20100311/pais/141753/ y en </w:t>
      </w:r>
      <w:hyperlink r:id="rId21" w:history="1">
        <w:r w:rsidRPr="00410F9B">
          <w:rPr>
            <w:rStyle w:val="Hipervnculo"/>
            <w:rFonts w:ascii="Verdana" w:hAnsi="Verdana"/>
            <w:sz w:val="16"/>
            <w:szCs w:val="16"/>
          </w:rPr>
          <w:t>http://noticiasguate.com/el-inacif-podria-desaparecer/</w:t>
        </w:r>
      </w:hyperlink>
      <w:r w:rsidRPr="00410F9B">
        <w:rPr>
          <w:rFonts w:ascii="Verdana" w:hAnsi="Verdana"/>
          <w:sz w:val="16"/>
          <w:szCs w:val="16"/>
        </w:rPr>
        <w:t xml:space="preserve">.  </w:t>
      </w:r>
    </w:p>
  </w:footnote>
  <w:footnote w:id="354">
    <w:p w:rsidR="0081535F" w:rsidRPr="00E0431F" w:rsidRDefault="0081535F" w:rsidP="00422232">
      <w:pPr>
        <w:pStyle w:val="Textonotapie"/>
        <w:spacing w:line="19" w:lineRule="atLeast"/>
        <w:ind w:left="-180" w:right="-174"/>
        <w:jc w:val="both"/>
        <w:rPr>
          <w:rFonts w:ascii="Verdana" w:hAnsi="Verdana"/>
          <w:strike/>
          <w:sz w:val="16"/>
          <w:szCs w:val="16"/>
          <w:lang w:val="es-CR"/>
        </w:rPr>
      </w:pPr>
      <w:r w:rsidRPr="00353432">
        <w:rPr>
          <w:rStyle w:val="Refdenotaalpie"/>
          <w:rFonts w:ascii="Verdana" w:hAnsi="Verdana"/>
          <w:sz w:val="16"/>
          <w:szCs w:val="16"/>
        </w:rPr>
        <w:footnoteRef/>
      </w:r>
      <w:r w:rsidRPr="00353432">
        <w:rPr>
          <w:rFonts w:ascii="Verdana" w:hAnsi="Verdana"/>
          <w:sz w:val="16"/>
          <w:szCs w:val="16"/>
        </w:rPr>
        <w:t xml:space="preserve"> </w:t>
      </w:r>
      <w:r w:rsidRPr="00353432">
        <w:rPr>
          <w:rFonts w:ascii="Verdana" w:hAnsi="Verdana"/>
          <w:sz w:val="16"/>
          <w:szCs w:val="16"/>
          <w:lang w:val="es-CR"/>
        </w:rPr>
        <w:t xml:space="preserve">En 2010 la Corte Suprema de Justicia aprobó la creación de </w:t>
      </w:r>
      <w:r>
        <w:rPr>
          <w:rFonts w:ascii="Verdana" w:hAnsi="Verdana"/>
          <w:sz w:val="16"/>
          <w:szCs w:val="16"/>
          <w:lang w:val="es-CR"/>
        </w:rPr>
        <w:t xml:space="preserve">“Juzgados y </w:t>
      </w:r>
      <w:r w:rsidRPr="00353432">
        <w:rPr>
          <w:rFonts w:ascii="Verdana" w:hAnsi="Verdana"/>
          <w:sz w:val="16"/>
          <w:szCs w:val="16"/>
          <w:lang w:val="es-CR"/>
        </w:rPr>
        <w:t xml:space="preserve">Tribunales de Femicidio y otras formas de </w:t>
      </w:r>
      <w:r>
        <w:rPr>
          <w:rFonts w:ascii="Verdana" w:hAnsi="Verdana"/>
          <w:sz w:val="16"/>
          <w:szCs w:val="16"/>
          <w:lang w:val="es-CR"/>
        </w:rPr>
        <w:t>V</w:t>
      </w:r>
      <w:r w:rsidRPr="00353432">
        <w:rPr>
          <w:rFonts w:ascii="Verdana" w:hAnsi="Verdana"/>
          <w:sz w:val="16"/>
          <w:szCs w:val="16"/>
          <w:lang w:val="es-CR"/>
        </w:rPr>
        <w:t xml:space="preserve">iolencia contra la </w:t>
      </w:r>
      <w:r>
        <w:rPr>
          <w:rFonts w:ascii="Verdana" w:hAnsi="Verdana"/>
          <w:sz w:val="16"/>
          <w:szCs w:val="16"/>
          <w:lang w:val="es-CR"/>
        </w:rPr>
        <w:t>M</w:t>
      </w:r>
      <w:r w:rsidRPr="00353432">
        <w:rPr>
          <w:rFonts w:ascii="Verdana" w:hAnsi="Verdana"/>
          <w:sz w:val="16"/>
          <w:szCs w:val="16"/>
          <w:lang w:val="es-CR"/>
        </w:rPr>
        <w:t>ujer</w:t>
      </w:r>
      <w:r>
        <w:rPr>
          <w:rFonts w:ascii="Verdana" w:hAnsi="Verdana"/>
          <w:sz w:val="16"/>
          <w:szCs w:val="16"/>
          <w:lang w:val="es-CR"/>
        </w:rPr>
        <w:t>”</w:t>
      </w:r>
      <w:r w:rsidRPr="00353432">
        <w:rPr>
          <w:rFonts w:ascii="Verdana" w:hAnsi="Verdana"/>
          <w:sz w:val="16"/>
          <w:szCs w:val="16"/>
          <w:lang w:val="es-CR"/>
        </w:rPr>
        <w:t>, en los departamentos de Guatemala, Chiquimula y Quetzaltenango.</w:t>
      </w:r>
      <w:r>
        <w:rPr>
          <w:rFonts w:ascii="Verdana" w:hAnsi="Verdana"/>
          <w:sz w:val="16"/>
          <w:szCs w:val="16"/>
          <w:lang w:val="es-CR"/>
        </w:rPr>
        <w:t xml:space="preserve"> </w:t>
      </w:r>
      <w:r w:rsidRPr="00353432">
        <w:rPr>
          <w:rFonts w:ascii="Verdana" w:hAnsi="Verdana"/>
          <w:sz w:val="16"/>
          <w:szCs w:val="16"/>
          <w:lang w:val="es-CR"/>
        </w:rPr>
        <w:t>Posteriormente</w:t>
      </w:r>
      <w:r>
        <w:rPr>
          <w:rFonts w:ascii="Verdana" w:hAnsi="Verdana"/>
          <w:sz w:val="16"/>
          <w:szCs w:val="16"/>
          <w:lang w:val="es-CR"/>
        </w:rPr>
        <w:t>, en 2012,</w:t>
      </w:r>
      <w:r w:rsidRPr="00353432">
        <w:rPr>
          <w:rFonts w:ascii="Verdana" w:hAnsi="Verdana"/>
          <w:sz w:val="16"/>
          <w:szCs w:val="16"/>
          <w:lang w:val="es-CR"/>
        </w:rPr>
        <w:t xml:space="preserve"> aprobó la creación de otros dos Juzgados y Tribunales especializados en los departamentos de Huehuetenango y Alta Verapaz.</w:t>
      </w:r>
      <w:r>
        <w:rPr>
          <w:rFonts w:ascii="Verdana" w:hAnsi="Verdana"/>
          <w:sz w:val="16"/>
          <w:szCs w:val="16"/>
          <w:lang w:val="es-CR"/>
        </w:rPr>
        <w:t xml:space="preserve"> </w:t>
      </w:r>
      <w:r w:rsidRPr="00410F9B">
        <w:rPr>
          <w:rFonts w:ascii="Verdana" w:hAnsi="Verdana"/>
          <w:i/>
          <w:sz w:val="16"/>
          <w:szCs w:val="16"/>
          <w:lang w:val="es-CR"/>
        </w:rPr>
        <w:t>Cfr.</w:t>
      </w:r>
      <w:r>
        <w:rPr>
          <w:rFonts w:ascii="Verdana" w:hAnsi="Verdana"/>
          <w:sz w:val="16"/>
          <w:szCs w:val="16"/>
          <w:lang w:val="es-CR"/>
        </w:rPr>
        <w:t xml:space="preserve"> Organismo Judicial. Guatemala. “Primer Informe.</w:t>
      </w:r>
      <w:r w:rsidRPr="00353432">
        <w:rPr>
          <w:rFonts w:ascii="Verdana" w:hAnsi="Verdana"/>
          <w:sz w:val="16"/>
          <w:szCs w:val="16"/>
          <w:lang w:val="es-CR"/>
        </w:rPr>
        <w:t xml:space="preserve"> </w:t>
      </w:r>
      <w:r>
        <w:rPr>
          <w:rFonts w:ascii="Verdana" w:hAnsi="Verdana"/>
          <w:sz w:val="16"/>
          <w:szCs w:val="16"/>
          <w:lang w:val="es-CR"/>
        </w:rPr>
        <w:t xml:space="preserve">Juzgados y Tribunales Penales de Delitos de Femicidio y otras Formas de Violencia contra la Mujer”, </w:t>
      </w:r>
      <w:r w:rsidRPr="00122C63">
        <w:rPr>
          <w:rFonts w:ascii="Verdana" w:hAnsi="Verdana"/>
          <w:i/>
          <w:sz w:val="16"/>
          <w:szCs w:val="16"/>
          <w:lang w:val="es-CR"/>
        </w:rPr>
        <w:t>supra</w:t>
      </w:r>
      <w:r>
        <w:rPr>
          <w:rFonts w:ascii="Verdana" w:hAnsi="Verdana"/>
          <w:sz w:val="16"/>
          <w:szCs w:val="16"/>
          <w:lang w:val="es-CR"/>
        </w:rPr>
        <w:t xml:space="preserve">. </w:t>
      </w:r>
      <w:r w:rsidRPr="002857CA">
        <w:rPr>
          <w:rFonts w:ascii="Verdana" w:hAnsi="Verdana"/>
          <w:sz w:val="16"/>
          <w:szCs w:val="16"/>
          <w:lang w:val="es-CR"/>
        </w:rPr>
        <w:t>No</w:t>
      </w:r>
      <w:r w:rsidRPr="00E0431F">
        <w:rPr>
          <w:rFonts w:ascii="Verdana" w:hAnsi="Verdana"/>
          <w:b/>
          <w:sz w:val="16"/>
          <w:szCs w:val="16"/>
          <w:lang w:val="es-CR"/>
        </w:rPr>
        <w:t xml:space="preserve"> </w:t>
      </w:r>
      <w:r w:rsidRPr="002857CA">
        <w:rPr>
          <w:rFonts w:ascii="Verdana" w:hAnsi="Verdana"/>
          <w:sz w:val="16"/>
          <w:szCs w:val="16"/>
          <w:lang w:val="es-CR"/>
        </w:rPr>
        <w:t>consta que se hayan creado órganos jurisdiccionales especializados en l</w:t>
      </w:r>
      <w:r w:rsidRPr="00353432">
        <w:rPr>
          <w:rFonts w:ascii="Verdana" w:hAnsi="Verdana"/>
          <w:sz w:val="16"/>
          <w:szCs w:val="16"/>
          <w:lang w:val="es-CR"/>
        </w:rPr>
        <w:t>os otros 17 departamentos de Guatemala</w:t>
      </w:r>
      <w:r>
        <w:rPr>
          <w:rFonts w:ascii="Verdana" w:hAnsi="Verdana"/>
          <w:sz w:val="16"/>
          <w:szCs w:val="16"/>
          <w:lang w:val="es-CR"/>
        </w:rPr>
        <w:t>.</w:t>
      </w:r>
    </w:p>
  </w:footnote>
  <w:footnote w:id="355">
    <w:p w:rsidR="0081535F" w:rsidRPr="00353432" w:rsidRDefault="0081535F" w:rsidP="00422232">
      <w:pPr>
        <w:pStyle w:val="Textonotapie"/>
        <w:spacing w:line="19" w:lineRule="atLeast"/>
        <w:ind w:left="-180" w:right="-174"/>
        <w:jc w:val="both"/>
        <w:rPr>
          <w:rFonts w:ascii="Verdana" w:hAnsi="Verdana"/>
          <w:sz w:val="16"/>
          <w:szCs w:val="16"/>
        </w:rPr>
      </w:pPr>
      <w:r w:rsidRPr="00353432">
        <w:rPr>
          <w:rStyle w:val="Refdenotaalpie"/>
          <w:rFonts w:ascii="Verdana" w:hAnsi="Verdana"/>
          <w:sz w:val="16"/>
          <w:szCs w:val="16"/>
        </w:rPr>
        <w:footnoteRef/>
      </w:r>
      <w:r w:rsidRPr="00353432">
        <w:rPr>
          <w:rFonts w:ascii="Verdana" w:hAnsi="Verdana"/>
          <w:sz w:val="16"/>
          <w:szCs w:val="16"/>
        </w:rPr>
        <w:t xml:space="preserve"> El Estado indicó, sin referir fechas de inicio de las respectivas funciones, la “creación de fiscalías especiales del M</w:t>
      </w:r>
      <w:r>
        <w:rPr>
          <w:rFonts w:ascii="Verdana" w:hAnsi="Verdana"/>
          <w:sz w:val="16"/>
          <w:szCs w:val="16"/>
        </w:rPr>
        <w:t>[</w:t>
      </w:r>
      <w:r w:rsidRPr="00353432">
        <w:rPr>
          <w:rFonts w:ascii="Verdana" w:hAnsi="Verdana"/>
          <w:sz w:val="16"/>
          <w:szCs w:val="16"/>
        </w:rPr>
        <w:t>inisterio</w:t>
      </w:r>
      <w:r>
        <w:rPr>
          <w:rFonts w:ascii="Verdana" w:hAnsi="Verdana"/>
          <w:sz w:val="16"/>
          <w:szCs w:val="16"/>
        </w:rPr>
        <w:t>]</w:t>
      </w:r>
      <w:r w:rsidRPr="00353432">
        <w:rPr>
          <w:rFonts w:ascii="Verdana" w:hAnsi="Verdana"/>
          <w:sz w:val="16"/>
          <w:szCs w:val="16"/>
        </w:rPr>
        <w:t xml:space="preserve"> P</w:t>
      </w:r>
      <w:r>
        <w:rPr>
          <w:rFonts w:ascii="Verdana" w:hAnsi="Verdana"/>
          <w:sz w:val="16"/>
          <w:szCs w:val="16"/>
        </w:rPr>
        <w:t>[</w:t>
      </w:r>
      <w:r w:rsidRPr="00353432">
        <w:rPr>
          <w:rFonts w:ascii="Verdana" w:hAnsi="Verdana"/>
          <w:sz w:val="16"/>
          <w:szCs w:val="16"/>
        </w:rPr>
        <w:t>úblico</w:t>
      </w:r>
      <w:r>
        <w:rPr>
          <w:rFonts w:ascii="Verdana" w:hAnsi="Verdana"/>
          <w:sz w:val="16"/>
          <w:szCs w:val="16"/>
        </w:rPr>
        <w:t>]</w:t>
      </w:r>
      <w:r w:rsidRPr="00353432">
        <w:rPr>
          <w:rFonts w:ascii="Verdana" w:hAnsi="Verdana"/>
          <w:sz w:val="16"/>
          <w:szCs w:val="16"/>
        </w:rPr>
        <w:t xml:space="preserve">”. Al respecto, </w:t>
      </w:r>
      <w:r>
        <w:rPr>
          <w:rFonts w:ascii="Verdana" w:hAnsi="Verdana"/>
          <w:sz w:val="16"/>
          <w:szCs w:val="16"/>
        </w:rPr>
        <w:t>señaló</w:t>
      </w:r>
      <w:r w:rsidRPr="00353432">
        <w:rPr>
          <w:rFonts w:ascii="Verdana" w:hAnsi="Verdana"/>
          <w:sz w:val="16"/>
          <w:szCs w:val="16"/>
        </w:rPr>
        <w:t xml:space="preserve"> la existencia de la “Fiscalía de la Mujer”, encargada de “la persecución penal” sobre “violencia intrafamiliar y […] contra las mujeres”, y “Fiscalías Especializadas”, en ciudad de Guatemala, en los municipios de Villa Nueva y Mixco, y en los Departamentos Chiquimula, Quetzaltenango, Coatepeque y Huehuetenango, que “conocen exclusivamente los delitos de femicidio”</w:t>
      </w:r>
      <w:r>
        <w:rPr>
          <w:rFonts w:ascii="Verdana" w:hAnsi="Verdana"/>
          <w:sz w:val="16"/>
          <w:szCs w:val="16"/>
        </w:rPr>
        <w:t xml:space="preserve">. </w:t>
      </w:r>
      <w:r w:rsidRPr="00353432">
        <w:rPr>
          <w:rFonts w:ascii="Verdana" w:hAnsi="Verdana"/>
          <w:sz w:val="16"/>
          <w:szCs w:val="16"/>
        </w:rPr>
        <w:t>Información presentada por l</w:t>
      </w:r>
      <w:r>
        <w:rPr>
          <w:rFonts w:ascii="Verdana" w:hAnsi="Verdana"/>
          <w:sz w:val="16"/>
          <w:szCs w:val="16"/>
        </w:rPr>
        <w:t>a</w:t>
      </w:r>
      <w:r w:rsidRPr="00353432">
        <w:rPr>
          <w:rFonts w:ascii="Verdana" w:hAnsi="Verdana"/>
          <w:sz w:val="16"/>
          <w:szCs w:val="16"/>
        </w:rPr>
        <w:t>s representantes precisa que, para el 4 de septiembre de 2012, en que está fechado el escrito de solicitudes y argumentos, “aun no se ha[bía] creado la Fiscalía de Delitos contra la Vida e Integridad Física de la Mujer, prevista en la Ley contra el Femicidio[,] debido a que [el Ministerio Público] no cuenta con la capacidad presupuestaria para ello”. No obstante, según expresaron, para la fecha indicada sí habían sido creadas Fiscalías de la Mujer en seis municipios (“Mixco, Villa Nueva, Quetzaltenango, Chiquimula, Coatepeque y Huehuetenango”)</w:t>
      </w:r>
      <w:r>
        <w:rPr>
          <w:rFonts w:ascii="Verdana" w:hAnsi="Verdana"/>
          <w:sz w:val="16"/>
          <w:szCs w:val="16"/>
        </w:rPr>
        <w:t>.</w:t>
      </w:r>
      <w:r w:rsidRPr="00353432">
        <w:rPr>
          <w:rFonts w:ascii="Verdana" w:hAnsi="Verdana"/>
          <w:sz w:val="16"/>
          <w:szCs w:val="16"/>
        </w:rPr>
        <w:t xml:space="preserve"> Un Acuerdo de la Fiscalía General de 3 de julio de 2008 estableció la competencia de fiscalías existentes a esa fecha para “conoc[er]” los “delitos de femicidio, así como las tentativas de femicidio […] en tanto se cuenta con el presupuesto necesario para la creación de las Agencias Especializadas a que hace referencia el artículo 14 de la Ley Contra el Femicidio y Otras Formas de Violencia contra la Mujer”. Acuer</w:t>
      </w:r>
      <w:r>
        <w:rPr>
          <w:rFonts w:ascii="Verdana" w:hAnsi="Verdana"/>
          <w:sz w:val="16"/>
          <w:szCs w:val="16"/>
        </w:rPr>
        <w:t>do No. 70-2008</w:t>
      </w:r>
      <w:r w:rsidRPr="00353432">
        <w:rPr>
          <w:rFonts w:ascii="Verdana" w:hAnsi="Verdana"/>
          <w:sz w:val="16"/>
          <w:szCs w:val="16"/>
        </w:rPr>
        <w:t>, de 3 de julio de 2008, emitido por el Fiscal General de la República y Jefe del Ministerio Público</w:t>
      </w:r>
      <w:r>
        <w:rPr>
          <w:rFonts w:ascii="Verdana" w:hAnsi="Verdana"/>
          <w:sz w:val="16"/>
          <w:szCs w:val="16"/>
        </w:rPr>
        <w:t xml:space="preserve"> (e</w:t>
      </w:r>
      <w:r w:rsidRPr="00353432">
        <w:rPr>
          <w:rFonts w:ascii="Verdana" w:hAnsi="Verdana"/>
          <w:sz w:val="16"/>
          <w:szCs w:val="16"/>
        </w:rPr>
        <w:t xml:space="preserve">xpediente de anexos al escrito de solicitudes y argumentos, </w:t>
      </w:r>
      <w:r>
        <w:rPr>
          <w:rFonts w:ascii="Verdana" w:hAnsi="Verdana"/>
          <w:sz w:val="16"/>
          <w:szCs w:val="16"/>
        </w:rPr>
        <w:t>a</w:t>
      </w:r>
      <w:r w:rsidRPr="00353432">
        <w:rPr>
          <w:rFonts w:ascii="Verdana" w:hAnsi="Verdana"/>
          <w:sz w:val="16"/>
          <w:szCs w:val="16"/>
        </w:rPr>
        <w:t>nexo 98, fs. 10,826 y 10,827)</w:t>
      </w:r>
      <w:r>
        <w:rPr>
          <w:rFonts w:ascii="Verdana" w:hAnsi="Verdana"/>
          <w:sz w:val="16"/>
          <w:szCs w:val="16"/>
        </w:rPr>
        <w:t>.</w:t>
      </w:r>
    </w:p>
  </w:footnote>
  <w:footnote w:id="356">
    <w:p w:rsidR="0081535F" w:rsidRPr="00353432" w:rsidRDefault="0081535F" w:rsidP="00422232">
      <w:pPr>
        <w:pStyle w:val="Textonotapie"/>
        <w:spacing w:line="19" w:lineRule="atLeast"/>
        <w:ind w:left="-180" w:right="-174"/>
        <w:jc w:val="both"/>
        <w:rPr>
          <w:rFonts w:ascii="Verdana" w:hAnsi="Verdana"/>
          <w:sz w:val="16"/>
          <w:szCs w:val="16"/>
          <w:lang w:val="es-CR"/>
        </w:rPr>
      </w:pPr>
      <w:r w:rsidRPr="00353432">
        <w:rPr>
          <w:rStyle w:val="Refdenotaalpie"/>
          <w:rFonts w:ascii="Verdana" w:hAnsi="Verdana"/>
          <w:sz w:val="16"/>
          <w:szCs w:val="16"/>
        </w:rPr>
        <w:footnoteRef/>
      </w:r>
      <w:r w:rsidRPr="00353432">
        <w:rPr>
          <w:rFonts w:ascii="Verdana" w:hAnsi="Verdana"/>
          <w:sz w:val="16"/>
          <w:szCs w:val="16"/>
        </w:rPr>
        <w:t xml:space="preserve"> </w:t>
      </w:r>
      <w:r w:rsidRPr="00353432">
        <w:rPr>
          <w:rFonts w:ascii="Verdana" w:hAnsi="Verdana"/>
          <w:sz w:val="16"/>
          <w:szCs w:val="16"/>
          <w:lang w:val="es-CR"/>
        </w:rPr>
        <w:t>En un documento de 22 de marzo de 2012, aportado por el Estado, esta entidad estatal expresó que “[e]l [s]istema de [j]usticia se encuentra colapsado frente a la cantidad de procesos judiciales solicitados en el marco de los delitos de violencia contra la mujer”.</w:t>
      </w:r>
      <w:r w:rsidRPr="00D54DF7">
        <w:rPr>
          <w:rFonts w:ascii="Verdana" w:hAnsi="Verdana"/>
          <w:sz w:val="16"/>
          <w:szCs w:val="16"/>
          <w:lang w:val="es-CR"/>
        </w:rPr>
        <w:t xml:space="preserve"> </w:t>
      </w:r>
      <w:r w:rsidRPr="00F52D92">
        <w:rPr>
          <w:rFonts w:ascii="Verdana" w:hAnsi="Verdana"/>
          <w:sz w:val="16"/>
          <w:szCs w:val="16"/>
          <w:lang w:val="es-CR"/>
        </w:rPr>
        <w:t xml:space="preserve">Informe de CONAPREVI ante la Comisión Presidencial Coordinadora de la Política del Ejecutivo en materia de Derechos Humanos –COPREDEH-, en torno al requerimiento de la Comisión Interamericana, en el caso de Claudina Isabel Velásquez Paiz”, </w:t>
      </w:r>
      <w:r>
        <w:rPr>
          <w:rFonts w:ascii="Verdana" w:hAnsi="Verdana"/>
          <w:i/>
          <w:sz w:val="16"/>
          <w:szCs w:val="16"/>
          <w:lang w:val="es-CR"/>
        </w:rPr>
        <w:t>supra</w:t>
      </w:r>
      <w:r>
        <w:rPr>
          <w:rFonts w:ascii="Verdana" w:hAnsi="Verdana"/>
          <w:sz w:val="16"/>
          <w:szCs w:val="16"/>
          <w:lang w:val="es-CR"/>
        </w:rPr>
        <w:t>, pág. 2</w:t>
      </w:r>
      <w:r w:rsidRPr="00122C63">
        <w:rPr>
          <w:rFonts w:ascii="Verdana" w:hAnsi="Verdana"/>
          <w:sz w:val="16"/>
          <w:szCs w:val="16"/>
          <w:lang w:val="es-CR"/>
        </w:rPr>
        <w:t>.</w:t>
      </w:r>
      <w:r w:rsidRPr="00353432">
        <w:rPr>
          <w:rFonts w:ascii="Verdana" w:hAnsi="Verdana"/>
          <w:sz w:val="16"/>
          <w:szCs w:val="16"/>
          <w:lang w:val="es-CR"/>
        </w:rPr>
        <w:t xml:space="preserve"> </w:t>
      </w:r>
    </w:p>
    <w:p w:rsidR="0081535F" w:rsidRPr="00353432" w:rsidRDefault="0081535F" w:rsidP="00422232">
      <w:pPr>
        <w:pStyle w:val="Textonotapie"/>
        <w:spacing w:line="19" w:lineRule="atLeast"/>
        <w:ind w:left="-180" w:right="-174"/>
        <w:jc w:val="both"/>
        <w:rPr>
          <w:rFonts w:ascii="Verdana" w:hAnsi="Verdana"/>
          <w:sz w:val="16"/>
          <w:szCs w:val="16"/>
          <w:lang w:val="es-CR"/>
        </w:rPr>
      </w:pPr>
    </w:p>
  </w:footnote>
  <w:footnote w:id="357">
    <w:p w:rsidR="0081535F" w:rsidRPr="00353432" w:rsidRDefault="0081535F" w:rsidP="00422232">
      <w:pPr>
        <w:pStyle w:val="Textonotapie"/>
        <w:spacing w:line="19" w:lineRule="atLeast"/>
        <w:ind w:left="-180" w:right="-174"/>
        <w:jc w:val="both"/>
        <w:rPr>
          <w:rFonts w:ascii="Verdana" w:hAnsi="Verdana"/>
          <w:sz w:val="16"/>
          <w:szCs w:val="16"/>
        </w:rPr>
      </w:pPr>
      <w:r w:rsidRPr="00353432">
        <w:rPr>
          <w:rStyle w:val="Refdenotaalpie"/>
          <w:rFonts w:ascii="Verdana" w:hAnsi="Verdana"/>
          <w:sz w:val="16"/>
          <w:szCs w:val="16"/>
        </w:rPr>
        <w:footnoteRef/>
      </w:r>
      <w:r w:rsidRPr="000F27B3">
        <w:rPr>
          <w:rFonts w:ascii="Verdana" w:hAnsi="Verdana"/>
          <w:i/>
          <w:sz w:val="16"/>
          <w:szCs w:val="16"/>
        </w:rPr>
        <w:t xml:space="preserve">Cfr. </w:t>
      </w:r>
      <w:r w:rsidRPr="000F27B3">
        <w:rPr>
          <w:rFonts w:ascii="Verdana" w:hAnsi="Verdana"/>
          <w:sz w:val="16"/>
          <w:szCs w:val="16"/>
        </w:rPr>
        <w:t>Ley del Sistema de Alerta A</w:t>
      </w:r>
      <w:r>
        <w:rPr>
          <w:rFonts w:ascii="Verdana" w:hAnsi="Verdana"/>
          <w:sz w:val="16"/>
          <w:szCs w:val="16"/>
        </w:rPr>
        <w:t>lba-Keneth. Decreto No. 28-2010</w:t>
      </w:r>
      <w:r w:rsidRPr="000F27B3">
        <w:rPr>
          <w:rFonts w:ascii="Verdana" w:hAnsi="Verdana"/>
          <w:sz w:val="16"/>
          <w:szCs w:val="16"/>
        </w:rPr>
        <w:t xml:space="preserve"> (expediente de anexos al escrito de contestación, anexo 12, fs. 14,097 a 14,102).</w:t>
      </w:r>
      <w:r>
        <w:rPr>
          <w:rFonts w:ascii="Verdana" w:hAnsi="Verdana"/>
          <w:sz w:val="16"/>
          <w:szCs w:val="16"/>
        </w:rPr>
        <w:t xml:space="preserve"> </w:t>
      </w:r>
      <w:r w:rsidRPr="00353432">
        <w:rPr>
          <w:rFonts w:ascii="Verdana" w:hAnsi="Verdana" w:cs="Calibri"/>
          <w:sz w:val="16"/>
          <w:szCs w:val="16"/>
          <w:lang w:val="es-CR"/>
        </w:rPr>
        <w:t>El Estado cuenta también con otras normas relativas a la niñez, incluyendo una “Ley de Protección Integral de la Niñez y Adolescencia” (</w:t>
      </w:r>
      <w:r w:rsidRPr="00353432">
        <w:rPr>
          <w:rFonts w:ascii="Verdana" w:hAnsi="Verdana"/>
          <w:sz w:val="16"/>
          <w:szCs w:val="16"/>
          <w:lang w:val="es-CR"/>
        </w:rPr>
        <w:t>Decreto No. 27-2003)</w:t>
      </w:r>
      <w:r w:rsidRPr="00353432">
        <w:rPr>
          <w:rFonts w:ascii="Verdana" w:hAnsi="Verdana" w:cs="Calibri"/>
          <w:sz w:val="16"/>
          <w:szCs w:val="16"/>
          <w:lang w:val="es-CR"/>
        </w:rPr>
        <w:t xml:space="preserve"> que fue “</w:t>
      </w:r>
      <w:r>
        <w:rPr>
          <w:rFonts w:ascii="Verdana" w:hAnsi="Verdana" w:cs="Calibri"/>
          <w:sz w:val="16"/>
          <w:szCs w:val="16"/>
          <w:lang w:val="es-CR"/>
        </w:rPr>
        <w:t>[</w:t>
      </w:r>
      <w:r w:rsidRPr="00353432">
        <w:rPr>
          <w:rFonts w:ascii="Verdana" w:hAnsi="Verdana" w:cs="Calibri"/>
          <w:sz w:val="16"/>
          <w:szCs w:val="16"/>
          <w:lang w:val="es-CR"/>
        </w:rPr>
        <w:t>e</w:t>
      </w:r>
      <w:r>
        <w:rPr>
          <w:rFonts w:ascii="Verdana" w:hAnsi="Verdana" w:cs="Calibri"/>
          <w:sz w:val="16"/>
          <w:szCs w:val="16"/>
          <w:lang w:val="es-CR"/>
        </w:rPr>
        <w:t>]</w:t>
      </w:r>
      <w:r w:rsidRPr="00353432">
        <w:rPr>
          <w:rFonts w:ascii="Verdana" w:hAnsi="Verdana" w:cs="Calibri"/>
          <w:sz w:val="16"/>
          <w:szCs w:val="16"/>
          <w:lang w:val="es-CR"/>
        </w:rPr>
        <w:t>mitid</w:t>
      </w:r>
      <w:r>
        <w:rPr>
          <w:rFonts w:ascii="Verdana" w:hAnsi="Verdana" w:cs="Calibri"/>
          <w:sz w:val="16"/>
          <w:szCs w:val="16"/>
          <w:lang w:val="es-CR"/>
        </w:rPr>
        <w:t>[</w:t>
      </w:r>
      <w:r w:rsidRPr="00353432">
        <w:rPr>
          <w:rFonts w:ascii="Verdana" w:hAnsi="Verdana" w:cs="Calibri"/>
          <w:sz w:val="16"/>
          <w:szCs w:val="16"/>
          <w:lang w:val="es-CR"/>
        </w:rPr>
        <w:t>a</w:t>
      </w:r>
      <w:r>
        <w:rPr>
          <w:rFonts w:ascii="Verdana" w:hAnsi="Verdana" w:cs="Calibri"/>
          <w:sz w:val="16"/>
          <w:szCs w:val="16"/>
          <w:lang w:val="es-CR"/>
        </w:rPr>
        <w:t>]</w:t>
      </w:r>
      <w:r w:rsidRPr="00353432">
        <w:rPr>
          <w:rFonts w:ascii="Verdana" w:hAnsi="Verdana" w:cs="Calibri"/>
          <w:sz w:val="16"/>
          <w:szCs w:val="16"/>
          <w:lang w:val="es-CR"/>
        </w:rPr>
        <w:t>” el 4 de julio de 2003</w:t>
      </w:r>
      <w:r>
        <w:rPr>
          <w:rFonts w:ascii="Verdana" w:hAnsi="Verdana" w:cs="Calibri"/>
          <w:sz w:val="16"/>
          <w:szCs w:val="16"/>
          <w:lang w:val="es-CR"/>
        </w:rPr>
        <w:t>.</w:t>
      </w:r>
      <w:r w:rsidRPr="00353432">
        <w:rPr>
          <w:rFonts w:ascii="Verdana" w:hAnsi="Verdana"/>
          <w:sz w:val="16"/>
          <w:szCs w:val="16"/>
          <w:lang w:val="es-CR"/>
        </w:rPr>
        <w:t xml:space="preserve"> El Estado presentó </w:t>
      </w:r>
      <w:r>
        <w:rPr>
          <w:rFonts w:ascii="Verdana" w:hAnsi="Verdana"/>
          <w:sz w:val="16"/>
          <w:szCs w:val="16"/>
          <w:lang w:val="es-CR"/>
        </w:rPr>
        <w:t xml:space="preserve">además </w:t>
      </w:r>
      <w:r w:rsidRPr="00353432">
        <w:rPr>
          <w:rFonts w:ascii="Verdana" w:hAnsi="Verdana"/>
          <w:sz w:val="16"/>
          <w:szCs w:val="16"/>
          <w:lang w:val="es-CR"/>
        </w:rPr>
        <w:t>a la Corte copia de l</w:t>
      </w:r>
      <w:r>
        <w:rPr>
          <w:rFonts w:ascii="Verdana" w:hAnsi="Verdana"/>
          <w:sz w:val="16"/>
          <w:szCs w:val="16"/>
          <w:lang w:val="es-CR"/>
        </w:rPr>
        <w:t>os artículos</w:t>
      </w:r>
      <w:r w:rsidRPr="00353432">
        <w:rPr>
          <w:rFonts w:ascii="Verdana" w:hAnsi="Verdana"/>
          <w:sz w:val="16"/>
          <w:szCs w:val="16"/>
          <w:lang w:val="es-CR"/>
        </w:rPr>
        <w:t xml:space="preserve"> 5, 20 y 51</w:t>
      </w:r>
      <w:r>
        <w:rPr>
          <w:rFonts w:ascii="Verdana" w:hAnsi="Verdana"/>
          <w:sz w:val="16"/>
          <w:szCs w:val="16"/>
          <w:lang w:val="es-CR"/>
        </w:rPr>
        <w:t xml:space="preserve"> de la Constitución Política de la República de Guatemala,</w:t>
      </w:r>
      <w:r w:rsidRPr="00353432">
        <w:rPr>
          <w:rFonts w:ascii="Verdana" w:hAnsi="Verdana"/>
          <w:sz w:val="16"/>
          <w:szCs w:val="16"/>
          <w:lang w:val="es-CR"/>
        </w:rPr>
        <w:t xml:space="preserve"> titulados, respectivamente, “Libertad de acción”, “Menores de edad”, y “Protección a menores y ancianos” (</w:t>
      </w:r>
      <w:r>
        <w:rPr>
          <w:rFonts w:ascii="Verdana" w:hAnsi="Verdana"/>
          <w:sz w:val="16"/>
          <w:szCs w:val="16"/>
          <w:lang w:val="es-CR"/>
        </w:rPr>
        <w:t>e</w:t>
      </w:r>
      <w:r w:rsidRPr="00353432">
        <w:rPr>
          <w:rFonts w:ascii="Verdana" w:hAnsi="Verdana"/>
          <w:sz w:val="16"/>
          <w:szCs w:val="16"/>
          <w:lang w:val="es-CR"/>
        </w:rPr>
        <w:t xml:space="preserve">xpediente de anexos a la contestación, </w:t>
      </w:r>
      <w:r>
        <w:rPr>
          <w:rFonts w:ascii="Verdana" w:hAnsi="Verdana"/>
          <w:sz w:val="16"/>
          <w:szCs w:val="16"/>
          <w:lang w:val="es-CR"/>
        </w:rPr>
        <w:t>a</w:t>
      </w:r>
      <w:r w:rsidRPr="00353432">
        <w:rPr>
          <w:rFonts w:ascii="Verdana" w:hAnsi="Verdana"/>
          <w:sz w:val="16"/>
          <w:szCs w:val="16"/>
          <w:lang w:val="es-CR"/>
        </w:rPr>
        <w:t>nexos 2</w:t>
      </w:r>
      <w:r>
        <w:rPr>
          <w:rFonts w:ascii="Verdana" w:hAnsi="Verdana"/>
          <w:sz w:val="16"/>
          <w:szCs w:val="16"/>
          <w:lang w:val="es-CR"/>
        </w:rPr>
        <w:t>2</w:t>
      </w:r>
      <w:r w:rsidRPr="00353432">
        <w:rPr>
          <w:rFonts w:ascii="Verdana" w:hAnsi="Verdana"/>
          <w:sz w:val="16"/>
          <w:szCs w:val="16"/>
          <w:lang w:val="es-CR"/>
        </w:rPr>
        <w:t xml:space="preserve"> y 2</w:t>
      </w:r>
      <w:r>
        <w:rPr>
          <w:rFonts w:ascii="Verdana" w:hAnsi="Verdana"/>
          <w:sz w:val="16"/>
          <w:szCs w:val="16"/>
          <w:lang w:val="es-CR"/>
        </w:rPr>
        <w:t>3</w:t>
      </w:r>
      <w:r w:rsidRPr="00353432">
        <w:rPr>
          <w:rFonts w:ascii="Verdana" w:hAnsi="Verdana"/>
          <w:sz w:val="16"/>
          <w:szCs w:val="16"/>
          <w:lang w:val="es-CR"/>
        </w:rPr>
        <w:t xml:space="preserve">, respectivamente, fs. </w:t>
      </w:r>
      <w:r>
        <w:rPr>
          <w:rFonts w:ascii="Verdana" w:hAnsi="Verdana"/>
          <w:sz w:val="16"/>
          <w:szCs w:val="16"/>
          <w:lang w:val="es-CR"/>
        </w:rPr>
        <w:t xml:space="preserve">14,189 a 14,259 y </w:t>
      </w:r>
      <w:r w:rsidRPr="00353432">
        <w:rPr>
          <w:rFonts w:ascii="Verdana" w:hAnsi="Verdana"/>
          <w:sz w:val="16"/>
          <w:szCs w:val="16"/>
          <w:lang w:val="es-CR"/>
        </w:rPr>
        <w:t>14,261</w:t>
      </w:r>
      <w:r w:rsidRPr="00353432">
        <w:rPr>
          <w:rFonts w:ascii="Verdana" w:hAnsi="Verdana" w:cs="Calibri"/>
          <w:sz w:val="16"/>
          <w:szCs w:val="16"/>
          <w:lang w:val="es-CR"/>
        </w:rPr>
        <w:t>).</w:t>
      </w:r>
    </w:p>
  </w:footnote>
  <w:footnote w:id="358">
    <w:p w:rsidR="0081535F" w:rsidRPr="002857CA" w:rsidRDefault="0081535F" w:rsidP="00422232">
      <w:pPr>
        <w:pStyle w:val="Textonotapie"/>
        <w:ind w:left="-180" w:right="-174"/>
        <w:jc w:val="both"/>
        <w:rPr>
          <w:rFonts w:ascii="Verdana" w:hAnsi="Verdana"/>
          <w:sz w:val="16"/>
          <w:szCs w:val="16"/>
          <w:lang w:val="es-CR"/>
        </w:rPr>
      </w:pPr>
      <w:r w:rsidRPr="002857CA">
        <w:rPr>
          <w:rStyle w:val="Refdenotaalpie"/>
          <w:rFonts w:ascii="Verdana" w:hAnsi="Verdana"/>
          <w:sz w:val="16"/>
          <w:szCs w:val="16"/>
        </w:rPr>
        <w:footnoteRef/>
      </w:r>
      <w:r w:rsidRPr="002857CA">
        <w:rPr>
          <w:rFonts w:ascii="Verdana" w:hAnsi="Verdana"/>
          <w:sz w:val="16"/>
          <w:szCs w:val="16"/>
        </w:rPr>
        <w:t xml:space="preserve"> </w:t>
      </w:r>
      <w:r w:rsidRPr="002857CA">
        <w:rPr>
          <w:rFonts w:ascii="Verdana" w:hAnsi="Verdana"/>
          <w:sz w:val="16"/>
          <w:szCs w:val="16"/>
          <w:lang w:val="es-CR"/>
        </w:rPr>
        <w:t>El Tribunal comprobó que, al momento de presentar el Estado sus alegatos finales escritos (</w:t>
      </w:r>
      <w:r w:rsidRPr="002857CA">
        <w:rPr>
          <w:rFonts w:ascii="Verdana" w:hAnsi="Verdana"/>
          <w:i/>
          <w:sz w:val="16"/>
          <w:szCs w:val="16"/>
          <w:lang w:val="es-CR"/>
        </w:rPr>
        <w:t>supra</w:t>
      </w:r>
      <w:r w:rsidRPr="002857CA">
        <w:rPr>
          <w:rFonts w:ascii="Verdana" w:hAnsi="Verdana"/>
          <w:sz w:val="16"/>
          <w:szCs w:val="16"/>
          <w:lang w:val="es-CR"/>
        </w:rPr>
        <w:t xml:space="preserve"> párr. 13), dicha página electrónica efectivamente funcionaba y contenía los datos señalados. La Corte no ha podido comprobar el funcionamiento de la página electrónica al momento de la emisión de la presente Sentencia.</w:t>
      </w:r>
    </w:p>
  </w:footnote>
  <w:footnote w:id="359">
    <w:p w:rsidR="0081535F" w:rsidRPr="00353432" w:rsidRDefault="0081535F" w:rsidP="00422232">
      <w:pPr>
        <w:pStyle w:val="Textonotapie"/>
        <w:spacing w:line="19" w:lineRule="atLeast"/>
        <w:ind w:left="-180" w:right="-174"/>
        <w:jc w:val="both"/>
        <w:rPr>
          <w:rFonts w:ascii="Verdana" w:hAnsi="Verdana"/>
          <w:sz w:val="16"/>
          <w:szCs w:val="16"/>
          <w:lang w:val="es-CL"/>
        </w:rPr>
      </w:pPr>
      <w:r w:rsidRPr="00353432">
        <w:rPr>
          <w:rStyle w:val="Refdenotaalpie"/>
          <w:rFonts w:ascii="Verdana" w:hAnsi="Verdana"/>
          <w:sz w:val="16"/>
          <w:szCs w:val="16"/>
        </w:rPr>
        <w:footnoteRef/>
      </w:r>
      <w:r w:rsidRPr="00353432">
        <w:rPr>
          <w:rFonts w:ascii="Verdana" w:hAnsi="Verdana"/>
          <w:sz w:val="16"/>
          <w:szCs w:val="16"/>
        </w:rPr>
        <w:t xml:space="preserve"> </w:t>
      </w:r>
      <w:r w:rsidRPr="00353432">
        <w:rPr>
          <w:rFonts w:ascii="Verdana" w:hAnsi="Verdana"/>
          <w:i/>
          <w:sz w:val="16"/>
          <w:szCs w:val="16"/>
        </w:rPr>
        <w:t xml:space="preserve">Cfr. </w:t>
      </w:r>
      <w:r w:rsidRPr="00C10CD3">
        <w:rPr>
          <w:rFonts w:ascii="Verdana" w:hAnsi="Verdana"/>
          <w:i/>
          <w:iCs/>
          <w:sz w:val="16"/>
          <w:szCs w:val="16"/>
          <w:lang w:val="es-CR"/>
        </w:rPr>
        <w:t>Caso Barrios Altos Vs. Perú. Reparaciones y Costas</w:t>
      </w:r>
      <w:r>
        <w:rPr>
          <w:rFonts w:ascii="Verdana" w:hAnsi="Verdana"/>
          <w:i/>
          <w:iCs/>
          <w:sz w:val="16"/>
          <w:szCs w:val="16"/>
          <w:lang w:val="es-CR"/>
        </w:rPr>
        <w:t>.</w:t>
      </w:r>
      <w:r w:rsidRPr="00410F9B">
        <w:rPr>
          <w:rFonts w:ascii="Arial" w:eastAsia="Calibri" w:hAnsi="Arial" w:cs="Arial"/>
          <w:color w:val="262626"/>
          <w:sz w:val="25"/>
          <w:szCs w:val="25"/>
          <w:lang w:val="es-CR"/>
        </w:rPr>
        <w:t xml:space="preserve"> </w:t>
      </w:r>
      <w:r w:rsidRPr="00410F9B">
        <w:rPr>
          <w:rFonts w:ascii="Verdana" w:hAnsi="Verdana"/>
          <w:iCs/>
          <w:sz w:val="16"/>
          <w:szCs w:val="16"/>
          <w:lang w:val="es-CR"/>
        </w:rPr>
        <w:t>Sentencia de 30 de noviembre de 2001. Serie C No. 87</w:t>
      </w:r>
      <w:r w:rsidRPr="00C10CD3">
        <w:rPr>
          <w:rFonts w:ascii="Verdana" w:hAnsi="Verdana"/>
          <w:sz w:val="16"/>
          <w:szCs w:val="16"/>
          <w:lang w:val="es-CR"/>
        </w:rPr>
        <w:t>, párrs. 42 y 45</w:t>
      </w:r>
      <w:r>
        <w:rPr>
          <w:rFonts w:ascii="Verdana" w:hAnsi="Verdana"/>
          <w:sz w:val="16"/>
          <w:szCs w:val="16"/>
          <w:lang w:val="es-CR"/>
        </w:rPr>
        <w:t>,</w:t>
      </w:r>
      <w:r w:rsidRPr="00353432">
        <w:rPr>
          <w:rFonts w:ascii="Verdana" w:hAnsi="Verdana"/>
          <w:sz w:val="16"/>
          <w:szCs w:val="16"/>
        </w:rPr>
        <w:t xml:space="preserve"> y </w:t>
      </w:r>
      <w:r>
        <w:rPr>
          <w:rFonts w:ascii="Verdana" w:hAnsi="Verdana"/>
          <w:i/>
          <w:spacing w:val="-4"/>
          <w:sz w:val="16"/>
          <w:szCs w:val="16"/>
          <w:lang w:val="es-CR"/>
        </w:rPr>
        <w:t>Caso J.</w:t>
      </w:r>
      <w:r w:rsidRPr="00EB1622">
        <w:rPr>
          <w:rFonts w:ascii="Verdana" w:hAnsi="Verdana"/>
          <w:i/>
          <w:sz w:val="16"/>
          <w:szCs w:val="16"/>
          <w:lang w:val="es-CR"/>
        </w:rPr>
        <w:t>, supra</w:t>
      </w:r>
      <w:r>
        <w:rPr>
          <w:rFonts w:ascii="Verdana" w:hAnsi="Verdana"/>
          <w:sz w:val="16"/>
          <w:szCs w:val="16"/>
          <w:lang w:val="es-CR"/>
        </w:rPr>
        <w:t>, párr. 344</w:t>
      </w:r>
      <w:r w:rsidRPr="00EB1622">
        <w:rPr>
          <w:rFonts w:ascii="Verdana" w:hAnsi="Verdana"/>
          <w:sz w:val="16"/>
          <w:szCs w:val="16"/>
          <w:lang w:val="es-CR"/>
        </w:rPr>
        <w:t>.</w:t>
      </w:r>
      <w:r w:rsidRPr="00410F9B">
        <w:rPr>
          <w:rFonts w:ascii="Verdana" w:hAnsi="Verdana"/>
          <w:sz w:val="16"/>
          <w:szCs w:val="16"/>
          <w:lang w:val="es-CR"/>
        </w:rPr>
        <w:t xml:space="preserve"> </w:t>
      </w:r>
    </w:p>
  </w:footnote>
  <w:footnote w:id="360">
    <w:p w:rsidR="0081535F" w:rsidRPr="00353432" w:rsidRDefault="0081535F" w:rsidP="00422232">
      <w:pPr>
        <w:pStyle w:val="Textonotapie"/>
        <w:spacing w:line="19" w:lineRule="atLeast"/>
        <w:ind w:left="-180" w:right="-174"/>
        <w:jc w:val="both"/>
        <w:rPr>
          <w:rFonts w:ascii="Verdana" w:hAnsi="Verdana"/>
          <w:sz w:val="16"/>
          <w:szCs w:val="16"/>
          <w:lang w:val="es-CR"/>
        </w:rPr>
      </w:pPr>
      <w:r w:rsidRPr="00353432">
        <w:rPr>
          <w:rStyle w:val="Refdenotaalpie"/>
          <w:rFonts w:ascii="Verdana" w:hAnsi="Verdana"/>
          <w:sz w:val="16"/>
          <w:szCs w:val="16"/>
        </w:rPr>
        <w:footnoteRef/>
      </w:r>
      <w:r w:rsidRPr="00353432">
        <w:rPr>
          <w:rFonts w:ascii="Verdana" w:hAnsi="Verdana"/>
          <w:sz w:val="16"/>
          <w:szCs w:val="16"/>
        </w:rPr>
        <w:t xml:space="preserve"> </w:t>
      </w:r>
      <w:r w:rsidRPr="00353432">
        <w:rPr>
          <w:rFonts w:ascii="Verdana" w:hAnsi="Verdana" w:cs="Arial"/>
          <w:i/>
          <w:sz w:val="16"/>
          <w:szCs w:val="16"/>
        </w:rPr>
        <w:t xml:space="preserve">Caso </w:t>
      </w:r>
      <w:proofErr w:type="spellStart"/>
      <w:r w:rsidRPr="00353432">
        <w:rPr>
          <w:rFonts w:ascii="Verdana" w:hAnsi="Verdana" w:cs="Arial"/>
          <w:i/>
          <w:sz w:val="16"/>
          <w:szCs w:val="16"/>
        </w:rPr>
        <w:t>Bámaca</w:t>
      </w:r>
      <w:proofErr w:type="spellEnd"/>
      <w:r w:rsidRPr="00353432">
        <w:rPr>
          <w:rFonts w:ascii="Verdana" w:hAnsi="Verdana" w:cs="Arial"/>
          <w:i/>
          <w:sz w:val="16"/>
          <w:szCs w:val="16"/>
        </w:rPr>
        <w:t xml:space="preserve"> Velásquez Vs. Guatemala. Reparaciones y Costas</w:t>
      </w:r>
      <w:r w:rsidRPr="00353432">
        <w:rPr>
          <w:rFonts w:ascii="Verdana" w:hAnsi="Verdana" w:cs="Arial"/>
          <w:sz w:val="16"/>
          <w:szCs w:val="16"/>
        </w:rPr>
        <w:t xml:space="preserve">. Sentencia de 22 de febrero de 2002. Serie C No. 91, párr. 43, y </w:t>
      </w:r>
      <w:r w:rsidRPr="00114E68">
        <w:rPr>
          <w:rFonts w:ascii="Verdana" w:hAnsi="Verdana" w:cs="Arial"/>
          <w:i/>
          <w:sz w:val="16"/>
          <w:szCs w:val="16"/>
        </w:rPr>
        <w:t xml:space="preserve">Caso </w:t>
      </w:r>
      <w:r>
        <w:rPr>
          <w:rFonts w:ascii="Verdana" w:hAnsi="Verdana"/>
          <w:i/>
          <w:sz w:val="16"/>
          <w:szCs w:val="16"/>
          <w:lang w:val="es-CO"/>
        </w:rPr>
        <w:t>Liakat Ali Alibux</w:t>
      </w:r>
      <w:r w:rsidRPr="00114E68">
        <w:rPr>
          <w:rFonts w:ascii="Verdana" w:hAnsi="Verdana" w:cs="Arial"/>
          <w:i/>
          <w:sz w:val="16"/>
          <w:szCs w:val="16"/>
        </w:rPr>
        <w:t>, supra</w:t>
      </w:r>
      <w:r w:rsidRPr="00114E68">
        <w:rPr>
          <w:rFonts w:ascii="Verdana" w:hAnsi="Verdana" w:cs="Arial"/>
          <w:sz w:val="16"/>
          <w:szCs w:val="16"/>
        </w:rPr>
        <w:t>, párr. 153.</w:t>
      </w:r>
    </w:p>
  </w:footnote>
  <w:footnote w:id="361">
    <w:p w:rsidR="0081535F" w:rsidRPr="00353432" w:rsidRDefault="0081535F" w:rsidP="00422232">
      <w:pPr>
        <w:spacing w:after="0" w:line="19" w:lineRule="atLeast"/>
        <w:ind w:left="-180" w:right="-174"/>
        <w:jc w:val="both"/>
        <w:rPr>
          <w:rFonts w:ascii="Verdana" w:hAnsi="Verdana"/>
          <w:i/>
          <w:sz w:val="16"/>
          <w:szCs w:val="16"/>
          <w:lang w:val="es-CR"/>
        </w:rPr>
      </w:pPr>
      <w:r w:rsidRPr="00353432">
        <w:rPr>
          <w:rStyle w:val="Refdenotaalpie"/>
          <w:rFonts w:ascii="Verdana" w:hAnsi="Verdana"/>
          <w:sz w:val="16"/>
          <w:szCs w:val="16"/>
        </w:rPr>
        <w:footnoteRef/>
      </w:r>
      <w:r w:rsidRPr="00353432">
        <w:rPr>
          <w:rFonts w:ascii="Verdana" w:hAnsi="Verdana"/>
          <w:sz w:val="16"/>
          <w:szCs w:val="16"/>
          <w:lang w:val="es-CR"/>
        </w:rPr>
        <w:t xml:space="preserve"> </w:t>
      </w:r>
      <w:r w:rsidRPr="00353432">
        <w:rPr>
          <w:rFonts w:ascii="Verdana" w:hAnsi="Verdana"/>
          <w:i/>
          <w:sz w:val="16"/>
          <w:szCs w:val="16"/>
          <w:lang w:val="es-CR"/>
        </w:rPr>
        <w:t xml:space="preserve">Cfr. </w:t>
      </w:r>
      <w:r w:rsidRPr="00353432">
        <w:rPr>
          <w:rFonts w:ascii="Verdana" w:hAnsi="Verdana"/>
          <w:bCs/>
          <w:i/>
          <w:sz w:val="16"/>
          <w:szCs w:val="16"/>
          <w:lang w:val="es-CR"/>
        </w:rPr>
        <w:t>Caso de los “Niños de la Calle” (Villagrán Morales y otros)</w:t>
      </w:r>
      <w:r>
        <w:rPr>
          <w:rFonts w:ascii="Verdana" w:hAnsi="Verdana"/>
          <w:bCs/>
          <w:i/>
          <w:sz w:val="16"/>
          <w:szCs w:val="16"/>
          <w:lang w:val="es-CR"/>
        </w:rPr>
        <w:t xml:space="preserve">. Reparaciones y Costas. </w:t>
      </w:r>
      <w:r w:rsidRPr="002D4895">
        <w:rPr>
          <w:rFonts w:ascii="Verdana" w:hAnsi="Verdana"/>
          <w:bCs/>
          <w:sz w:val="16"/>
          <w:szCs w:val="16"/>
          <w:lang w:val="es-CR"/>
        </w:rPr>
        <w:t>Sentencia de 26 de mayo de 2001. Serie C No. 77</w:t>
      </w:r>
      <w:r>
        <w:rPr>
          <w:rFonts w:ascii="Verdana" w:hAnsi="Verdana"/>
          <w:bCs/>
          <w:i/>
          <w:sz w:val="16"/>
          <w:szCs w:val="16"/>
          <w:lang w:val="es-CR"/>
        </w:rPr>
        <w:t>,</w:t>
      </w:r>
      <w:r w:rsidRPr="00353432">
        <w:rPr>
          <w:rFonts w:ascii="Verdana" w:hAnsi="Verdana"/>
          <w:bCs/>
          <w:i/>
          <w:sz w:val="16"/>
          <w:szCs w:val="16"/>
          <w:lang w:val="es-CR"/>
        </w:rPr>
        <w:t xml:space="preserve"> </w:t>
      </w:r>
      <w:r w:rsidRPr="00353432">
        <w:rPr>
          <w:rFonts w:ascii="Verdana" w:hAnsi="Verdana"/>
          <w:sz w:val="16"/>
          <w:szCs w:val="16"/>
          <w:lang w:val="es-CR"/>
        </w:rPr>
        <w:t xml:space="preserve">párr. 224, y </w:t>
      </w:r>
      <w:r>
        <w:rPr>
          <w:rFonts w:ascii="Verdana" w:hAnsi="Verdana"/>
          <w:i/>
          <w:sz w:val="16"/>
          <w:szCs w:val="16"/>
          <w:lang w:val="es-CO"/>
        </w:rPr>
        <w:t>Liakat Ali Alibux</w:t>
      </w:r>
      <w:r w:rsidRPr="00114E68">
        <w:rPr>
          <w:rFonts w:ascii="Verdana" w:hAnsi="Verdana" w:cs="Arial"/>
          <w:i/>
          <w:sz w:val="16"/>
          <w:szCs w:val="16"/>
        </w:rPr>
        <w:t>, supra</w:t>
      </w:r>
      <w:r w:rsidRPr="00114E68">
        <w:rPr>
          <w:rFonts w:ascii="Verdana" w:hAnsi="Verdana" w:cs="Arial"/>
          <w:sz w:val="16"/>
          <w:szCs w:val="16"/>
        </w:rPr>
        <w:t>, párr.</w:t>
      </w:r>
      <w:r>
        <w:rPr>
          <w:rFonts w:ascii="Verdana" w:hAnsi="Verdana" w:cs="Arial"/>
          <w:sz w:val="16"/>
          <w:szCs w:val="16"/>
        </w:rPr>
        <w:t xml:space="preserve"> 156.</w:t>
      </w:r>
    </w:p>
  </w:footnote>
  <w:footnote w:id="362">
    <w:p w:rsidR="0081535F" w:rsidRPr="00353432" w:rsidRDefault="0081535F" w:rsidP="00422232">
      <w:pPr>
        <w:pStyle w:val="Textonotapie"/>
        <w:tabs>
          <w:tab w:val="left" w:pos="567"/>
        </w:tabs>
        <w:spacing w:line="19" w:lineRule="atLeast"/>
        <w:ind w:left="-180" w:right="-174"/>
        <w:jc w:val="both"/>
        <w:rPr>
          <w:rFonts w:ascii="Verdana" w:hAnsi="Verdana" w:cs="Arial"/>
          <w:sz w:val="16"/>
          <w:szCs w:val="16"/>
          <w:lang w:val="es-CR"/>
        </w:rPr>
      </w:pPr>
      <w:r w:rsidRPr="00353432">
        <w:rPr>
          <w:rStyle w:val="Refdenotaalpie"/>
          <w:rFonts w:ascii="Verdana" w:hAnsi="Verdana"/>
          <w:sz w:val="16"/>
          <w:szCs w:val="16"/>
        </w:rPr>
        <w:footnoteRef/>
      </w:r>
      <w:r w:rsidRPr="00353432">
        <w:rPr>
          <w:rFonts w:ascii="Verdana" w:hAnsi="Verdana"/>
          <w:sz w:val="16"/>
          <w:szCs w:val="16"/>
          <w:lang w:val="es-CR"/>
        </w:rPr>
        <w:t xml:space="preserve"> </w:t>
      </w:r>
      <w:r w:rsidRPr="00353432">
        <w:rPr>
          <w:rFonts w:ascii="Verdana" w:hAnsi="Verdana"/>
          <w:i/>
          <w:sz w:val="16"/>
          <w:szCs w:val="16"/>
          <w:lang w:val="es-CR"/>
        </w:rPr>
        <w:t xml:space="preserve">Cfr. </w:t>
      </w:r>
      <w:r w:rsidRPr="00353432">
        <w:rPr>
          <w:rFonts w:ascii="Verdana" w:hAnsi="Verdana"/>
          <w:bCs/>
          <w:i/>
          <w:sz w:val="16"/>
          <w:szCs w:val="16"/>
          <w:lang w:val="es-CR"/>
        </w:rPr>
        <w:t xml:space="preserve">Caso Cantoral Benavides Vs. Perú. Reparaciones y Costas. </w:t>
      </w:r>
      <w:r w:rsidRPr="00353432">
        <w:rPr>
          <w:rFonts w:ascii="Verdana" w:hAnsi="Verdana"/>
          <w:bCs/>
          <w:sz w:val="16"/>
          <w:szCs w:val="16"/>
          <w:lang w:val="es-CR"/>
        </w:rPr>
        <w:t>Sentencia de 3 de diciembre de 2001. Serie C No. 88</w:t>
      </w:r>
      <w:r w:rsidRPr="00353432">
        <w:rPr>
          <w:rFonts w:ascii="Verdana" w:hAnsi="Verdana"/>
          <w:sz w:val="16"/>
          <w:szCs w:val="16"/>
          <w:lang w:val="es-CR"/>
        </w:rPr>
        <w:t xml:space="preserve">, párr. 53, y </w:t>
      </w:r>
      <w:r w:rsidRPr="0041543F">
        <w:rPr>
          <w:rFonts w:ascii="Verdana" w:hAnsi="Verdana" w:cs="Arial"/>
          <w:i/>
          <w:sz w:val="16"/>
          <w:szCs w:val="16"/>
          <w:lang w:val="es-CR"/>
        </w:rPr>
        <w:t>Caso Tribunal Constitucional (Camba Campos y otros) Vs. Ecuador. Excepciones Preliminares, Fondo, Reparaciones y Costas</w:t>
      </w:r>
      <w:r>
        <w:rPr>
          <w:rFonts w:ascii="Verdana" w:hAnsi="Verdana" w:cs="Arial"/>
          <w:sz w:val="16"/>
          <w:szCs w:val="16"/>
          <w:lang w:val="es-CR"/>
        </w:rPr>
        <w:t>. Sentencia de 28 de agosto de 2013. Serie C No. 268, párr. 301.</w:t>
      </w:r>
    </w:p>
  </w:footnote>
  <w:footnote w:id="363">
    <w:p w:rsidR="0081535F" w:rsidRPr="00353432" w:rsidRDefault="0081535F" w:rsidP="00422232">
      <w:pPr>
        <w:pStyle w:val="Sinespaciado"/>
        <w:tabs>
          <w:tab w:val="left" w:pos="567"/>
        </w:tabs>
        <w:spacing w:line="19" w:lineRule="atLeast"/>
        <w:ind w:left="-180" w:right="-174"/>
        <w:jc w:val="both"/>
        <w:rPr>
          <w:sz w:val="16"/>
          <w:szCs w:val="16"/>
          <w:lang w:val="es-CR"/>
        </w:rPr>
      </w:pPr>
      <w:r w:rsidRPr="00353432">
        <w:rPr>
          <w:rStyle w:val="Refdenotaalpie"/>
          <w:rFonts w:eastAsia="Times"/>
          <w:sz w:val="16"/>
          <w:szCs w:val="16"/>
        </w:rPr>
        <w:footnoteRef/>
      </w:r>
      <w:r w:rsidRPr="00353432">
        <w:rPr>
          <w:sz w:val="16"/>
          <w:szCs w:val="16"/>
          <w:lang w:val="es-CR"/>
        </w:rPr>
        <w:t xml:space="preserve"> </w:t>
      </w:r>
      <w:r w:rsidRPr="00353432">
        <w:rPr>
          <w:i/>
          <w:sz w:val="16"/>
          <w:szCs w:val="16"/>
        </w:rPr>
        <w:t>Cfr.</w:t>
      </w:r>
      <w:r w:rsidRPr="00353432">
        <w:rPr>
          <w:sz w:val="16"/>
          <w:szCs w:val="16"/>
        </w:rPr>
        <w:t xml:space="preserve"> </w:t>
      </w:r>
      <w:r w:rsidRPr="00353432">
        <w:rPr>
          <w:i/>
          <w:sz w:val="16"/>
          <w:szCs w:val="16"/>
        </w:rPr>
        <w:t>Caso de la “Panel Blanca” (Paniagua Morales y otros)</w:t>
      </w:r>
      <w:r w:rsidRPr="00353432">
        <w:rPr>
          <w:sz w:val="16"/>
          <w:szCs w:val="16"/>
        </w:rPr>
        <w:t>. Reparaciones y Costas</w:t>
      </w:r>
      <w:r>
        <w:rPr>
          <w:sz w:val="16"/>
          <w:szCs w:val="16"/>
        </w:rPr>
        <w:t xml:space="preserve">, </w:t>
      </w:r>
      <w:r w:rsidRPr="000F27B3">
        <w:rPr>
          <w:i/>
          <w:sz w:val="16"/>
          <w:szCs w:val="16"/>
        </w:rPr>
        <w:t>supra</w:t>
      </w:r>
      <w:r w:rsidRPr="00353432">
        <w:rPr>
          <w:sz w:val="16"/>
          <w:szCs w:val="16"/>
        </w:rPr>
        <w:t>, párr. 79, y</w:t>
      </w:r>
      <w:r>
        <w:rPr>
          <w:sz w:val="16"/>
          <w:szCs w:val="16"/>
        </w:rPr>
        <w:t xml:space="preserve"> Caso</w:t>
      </w:r>
      <w:r w:rsidRPr="00353432">
        <w:rPr>
          <w:sz w:val="16"/>
          <w:szCs w:val="16"/>
        </w:rPr>
        <w:t xml:space="preserve"> </w:t>
      </w:r>
      <w:r w:rsidRPr="0041543F">
        <w:rPr>
          <w:rFonts w:cs="Arial"/>
          <w:i/>
          <w:sz w:val="16"/>
          <w:szCs w:val="16"/>
          <w:lang w:val="es-CR"/>
        </w:rPr>
        <w:t>Tribunal Constitucional (C</w:t>
      </w:r>
      <w:r>
        <w:rPr>
          <w:rFonts w:cs="Arial"/>
          <w:i/>
          <w:sz w:val="16"/>
          <w:szCs w:val="16"/>
          <w:lang w:val="es-CR"/>
        </w:rPr>
        <w:t>amba Campos y otros), supra, párr. 302.</w:t>
      </w:r>
    </w:p>
  </w:footnote>
  <w:footnote w:id="364">
    <w:p w:rsidR="0081535F" w:rsidRPr="00353432" w:rsidRDefault="0081535F" w:rsidP="00422232">
      <w:pPr>
        <w:pStyle w:val="Textonotapie"/>
        <w:spacing w:line="19" w:lineRule="atLeast"/>
        <w:ind w:left="-180" w:right="-174"/>
        <w:jc w:val="both"/>
        <w:rPr>
          <w:rFonts w:ascii="Verdana" w:hAnsi="Verdana"/>
          <w:sz w:val="16"/>
          <w:szCs w:val="16"/>
        </w:rPr>
      </w:pPr>
      <w:r w:rsidRPr="00353432">
        <w:rPr>
          <w:rStyle w:val="Refdenotaalpie"/>
          <w:rFonts w:ascii="Verdana" w:hAnsi="Verdana"/>
          <w:sz w:val="16"/>
          <w:szCs w:val="16"/>
        </w:rPr>
        <w:footnoteRef/>
      </w:r>
      <w:r>
        <w:rPr>
          <w:rFonts w:ascii="Verdana" w:hAnsi="Verdana"/>
          <w:sz w:val="16"/>
          <w:szCs w:val="16"/>
        </w:rPr>
        <w:t xml:space="preserve"> </w:t>
      </w:r>
      <w:r w:rsidRPr="00353432">
        <w:rPr>
          <w:rFonts w:ascii="Verdana" w:hAnsi="Verdana"/>
          <w:i/>
          <w:sz w:val="16"/>
          <w:szCs w:val="16"/>
        </w:rPr>
        <w:t xml:space="preserve">Cfr. </w:t>
      </w:r>
      <w:r w:rsidRPr="00353432">
        <w:rPr>
          <w:rFonts w:ascii="Verdana" w:hAnsi="Verdana"/>
          <w:bCs/>
          <w:i/>
          <w:color w:val="000000"/>
          <w:sz w:val="16"/>
          <w:szCs w:val="16"/>
        </w:rPr>
        <w:t xml:space="preserve">Caso de los Hermanos Gómez Paquiyauri Vs. Perú. Fondo, Reparaciones y Costas. </w:t>
      </w:r>
      <w:r w:rsidRPr="00353432">
        <w:rPr>
          <w:rFonts w:ascii="Verdana" w:hAnsi="Verdana"/>
          <w:bCs/>
          <w:color w:val="000000"/>
          <w:sz w:val="16"/>
          <w:szCs w:val="16"/>
        </w:rPr>
        <w:t>Sentencia de 8 de julio de 2004. Serie C No. 110, párr. 207</w:t>
      </w:r>
      <w:r>
        <w:rPr>
          <w:rFonts w:ascii="Verdana" w:hAnsi="Verdana"/>
          <w:bCs/>
          <w:color w:val="000000"/>
          <w:sz w:val="16"/>
          <w:szCs w:val="16"/>
        </w:rPr>
        <w:t>,</w:t>
      </w:r>
      <w:r w:rsidRPr="00353432">
        <w:rPr>
          <w:rFonts w:ascii="Verdana" w:hAnsi="Verdana"/>
          <w:i/>
          <w:color w:val="000000"/>
          <w:sz w:val="16"/>
          <w:szCs w:val="16"/>
        </w:rPr>
        <w:t xml:space="preserve"> </w:t>
      </w:r>
      <w:r>
        <w:rPr>
          <w:rFonts w:ascii="Verdana" w:hAnsi="Verdana"/>
          <w:bCs/>
          <w:color w:val="000000"/>
          <w:sz w:val="16"/>
          <w:szCs w:val="16"/>
        </w:rPr>
        <w:t xml:space="preserve">y </w:t>
      </w:r>
      <w:r w:rsidRPr="00831A28">
        <w:rPr>
          <w:rFonts w:ascii="Verdana" w:hAnsi="Verdana"/>
          <w:bCs/>
          <w:i/>
          <w:color w:val="000000"/>
          <w:sz w:val="16"/>
          <w:szCs w:val="16"/>
        </w:rPr>
        <w:t>Caso Luna López</w:t>
      </w:r>
      <w:r>
        <w:rPr>
          <w:rFonts w:ascii="Verdana" w:hAnsi="Verdana"/>
          <w:bCs/>
          <w:i/>
          <w:color w:val="000000"/>
          <w:sz w:val="16"/>
          <w:szCs w:val="16"/>
        </w:rPr>
        <w:t>, supra</w:t>
      </w:r>
      <w:r w:rsidRPr="004B4E5A">
        <w:rPr>
          <w:rFonts w:ascii="Verdana" w:hAnsi="Verdana"/>
          <w:bCs/>
          <w:color w:val="000000"/>
          <w:sz w:val="16"/>
          <w:szCs w:val="16"/>
        </w:rPr>
        <w:t>,</w:t>
      </w:r>
      <w:r w:rsidRPr="00353432">
        <w:rPr>
          <w:rFonts w:ascii="Verdana" w:hAnsi="Verdana"/>
          <w:bCs/>
          <w:color w:val="000000"/>
          <w:sz w:val="16"/>
          <w:szCs w:val="16"/>
        </w:rPr>
        <w:t xml:space="preserve"> párr. 50.</w:t>
      </w:r>
    </w:p>
  </w:footnote>
  <w:footnote w:id="365">
    <w:p w:rsidR="0081535F" w:rsidRPr="00353432" w:rsidRDefault="0081535F" w:rsidP="00422232">
      <w:pPr>
        <w:pStyle w:val="Textonotapie"/>
        <w:spacing w:line="19" w:lineRule="atLeast"/>
        <w:ind w:left="-180" w:right="-174"/>
        <w:jc w:val="both"/>
        <w:rPr>
          <w:rFonts w:ascii="Verdana" w:hAnsi="Verdana"/>
          <w:sz w:val="16"/>
          <w:szCs w:val="16"/>
        </w:rPr>
      </w:pPr>
      <w:r w:rsidRPr="00353432">
        <w:rPr>
          <w:rStyle w:val="Refdenotaalpie"/>
          <w:rFonts w:ascii="Verdana" w:hAnsi="Verdana"/>
          <w:sz w:val="16"/>
          <w:szCs w:val="16"/>
        </w:rPr>
        <w:footnoteRef/>
      </w:r>
      <w:r w:rsidRPr="00353432">
        <w:rPr>
          <w:rFonts w:ascii="Verdana" w:hAnsi="Verdana"/>
          <w:sz w:val="16"/>
          <w:szCs w:val="16"/>
        </w:rPr>
        <w:t xml:space="preserve"> </w:t>
      </w:r>
      <w:r w:rsidRPr="00353432">
        <w:rPr>
          <w:rFonts w:ascii="Verdana" w:hAnsi="Verdana"/>
          <w:i/>
          <w:sz w:val="16"/>
          <w:szCs w:val="16"/>
        </w:rPr>
        <w:t>Cfr. Caso González y otras (“Ca</w:t>
      </w:r>
      <w:r>
        <w:rPr>
          <w:rFonts w:ascii="Verdana" w:hAnsi="Verdana"/>
          <w:i/>
          <w:sz w:val="16"/>
          <w:szCs w:val="16"/>
        </w:rPr>
        <w:t>m</w:t>
      </w:r>
      <w:r w:rsidRPr="00353432">
        <w:rPr>
          <w:rFonts w:ascii="Verdana" w:hAnsi="Verdana"/>
          <w:i/>
          <w:sz w:val="16"/>
          <w:szCs w:val="16"/>
        </w:rPr>
        <w:t>po Algodonero”)</w:t>
      </w:r>
      <w:r>
        <w:rPr>
          <w:rFonts w:ascii="Verdana" w:hAnsi="Verdana"/>
          <w:i/>
          <w:sz w:val="16"/>
          <w:szCs w:val="16"/>
          <w:lang w:val="es-CR"/>
        </w:rPr>
        <w:t>, supra</w:t>
      </w:r>
      <w:r w:rsidRPr="003622B1">
        <w:rPr>
          <w:rFonts w:ascii="Verdana" w:hAnsi="Verdana"/>
          <w:i/>
          <w:sz w:val="16"/>
          <w:szCs w:val="16"/>
          <w:lang w:val="es-CR"/>
        </w:rPr>
        <w:t>,</w:t>
      </w:r>
      <w:r>
        <w:rPr>
          <w:rFonts w:ascii="Verdana" w:hAnsi="Verdana"/>
          <w:i/>
          <w:sz w:val="16"/>
          <w:szCs w:val="16"/>
          <w:lang w:val="es-CR"/>
        </w:rPr>
        <w:t xml:space="preserve"> </w:t>
      </w:r>
      <w:r w:rsidRPr="00353432">
        <w:rPr>
          <w:rFonts w:ascii="Verdana" w:hAnsi="Verdana"/>
          <w:sz w:val="16"/>
          <w:szCs w:val="16"/>
        </w:rPr>
        <w:t xml:space="preserve">párr. 577. </w:t>
      </w:r>
    </w:p>
  </w:footnote>
  <w:footnote w:id="366">
    <w:p w:rsidR="0081535F" w:rsidRPr="004B4E5A" w:rsidRDefault="0081535F" w:rsidP="00422232">
      <w:pPr>
        <w:pStyle w:val="Textonotapie"/>
        <w:tabs>
          <w:tab w:val="left" w:pos="567"/>
        </w:tabs>
        <w:spacing w:line="19" w:lineRule="atLeast"/>
        <w:ind w:left="-180" w:right="-174"/>
        <w:jc w:val="both"/>
        <w:rPr>
          <w:rFonts w:ascii="Verdana" w:hAnsi="Verdana" w:cs="Arial"/>
          <w:sz w:val="16"/>
          <w:szCs w:val="16"/>
        </w:rPr>
      </w:pPr>
      <w:r w:rsidRPr="00353432">
        <w:rPr>
          <w:rStyle w:val="Refdenotaalpie"/>
          <w:rFonts w:ascii="Verdana" w:hAnsi="Verdana"/>
          <w:sz w:val="16"/>
          <w:szCs w:val="16"/>
        </w:rPr>
        <w:footnoteRef/>
      </w:r>
      <w:r w:rsidRPr="00353432">
        <w:rPr>
          <w:rFonts w:ascii="Verdana" w:hAnsi="Verdana"/>
          <w:sz w:val="16"/>
          <w:szCs w:val="16"/>
        </w:rPr>
        <w:t xml:space="preserve"> </w:t>
      </w:r>
      <w:r w:rsidRPr="00353432">
        <w:rPr>
          <w:rFonts w:ascii="Verdana" w:hAnsi="Verdana" w:cs="Arial"/>
          <w:i/>
          <w:sz w:val="16"/>
          <w:szCs w:val="16"/>
        </w:rPr>
        <w:t>Cfr. Caso Reverón Trujillo</w:t>
      </w:r>
      <w:r>
        <w:rPr>
          <w:rFonts w:ascii="Verdana" w:hAnsi="Verdana" w:cs="Arial"/>
          <w:i/>
          <w:sz w:val="16"/>
          <w:szCs w:val="16"/>
        </w:rPr>
        <w:t>, supra</w:t>
      </w:r>
      <w:r w:rsidRPr="00437D8B">
        <w:rPr>
          <w:rFonts w:ascii="Verdana" w:hAnsi="Verdana" w:cs="Arial"/>
          <w:sz w:val="16"/>
          <w:szCs w:val="16"/>
        </w:rPr>
        <w:t>,</w:t>
      </w:r>
      <w:r w:rsidRPr="00353432">
        <w:rPr>
          <w:rFonts w:ascii="Verdana" w:hAnsi="Verdana" w:cs="Arial"/>
          <w:sz w:val="16"/>
          <w:szCs w:val="16"/>
        </w:rPr>
        <w:t xml:space="preserve"> párr. 176, y </w:t>
      </w:r>
      <w:r w:rsidRPr="00114E68">
        <w:rPr>
          <w:rFonts w:ascii="Verdana" w:hAnsi="Verdana" w:cs="Arial"/>
          <w:i/>
          <w:sz w:val="16"/>
          <w:szCs w:val="16"/>
          <w:lang w:val="es-MX"/>
        </w:rPr>
        <w:t xml:space="preserve">Caso </w:t>
      </w:r>
      <w:r w:rsidRPr="00114E68">
        <w:rPr>
          <w:rFonts w:ascii="Verdana" w:hAnsi="Verdana" w:cs="Arial"/>
          <w:i/>
          <w:sz w:val="16"/>
          <w:szCs w:val="16"/>
          <w:lang w:val="es-CR"/>
        </w:rPr>
        <w:t>Tribunal Constitucional (Camba Campos y otros) Vs. Ecuador</w:t>
      </w:r>
      <w:r>
        <w:rPr>
          <w:rFonts w:ascii="Verdana" w:hAnsi="Verdana" w:cs="Arial"/>
          <w:i/>
          <w:sz w:val="16"/>
          <w:szCs w:val="16"/>
          <w:lang w:val="es-CR"/>
        </w:rPr>
        <w:t>, supra,</w:t>
      </w:r>
      <w:r>
        <w:rPr>
          <w:rFonts w:ascii="Verdana" w:hAnsi="Verdana" w:cs="Arial"/>
          <w:sz w:val="16"/>
          <w:szCs w:val="16"/>
        </w:rPr>
        <w:t xml:space="preserve"> párr. 344.</w:t>
      </w:r>
    </w:p>
  </w:footnote>
  <w:footnote w:id="367">
    <w:p w:rsidR="0081535F" w:rsidRPr="00353432" w:rsidRDefault="0081535F" w:rsidP="00422232">
      <w:pPr>
        <w:pStyle w:val="Textonotapie"/>
        <w:tabs>
          <w:tab w:val="left" w:pos="709"/>
        </w:tabs>
        <w:spacing w:line="19" w:lineRule="atLeast"/>
        <w:ind w:left="-180" w:right="-174"/>
        <w:jc w:val="both"/>
        <w:rPr>
          <w:rFonts w:ascii="Verdana" w:hAnsi="Verdana"/>
          <w:sz w:val="16"/>
          <w:szCs w:val="16"/>
        </w:rPr>
      </w:pPr>
      <w:r w:rsidRPr="00353432">
        <w:rPr>
          <w:rStyle w:val="Refdenotaalpie"/>
          <w:rFonts w:ascii="Verdana" w:eastAsia="Calibri" w:hAnsi="Verdana"/>
          <w:sz w:val="16"/>
          <w:szCs w:val="16"/>
        </w:rPr>
        <w:footnoteRef/>
      </w:r>
      <w:r w:rsidRPr="00353432">
        <w:rPr>
          <w:rFonts w:ascii="Verdana" w:hAnsi="Verdana"/>
          <w:sz w:val="16"/>
          <w:szCs w:val="16"/>
        </w:rPr>
        <w:t xml:space="preserve"> </w:t>
      </w:r>
      <w:r w:rsidRPr="00353432">
        <w:rPr>
          <w:rFonts w:ascii="Verdana" w:hAnsi="Verdana"/>
          <w:i/>
          <w:sz w:val="16"/>
          <w:szCs w:val="16"/>
        </w:rPr>
        <w:t>Cfr. Caso Garrido y Baigorria Vs. Argentina. Reparaciones y Costas.</w:t>
      </w:r>
      <w:r w:rsidRPr="00353432">
        <w:rPr>
          <w:rFonts w:ascii="Verdana" w:hAnsi="Verdana"/>
          <w:sz w:val="16"/>
          <w:szCs w:val="16"/>
        </w:rPr>
        <w:t xml:space="preserve"> Sentencia de 27 de agosto de 1998. Serie C No. 39, párr. 79, y </w:t>
      </w:r>
      <w:r>
        <w:rPr>
          <w:rFonts w:ascii="Verdana" w:hAnsi="Verdana"/>
          <w:i/>
          <w:sz w:val="16"/>
          <w:szCs w:val="16"/>
          <w:lang w:val="es-CO"/>
        </w:rPr>
        <w:t>Liakat Ali Alibux</w:t>
      </w:r>
      <w:r w:rsidRPr="00114E68">
        <w:rPr>
          <w:rFonts w:ascii="Verdana" w:hAnsi="Verdana" w:cs="Arial"/>
          <w:i/>
          <w:sz w:val="16"/>
          <w:szCs w:val="16"/>
        </w:rPr>
        <w:t>, supra</w:t>
      </w:r>
      <w:r w:rsidRPr="00114E68">
        <w:rPr>
          <w:rFonts w:ascii="Verdana" w:hAnsi="Verdana" w:cs="Arial"/>
          <w:sz w:val="16"/>
          <w:szCs w:val="16"/>
        </w:rPr>
        <w:t>, párr</w:t>
      </w:r>
      <w:r>
        <w:rPr>
          <w:rFonts w:ascii="Verdana" w:hAnsi="Verdana" w:cs="Arial"/>
          <w:sz w:val="16"/>
          <w:szCs w:val="16"/>
        </w:rPr>
        <w:t xml:space="preserve">. 418. </w:t>
      </w:r>
    </w:p>
  </w:footnote>
  <w:footnote w:id="368">
    <w:p w:rsidR="0081535F" w:rsidRPr="00353432" w:rsidRDefault="0081535F" w:rsidP="00422232">
      <w:pPr>
        <w:pStyle w:val="Textonotapie"/>
        <w:tabs>
          <w:tab w:val="left" w:pos="709"/>
        </w:tabs>
        <w:spacing w:line="19" w:lineRule="atLeast"/>
        <w:ind w:left="-180" w:right="-174"/>
        <w:jc w:val="both"/>
        <w:rPr>
          <w:rFonts w:ascii="Verdana" w:hAnsi="Verdana" w:cs="Verdana"/>
          <w:bCs/>
          <w:sz w:val="16"/>
          <w:szCs w:val="16"/>
        </w:rPr>
      </w:pPr>
      <w:r w:rsidRPr="00353432">
        <w:rPr>
          <w:rStyle w:val="Refdenotaalpie"/>
          <w:rFonts w:ascii="Verdana" w:eastAsia="Calibri" w:hAnsi="Verdana"/>
          <w:sz w:val="16"/>
          <w:szCs w:val="16"/>
        </w:rPr>
        <w:footnoteRef/>
      </w:r>
      <w:r w:rsidRPr="00353432">
        <w:rPr>
          <w:rFonts w:ascii="Verdana" w:hAnsi="Verdana" w:cs="Verdana"/>
          <w:bCs/>
          <w:i/>
          <w:sz w:val="16"/>
          <w:szCs w:val="16"/>
          <w:lang w:val="es-MX"/>
        </w:rPr>
        <w:t xml:space="preserve"> </w:t>
      </w:r>
      <w:r w:rsidRPr="00353432">
        <w:rPr>
          <w:rFonts w:ascii="Verdana" w:hAnsi="Verdana"/>
          <w:i/>
          <w:sz w:val="16"/>
          <w:szCs w:val="16"/>
          <w:lang w:val="es-MX"/>
        </w:rPr>
        <w:t>Cfr</w:t>
      </w:r>
      <w:r w:rsidRPr="00353432">
        <w:rPr>
          <w:rFonts w:ascii="Verdana" w:hAnsi="Verdana"/>
          <w:sz w:val="16"/>
          <w:szCs w:val="16"/>
          <w:lang w:val="es-MX"/>
        </w:rPr>
        <w:t xml:space="preserve">. </w:t>
      </w:r>
      <w:r w:rsidRPr="00353432">
        <w:rPr>
          <w:rFonts w:ascii="Verdana" w:hAnsi="Verdana" w:cs="Verdana"/>
          <w:bCs/>
          <w:i/>
          <w:sz w:val="16"/>
          <w:szCs w:val="16"/>
          <w:lang w:val="es-MX"/>
        </w:rPr>
        <w:t>Caso Chaparro Álvarez y Lapo Iñiguez</w:t>
      </w:r>
      <w:r>
        <w:rPr>
          <w:rFonts w:ascii="Verdana" w:hAnsi="Verdana" w:cs="Verdana"/>
          <w:bCs/>
          <w:i/>
          <w:sz w:val="16"/>
          <w:szCs w:val="16"/>
          <w:lang w:val="es-MX"/>
        </w:rPr>
        <w:t>, supra</w:t>
      </w:r>
      <w:r>
        <w:rPr>
          <w:rFonts w:ascii="Verdana" w:hAnsi="Verdana" w:cs="Verdana"/>
          <w:bCs/>
          <w:sz w:val="16"/>
          <w:szCs w:val="16"/>
          <w:lang w:val="es-MX"/>
        </w:rPr>
        <w:t>, párr. 277,</w:t>
      </w:r>
      <w:r>
        <w:rPr>
          <w:rFonts w:ascii="Verdana" w:hAnsi="Verdana" w:cs="Verdana"/>
          <w:bCs/>
          <w:sz w:val="16"/>
          <w:szCs w:val="16"/>
        </w:rPr>
        <w:t xml:space="preserve"> y </w:t>
      </w:r>
      <w:r>
        <w:rPr>
          <w:rFonts w:ascii="Verdana" w:hAnsi="Verdana"/>
          <w:i/>
          <w:spacing w:val="-4"/>
          <w:sz w:val="16"/>
          <w:szCs w:val="16"/>
          <w:lang w:val="es-CR"/>
        </w:rPr>
        <w:t>Caso J.</w:t>
      </w:r>
      <w:r w:rsidRPr="00114E68">
        <w:rPr>
          <w:rFonts w:ascii="Verdana" w:hAnsi="Verdana" w:cs="Arial"/>
          <w:sz w:val="16"/>
          <w:szCs w:val="16"/>
          <w:lang w:val="es-CR"/>
        </w:rPr>
        <w:t xml:space="preserve">, </w:t>
      </w:r>
      <w:r w:rsidRPr="00114E68">
        <w:rPr>
          <w:rFonts w:ascii="Verdana" w:hAnsi="Verdana" w:cs="Arial"/>
          <w:i/>
          <w:sz w:val="16"/>
          <w:szCs w:val="16"/>
          <w:lang w:val="es-CR"/>
        </w:rPr>
        <w:t>supra</w:t>
      </w:r>
      <w:r w:rsidRPr="00114E68">
        <w:rPr>
          <w:rFonts w:ascii="Verdana" w:hAnsi="Verdana" w:cs="Arial"/>
          <w:sz w:val="16"/>
          <w:szCs w:val="16"/>
          <w:lang w:val="es-CR"/>
        </w:rPr>
        <w:t>, párr. 421.</w:t>
      </w:r>
    </w:p>
  </w:footnote>
  <w:footnote w:id="369">
    <w:p w:rsidR="0081535F" w:rsidRPr="00353432" w:rsidRDefault="0081535F" w:rsidP="00422232">
      <w:pPr>
        <w:pStyle w:val="Textonotapie"/>
        <w:spacing w:line="19" w:lineRule="atLeast"/>
        <w:ind w:left="-180" w:right="-174"/>
        <w:jc w:val="both"/>
        <w:rPr>
          <w:rFonts w:ascii="Verdana" w:hAnsi="Verdana"/>
          <w:sz w:val="16"/>
          <w:szCs w:val="16"/>
          <w:lang w:val="es-CR"/>
        </w:rPr>
      </w:pPr>
      <w:r w:rsidRPr="00114E68">
        <w:rPr>
          <w:rStyle w:val="Refdenotaalpie"/>
          <w:rFonts w:ascii="Verdana" w:hAnsi="Verdana"/>
          <w:sz w:val="16"/>
          <w:szCs w:val="16"/>
        </w:rPr>
        <w:footnoteRef/>
      </w:r>
      <w:r w:rsidRPr="00114E68">
        <w:rPr>
          <w:rFonts w:ascii="Verdana" w:hAnsi="Verdana"/>
          <w:sz w:val="16"/>
          <w:szCs w:val="16"/>
        </w:rPr>
        <w:t xml:space="preserve"> </w:t>
      </w:r>
      <w:r w:rsidRPr="00114E68">
        <w:rPr>
          <w:rFonts w:ascii="Verdana" w:hAnsi="Verdana"/>
          <w:i/>
          <w:sz w:val="16"/>
          <w:szCs w:val="16"/>
          <w:lang w:val="es-CR"/>
        </w:rPr>
        <w:t>Cfr.</w:t>
      </w:r>
      <w:r w:rsidRPr="00114E68">
        <w:rPr>
          <w:rFonts w:ascii="Verdana" w:hAnsi="Verdana"/>
          <w:sz w:val="16"/>
          <w:szCs w:val="16"/>
          <w:lang w:val="es-CR"/>
        </w:rPr>
        <w:t xml:space="preserve"> </w:t>
      </w:r>
      <w:r w:rsidRPr="00114E68">
        <w:rPr>
          <w:rFonts w:ascii="Verdana" w:hAnsi="Verdana"/>
          <w:i/>
          <w:sz w:val="16"/>
          <w:szCs w:val="16"/>
          <w:lang w:val="es-CR"/>
        </w:rPr>
        <w:t xml:space="preserve">Caso Ibsen Cárdenas e Ibsen Peña Vs. Bolivia. Fondo, Reparaciones y Costas. </w:t>
      </w:r>
      <w:r w:rsidRPr="00114E68">
        <w:rPr>
          <w:rFonts w:ascii="Verdana" w:hAnsi="Verdana"/>
          <w:sz w:val="16"/>
          <w:szCs w:val="16"/>
          <w:lang w:val="es-CR"/>
        </w:rPr>
        <w:t>Sentencia</w:t>
      </w:r>
      <w:r w:rsidRPr="00353432">
        <w:rPr>
          <w:rFonts w:ascii="Verdana" w:hAnsi="Verdana"/>
          <w:sz w:val="16"/>
          <w:szCs w:val="16"/>
          <w:lang w:val="es-CR"/>
        </w:rPr>
        <w:t xml:space="preserve"> de 1 de septiembre de 2010. Serie C No. 217, párr. 291 y </w:t>
      </w:r>
      <w:r>
        <w:rPr>
          <w:rFonts w:ascii="Verdana" w:hAnsi="Verdana"/>
          <w:i/>
          <w:sz w:val="16"/>
          <w:szCs w:val="16"/>
          <w:lang w:val="es-CO"/>
        </w:rPr>
        <w:t>Liakat Ali Alibux</w:t>
      </w:r>
      <w:r w:rsidRPr="00114E68">
        <w:rPr>
          <w:rFonts w:ascii="Verdana" w:hAnsi="Verdana" w:cs="Arial"/>
          <w:i/>
          <w:sz w:val="16"/>
          <w:szCs w:val="16"/>
        </w:rPr>
        <w:t>, supra</w:t>
      </w:r>
      <w:r w:rsidRPr="00114E68">
        <w:rPr>
          <w:rFonts w:ascii="Verdana" w:hAnsi="Verdana" w:cs="Arial"/>
          <w:sz w:val="16"/>
          <w:szCs w:val="16"/>
        </w:rPr>
        <w:t>, párr</w:t>
      </w:r>
      <w:r>
        <w:rPr>
          <w:rFonts w:ascii="Verdana" w:hAnsi="Verdana" w:cs="Arial"/>
          <w:sz w:val="16"/>
          <w:szCs w:val="16"/>
        </w:rPr>
        <w:t>. 165.</w:t>
      </w:r>
    </w:p>
  </w:footnote>
  <w:footnote w:id="370">
    <w:p w:rsidR="0081535F" w:rsidRPr="00284E84" w:rsidRDefault="0081535F" w:rsidP="00422232">
      <w:pPr>
        <w:pStyle w:val="Textonotapie"/>
        <w:spacing w:line="19" w:lineRule="atLeast"/>
        <w:ind w:left="-180" w:right="-174"/>
        <w:jc w:val="both"/>
        <w:rPr>
          <w:rFonts w:ascii="Verdana" w:hAnsi="Verdana"/>
          <w:spacing w:val="-8"/>
          <w:sz w:val="16"/>
          <w:szCs w:val="16"/>
          <w:u w:val="single"/>
        </w:rPr>
      </w:pPr>
      <w:r w:rsidRPr="00353432">
        <w:rPr>
          <w:rStyle w:val="Refdenotaalpie"/>
          <w:rFonts w:ascii="Verdana" w:eastAsia="Calibri" w:hAnsi="Verdana"/>
          <w:spacing w:val="-8"/>
          <w:sz w:val="16"/>
          <w:szCs w:val="16"/>
        </w:rPr>
        <w:footnoteRef/>
      </w:r>
      <w:r w:rsidRPr="00353432">
        <w:rPr>
          <w:rFonts w:ascii="Verdana" w:hAnsi="Verdana"/>
          <w:spacing w:val="-8"/>
          <w:sz w:val="16"/>
          <w:szCs w:val="16"/>
        </w:rPr>
        <w:t xml:space="preserve"> </w:t>
      </w:r>
      <w:r w:rsidRPr="00353432">
        <w:rPr>
          <w:rFonts w:ascii="Verdana" w:hAnsi="Verdana"/>
          <w:bCs/>
          <w:spacing w:val="-8"/>
          <w:sz w:val="16"/>
          <w:szCs w:val="16"/>
        </w:rPr>
        <w:t>AG/RES. 2426 (XXXVIII-O/08),</w:t>
      </w:r>
      <w:r w:rsidRPr="00353432">
        <w:rPr>
          <w:rFonts w:ascii="Verdana" w:hAnsi="Verdana" w:cs="Verdana"/>
          <w:spacing w:val="-8"/>
          <w:sz w:val="16"/>
          <w:szCs w:val="16"/>
        </w:rPr>
        <w:t xml:space="preserve"> </w:t>
      </w:r>
      <w:r w:rsidRPr="00353432">
        <w:rPr>
          <w:rFonts w:ascii="Verdana" w:hAnsi="Verdana"/>
          <w:spacing w:val="-8"/>
          <w:sz w:val="16"/>
          <w:szCs w:val="16"/>
        </w:rPr>
        <w:t xml:space="preserve">Resolución adoptada por la Asamblea General de la OEA </w:t>
      </w:r>
      <w:r w:rsidRPr="00353432">
        <w:rPr>
          <w:rFonts w:ascii="Verdana" w:hAnsi="Verdana" w:cs="Verdana"/>
          <w:spacing w:val="-8"/>
          <w:sz w:val="16"/>
          <w:szCs w:val="16"/>
        </w:rPr>
        <w:t>durante la celebración del XXXVIII Período Ordinario de Sesiones de la OEA,</w:t>
      </w:r>
      <w:r w:rsidRPr="00353432">
        <w:rPr>
          <w:rFonts w:ascii="Verdana" w:hAnsi="Verdana"/>
          <w:bCs/>
          <w:spacing w:val="-8"/>
          <w:sz w:val="16"/>
          <w:szCs w:val="16"/>
        </w:rPr>
        <w:t xml:space="preserve"> </w:t>
      </w:r>
      <w:r w:rsidRPr="00353432">
        <w:rPr>
          <w:rFonts w:ascii="Verdana" w:hAnsi="Verdana"/>
          <w:spacing w:val="-8"/>
          <w:sz w:val="16"/>
          <w:szCs w:val="16"/>
        </w:rPr>
        <w:t>en la cuarta sesión plenaria,</w:t>
      </w:r>
      <w:r w:rsidRPr="00353432">
        <w:rPr>
          <w:rFonts w:ascii="Verdana" w:hAnsi="Verdana"/>
          <w:bCs/>
          <w:spacing w:val="-8"/>
          <w:sz w:val="16"/>
          <w:szCs w:val="16"/>
        </w:rPr>
        <w:t xml:space="preserve"> </w:t>
      </w:r>
      <w:r w:rsidRPr="00353432">
        <w:rPr>
          <w:rFonts w:ascii="Verdana" w:hAnsi="Verdana"/>
          <w:spacing w:val="-8"/>
          <w:sz w:val="16"/>
          <w:szCs w:val="16"/>
        </w:rPr>
        <w:t xml:space="preserve">celebrada el 3 de junio de 2008, </w:t>
      </w:r>
      <w:r w:rsidRPr="00353432">
        <w:rPr>
          <w:rFonts w:ascii="Verdana" w:hAnsi="Verdana"/>
          <w:i/>
          <w:spacing w:val="-8"/>
          <w:sz w:val="16"/>
          <w:szCs w:val="16"/>
        </w:rPr>
        <w:t>“Creación del Fondo de Asistencia Legal del Sistema Interamericano de Derechos Humanos</w:t>
      </w:r>
      <w:r w:rsidRPr="00353432">
        <w:rPr>
          <w:rFonts w:ascii="Verdana" w:hAnsi="Verdana"/>
          <w:spacing w:val="-8"/>
          <w:sz w:val="16"/>
          <w:szCs w:val="16"/>
        </w:rPr>
        <w:t>”, Punto Resolutivo 2.a</w:t>
      </w:r>
      <w:r w:rsidRPr="00353432">
        <w:rPr>
          <w:rFonts w:ascii="Verdana" w:hAnsi="Verdana" w:cs="Verdana"/>
          <w:spacing w:val="-8"/>
          <w:sz w:val="16"/>
          <w:szCs w:val="16"/>
        </w:rPr>
        <w:t xml:space="preserve">, y </w:t>
      </w:r>
      <w:r w:rsidRPr="00353432">
        <w:rPr>
          <w:rFonts w:ascii="Verdana" w:hAnsi="Verdana"/>
          <w:spacing w:val="-8"/>
          <w:sz w:val="16"/>
          <w:szCs w:val="16"/>
        </w:rPr>
        <w:t>CP/RES. 963 (1728/09), Resolución adoptada el 11 de noviembre de 2009 por el Consejo Permanente de la OEA, “</w:t>
      </w:r>
      <w:r w:rsidRPr="00353432">
        <w:rPr>
          <w:rFonts w:ascii="Verdana" w:hAnsi="Verdana"/>
          <w:i/>
          <w:iCs/>
          <w:spacing w:val="-8"/>
          <w:sz w:val="16"/>
          <w:szCs w:val="16"/>
        </w:rPr>
        <w:t>Reglamento para el Funcionamiento del Fondo de Asistencia Legal del Sistema Interamericano de Derechos Humanos</w:t>
      </w:r>
      <w:r w:rsidRPr="00353432">
        <w:rPr>
          <w:rFonts w:ascii="Verdana" w:hAnsi="Verdana"/>
          <w:spacing w:val="-8"/>
          <w:sz w:val="16"/>
          <w:szCs w:val="16"/>
        </w:rPr>
        <w:t>”, artículo 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35F" w:rsidRDefault="00BC2861">
    <w:pPr>
      <w:pStyle w:val="Encabezado"/>
      <w:jc w:val="center"/>
    </w:pPr>
    <w:r>
      <w:fldChar w:fldCharType="begin"/>
    </w:r>
    <w:r>
      <w:instrText xml:space="preserve"> PAGE   \* MERGEFORMAT </w:instrText>
    </w:r>
    <w:r>
      <w:fldChar w:fldCharType="separate"/>
    </w:r>
    <w:r w:rsidR="00C75D32">
      <w:rPr>
        <w:noProof/>
      </w:rPr>
      <w:t>2</w:t>
    </w:r>
    <w:r>
      <w:fldChar w:fldCharType="end"/>
    </w:r>
  </w:p>
  <w:p w:rsidR="0081535F" w:rsidRPr="00B810C1" w:rsidRDefault="0081535F">
    <w:pPr>
      <w:pStyle w:val="Encabezado"/>
      <w:rPr>
        <w:lang w:val="es-C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35F" w:rsidRPr="00E41FA2" w:rsidRDefault="0081535F" w:rsidP="00045490">
    <w:pPr>
      <w:tabs>
        <w:tab w:val="center" w:pos="4419"/>
        <w:tab w:val="right" w:pos="8838"/>
      </w:tabs>
      <w:spacing w:line="240" w:lineRule="auto"/>
      <w:jc w:val="right"/>
      <w:rPr>
        <w:lang w:val="es-CR"/>
      </w:rPr>
    </w:pPr>
  </w:p>
  <w:p w:rsidR="0081535F" w:rsidRPr="00E41FA2" w:rsidRDefault="0081535F">
    <w:pPr>
      <w:pStyle w:val="Encabezado"/>
      <w:rPr>
        <w:lang w:val="es-C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42702"/>
    <w:multiLevelType w:val="hybridMultilevel"/>
    <w:tmpl w:val="F0B602DA"/>
    <w:lvl w:ilvl="0" w:tplc="3F3076EE">
      <w:start w:val="1"/>
      <w:numFmt w:val="upperLetter"/>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nsid w:val="0BB12FD0"/>
    <w:multiLevelType w:val="hybridMultilevel"/>
    <w:tmpl w:val="F9B8AA4E"/>
    <w:lvl w:ilvl="0" w:tplc="50380D54">
      <w:start w:val="1"/>
      <w:numFmt w:val="lowerLetter"/>
      <w:lvlText w:val="%1)"/>
      <w:lvlJc w:val="left"/>
      <w:pPr>
        <w:ind w:left="218" w:hanging="360"/>
      </w:pPr>
      <w:rPr>
        <w:rFonts w:cs="Calibri" w:hint="default"/>
        <w:b w:val="0"/>
        <w:i w:val="0"/>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2">
    <w:nsid w:val="0DB34E5B"/>
    <w:multiLevelType w:val="hybridMultilevel"/>
    <w:tmpl w:val="83969E32"/>
    <w:lvl w:ilvl="0" w:tplc="63C85006">
      <w:start w:val="1"/>
      <w:numFmt w:val="lowerLetter"/>
      <w:lvlText w:val="%1)"/>
      <w:lvlJc w:val="left"/>
      <w:pPr>
        <w:ind w:left="1170" w:hanging="360"/>
      </w:pPr>
      <w:rPr>
        <w:rFonts w:cs="Times New Roman" w:hint="default"/>
        <w:b w:val="0"/>
        <w:i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nsid w:val="11464BB8"/>
    <w:multiLevelType w:val="hybridMultilevel"/>
    <w:tmpl w:val="A92202BA"/>
    <w:lvl w:ilvl="0" w:tplc="2A7E8F3A">
      <w:start w:val="225"/>
      <w:numFmt w:val="decimal"/>
      <w:lvlText w:val="%1."/>
      <w:lvlJc w:val="left"/>
      <w:pPr>
        <w:ind w:left="720" w:hanging="360"/>
      </w:pPr>
      <w:rPr>
        <w:rFonts w:ascii="Verdana" w:hAnsi="Verdana" w:hint="default"/>
        <w:b w:val="0"/>
        <w:strike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nsid w:val="18A36621"/>
    <w:multiLevelType w:val="hybridMultilevel"/>
    <w:tmpl w:val="7ECE31E2"/>
    <w:lvl w:ilvl="0" w:tplc="49E439D2">
      <w:start w:val="1"/>
      <w:numFmt w:val="upp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
    <w:nsid w:val="1D2A0D63"/>
    <w:multiLevelType w:val="hybridMultilevel"/>
    <w:tmpl w:val="62A4C334"/>
    <w:lvl w:ilvl="0" w:tplc="61EE7FD2">
      <w:start w:val="226"/>
      <w:numFmt w:val="decimal"/>
      <w:lvlText w:val="%1."/>
      <w:lvlJc w:val="left"/>
      <w:pPr>
        <w:ind w:left="720" w:hanging="360"/>
      </w:pPr>
      <w:rPr>
        <w:rFonts w:ascii="Verdana" w:hAnsi="Verdana" w:hint="default"/>
        <w:b w:val="0"/>
        <w:strike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C5682F"/>
    <w:multiLevelType w:val="hybridMultilevel"/>
    <w:tmpl w:val="41F235E6"/>
    <w:lvl w:ilvl="0" w:tplc="0D7C8A10">
      <w:start w:val="172"/>
      <w:numFmt w:val="decimal"/>
      <w:lvlText w:val="%1."/>
      <w:lvlJc w:val="left"/>
      <w:pPr>
        <w:ind w:left="720" w:hanging="360"/>
      </w:pPr>
      <w:rPr>
        <w:rFonts w:ascii="Verdana" w:hAnsi="Verdana" w:hint="default"/>
        <w:b w:val="0"/>
        <w:i w:val="0"/>
        <w:strike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nsid w:val="24080ED8"/>
    <w:multiLevelType w:val="hybridMultilevel"/>
    <w:tmpl w:val="F47E40BE"/>
    <w:lvl w:ilvl="0" w:tplc="1E342F18">
      <w:start w:val="1"/>
      <w:numFmt w:val="upp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8">
    <w:nsid w:val="255E357E"/>
    <w:multiLevelType w:val="hybridMultilevel"/>
    <w:tmpl w:val="14101BAE"/>
    <w:lvl w:ilvl="0" w:tplc="912EFFF6">
      <w:start w:val="279"/>
      <w:numFmt w:val="decimal"/>
      <w:lvlText w:val="%1."/>
      <w:lvlJc w:val="left"/>
      <w:pPr>
        <w:ind w:left="720" w:hanging="360"/>
      </w:pPr>
      <w:rPr>
        <w:rFonts w:ascii="Verdana" w:hAnsi="Verdana" w:hint="default"/>
        <w:b w:val="0"/>
        <w:strike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707C79"/>
    <w:multiLevelType w:val="hybridMultilevel"/>
    <w:tmpl w:val="E9BA3016"/>
    <w:lvl w:ilvl="0" w:tplc="1A3E2A58">
      <w:start w:val="1"/>
      <w:numFmt w:val="lowerLetter"/>
      <w:lvlText w:val="%1)"/>
      <w:lvlJc w:val="left"/>
      <w:pPr>
        <w:ind w:left="1350" w:hanging="360"/>
      </w:pPr>
      <w:rPr>
        <w:rFonts w:cs="Times New Roman" w:hint="default"/>
        <w:b w:val="0"/>
        <w:i w:val="0"/>
        <w:strike w:val="0"/>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0">
    <w:nsid w:val="259915FF"/>
    <w:multiLevelType w:val="hybridMultilevel"/>
    <w:tmpl w:val="3FB684BE"/>
    <w:lvl w:ilvl="0" w:tplc="F32EB6B0">
      <w:start w:val="1"/>
      <w:numFmt w:val="lowerLetter"/>
      <w:lvlText w:val="%1)"/>
      <w:lvlJc w:val="left"/>
      <w:pPr>
        <w:ind w:left="1170" w:hanging="360"/>
      </w:pPr>
      <w:rPr>
        <w:rFonts w:cs="Times New Roman" w:hint="default"/>
        <w:b w:val="0"/>
        <w:i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1">
    <w:nsid w:val="2F4767F3"/>
    <w:multiLevelType w:val="hybridMultilevel"/>
    <w:tmpl w:val="B3AA3282"/>
    <w:lvl w:ilvl="0" w:tplc="E12276D6">
      <w:start w:val="1"/>
      <w:numFmt w:val="decimal"/>
      <w:lvlText w:val="%1."/>
      <w:lvlJc w:val="left"/>
      <w:pPr>
        <w:ind w:left="450" w:hanging="360"/>
      </w:pPr>
      <w:rPr>
        <w:rFonts w:hint="default"/>
        <w:b w:val="0"/>
        <w:i w:val="0"/>
        <w:sz w:val="20"/>
        <w:szCs w:val="20"/>
      </w:rPr>
    </w:lvl>
    <w:lvl w:ilvl="1" w:tplc="4C167E02">
      <w:start w:val="1"/>
      <w:numFmt w:val="lowerLetter"/>
      <w:lvlText w:val="%2."/>
      <w:lvlJc w:val="left"/>
      <w:pPr>
        <w:ind w:left="1620" w:hanging="360"/>
      </w:pPr>
      <w:rPr>
        <w:rFonts w:hint="default"/>
      </w:rPr>
    </w:lvl>
    <w:lvl w:ilvl="2" w:tplc="3F20288C">
      <w:start w:val="1"/>
      <w:numFmt w:val="lowerRoman"/>
      <w:lvlText w:val="%3."/>
      <w:lvlJc w:val="right"/>
      <w:pPr>
        <w:ind w:left="2160" w:hanging="180"/>
      </w:pPr>
      <w:rPr>
        <w:b w:val="0"/>
      </w:rPr>
    </w:lvl>
    <w:lvl w:ilvl="3" w:tplc="140A000F">
      <w:start w:val="1"/>
      <w:numFmt w:val="decimal"/>
      <w:lvlText w:val="%4."/>
      <w:lvlJc w:val="left"/>
      <w:pPr>
        <w:ind w:left="2880" w:hanging="360"/>
      </w:pPr>
    </w:lvl>
    <w:lvl w:ilvl="4" w:tplc="EDD8168C">
      <w:start w:val="1"/>
      <w:numFmt w:val="lowerLetter"/>
      <w:lvlText w:val="%5)"/>
      <w:lvlJc w:val="left"/>
      <w:pPr>
        <w:ind w:left="3600" w:hanging="360"/>
      </w:pPr>
      <w:rPr>
        <w:rFonts w:hint="default"/>
        <w:i w:val="0"/>
      </w:r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nsid w:val="314A27A9"/>
    <w:multiLevelType w:val="hybridMultilevel"/>
    <w:tmpl w:val="31B4207E"/>
    <w:lvl w:ilvl="0" w:tplc="03DC6F9C">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nsid w:val="36A7743B"/>
    <w:multiLevelType w:val="hybridMultilevel"/>
    <w:tmpl w:val="165289D8"/>
    <w:lvl w:ilvl="0" w:tplc="14C64E84">
      <w:start w:val="1"/>
      <w:numFmt w:val="bullet"/>
      <w:pStyle w:val="Bullet2G"/>
      <w:lvlText w:val="•"/>
      <w:lvlJc w:val="left"/>
      <w:pPr>
        <w:tabs>
          <w:tab w:val="num" w:pos="2268"/>
        </w:tabs>
        <w:ind w:left="2268" w:hanging="170"/>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377A6FB3"/>
    <w:multiLevelType w:val="hybridMultilevel"/>
    <w:tmpl w:val="E64EF82E"/>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nsid w:val="39E83EE2"/>
    <w:multiLevelType w:val="hybridMultilevel"/>
    <w:tmpl w:val="39FE38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F9B713D"/>
    <w:multiLevelType w:val="hybridMultilevel"/>
    <w:tmpl w:val="9704209E"/>
    <w:lvl w:ilvl="0" w:tplc="CD5CD1E0">
      <w:start w:val="1"/>
      <w:numFmt w:val="decimal"/>
      <w:pStyle w:val="NormalNumbered"/>
      <w:lvlText w:val="%1."/>
      <w:lvlJc w:val="left"/>
      <w:pPr>
        <w:ind w:left="720" w:hanging="720"/>
      </w:pPr>
      <w:rPr>
        <w:rFonts w:ascii="Verdana" w:hAnsi="Verdana" w:hint="default"/>
        <w:b w:val="0"/>
        <w:i w:val="0"/>
        <w:strike w:val="0"/>
        <w:color w:val="auto"/>
        <w:sz w:val="20"/>
        <w:szCs w:val="20"/>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rPr>
        <w:b/>
        <w:i/>
      </w:r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nsid w:val="416D46FA"/>
    <w:multiLevelType w:val="hybridMultilevel"/>
    <w:tmpl w:val="45D0B9A8"/>
    <w:lvl w:ilvl="0" w:tplc="CFCC80C8">
      <w:start w:val="1"/>
      <w:numFmt w:val="upperLetter"/>
      <w:lvlText w:val="%1."/>
      <w:lvlJc w:val="left"/>
      <w:pPr>
        <w:ind w:left="360" w:hanging="360"/>
      </w:pPr>
      <w:rPr>
        <w:rFonts w:hint="default"/>
        <w:i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CFAC7540"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nsid w:val="44B04A16"/>
    <w:multiLevelType w:val="hybridMultilevel"/>
    <w:tmpl w:val="ADA07F60"/>
    <w:lvl w:ilvl="0" w:tplc="50380D54">
      <w:start w:val="1"/>
      <w:numFmt w:val="lowerLetter"/>
      <w:lvlText w:val="%1)"/>
      <w:lvlJc w:val="left"/>
      <w:pPr>
        <w:ind w:left="990" w:hanging="360"/>
      </w:pPr>
      <w:rPr>
        <w:rFonts w:cs="Calibri"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9">
    <w:nsid w:val="4A1A7B60"/>
    <w:multiLevelType w:val="hybridMultilevel"/>
    <w:tmpl w:val="CE9E2C56"/>
    <w:lvl w:ilvl="0" w:tplc="0BC861DC">
      <w:start w:val="11"/>
      <w:numFmt w:val="decimal"/>
      <w:lvlText w:val="%1."/>
      <w:lvlJc w:val="left"/>
      <w:pPr>
        <w:ind w:left="720" w:hanging="360"/>
      </w:pPr>
      <w:rPr>
        <w:rFonts w:ascii="Verdana" w:hAnsi="Verdana"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nsid w:val="4C5340AD"/>
    <w:multiLevelType w:val="hybridMultilevel"/>
    <w:tmpl w:val="76447A4C"/>
    <w:lvl w:ilvl="0" w:tplc="A45CE756">
      <w:start w:val="245"/>
      <w:numFmt w:val="decimal"/>
      <w:lvlText w:val="%1."/>
      <w:lvlJc w:val="left"/>
      <w:pPr>
        <w:ind w:left="720" w:hanging="360"/>
      </w:pPr>
      <w:rPr>
        <w:rFonts w:ascii="Verdana" w:hAnsi="Verdana" w:hint="default"/>
        <w:b w:val="0"/>
        <w:strike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nsid w:val="4CE81F52"/>
    <w:multiLevelType w:val="hybridMultilevel"/>
    <w:tmpl w:val="AABC77BC"/>
    <w:lvl w:ilvl="0" w:tplc="45D2EFE4">
      <w:start w:val="1"/>
      <w:numFmt w:val="lowerLetter"/>
      <w:lvlText w:val="%1)"/>
      <w:lvlJc w:val="left"/>
      <w:pPr>
        <w:ind w:left="360" w:hanging="360"/>
      </w:pPr>
      <w:rPr>
        <w:rFonts w:hint="default"/>
        <w:b w:val="0"/>
        <w:i w:val="0"/>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2">
    <w:nsid w:val="4E0A0DF9"/>
    <w:multiLevelType w:val="hybridMultilevel"/>
    <w:tmpl w:val="B1D81CA4"/>
    <w:lvl w:ilvl="0" w:tplc="3E6070D0">
      <w:start w:val="1"/>
      <w:numFmt w:val="decimal"/>
      <w:lvlText w:val="%1."/>
      <w:lvlJc w:val="left"/>
      <w:pPr>
        <w:ind w:left="720" w:hanging="360"/>
      </w:pPr>
      <w:rPr>
        <w:rFonts w:ascii="Verdana" w:hAnsi="Verdana" w:hint="default"/>
        <w:b w:val="0"/>
      </w:rPr>
    </w:lvl>
    <w:lvl w:ilvl="1" w:tplc="04090019">
      <w:start w:val="1"/>
      <w:numFmt w:val="lowerLetter"/>
      <w:lvlText w:val="%2."/>
      <w:lvlJc w:val="left"/>
      <w:pPr>
        <w:ind w:left="16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42856B3"/>
    <w:multiLevelType w:val="hybridMultilevel"/>
    <w:tmpl w:val="3DA6561C"/>
    <w:lvl w:ilvl="0" w:tplc="0B2601DA">
      <w:start w:val="1"/>
      <w:numFmt w:val="lowerLetter"/>
      <w:lvlText w:val="%1)"/>
      <w:lvlJc w:val="left"/>
      <w:pPr>
        <w:ind w:left="218" w:hanging="360"/>
      </w:pPr>
      <w:rPr>
        <w:rFonts w:cs="Times New Roman" w:hint="default"/>
        <w:b w:val="0"/>
        <w:i w:val="0"/>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24">
    <w:nsid w:val="57E24291"/>
    <w:multiLevelType w:val="hybridMultilevel"/>
    <w:tmpl w:val="CB9489F4"/>
    <w:lvl w:ilvl="0" w:tplc="04090017">
      <w:start w:val="1"/>
      <w:numFmt w:val="lowerLetter"/>
      <w:lvlText w:val="%1)"/>
      <w:lvlJc w:val="left"/>
      <w:pPr>
        <w:tabs>
          <w:tab w:val="num" w:pos="1080"/>
        </w:tabs>
        <w:ind w:left="1080" w:hanging="720"/>
      </w:pPr>
      <w:rPr>
        <w:rFonts w:hint="default"/>
      </w:rPr>
    </w:lvl>
    <w:lvl w:ilvl="1" w:tplc="6B8C56EC">
      <w:start w:val="5"/>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68252004"/>
    <w:multiLevelType w:val="hybridMultilevel"/>
    <w:tmpl w:val="ECBCA826"/>
    <w:lvl w:ilvl="0" w:tplc="04090017">
      <w:start w:val="1"/>
      <w:numFmt w:val="lowerLetter"/>
      <w:lvlText w:val="%1)"/>
      <w:lvlJc w:val="left"/>
      <w:pPr>
        <w:ind w:left="1350" w:hanging="360"/>
      </w:pPr>
      <w:rPr>
        <w:rFonts w:hint="default"/>
        <w:b w:val="0"/>
        <w:i w:val="0"/>
        <w:strike w:val="0"/>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26">
    <w:nsid w:val="6D936426"/>
    <w:multiLevelType w:val="hybridMultilevel"/>
    <w:tmpl w:val="57667B9C"/>
    <w:lvl w:ilvl="0" w:tplc="755CA65A">
      <w:start w:val="1"/>
      <w:numFmt w:val="lowerLetter"/>
      <w:lvlText w:val="%1)"/>
      <w:lvlJc w:val="left"/>
      <w:pPr>
        <w:ind w:left="1269" w:hanging="360"/>
      </w:pPr>
      <w:rPr>
        <w:rFonts w:hint="default"/>
      </w:rPr>
    </w:lvl>
    <w:lvl w:ilvl="1" w:tplc="04090019">
      <w:start w:val="1"/>
      <w:numFmt w:val="lowerLetter"/>
      <w:lvlText w:val="%2."/>
      <w:lvlJc w:val="left"/>
      <w:pPr>
        <w:ind w:left="1989" w:hanging="360"/>
      </w:pPr>
    </w:lvl>
    <w:lvl w:ilvl="2" w:tplc="0409001B" w:tentative="1">
      <w:start w:val="1"/>
      <w:numFmt w:val="lowerRoman"/>
      <w:lvlText w:val="%3."/>
      <w:lvlJc w:val="right"/>
      <w:pPr>
        <w:ind w:left="2709" w:hanging="180"/>
      </w:pPr>
    </w:lvl>
    <w:lvl w:ilvl="3" w:tplc="0409000F" w:tentative="1">
      <w:start w:val="1"/>
      <w:numFmt w:val="decimal"/>
      <w:lvlText w:val="%4."/>
      <w:lvlJc w:val="left"/>
      <w:pPr>
        <w:ind w:left="3429" w:hanging="360"/>
      </w:pPr>
    </w:lvl>
    <w:lvl w:ilvl="4" w:tplc="04090019" w:tentative="1">
      <w:start w:val="1"/>
      <w:numFmt w:val="lowerLetter"/>
      <w:lvlText w:val="%5."/>
      <w:lvlJc w:val="left"/>
      <w:pPr>
        <w:ind w:left="4149" w:hanging="360"/>
      </w:pPr>
    </w:lvl>
    <w:lvl w:ilvl="5" w:tplc="0409001B" w:tentative="1">
      <w:start w:val="1"/>
      <w:numFmt w:val="lowerRoman"/>
      <w:lvlText w:val="%6."/>
      <w:lvlJc w:val="right"/>
      <w:pPr>
        <w:ind w:left="4869" w:hanging="180"/>
      </w:pPr>
    </w:lvl>
    <w:lvl w:ilvl="6" w:tplc="0409000F" w:tentative="1">
      <w:start w:val="1"/>
      <w:numFmt w:val="decimal"/>
      <w:lvlText w:val="%7."/>
      <w:lvlJc w:val="left"/>
      <w:pPr>
        <w:ind w:left="5589" w:hanging="360"/>
      </w:pPr>
    </w:lvl>
    <w:lvl w:ilvl="7" w:tplc="04090019" w:tentative="1">
      <w:start w:val="1"/>
      <w:numFmt w:val="lowerLetter"/>
      <w:lvlText w:val="%8."/>
      <w:lvlJc w:val="left"/>
      <w:pPr>
        <w:ind w:left="6309" w:hanging="360"/>
      </w:pPr>
    </w:lvl>
    <w:lvl w:ilvl="8" w:tplc="0409001B" w:tentative="1">
      <w:start w:val="1"/>
      <w:numFmt w:val="lowerRoman"/>
      <w:lvlText w:val="%9."/>
      <w:lvlJc w:val="right"/>
      <w:pPr>
        <w:ind w:left="7029" w:hanging="180"/>
      </w:pPr>
    </w:lvl>
  </w:abstractNum>
  <w:abstractNum w:abstractNumId="27">
    <w:nsid w:val="6FE6120B"/>
    <w:multiLevelType w:val="hybridMultilevel"/>
    <w:tmpl w:val="228EEDC4"/>
    <w:lvl w:ilvl="0" w:tplc="E9060CAA">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nsid w:val="710E7F25"/>
    <w:multiLevelType w:val="hybridMultilevel"/>
    <w:tmpl w:val="3FC00326"/>
    <w:lvl w:ilvl="0" w:tplc="096019AA">
      <w:start w:val="1"/>
      <w:numFmt w:val="lowerLetter"/>
      <w:lvlText w:val="%1)"/>
      <w:lvlJc w:val="left"/>
      <w:pPr>
        <w:ind w:left="786" w:hanging="360"/>
      </w:pPr>
      <w:rPr>
        <w:rFonts w:hint="default"/>
        <w:b w:val="0"/>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9">
    <w:nsid w:val="74460328"/>
    <w:multiLevelType w:val="hybridMultilevel"/>
    <w:tmpl w:val="8DB27A80"/>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nsid w:val="78BB5E6E"/>
    <w:multiLevelType w:val="hybridMultilevel"/>
    <w:tmpl w:val="6C9AEB14"/>
    <w:lvl w:ilvl="0" w:tplc="140A0015">
      <w:start w:val="3"/>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nsid w:val="79B31F47"/>
    <w:multiLevelType w:val="hybridMultilevel"/>
    <w:tmpl w:val="CED2D1C4"/>
    <w:lvl w:ilvl="0" w:tplc="03FC456E">
      <w:start w:val="1"/>
      <w:numFmt w:val="lowerLetter"/>
      <w:lvlText w:val="%1)"/>
      <w:lvlJc w:val="left"/>
      <w:pPr>
        <w:ind w:left="418" w:hanging="360"/>
      </w:pPr>
      <w:rPr>
        <w:rFonts w:hint="default"/>
        <w:b w:val="0"/>
        <w:i w:val="0"/>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32">
    <w:nsid w:val="7A7D511C"/>
    <w:multiLevelType w:val="hybridMultilevel"/>
    <w:tmpl w:val="B1D81CA4"/>
    <w:lvl w:ilvl="0" w:tplc="3E6070D0">
      <w:start w:val="1"/>
      <w:numFmt w:val="decimal"/>
      <w:lvlText w:val="%1."/>
      <w:lvlJc w:val="left"/>
      <w:pPr>
        <w:ind w:left="720" w:hanging="360"/>
      </w:pPr>
      <w:rPr>
        <w:rFonts w:ascii="Verdana" w:hAnsi="Verdana" w:hint="default"/>
        <w:b w:val="0"/>
      </w:rPr>
    </w:lvl>
    <w:lvl w:ilvl="1" w:tplc="04090019">
      <w:start w:val="1"/>
      <w:numFmt w:val="lowerLetter"/>
      <w:lvlText w:val="%2."/>
      <w:lvlJc w:val="left"/>
      <w:pPr>
        <w:ind w:left="16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C2D2852"/>
    <w:multiLevelType w:val="hybridMultilevel"/>
    <w:tmpl w:val="2B244F92"/>
    <w:lvl w:ilvl="0" w:tplc="04090017">
      <w:start w:val="1"/>
      <w:numFmt w:val="lowerLetter"/>
      <w:lvlText w:val="%1)"/>
      <w:lvlJc w:val="left"/>
      <w:pPr>
        <w:ind w:left="1170" w:hanging="360"/>
      </w:pPr>
      <w:rPr>
        <w:rFonts w:hint="default"/>
        <w:b w:val="0"/>
        <w:i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4">
    <w:nsid w:val="7C3A0913"/>
    <w:multiLevelType w:val="hybridMultilevel"/>
    <w:tmpl w:val="3D3EE3CC"/>
    <w:lvl w:ilvl="0" w:tplc="A5D8C264">
      <w:start w:val="3"/>
      <w:numFmt w:val="decimal"/>
      <w:lvlText w:val="%1."/>
      <w:lvlJc w:val="left"/>
      <w:pPr>
        <w:ind w:left="450" w:hanging="360"/>
      </w:pPr>
      <w:rPr>
        <w:rFonts w:ascii="Verdana" w:hAnsi="Verdana" w:hint="default"/>
        <w:b w:val="0"/>
        <w:i w:val="0"/>
        <w:strike w:val="0"/>
        <w:dstrike w:val="0"/>
        <w:color w:val="auto"/>
        <w:sz w:val="20"/>
        <w:szCs w:val="20"/>
      </w:rPr>
    </w:lvl>
    <w:lvl w:ilvl="1" w:tplc="764A727C">
      <w:start w:val="1"/>
      <w:numFmt w:val="lowerLetter"/>
      <w:lvlText w:val="%2)"/>
      <w:lvlJc w:val="left"/>
      <w:pPr>
        <w:ind w:left="1170" w:hanging="360"/>
      </w:pPr>
      <w:rPr>
        <w:rFonts w:ascii="Verdana" w:eastAsia="Calibri" w:hAnsi="Verdana" w:cs="Calibri"/>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11"/>
  </w:num>
  <w:num w:numId="2">
    <w:abstractNumId w:val="4"/>
  </w:num>
  <w:num w:numId="3">
    <w:abstractNumId w:val="27"/>
  </w:num>
  <w:num w:numId="4">
    <w:abstractNumId w:val="7"/>
  </w:num>
  <w:num w:numId="5">
    <w:abstractNumId w:val="17"/>
  </w:num>
  <w:num w:numId="6">
    <w:abstractNumId w:val="16"/>
  </w:num>
  <w:num w:numId="7">
    <w:abstractNumId w:val="13"/>
  </w:num>
  <w:num w:numId="8">
    <w:abstractNumId w:val="12"/>
  </w:num>
  <w:num w:numId="9">
    <w:abstractNumId w:val="29"/>
  </w:num>
  <w:num w:numId="10">
    <w:abstractNumId w:val="0"/>
  </w:num>
  <w:num w:numId="11">
    <w:abstractNumId w:val="15"/>
  </w:num>
  <w:num w:numId="12">
    <w:abstractNumId w:val="24"/>
  </w:num>
  <w:num w:numId="13">
    <w:abstractNumId w:val="30"/>
  </w:num>
  <w:num w:numId="14">
    <w:abstractNumId w:val="14"/>
  </w:num>
  <w:num w:numId="15">
    <w:abstractNumId w:val="32"/>
  </w:num>
  <w:num w:numId="16">
    <w:abstractNumId w:val="20"/>
  </w:num>
  <w:num w:numId="17">
    <w:abstractNumId w:val="34"/>
  </w:num>
  <w:num w:numId="18">
    <w:abstractNumId w:val="28"/>
  </w:num>
  <w:num w:numId="19">
    <w:abstractNumId w:val="18"/>
  </w:num>
  <w:num w:numId="20">
    <w:abstractNumId w:val="31"/>
  </w:num>
  <w:num w:numId="21">
    <w:abstractNumId w:val="23"/>
  </w:num>
  <w:num w:numId="22">
    <w:abstractNumId w:val="26"/>
  </w:num>
  <w:num w:numId="23">
    <w:abstractNumId w:val="10"/>
  </w:num>
  <w:num w:numId="24">
    <w:abstractNumId w:val="2"/>
  </w:num>
  <w:num w:numId="25">
    <w:abstractNumId w:val="9"/>
  </w:num>
  <w:num w:numId="26">
    <w:abstractNumId w:val="22"/>
  </w:num>
  <w:num w:numId="27">
    <w:abstractNumId w:val="5"/>
  </w:num>
  <w:num w:numId="28">
    <w:abstractNumId w:val="6"/>
  </w:num>
  <w:num w:numId="29">
    <w:abstractNumId w:val="8"/>
  </w:num>
  <w:num w:numId="30">
    <w:abstractNumId w:val="3"/>
  </w:num>
  <w:num w:numId="31">
    <w:abstractNumId w:val="19"/>
  </w:num>
  <w:num w:numId="32">
    <w:abstractNumId w:val="1"/>
  </w:num>
  <w:num w:numId="33">
    <w:abstractNumId w:val="25"/>
  </w:num>
  <w:num w:numId="34">
    <w:abstractNumId w:val="33"/>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doNotTrackMove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F15C3"/>
    <w:rsid w:val="0000183B"/>
    <w:rsid w:val="00004018"/>
    <w:rsid w:val="00007ABF"/>
    <w:rsid w:val="0001088D"/>
    <w:rsid w:val="00011561"/>
    <w:rsid w:val="000129B4"/>
    <w:rsid w:val="00012C1D"/>
    <w:rsid w:val="00012E4B"/>
    <w:rsid w:val="0001516C"/>
    <w:rsid w:val="0001528C"/>
    <w:rsid w:val="000163E6"/>
    <w:rsid w:val="000208F5"/>
    <w:rsid w:val="00025A2E"/>
    <w:rsid w:val="00030315"/>
    <w:rsid w:val="00030554"/>
    <w:rsid w:val="000319F6"/>
    <w:rsid w:val="00034FBC"/>
    <w:rsid w:val="000355DF"/>
    <w:rsid w:val="000376DE"/>
    <w:rsid w:val="000402E6"/>
    <w:rsid w:val="0004089A"/>
    <w:rsid w:val="00042D96"/>
    <w:rsid w:val="00045490"/>
    <w:rsid w:val="00045B3B"/>
    <w:rsid w:val="00046068"/>
    <w:rsid w:val="000469D1"/>
    <w:rsid w:val="00047EF9"/>
    <w:rsid w:val="00056239"/>
    <w:rsid w:val="00060D4D"/>
    <w:rsid w:val="00063948"/>
    <w:rsid w:val="00070A04"/>
    <w:rsid w:val="000736FC"/>
    <w:rsid w:val="00076689"/>
    <w:rsid w:val="00077B22"/>
    <w:rsid w:val="0008039D"/>
    <w:rsid w:val="0008554B"/>
    <w:rsid w:val="0009050F"/>
    <w:rsid w:val="00090CE2"/>
    <w:rsid w:val="00092243"/>
    <w:rsid w:val="00092AE6"/>
    <w:rsid w:val="00094BEC"/>
    <w:rsid w:val="000A2ACA"/>
    <w:rsid w:val="000B5B13"/>
    <w:rsid w:val="000C1BF7"/>
    <w:rsid w:val="000C2ACA"/>
    <w:rsid w:val="000C34F9"/>
    <w:rsid w:val="000C43E9"/>
    <w:rsid w:val="000D09C7"/>
    <w:rsid w:val="000D2D44"/>
    <w:rsid w:val="000D3634"/>
    <w:rsid w:val="000D4EA9"/>
    <w:rsid w:val="000D5DDD"/>
    <w:rsid w:val="000E19C7"/>
    <w:rsid w:val="000E3A98"/>
    <w:rsid w:val="000E3CD1"/>
    <w:rsid w:val="000F0D22"/>
    <w:rsid w:val="000F27B3"/>
    <w:rsid w:val="00106C82"/>
    <w:rsid w:val="00110355"/>
    <w:rsid w:val="0011119C"/>
    <w:rsid w:val="00114681"/>
    <w:rsid w:val="00114B48"/>
    <w:rsid w:val="00114E68"/>
    <w:rsid w:val="00114F78"/>
    <w:rsid w:val="00116D11"/>
    <w:rsid w:val="00121039"/>
    <w:rsid w:val="00121AD9"/>
    <w:rsid w:val="00122C63"/>
    <w:rsid w:val="00126E36"/>
    <w:rsid w:val="001274F7"/>
    <w:rsid w:val="00127655"/>
    <w:rsid w:val="00130B10"/>
    <w:rsid w:val="00130C7D"/>
    <w:rsid w:val="00131522"/>
    <w:rsid w:val="00136495"/>
    <w:rsid w:val="0013697A"/>
    <w:rsid w:val="001372C2"/>
    <w:rsid w:val="00137D39"/>
    <w:rsid w:val="00141F03"/>
    <w:rsid w:val="00143DBD"/>
    <w:rsid w:val="0014408E"/>
    <w:rsid w:val="001473F7"/>
    <w:rsid w:val="00151554"/>
    <w:rsid w:val="00153F7E"/>
    <w:rsid w:val="00160832"/>
    <w:rsid w:val="0016101D"/>
    <w:rsid w:val="00166F26"/>
    <w:rsid w:val="0017270F"/>
    <w:rsid w:val="0017456F"/>
    <w:rsid w:val="00174A54"/>
    <w:rsid w:val="001757EA"/>
    <w:rsid w:val="00181392"/>
    <w:rsid w:val="00185CF8"/>
    <w:rsid w:val="001961F8"/>
    <w:rsid w:val="001A5344"/>
    <w:rsid w:val="001B1DC5"/>
    <w:rsid w:val="001B24D9"/>
    <w:rsid w:val="001B57D6"/>
    <w:rsid w:val="001B591C"/>
    <w:rsid w:val="001C16F5"/>
    <w:rsid w:val="001C2165"/>
    <w:rsid w:val="001C2715"/>
    <w:rsid w:val="001C35D3"/>
    <w:rsid w:val="001C6989"/>
    <w:rsid w:val="001D08D1"/>
    <w:rsid w:val="001D253C"/>
    <w:rsid w:val="001D7482"/>
    <w:rsid w:val="001E0CE4"/>
    <w:rsid w:val="001E0DBB"/>
    <w:rsid w:val="001E5946"/>
    <w:rsid w:val="001E6594"/>
    <w:rsid w:val="001E6721"/>
    <w:rsid w:val="001F1E29"/>
    <w:rsid w:val="001F276B"/>
    <w:rsid w:val="001F5671"/>
    <w:rsid w:val="001F57A4"/>
    <w:rsid w:val="00202769"/>
    <w:rsid w:val="002037D1"/>
    <w:rsid w:val="0020700F"/>
    <w:rsid w:val="00207C91"/>
    <w:rsid w:val="0021060F"/>
    <w:rsid w:val="00216B2B"/>
    <w:rsid w:val="0022623B"/>
    <w:rsid w:val="00230762"/>
    <w:rsid w:val="00230951"/>
    <w:rsid w:val="0023599B"/>
    <w:rsid w:val="002362AF"/>
    <w:rsid w:val="002440D3"/>
    <w:rsid w:val="0024527C"/>
    <w:rsid w:val="0024700A"/>
    <w:rsid w:val="00252C47"/>
    <w:rsid w:val="00261052"/>
    <w:rsid w:val="00270B5B"/>
    <w:rsid w:val="0027701C"/>
    <w:rsid w:val="00282B84"/>
    <w:rsid w:val="00284375"/>
    <w:rsid w:val="0028460B"/>
    <w:rsid w:val="002857CA"/>
    <w:rsid w:val="00287191"/>
    <w:rsid w:val="00291523"/>
    <w:rsid w:val="0029602D"/>
    <w:rsid w:val="00296674"/>
    <w:rsid w:val="002971D9"/>
    <w:rsid w:val="002A25C7"/>
    <w:rsid w:val="002A523D"/>
    <w:rsid w:val="002A68A6"/>
    <w:rsid w:val="002A7DDD"/>
    <w:rsid w:val="002B2B36"/>
    <w:rsid w:val="002B541F"/>
    <w:rsid w:val="002B64EB"/>
    <w:rsid w:val="002C079B"/>
    <w:rsid w:val="002C2755"/>
    <w:rsid w:val="002D4895"/>
    <w:rsid w:val="002D6EFF"/>
    <w:rsid w:val="002E1EAF"/>
    <w:rsid w:val="002E29FD"/>
    <w:rsid w:val="002E6BB5"/>
    <w:rsid w:val="002F1D4B"/>
    <w:rsid w:val="002F318F"/>
    <w:rsid w:val="00300107"/>
    <w:rsid w:val="0030483D"/>
    <w:rsid w:val="0030538D"/>
    <w:rsid w:val="003114C1"/>
    <w:rsid w:val="00312A89"/>
    <w:rsid w:val="00313F8D"/>
    <w:rsid w:val="00315B30"/>
    <w:rsid w:val="00317575"/>
    <w:rsid w:val="0032179A"/>
    <w:rsid w:val="00321CA9"/>
    <w:rsid w:val="00324A2E"/>
    <w:rsid w:val="003444C6"/>
    <w:rsid w:val="00344BC2"/>
    <w:rsid w:val="0034756D"/>
    <w:rsid w:val="00362FEE"/>
    <w:rsid w:val="00363458"/>
    <w:rsid w:val="003731BF"/>
    <w:rsid w:val="0037370B"/>
    <w:rsid w:val="00373C5F"/>
    <w:rsid w:val="003745D3"/>
    <w:rsid w:val="00380048"/>
    <w:rsid w:val="003857AD"/>
    <w:rsid w:val="00386116"/>
    <w:rsid w:val="00391836"/>
    <w:rsid w:val="00391B19"/>
    <w:rsid w:val="003924BF"/>
    <w:rsid w:val="003943A9"/>
    <w:rsid w:val="00396088"/>
    <w:rsid w:val="00396795"/>
    <w:rsid w:val="003A0212"/>
    <w:rsid w:val="003A2C6B"/>
    <w:rsid w:val="003A491F"/>
    <w:rsid w:val="003B0429"/>
    <w:rsid w:val="003B6062"/>
    <w:rsid w:val="003C0A9E"/>
    <w:rsid w:val="003C151E"/>
    <w:rsid w:val="003C2186"/>
    <w:rsid w:val="003C3E66"/>
    <w:rsid w:val="003C4F36"/>
    <w:rsid w:val="003C675B"/>
    <w:rsid w:val="003D3608"/>
    <w:rsid w:val="003D4147"/>
    <w:rsid w:val="003D58FC"/>
    <w:rsid w:val="003E3A96"/>
    <w:rsid w:val="003E4BD4"/>
    <w:rsid w:val="003E4EF2"/>
    <w:rsid w:val="003F26FD"/>
    <w:rsid w:val="003F5B9C"/>
    <w:rsid w:val="003F7A72"/>
    <w:rsid w:val="00401799"/>
    <w:rsid w:val="004022F4"/>
    <w:rsid w:val="00405211"/>
    <w:rsid w:val="00410384"/>
    <w:rsid w:val="00411C6C"/>
    <w:rsid w:val="00415223"/>
    <w:rsid w:val="0041543F"/>
    <w:rsid w:val="00416168"/>
    <w:rsid w:val="00422232"/>
    <w:rsid w:val="004235F7"/>
    <w:rsid w:val="00423E4A"/>
    <w:rsid w:val="00427D76"/>
    <w:rsid w:val="004315B7"/>
    <w:rsid w:val="0043242C"/>
    <w:rsid w:val="00432EAF"/>
    <w:rsid w:val="00434E52"/>
    <w:rsid w:val="0043510C"/>
    <w:rsid w:val="004360A9"/>
    <w:rsid w:val="00437268"/>
    <w:rsid w:val="00440D0F"/>
    <w:rsid w:val="00443B3E"/>
    <w:rsid w:val="00445E8E"/>
    <w:rsid w:val="00446883"/>
    <w:rsid w:val="00450918"/>
    <w:rsid w:val="0045181D"/>
    <w:rsid w:val="00466C72"/>
    <w:rsid w:val="00474938"/>
    <w:rsid w:val="00475C2E"/>
    <w:rsid w:val="004803A9"/>
    <w:rsid w:val="00484434"/>
    <w:rsid w:val="004858D9"/>
    <w:rsid w:val="00487D41"/>
    <w:rsid w:val="00492642"/>
    <w:rsid w:val="004A0F4A"/>
    <w:rsid w:val="004A74B6"/>
    <w:rsid w:val="004A7C79"/>
    <w:rsid w:val="004C08FA"/>
    <w:rsid w:val="004D0F98"/>
    <w:rsid w:val="004D30F0"/>
    <w:rsid w:val="004D658A"/>
    <w:rsid w:val="004E00D2"/>
    <w:rsid w:val="004F085C"/>
    <w:rsid w:val="004F542B"/>
    <w:rsid w:val="004F7A5C"/>
    <w:rsid w:val="004F7D22"/>
    <w:rsid w:val="00501AF1"/>
    <w:rsid w:val="00503D29"/>
    <w:rsid w:val="00505B70"/>
    <w:rsid w:val="0050766B"/>
    <w:rsid w:val="00515093"/>
    <w:rsid w:val="00520D83"/>
    <w:rsid w:val="00525912"/>
    <w:rsid w:val="00525913"/>
    <w:rsid w:val="00526CA7"/>
    <w:rsid w:val="00527E94"/>
    <w:rsid w:val="00536EC1"/>
    <w:rsid w:val="00542030"/>
    <w:rsid w:val="0054711B"/>
    <w:rsid w:val="00547BA6"/>
    <w:rsid w:val="00563E56"/>
    <w:rsid w:val="00571A98"/>
    <w:rsid w:val="005744A8"/>
    <w:rsid w:val="00575BCC"/>
    <w:rsid w:val="00586509"/>
    <w:rsid w:val="00586ECE"/>
    <w:rsid w:val="005912B6"/>
    <w:rsid w:val="0059252E"/>
    <w:rsid w:val="00595917"/>
    <w:rsid w:val="005A3D77"/>
    <w:rsid w:val="005A5511"/>
    <w:rsid w:val="005A7F11"/>
    <w:rsid w:val="005B697D"/>
    <w:rsid w:val="005C0218"/>
    <w:rsid w:val="005C0264"/>
    <w:rsid w:val="005C0FF2"/>
    <w:rsid w:val="005C20EB"/>
    <w:rsid w:val="005C2535"/>
    <w:rsid w:val="005C3F48"/>
    <w:rsid w:val="005C76F2"/>
    <w:rsid w:val="005D5890"/>
    <w:rsid w:val="005D6EE9"/>
    <w:rsid w:val="005D6EFA"/>
    <w:rsid w:val="005E0C62"/>
    <w:rsid w:val="005E59D4"/>
    <w:rsid w:val="005E7027"/>
    <w:rsid w:val="005F0D03"/>
    <w:rsid w:val="005F48F7"/>
    <w:rsid w:val="00604A8F"/>
    <w:rsid w:val="00605DAC"/>
    <w:rsid w:val="00606A7F"/>
    <w:rsid w:val="00611EF6"/>
    <w:rsid w:val="006136D5"/>
    <w:rsid w:val="00622AF9"/>
    <w:rsid w:val="00623B5B"/>
    <w:rsid w:val="00632E02"/>
    <w:rsid w:val="0063373E"/>
    <w:rsid w:val="00633EA2"/>
    <w:rsid w:val="00633F52"/>
    <w:rsid w:val="00635EC6"/>
    <w:rsid w:val="00641ABB"/>
    <w:rsid w:val="0064289A"/>
    <w:rsid w:val="00643FDD"/>
    <w:rsid w:val="00645702"/>
    <w:rsid w:val="006457FE"/>
    <w:rsid w:val="00645954"/>
    <w:rsid w:val="00646948"/>
    <w:rsid w:val="006469F9"/>
    <w:rsid w:val="00647A68"/>
    <w:rsid w:val="00660AC3"/>
    <w:rsid w:val="0066104A"/>
    <w:rsid w:val="00662FB9"/>
    <w:rsid w:val="006728DA"/>
    <w:rsid w:val="00672BBE"/>
    <w:rsid w:val="00672D3A"/>
    <w:rsid w:val="00672EFB"/>
    <w:rsid w:val="00680F24"/>
    <w:rsid w:val="00682872"/>
    <w:rsid w:val="00690D71"/>
    <w:rsid w:val="00697C37"/>
    <w:rsid w:val="006A3F93"/>
    <w:rsid w:val="006B24E8"/>
    <w:rsid w:val="006B6E58"/>
    <w:rsid w:val="006B7187"/>
    <w:rsid w:val="006D22E6"/>
    <w:rsid w:val="006D50ED"/>
    <w:rsid w:val="006D6438"/>
    <w:rsid w:val="006E3AA5"/>
    <w:rsid w:val="006E66F5"/>
    <w:rsid w:val="006E7B4C"/>
    <w:rsid w:val="006F07AF"/>
    <w:rsid w:val="006F0C58"/>
    <w:rsid w:val="006F2BF9"/>
    <w:rsid w:val="006F3E4F"/>
    <w:rsid w:val="006F5B7B"/>
    <w:rsid w:val="006F6011"/>
    <w:rsid w:val="00712E08"/>
    <w:rsid w:val="00715305"/>
    <w:rsid w:val="0071681D"/>
    <w:rsid w:val="007218D7"/>
    <w:rsid w:val="00725CB7"/>
    <w:rsid w:val="00727EBB"/>
    <w:rsid w:val="00734535"/>
    <w:rsid w:val="00736D1C"/>
    <w:rsid w:val="00743EBA"/>
    <w:rsid w:val="00747AAE"/>
    <w:rsid w:val="0075245F"/>
    <w:rsid w:val="0076078D"/>
    <w:rsid w:val="00763813"/>
    <w:rsid w:val="00763922"/>
    <w:rsid w:val="00771A72"/>
    <w:rsid w:val="00774733"/>
    <w:rsid w:val="007747ED"/>
    <w:rsid w:val="007836D7"/>
    <w:rsid w:val="007845B7"/>
    <w:rsid w:val="00784DFA"/>
    <w:rsid w:val="00787A0A"/>
    <w:rsid w:val="00787D7C"/>
    <w:rsid w:val="00787F8B"/>
    <w:rsid w:val="00790E04"/>
    <w:rsid w:val="00792C37"/>
    <w:rsid w:val="007944A6"/>
    <w:rsid w:val="007A5340"/>
    <w:rsid w:val="007A752D"/>
    <w:rsid w:val="007B0548"/>
    <w:rsid w:val="007B4A65"/>
    <w:rsid w:val="007B5141"/>
    <w:rsid w:val="007C124B"/>
    <w:rsid w:val="007C6BA8"/>
    <w:rsid w:val="007D0D37"/>
    <w:rsid w:val="007D1918"/>
    <w:rsid w:val="007E01AC"/>
    <w:rsid w:val="007E4607"/>
    <w:rsid w:val="007F2A8F"/>
    <w:rsid w:val="008016C8"/>
    <w:rsid w:val="00813AA3"/>
    <w:rsid w:val="0081535F"/>
    <w:rsid w:val="00820994"/>
    <w:rsid w:val="00820AF8"/>
    <w:rsid w:val="00820DB6"/>
    <w:rsid w:val="00830251"/>
    <w:rsid w:val="008332CE"/>
    <w:rsid w:val="00834340"/>
    <w:rsid w:val="008345F8"/>
    <w:rsid w:val="008409D9"/>
    <w:rsid w:val="008438D1"/>
    <w:rsid w:val="00844BE8"/>
    <w:rsid w:val="00847D65"/>
    <w:rsid w:val="008524C7"/>
    <w:rsid w:val="008527AF"/>
    <w:rsid w:val="00854DCB"/>
    <w:rsid w:val="00856A1B"/>
    <w:rsid w:val="008578F1"/>
    <w:rsid w:val="0086085F"/>
    <w:rsid w:val="0086277E"/>
    <w:rsid w:val="00863E37"/>
    <w:rsid w:val="008707E4"/>
    <w:rsid w:val="00870BBF"/>
    <w:rsid w:val="008733E1"/>
    <w:rsid w:val="008840F4"/>
    <w:rsid w:val="00884D3C"/>
    <w:rsid w:val="008871B7"/>
    <w:rsid w:val="0089171D"/>
    <w:rsid w:val="008A13E3"/>
    <w:rsid w:val="008A1C69"/>
    <w:rsid w:val="008A4AA4"/>
    <w:rsid w:val="008B210A"/>
    <w:rsid w:val="008B7740"/>
    <w:rsid w:val="008C146D"/>
    <w:rsid w:val="008C23D3"/>
    <w:rsid w:val="008C658A"/>
    <w:rsid w:val="008C6AFA"/>
    <w:rsid w:val="008D0CCC"/>
    <w:rsid w:val="008D11AE"/>
    <w:rsid w:val="008D471D"/>
    <w:rsid w:val="008E24AE"/>
    <w:rsid w:val="008E3D84"/>
    <w:rsid w:val="008F5530"/>
    <w:rsid w:val="00902B42"/>
    <w:rsid w:val="00904DBD"/>
    <w:rsid w:val="00913E7D"/>
    <w:rsid w:val="00914974"/>
    <w:rsid w:val="00920C5A"/>
    <w:rsid w:val="00921762"/>
    <w:rsid w:val="009348A4"/>
    <w:rsid w:val="00944C2B"/>
    <w:rsid w:val="00952AA1"/>
    <w:rsid w:val="009538ED"/>
    <w:rsid w:val="00954D94"/>
    <w:rsid w:val="00962538"/>
    <w:rsid w:val="0098127A"/>
    <w:rsid w:val="00993192"/>
    <w:rsid w:val="00994B80"/>
    <w:rsid w:val="00996B2E"/>
    <w:rsid w:val="009A39E7"/>
    <w:rsid w:val="009A4D7F"/>
    <w:rsid w:val="009A6CD3"/>
    <w:rsid w:val="009A72F0"/>
    <w:rsid w:val="009B438C"/>
    <w:rsid w:val="009B70EA"/>
    <w:rsid w:val="009C371B"/>
    <w:rsid w:val="009D04A6"/>
    <w:rsid w:val="009D18CE"/>
    <w:rsid w:val="009D24E4"/>
    <w:rsid w:val="009D73B0"/>
    <w:rsid w:val="009D792A"/>
    <w:rsid w:val="009D79C2"/>
    <w:rsid w:val="009E2351"/>
    <w:rsid w:val="009E2AD7"/>
    <w:rsid w:val="009F2423"/>
    <w:rsid w:val="009F28EE"/>
    <w:rsid w:val="009F3B57"/>
    <w:rsid w:val="00A02F6B"/>
    <w:rsid w:val="00A03CF4"/>
    <w:rsid w:val="00A053A3"/>
    <w:rsid w:val="00A1262D"/>
    <w:rsid w:val="00A13F62"/>
    <w:rsid w:val="00A15602"/>
    <w:rsid w:val="00A26905"/>
    <w:rsid w:val="00A27A09"/>
    <w:rsid w:val="00A340EB"/>
    <w:rsid w:val="00A355F6"/>
    <w:rsid w:val="00A35888"/>
    <w:rsid w:val="00A36294"/>
    <w:rsid w:val="00A404A9"/>
    <w:rsid w:val="00A43C0C"/>
    <w:rsid w:val="00A4647B"/>
    <w:rsid w:val="00A502F4"/>
    <w:rsid w:val="00A53405"/>
    <w:rsid w:val="00A548D1"/>
    <w:rsid w:val="00A54DD5"/>
    <w:rsid w:val="00A5507F"/>
    <w:rsid w:val="00A571C9"/>
    <w:rsid w:val="00A63732"/>
    <w:rsid w:val="00A67467"/>
    <w:rsid w:val="00A741E6"/>
    <w:rsid w:val="00A75961"/>
    <w:rsid w:val="00A80796"/>
    <w:rsid w:val="00A83CB5"/>
    <w:rsid w:val="00A84A11"/>
    <w:rsid w:val="00A8730F"/>
    <w:rsid w:val="00A93B1C"/>
    <w:rsid w:val="00A95120"/>
    <w:rsid w:val="00AA3400"/>
    <w:rsid w:val="00AA5FAE"/>
    <w:rsid w:val="00AC7C90"/>
    <w:rsid w:val="00AD3B81"/>
    <w:rsid w:val="00AD513E"/>
    <w:rsid w:val="00AE250B"/>
    <w:rsid w:val="00AE2EAE"/>
    <w:rsid w:val="00AE6D5C"/>
    <w:rsid w:val="00AF4BA4"/>
    <w:rsid w:val="00AF5377"/>
    <w:rsid w:val="00B00B30"/>
    <w:rsid w:val="00B029CC"/>
    <w:rsid w:val="00B02B99"/>
    <w:rsid w:val="00B07CF2"/>
    <w:rsid w:val="00B1369F"/>
    <w:rsid w:val="00B171D8"/>
    <w:rsid w:val="00B17C3D"/>
    <w:rsid w:val="00B21806"/>
    <w:rsid w:val="00B27870"/>
    <w:rsid w:val="00B37887"/>
    <w:rsid w:val="00B4025F"/>
    <w:rsid w:val="00B411A7"/>
    <w:rsid w:val="00B41DA5"/>
    <w:rsid w:val="00B42B4D"/>
    <w:rsid w:val="00B43966"/>
    <w:rsid w:val="00B47773"/>
    <w:rsid w:val="00B5155E"/>
    <w:rsid w:val="00B566B8"/>
    <w:rsid w:val="00B6415A"/>
    <w:rsid w:val="00B64CD1"/>
    <w:rsid w:val="00B70944"/>
    <w:rsid w:val="00B714DA"/>
    <w:rsid w:val="00B721F1"/>
    <w:rsid w:val="00B741C3"/>
    <w:rsid w:val="00B75054"/>
    <w:rsid w:val="00B75691"/>
    <w:rsid w:val="00B75CC1"/>
    <w:rsid w:val="00B80F65"/>
    <w:rsid w:val="00B837BD"/>
    <w:rsid w:val="00B84089"/>
    <w:rsid w:val="00B84C90"/>
    <w:rsid w:val="00B84F33"/>
    <w:rsid w:val="00B855B4"/>
    <w:rsid w:val="00B95973"/>
    <w:rsid w:val="00B9597F"/>
    <w:rsid w:val="00B97CB4"/>
    <w:rsid w:val="00BA16A6"/>
    <w:rsid w:val="00BA1AF7"/>
    <w:rsid w:val="00BA1E79"/>
    <w:rsid w:val="00BA23C4"/>
    <w:rsid w:val="00BA32CD"/>
    <w:rsid w:val="00BA6DE7"/>
    <w:rsid w:val="00BA6FF9"/>
    <w:rsid w:val="00BB0D81"/>
    <w:rsid w:val="00BB3679"/>
    <w:rsid w:val="00BB7D8E"/>
    <w:rsid w:val="00BC2861"/>
    <w:rsid w:val="00BC705B"/>
    <w:rsid w:val="00BD1C48"/>
    <w:rsid w:val="00BD2723"/>
    <w:rsid w:val="00BD3EAF"/>
    <w:rsid w:val="00BE7060"/>
    <w:rsid w:val="00BF009B"/>
    <w:rsid w:val="00BF63FB"/>
    <w:rsid w:val="00C0115D"/>
    <w:rsid w:val="00C013F8"/>
    <w:rsid w:val="00C02B8F"/>
    <w:rsid w:val="00C11F32"/>
    <w:rsid w:val="00C1387F"/>
    <w:rsid w:val="00C15CFD"/>
    <w:rsid w:val="00C20142"/>
    <w:rsid w:val="00C2340C"/>
    <w:rsid w:val="00C25276"/>
    <w:rsid w:val="00C31EFB"/>
    <w:rsid w:val="00C32BAF"/>
    <w:rsid w:val="00C33E65"/>
    <w:rsid w:val="00C36474"/>
    <w:rsid w:val="00C378CA"/>
    <w:rsid w:val="00C4247A"/>
    <w:rsid w:val="00C45C05"/>
    <w:rsid w:val="00C4690D"/>
    <w:rsid w:val="00C47A92"/>
    <w:rsid w:val="00C551E6"/>
    <w:rsid w:val="00C627A1"/>
    <w:rsid w:val="00C63747"/>
    <w:rsid w:val="00C70564"/>
    <w:rsid w:val="00C70B86"/>
    <w:rsid w:val="00C73D6C"/>
    <w:rsid w:val="00C74E04"/>
    <w:rsid w:val="00C74E62"/>
    <w:rsid w:val="00C75B3D"/>
    <w:rsid w:val="00C75D32"/>
    <w:rsid w:val="00C77DD1"/>
    <w:rsid w:val="00C879F2"/>
    <w:rsid w:val="00C9554A"/>
    <w:rsid w:val="00CA0655"/>
    <w:rsid w:val="00CA3B7A"/>
    <w:rsid w:val="00CA4945"/>
    <w:rsid w:val="00CB2D0C"/>
    <w:rsid w:val="00CB39EB"/>
    <w:rsid w:val="00CB5BE1"/>
    <w:rsid w:val="00CB5F33"/>
    <w:rsid w:val="00CB5F79"/>
    <w:rsid w:val="00CC0F98"/>
    <w:rsid w:val="00CC4BE9"/>
    <w:rsid w:val="00CC5CED"/>
    <w:rsid w:val="00CC654E"/>
    <w:rsid w:val="00CC775A"/>
    <w:rsid w:val="00CD24B2"/>
    <w:rsid w:val="00CD412F"/>
    <w:rsid w:val="00CE21F9"/>
    <w:rsid w:val="00D019C2"/>
    <w:rsid w:val="00D1085A"/>
    <w:rsid w:val="00D10C07"/>
    <w:rsid w:val="00D1469F"/>
    <w:rsid w:val="00D166F3"/>
    <w:rsid w:val="00D16E84"/>
    <w:rsid w:val="00D23FEF"/>
    <w:rsid w:val="00D26F5F"/>
    <w:rsid w:val="00D3053F"/>
    <w:rsid w:val="00D3518C"/>
    <w:rsid w:val="00D36B0B"/>
    <w:rsid w:val="00D452F7"/>
    <w:rsid w:val="00D50260"/>
    <w:rsid w:val="00D525B1"/>
    <w:rsid w:val="00D54DF7"/>
    <w:rsid w:val="00D55D5B"/>
    <w:rsid w:val="00D5628A"/>
    <w:rsid w:val="00D63C1E"/>
    <w:rsid w:val="00D646B6"/>
    <w:rsid w:val="00D721C5"/>
    <w:rsid w:val="00D75D31"/>
    <w:rsid w:val="00D81C57"/>
    <w:rsid w:val="00D87D39"/>
    <w:rsid w:val="00D96C1C"/>
    <w:rsid w:val="00D97216"/>
    <w:rsid w:val="00DA5CDD"/>
    <w:rsid w:val="00DB3A57"/>
    <w:rsid w:val="00DB664C"/>
    <w:rsid w:val="00DC2BDF"/>
    <w:rsid w:val="00DC2C9D"/>
    <w:rsid w:val="00DC5346"/>
    <w:rsid w:val="00DD3394"/>
    <w:rsid w:val="00DD5871"/>
    <w:rsid w:val="00DD5C7D"/>
    <w:rsid w:val="00DD70DA"/>
    <w:rsid w:val="00DD75F5"/>
    <w:rsid w:val="00DE0853"/>
    <w:rsid w:val="00DE4DC6"/>
    <w:rsid w:val="00DE5335"/>
    <w:rsid w:val="00DE6CA3"/>
    <w:rsid w:val="00DE7B6B"/>
    <w:rsid w:val="00DF15C3"/>
    <w:rsid w:val="00DF19DB"/>
    <w:rsid w:val="00DF4889"/>
    <w:rsid w:val="00E01C6D"/>
    <w:rsid w:val="00E028A5"/>
    <w:rsid w:val="00E04D74"/>
    <w:rsid w:val="00E06A52"/>
    <w:rsid w:val="00E156D2"/>
    <w:rsid w:val="00E22E7C"/>
    <w:rsid w:val="00E31D20"/>
    <w:rsid w:val="00E37E48"/>
    <w:rsid w:val="00E43C97"/>
    <w:rsid w:val="00E530AC"/>
    <w:rsid w:val="00E53916"/>
    <w:rsid w:val="00E544E0"/>
    <w:rsid w:val="00E546B6"/>
    <w:rsid w:val="00E61DDE"/>
    <w:rsid w:val="00E63939"/>
    <w:rsid w:val="00E67A28"/>
    <w:rsid w:val="00E71E9C"/>
    <w:rsid w:val="00E74BC1"/>
    <w:rsid w:val="00E75669"/>
    <w:rsid w:val="00E777F8"/>
    <w:rsid w:val="00E77FA8"/>
    <w:rsid w:val="00E85C11"/>
    <w:rsid w:val="00E8732E"/>
    <w:rsid w:val="00E92C95"/>
    <w:rsid w:val="00E93F9D"/>
    <w:rsid w:val="00E95EA4"/>
    <w:rsid w:val="00E968AF"/>
    <w:rsid w:val="00EA1C4C"/>
    <w:rsid w:val="00EA31F9"/>
    <w:rsid w:val="00EA3AFF"/>
    <w:rsid w:val="00EA3C22"/>
    <w:rsid w:val="00EA3D4B"/>
    <w:rsid w:val="00EB1622"/>
    <w:rsid w:val="00EB5F1A"/>
    <w:rsid w:val="00EC112A"/>
    <w:rsid w:val="00EC39E7"/>
    <w:rsid w:val="00EC4147"/>
    <w:rsid w:val="00EC781A"/>
    <w:rsid w:val="00ED4D40"/>
    <w:rsid w:val="00ED6E18"/>
    <w:rsid w:val="00ED75A1"/>
    <w:rsid w:val="00EE003C"/>
    <w:rsid w:val="00EE51E6"/>
    <w:rsid w:val="00EE648E"/>
    <w:rsid w:val="00EE7690"/>
    <w:rsid w:val="00F000E7"/>
    <w:rsid w:val="00F0030C"/>
    <w:rsid w:val="00F04D11"/>
    <w:rsid w:val="00F07BF6"/>
    <w:rsid w:val="00F15CBE"/>
    <w:rsid w:val="00F17D88"/>
    <w:rsid w:val="00F21370"/>
    <w:rsid w:val="00F34FA6"/>
    <w:rsid w:val="00F362AE"/>
    <w:rsid w:val="00F364D2"/>
    <w:rsid w:val="00F449B2"/>
    <w:rsid w:val="00F45AA7"/>
    <w:rsid w:val="00F53B52"/>
    <w:rsid w:val="00F642EB"/>
    <w:rsid w:val="00F673EC"/>
    <w:rsid w:val="00F7281C"/>
    <w:rsid w:val="00F74EF8"/>
    <w:rsid w:val="00F76346"/>
    <w:rsid w:val="00F77273"/>
    <w:rsid w:val="00F87AB2"/>
    <w:rsid w:val="00F87E6C"/>
    <w:rsid w:val="00F91D79"/>
    <w:rsid w:val="00F977EC"/>
    <w:rsid w:val="00FA4467"/>
    <w:rsid w:val="00FB575D"/>
    <w:rsid w:val="00FC369D"/>
    <w:rsid w:val="00FD13F1"/>
    <w:rsid w:val="00FD5DBC"/>
    <w:rsid w:val="00FF4F30"/>
    <w:rsid w:val="00FF634E"/>
    <w:rsid w:val="00FF66B7"/>
    <w:rsid w:val="00FF7BE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0" w:unhideWhenUsed="0" w:qFormat="1"/>
    <w:lsdException w:name="Emphasis" w:semiHidden="0" w:uiPriority="20" w:unhideWhenUsed="0" w:qFormat="1"/>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D22"/>
    <w:pPr>
      <w:spacing w:after="200" w:line="276" w:lineRule="auto"/>
    </w:pPr>
    <w:rPr>
      <w:sz w:val="22"/>
      <w:szCs w:val="22"/>
      <w:lang w:val="es-MX" w:eastAsia="es-MX"/>
    </w:rPr>
  </w:style>
  <w:style w:type="paragraph" w:styleId="Ttulo1">
    <w:name w:val="heading 1"/>
    <w:basedOn w:val="Normal"/>
    <w:next w:val="Normal"/>
    <w:link w:val="Ttulo1Car"/>
    <w:uiPriority w:val="99"/>
    <w:qFormat/>
    <w:rsid w:val="00DF15C3"/>
    <w:pPr>
      <w:keepNext/>
      <w:spacing w:before="240" w:after="60" w:line="240" w:lineRule="auto"/>
      <w:jc w:val="center"/>
      <w:outlineLvl w:val="0"/>
    </w:pPr>
    <w:rPr>
      <w:rFonts w:ascii="Verdana" w:hAnsi="Verdana"/>
      <w:b/>
      <w:bCs/>
      <w:kern w:val="32"/>
      <w:sz w:val="20"/>
      <w:szCs w:val="32"/>
      <w:lang w:val="es-ES_tradnl"/>
    </w:rPr>
  </w:style>
  <w:style w:type="paragraph" w:styleId="Ttulo2">
    <w:name w:val="heading 2"/>
    <w:basedOn w:val="Normal"/>
    <w:next w:val="Normal"/>
    <w:link w:val="Ttulo2Car"/>
    <w:unhideWhenUsed/>
    <w:qFormat/>
    <w:rsid w:val="00DF15C3"/>
    <w:pPr>
      <w:keepNext/>
      <w:keepLines/>
      <w:spacing w:before="200" w:after="0"/>
      <w:outlineLvl w:val="1"/>
    </w:pPr>
    <w:rPr>
      <w:rFonts w:ascii="Cambria" w:hAnsi="Cambria"/>
      <w:b/>
      <w:bCs/>
      <w:color w:val="4F81BD"/>
      <w:sz w:val="26"/>
      <w:szCs w:val="26"/>
    </w:rPr>
  </w:style>
  <w:style w:type="paragraph" w:styleId="Ttulo3">
    <w:name w:val="heading 3"/>
    <w:basedOn w:val="Normal"/>
    <w:next w:val="Normal"/>
    <w:link w:val="Ttulo3Car"/>
    <w:uiPriority w:val="9"/>
    <w:unhideWhenUsed/>
    <w:qFormat/>
    <w:rsid w:val="00DF15C3"/>
    <w:pPr>
      <w:keepNext/>
      <w:keepLines/>
      <w:spacing w:before="200" w:after="0" w:line="240" w:lineRule="auto"/>
      <w:outlineLvl w:val="2"/>
    </w:pPr>
    <w:rPr>
      <w:rFonts w:ascii="Cambria" w:hAnsi="Cambria"/>
      <w:b/>
      <w:bCs/>
      <w:color w:val="4F81BD"/>
      <w:sz w:val="16"/>
      <w:szCs w:val="20"/>
      <w:lang w:val="es-ES_tradnl"/>
    </w:rPr>
  </w:style>
  <w:style w:type="paragraph" w:styleId="Ttulo4">
    <w:name w:val="heading 4"/>
    <w:basedOn w:val="Normal"/>
    <w:next w:val="Normal"/>
    <w:link w:val="Ttulo4Car"/>
    <w:uiPriority w:val="9"/>
    <w:unhideWhenUsed/>
    <w:qFormat/>
    <w:rsid w:val="00DF15C3"/>
    <w:pPr>
      <w:keepNext/>
      <w:keepLines/>
      <w:spacing w:before="200" w:after="0" w:line="240" w:lineRule="auto"/>
      <w:outlineLvl w:val="3"/>
    </w:pPr>
    <w:rPr>
      <w:rFonts w:ascii="Cambria" w:hAnsi="Cambria"/>
      <w:b/>
      <w:bCs/>
      <w:i/>
      <w:iCs/>
      <w:color w:val="4F81BD"/>
      <w:sz w:val="16"/>
      <w:szCs w:val="20"/>
      <w:lang w:val="es-ES_tradnl"/>
    </w:rPr>
  </w:style>
  <w:style w:type="paragraph" w:styleId="Ttulo5">
    <w:name w:val="heading 5"/>
    <w:basedOn w:val="Normal"/>
    <w:next w:val="Normal"/>
    <w:link w:val="Ttulo5Car"/>
    <w:uiPriority w:val="9"/>
    <w:qFormat/>
    <w:rsid w:val="00DF15C3"/>
    <w:pPr>
      <w:spacing w:before="120" w:after="60" w:line="240" w:lineRule="auto"/>
      <w:ind w:firstLine="709"/>
      <w:jc w:val="both"/>
      <w:outlineLvl w:val="4"/>
    </w:pPr>
    <w:rPr>
      <w:rFonts w:ascii="Verdana" w:hAnsi="Verdana"/>
      <w:bCs/>
      <w:iCs/>
      <w:sz w:val="16"/>
      <w:szCs w:val="26"/>
      <w:lang w:val="es-ES_tradnl"/>
    </w:rPr>
  </w:style>
  <w:style w:type="paragraph" w:styleId="Ttulo6">
    <w:name w:val="heading 6"/>
    <w:basedOn w:val="Normal"/>
    <w:next w:val="Normal"/>
    <w:link w:val="Ttulo6Car"/>
    <w:uiPriority w:val="9"/>
    <w:unhideWhenUsed/>
    <w:qFormat/>
    <w:rsid w:val="00DF15C3"/>
    <w:pPr>
      <w:keepNext/>
      <w:keepLines/>
      <w:spacing w:before="200" w:after="0" w:line="240" w:lineRule="auto"/>
      <w:outlineLvl w:val="5"/>
    </w:pPr>
    <w:rPr>
      <w:rFonts w:ascii="Cambria" w:hAnsi="Cambria"/>
      <w:i/>
      <w:iCs/>
      <w:color w:val="243F60"/>
      <w:sz w:val="16"/>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rsid w:val="00DF15C3"/>
    <w:rPr>
      <w:rFonts w:ascii="Verdana" w:eastAsia="Times New Roman" w:hAnsi="Verdana" w:cs="Times New Roman"/>
      <w:b/>
      <w:bCs/>
      <w:kern w:val="32"/>
      <w:sz w:val="20"/>
      <w:szCs w:val="32"/>
      <w:lang w:val="es-ES_tradnl"/>
    </w:rPr>
  </w:style>
  <w:style w:type="character" w:customStyle="1" w:styleId="Ttulo2Car">
    <w:name w:val="Título 2 Car"/>
    <w:link w:val="Ttulo2"/>
    <w:rsid w:val="00DF15C3"/>
    <w:rPr>
      <w:rFonts w:ascii="Cambria" w:eastAsia="Times New Roman" w:hAnsi="Cambria" w:cs="Times New Roman"/>
      <w:b/>
      <w:bCs/>
      <w:color w:val="4F81BD"/>
      <w:sz w:val="26"/>
      <w:szCs w:val="26"/>
      <w:lang w:val="en-US"/>
    </w:rPr>
  </w:style>
  <w:style w:type="character" w:customStyle="1" w:styleId="Ttulo3Car">
    <w:name w:val="Título 3 Car"/>
    <w:link w:val="Ttulo3"/>
    <w:uiPriority w:val="9"/>
    <w:rsid w:val="00DF15C3"/>
    <w:rPr>
      <w:rFonts w:ascii="Cambria" w:eastAsia="Times New Roman" w:hAnsi="Cambria" w:cs="Times New Roman"/>
      <w:b/>
      <w:bCs/>
      <w:color w:val="4F81BD"/>
      <w:sz w:val="16"/>
      <w:szCs w:val="20"/>
      <w:lang w:val="es-ES_tradnl"/>
    </w:rPr>
  </w:style>
  <w:style w:type="character" w:customStyle="1" w:styleId="Ttulo4Car">
    <w:name w:val="Título 4 Car"/>
    <w:link w:val="Ttulo4"/>
    <w:uiPriority w:val="9"/>
    <w:rsid w:val="00DF15C3"/>
    <w:rPr>
      <w:rFonts w:ascii="Cambria" w:eastAsia="Times New Roman" w:hAnsi="Cambria" w:cs="Times New Roman"/>
      <w:b/>
      <w:bCs/>
      <w:i/>
      <w:iCs/>
      <w:color w:val="4F81BD"/>
      <w:sz w:val="16"/>
      <w:szCs w:val="20"/>
      <w:lang w:val="es-ES_tradnl"/>
    </w:rPr>
  </w:style>
  <w:style w:type="character" w:customStyle="1" w:styleId="Ttulo5Car">
    <w:name w:val="Título 5 Car"/>
    <w:link w:val="Ttulo5"/>
    <w:uiPriority w:val="9"/>
    <w:rsid w:val="00DF15C3"/>
    <w:rPr>
      <w:rFonts w:ascii="Verdana" w:eastAsia="Times New Roman" w:hAnsi="Verdana" w:cs="Times New Roman"/>
      <w:bCs/>
      <w:iCs/>
      <w:sz w:val="16"/>
      <w:szCs w:val="26"/>
      <w:lang w:val="es-ES_tradnl"/>
    </w:rPr>
  </w:style>
  <w:style w:type="character" w:customStyle="1" w:styleId="Ttulo6Car">
    <w:name w:val="Título 6 Car"/>
    <w:link w:val="Ttulo6"/>
    <w:uiPriority w:val="9"/>
    <w:rsid w:val="00DF15C3"/>
    <w:rPr>
      <w:rFonts w:ascii="Cambria" w:eastAsia="Times New Roman" w:hAnsi="Cambria" w:cs="Times New Roman"/>
      <w:i/>
      <w:iCs/>
      <w:color w:val="243F60"/>
      <w:sz w:val="16"/>
      <w:szCs w:val="20"/>
      <w:lang w:val="es-ES_tradnl"/>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qFormat/>
    <w:rsid w:val="00DF15C3"/>
    <w:pPr>
      <w:spacing w:after="0" w:line="240" w:lineRule="auto"/>
    </w:pPr>
    <w:rPr>
      <w:rFonts w:ascii="Times" w:eastAsia="Times" w:hAnsi="Times"/>
      <w:sz w:val="24"/>
      <w:szCs w:val="20"/>
      <w:lang w:val="es-ES_tradnl"/>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rsid w:val="00DF15C3"/>
    <w:rPr>
      <w:rFonts w:ascii="Times" w:eastAsia="Times" w:hAnsi="Times" w:cs="Times New Roman"/>
      <w:sz w:val="24"/>
      <w:szCs w:val="20"/>
      <w:lang w:val="es-ES_tradnl"/>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iPriority w:val="99"/>
    <w:qFormat/>
    <w:rsid w:val="00DF15C3"/>
    <w:rPr>
      <w:vertAlign w:val="superscript"/>
    </w:rPr>
  </w:style>
  <w:style w:type="paragraph" w:customStyle="1" w:styleId="citaindirecta">
    <w:name w:val="cita indirecta"/>
    <w:basedOn w:val="Normal"/>
    <w:rsid w:val="00DF15C3"/>
    <w:pPr>
      <w:spacing w:after="0" w:line="240" w:lineRule="auto"/>
      <w:ind w:left="708"/>
      <w:jc w:val="both"/>
    </w:pPr>
    <w:rPr>
      <w:rFonts w:ascii="Verdana" w:hAnsi="Verdana"/>
      <w:sz w:val="20"/>
      <w:szCs w:val="20"/>
      <w:lang w:val="es-ES_tradnl"/>
    </w:rPr>
  </w:style>
  <w:style w:type="character" w:styleId="Hipervnculo">
    <w:name w:val="Hyperlink"/>
    <w:uiPriority w:val="99"/>
    <w:unhideWhenUsed/>
    <w:rsid w:val="00DF15C3"/>
    <w:rPr>
      <w:color w:val="0000FF"/>
      <w:u w:val="single"/>
    </w:rPr>
  </w:style>
  <w:style w:type="paragraph" w:styleId="TDC1">
    <w:name w:val="toc 1"/>
    <w:basedOn w:val="Normal"/>
    <w:next w:val="Normal"/>
    <w:autoRedefine/>
    <w:uiPriority w:val="39"/>
    <w:unhideWhenUsed/>
    <w:rsid w:val="00C551E6"/>
    <w:pPr>
      <w:tabs>
        <w:tab w:val="right" w:leader="dot" w:pos="8828"/>
      </w:tabs>
      <w:spacing w:after="0" w:line="19" w:lineRule="atLeast"/>
      <w:ind w:left="-142" w:right="-93"/>
      <w:jc w:val="both"/>
    </w:pPr>
    <w:rPr>
      <w:b/>
      <w:bCs/>
      <w:caps/>
      <w:noProof/>
      <w:w w:val="95"/>
      <w:u w:val="single"/>
      <w:lang w:val="es-ES"/>
    </w:rPr>
  </w:style>
  <w:style w:type="paragraph" w:styleId="TDC2">
    <w:name w:val="toc 2"/>
    <w:basedOn w:val="Normal"/>
    <w:next w:val="Normal"/>
    <w:autoRedefine/>
    <w:uiPriority w:val="39"/>
    <w:unhideWhenUsed/>
    <w:rsid w:val="00C551E6"/>
    <w:pPr>
      <w:tabs>
        <w:tab w:val="left" w:pos="467"/>
        <w:tab w:val="right" w:leader="dot" w:pos="8820"/>
      </w:tabs>
      <w:spacing w:after="0" w:line="19" w:lineRule="atLeast"/>
      <w:ind w:left="-142" w:right="-87"/>
      <w:jc w:val="both"/>
    </w:pPr>
    <w:rPr>
      <w:b/>
      <w:bCs/>
      <w:smallCaps/>
    </w:rPr>
  </w:style>
  <w:style w:type="paragraph" w:styleId="TDC3">
    <w:name w:val="toc 3"/>
    <w:basedOn w:val="Normal"/>
    <w:next w:val="Normal"/>
    <w:autoRedefine/>
    <w:uiPriority w:val="39"/>
    <w:unhideWhenUsed/>
    <w:rsid w:val="00DF15C3"/>
    <w:pPr>
      <w:tabs>
        <w:tab w:val="right" w:leader="dot" w:pos="8828"/>
      </w:tabs>
      <w:spacing w:after="0" w:line="19" w:lineRule="atLeast"/>
      <w:ind w:left="-142" w:right="-93"/>
      <w:jc w:val="both"/>
    </w:pPr>
    <w:rPr>
      <w:rFonts w:ascii="Verdana" w:eastAsia="Calibri" w:hAnsi="Verdana"/>
      <w:b/>
      <w:i/>
      <w:smallCaps/>
      <w:noProof/>
      <w:w w:val="95"/>
      <w:sz w:val="20"/>
      <w:szCs w:val="20"/>
      <w:lang w:val="es-EC"/>
    </w:rPr>
  </w:style>
  <w:style w:type="paragraph" w:styleId="TDC4">
    <w:name w:val="toc 4"/>
    <w:basedOn w:val="Normal"/>
    <w:next w:val="Normal"/>
    <w:autoRedefine/>
    <w:uiPriority w:val="39"/>
    <w:unhideWhenUsed/>
    <w:rsid w:val="00DF15C3"/>
    <w:pPr>
      <w:tabs>
        <w:tab w:val="right" w:leader="dot" w:pos="8828"/>
      </w:tabs>
      <w:spacing w:after="0" w:line="19" w:lineRule="atLeast"/>
      <w:ind w:left="-142" w:right="49"/>
      <w:jc w:val="both"/>
    </w:pPr>
  </w:style>
  <w:style w:type="character" w:customStyle="1" w:styleId="Estilo1Car">
    <w:name w:val="Estilo1 Car"/>
    <w:link w:val="Estilo1"/>
    <w:locked/>
    <w:rsid w:val="00DF15C3"/>
    <w:rPr>
      <w:rFonts w:ascii="Verdana" w:hAnsi="Verdana"/>
    </w:rPr>
  </w:style>
  <w:style w:type="paragraph" w:customStyle="1" w:styleId="Estilo1">
    <w:name w:val="Estilo1"/>
    <w:basedOn w:val="Normal"/>
    <w:link w:val="Estilo1Car"/>
    <w:qFormat/>
    <w:rsid w:val="00DF15C3"/>
    <w:pPr>
      <w:tabs>
        <w:tab w:val="left" w:pos="567"/>
        <w:tab w:val="left" w:pos="1134"/>
        <w:tab w:val="num" w:pos="6042"/>
      </w:tabs>
      <w:spacing w:after="120" w:line="240" w:lineRule="auto"/>
      <w:jc w:val="both"/>
    </w:pPr>
    <w:rPr>
      <w:rFonts w:ascii="Verdana" w:hAnsi="Verdana"/>
      <w:sz w:val="20"/>
      <w:szCs w:val="20"/>
      <w:lang w:val="x-none" w:eastAsia="x-none"/>
    </w:rPr>
  </w:style>
  <w:style w:type="paragraph" w:styleId="Encabezado">
    <w:name w:val="header"/>
    <w:basedOn w:val="Normal"/>
    <w:link w:val="EncabezadoCar"/>
    <w:uiPriority w:val="99"/>
    <w:unhideWhenUsed/>
    <w:rsid w:val="00DF15C3"/>
    <w:pPr>
      <w:tabs>
        <w:tab w:val="center" w:pos="4680"/>
        <w:tab w:val="right" w:pos="9360"/>
      </w:tabs>
      <w:spacing w:after="0" w:line="240" w:lineRule="auto"/>
    </w:pPr>
  </w:style>
  <w:style w:type="character" w:customStyle="1" w:styleId="EncabezadoCar">
    <w:name w:val="Encabezado Car"/>
    <w:link w:val="Encabezado"/>
    <w:uiPriority w:val="99"/>
    <w:rsid w:val="00DF15C3"/>
    <w:rPr>
      <w:lang w:val="en-US"/>
    </w:rPr>
  </w:style>
  <w:style w:type="paragraph" w:styleId="Piedepgina">
    <w:name w:val="footer"/>
    <w:basedOn w:val="Normal"/>
    <w:link w:val="PiedepginaCar"/>
    <w:uiPriority w:val="99"/>
    <w:unhideWhenUsed/>
    <w:rsid w:val="00DF15C3"/>
    <w:pPr>
      <w:tabs>
        <w:tab w:val="center" w:pos="4680"/>
        <w:tab w:val="right" w:pos="9360"/>
      </w:tabs>
      <w:spacing w:after="0" w:line="240" w:lineRule="auto"/>
    </w:pPr>
  </w:style>
  <w:style w:type="character" w:customStyle="1" w:styleId="PiedepginaCar">
    <w:name w:val="Pie de página Car"/>
    <w:link w:val="Piedepgina"/>
    <w:uiPriority w:val="99"/>
    <w:rsid w:val="00DF15C3"/>
    <w:rPr>
      <w:lang w:val="en-US"/>
    </w:rPr>
  </w:style>
  <w:style w:type="paragraph" w:customStyle="1" w:styleId="ListParagraph1">
    <w:name w:val="List Paragraph1"/>
    <w:aliases w:val="Footnote,Párrafo de lista1"/>
    <w:basedOn w:val="Normal"/>
    <w:uiPriority w:val="34"/>
    <w:qFormat/>
    <w:rsid w:val="00DF15C3"/>
    <w:pPr>
      <w:spacing w:after="0" w:line="240" w:lineRule="auto"/>
      <w:ind w:left="720"/>
      <w:jc w:val="both"/>
    </w:pPr>
    <w:rPr>
      <w:rFonts w:ascii="Times New Roman" w:hAnsi="Times New Roman"/>
      <w:sz w:val="24"/>
    </w:rPr>
  </w:style>
  <w:style w:type="paragraph" w:styleId="Prrafodelista">
    <w:name w:val="List Paragraph"/>
    <w:aliases w:val="Colorful List - Accent 11"/>
    <w:basedOn w:val="Normal"/>
    <w:link w:val="PrrafodelistaCar"/>
    <w:uiPriority w:val="34"/>
    <w:qFormat/>
    <w:rsid w:val="00DF15C3"/>
    <w:pPr>
      <w:ind w:left="720"/>
      <w:contextualSpacing/>
    </w:pPr>
  </w:style>
  <w:style w:type="character" w:customStyle="1" w:styleId="PrrafodelistaCar">
    <w:name w:val="Párrafo de lista Car"/>
    <w:aliases w:val="Colorful List - Accent 11 Car"/>
    <w:link w:val="Prrafodelista"/>
    <w:uiPriority w:val="34"/>
    <w:locked/>
    <w:rsid w:val="00DF15C3"/>
    <w:rPr>
      <w:lang w:val="en-US"/>
    </w:rPr>
  </w:style>
  <w:style w:type="character" w:customStyle="1" w:styleId="msoins0">
    <w:name w:val="msoins"/>
    <w:basedOn w:val="Fuentedeprrafopredeter"/>
    <w:rsid w:val="00DF15C3"/>
  </w:style>
  <w:style w:type="character" w:customStyle="1" w:styleId="apple-style-span">
    <w:name w:val="apple-style-span"/>
    <w:basedOn w:val="Fuentedeprrafopredeter"/>
    <w:rsid w:val="00DF15C3"/>
  </w:style>
  <w:style w:type="character" w:customStyle="1" w:styleId="Body1Char">
    <w:name w:val="Body 1 Char"/>
    <w:link w:val="Body1"/>
    <w:locked/>
    <w:rsid w:val="00DF15C3"/>
    <w:rPr>
      <w:rFonts w:ascii="Helvetica" w:hAnsi="Helvetica" w:cs="Helvetica"/>
      <w:color w:val="000000"/>
    </w:rPr>
  </w:style>
  <w:style w:type="paragraph" w:customStyle="1" w:styleId="Body1">
    <w:name w:val="Body 1"/>
    <w:basedOn w:val="Normal"/>
    <w:link w:val="Body1Char"/>
    <w:rsid w:val="00DF15C3"/>
    <w:rPr>
      <w:rFonts w:ascii="Helvetica" w:hAnsi="Helvetica" w:cs="Helvetica"/>
      <w:color w:val="000000"/>
      <w:lang w:val="es-CR"/>
    </w:rPr>
  </w:style>
  <w:style w:type="character" w:customStyle="1" w:styleId="ListParagraphChar1">
    <w:name w:val="List Paragraph Char1"/>
    <w:locked/>
    <w:rsid w:val="00DF15C3"/>
    <w:rPr>
      <w:rFonts w:ascii="Verdana" w:eastAsia="Times New Roman" w:hAnsi="Verdana" w:cs="Times New Roman"/>
      <w:sz w:val="16"/>
      <w:szCs w:val="20"/>
      <w:lang w:val="es-ES_tradnl"/>
    </w:rPr>
  </w:style>
  <w:style w:type="character" w:styleId="Refdecomentario">
    <w:name w:val="annotation reference"/>
    <w:uiPriority w:val="99"/>
    <w:unhideWhenUsed/>
    <w:rsid w:val="00DF15C3"/>
    <w:rPr>
      <w:sz w:val="16"/>
      <w:szCs w:val="16"/>
    </w:rPr>
  </w:style>
  <w:style w:type="character" w:customStyle="1" w:styleId="TextodegloboCar">
    <w:name w:val="Texto de globo Car"/>
    <w:link w:val="Textodeglobo"/>
    <w:uiPriority w:val="99"/>
    <w:semiHidden/>
    <w:rsid w:val="00DF15C3"/>
    <w:rPr>
      <w:rFonts w:ascii="Tahoma" w:eastAsia="Times New Roman" w:hAnsi="Tahoma" w:cs="Tahoma"/>
      <w:sz w:val="16"/>
      <w:szCs w:val="16"/>
      <w:lang w:val="es-ES_tradnl"/>
    </w:rPr>
  </w:style>
  <w:style w:type="paragraph" w:styleId="Textodeglobo">
    <w:name w:val="Balloon Text"/>
    <w:basedOn w:val="Normal"/>
    <w:link w:val="TextodegloboCar"/>
    <w:uiPriority w:val="99"/>
    <w:semiHidden/>
    <w:unhideWhenUsed/>
    <w:rsid w:val="00DF15C3"/>
    <w:pPr>
      <w:spacing w:after="0" w:line="240" w:lineRule="auto"/>
    </w:pPr>
    <w:rPr>
      <w:rFonts w:ascii="Tahoma" w:hAnsi="Tahoma" w:cs="Tahoma"/>
      <w:sz w:val="16"/>
      <w:szCs w:val="16"/>
      <w:lang w:val="es-ES_tradnl"/>
    </w:rPr>
  </w:style>
  <w:style w:type="character" w:customStyle="1" w:styleId="BalloonTextChar1">
    <w:name w:val="Balloon Text Char1"/>
    <w:uiPriority w:val="99"/>
    <w:semiHidden/>
    <w:rsid w:val="00DF15C3"/>
    <w:rPr>
      <w:rFonts w:ascii="Tahoma" w:hAnsi="Tahoma" w:cs="Tahoma"/>
      <w:sz w:val="16"/>
      <w:szCs w:val="16"/>
      <w:lang w:val="en-US"/>
    </w:rPr>
  </w:style>
  <w:style w:type="paragraph" w:customStyle="1" w:styleId="Default">
    <w:name w:val="Default"/>
    <w:rsid w:val="00DF15C3"/>
    <w:pPr>
      <w:autoSpaceDE w:val="0"/>
      <w:autoSpaceDN w:val="0"/>
      <w:adjustRightInd w:val="0"/>
    </w:pPr>
    <w:rPr>
      <w:rFonts w:ascii="Verdana" w:hAnsi="Verdana" w:cs="Verdana"/>
      <w:color w:val="000000"/>
      <w:sz w:val="24"/>
      <w:szCs w:val="24"/>
      <w:lang w:val="es-MX" w:eastAsia="es-MX"/>
    </w:rPr>
  </w:style>
  <w:style w:type="character" w:customStyle="1" w:styleId="CharacterStyle1">
    <w:name w:val="Character Style 1"/>
    <w:rsid w:val="00DF15C3"/>
    <w:rPr>
      <w:sz w:val="24"/>
      <w:szCs w:val="24"/>
    </w:rPr>
  </w:style>
  <w:style w:type="paragraph" w:styleId="NormalWeb">
    <w:name w:val="Normal (Web)"/>
    <w:basedOn w:val="Normal"/>
    <w:uiPriority w:val="99"/>
    <w:unhideWhenUsed/>
    <w:rsid w:val="00DF15C3"/>
    <w:pPr>
      <w:spacing w:before="100" w:beforeAutospacing="1" w:after="100" w:afterAutospacing="1" w:line="240" w:lineRule="auto"/>
    </w:pPr>
    <w:rPr>
      <w:rFonts w:ascii="Times New Roman" w:hAnsi="Times New Roman"/>
      <w:sz w:val="24"/>
      <w:szCs w:val="24"/>
      <w:lang w:val="es-CR" w:eastAsia="es-CR"/>
    </w:rPr>
  </w:style>
  <w:style w:type="paragraph" w:styleId="Sinespaciado">
    <w:name w:val="No Spacing"/>
    <w:uiPriority w:val="1"/>
    <w:qFormat/>
    <w:rsid w:val="00DF15C3"/>
    <w:rPr>
      <w:rFonts w:ascii="Verdana" w:hAnsi="Verdana"/>
      <w:lang w:val="es-ES_tradnl" w:eastAsia="es-MX"/>
    </w:rPr>
  </w:style>
  <w:style w:type="paragraph" w:styleId="Textonotaalfinal">
    <w:name w:val="endnote text"/>
    <w:basedOn w:val="Normal"/>
    <w:link w:val="TextonotaalfinalCar"/>
    <w:uiPriority w:val="99"/>
    <w:rsid w:val="00DF15C3"/>
    <w:pPr>
      <w:widowControl w:val="0"/>
      <w:tabs>
        <w:tab w:val="left" w:pos="720"/>
        <w:tab w:val="left" w:pos="1440"/>
        <w:tab w:val="left" w:pos="2160"/>
        <w:tab w:val="left" w:pos="2880"/>
        <w:tab w:val="left" w:pos="3600"/>
        <w:tab w:val="left" w:pos="4320"/>
        <w:tab w:val="left" w:pos="5760"/>
        <w:tab w:val="left" w:pos="6480"/>
        <w:tab w:val="left" w:pos="7200"/>
        <w:tab w:val="left" w:pos="7920"/>
      </w:tabs>
      <w:spacing w:after="0" w:line="240" w:lineRule="auto"/>
      <w:jc w:val="both"/>
    </w:pPr>
    <w:rPr>
      <w:rFonts w:ascii="CG Times" w:eastAsia="Calibri" w:hAnsi="CG Times"/>
      <w:sz w:val="16"/>
      <w:szCs w:val="20"/>
      <w:lang w:val="es-ES"/>
    </w:rPr>
  </w:style>
  <w:style w:type="character" w:customStyle="1" w:styleId="TextonotaalfinalCar">
    <w:name w:val="Texto nota al final Car"/>
    <w:link w:val="Textonotaalfinal"/>
    <w:uiPriority w:val="99"/>
    <w:rsid w:val="00DF15C3"/>
    <w:rPr>
      <w:rFonts w:ascii="CG Times" w:eastAsia="Calibri" w:hAnsi="CG Times" w:cs="Times New Roman"/>
      <w:sz w:val="16"/>
      <w:szCs w:val="20"/>
      <w:lang w:val="es-ES"/>
    </w:rPr>
  </w:style>
  <w:style w:type="paragraph" w:styleId="Textoindependiente">
    <w:name w:val="Body Text"/>
    <w:basedOn w:val="Normal"/>
    <w:link w:val="TextoindependienteCar"/>
    <w:rsid w:val="00DF15C3"/>
    <w:pPr>
      <w:spacing w:after="120" w:line="240" w:lineRule="auto"/>
    </w:pPr>
    <w:rPr>
      <w:rFonts w:ascii="Verdana" w:hAnsi="Verdana"/>
      <w:sz w:val="16"/>
      <w:szCs w:val="20"/>
      <w:lang w:val="es-ES_tradnl"/>
    </w:rPr>
  </w:style>
  <w:style w:type="character" w:customStyle="1" w:styleId="TextoindependienteCar">
    <w:name w:val="Texto independiente Car"/>
    <w:link w:val="Textoindependiente"/>
    <w:rsid w:val="00DF15C3"/>
    <w:rPr>
      <w:rFonts w:ascii="Verdana" w:eastAsia="Times New Roman" w:hAnsi="Verdana" w:cs="Times New Roman"/>
      <w:sz w:val="16"/>
      <w:szCs w:val="20"/>
      <w:lang w:val="es-ES_tradnl"/>
    </w:rPr>
  </w:style>
  <w:style w:type="character" w:customStyle="1" w:styleId="FootnoteTextChar1">
    <w:name w:val="Footnote Text Char1"/>
    <w:aliases w:val="Footnote reference Char1,FA Fu Char1,Footnote Text Char Char Char Char Char Char1,Footnote Text Char Char Char Char Char2,Footnote Text Char Char Char Char2,Footnote Text Cha Char1,FA Fußnotentext Char1,FA Fuﬂnotentext Char1,Ca Char1"/>
    <w:locked/>
    <w:rsid w:val="00DF15C3"/>
    <w:rPr>
      <w:rFonts w:ascii="Times New Roman" w:eastAsia="Times New Roman" w:hAnsi="Times New Roman" w:cs="Times New Roman"/>
      <w:sz w:val="24"/>
      <w:szCs w:val="24"/>
      <w:lang w:val="es-ES" w:eastAsia="es-ES"/>
    </w:rPr>
  </w:style>
  <w:style w:type="paragraph" w:customStyle="1" w:styleId="NormalNumbered">
    <w:name w:val="Normal Numbered"/>
    <w:basedOn w:val="Normal"/>
    <w:link w:val="NormalNumberedChar"/>
    <w:qFormat/>
    <w:rsid w:val="00DF15C3"/>
    <w:pPr>
      <w:numPr>
        <w:numId w:val="6"/>
      </w:numPr>
      <w:spacing w:after="0" w:line="240" w:lineRule="auto"/>
      <w:ind w:left="0" w:firstLine="0"/>
      <w:jc w:val="both"/>
    </w:pPr>
    <w:rPr>
      <w:rFonts w:ascii="Verdana" w:hAnsi="Verdana"/>
      <w:sz w:val="16"/>
      <w:szCs w:val="20"/>
      <w:lang w:val="es-ES_tradnl" w:eastAsia="x-none"/>
    </w:rPr>
  </w:style>
  <w:style w:type="character" w:customStyle="1" w:styleId="NormalNumberedChar">
    <w:name w:val="Normal Numbered Char"/>
    <w:link w:val="NormalNumbered"/>
    <w:rsid w:val="00DF15C3"/>
    <w:rPr>
      <w:rFonts w:ascii="Verdana" w:eastAsia="Times New Roman" w:hAnsi="Verdana" w:cs="Times New Roman"/>
      <w:sz w:val="16"/>
      <w:szCs w:val="20"/>
      <w:lang w:val="es-ES_tradnl"/>
    </w:rPr>
  </w:style>
  <w:style w:type="character" w:customStyle="1" w:styleId="TextocomentarioCar">
    <w:name w:val="Texto comentario Car"/>
    <w:link w:val="Textocomentario"/>
    <w:uiPriority w:val="99"/>
    <w:semiHidden/>
    <w:rsid w:val="00DF15C3"/>
    <w:rPr>
      <w:rFonts w:ascii="Calibri" w:eastAsia="Calibri" w:hAnsi="Calibri" w:cs="Times New Roman"/>
      <w:sz w:val="16"/>
      <w:szCs w:val="20"/>
      <w:lang w:val="es-ES"/>
    </w:rPr>
  </w:style>
  <w:style w:type="paragraph" w:styleId="Textocomentario">
    <w:name w:val="annotation text"/>
    <w:basedOn w:val="Normal"/>
    <w:link w:val="TextocomentarioCar"/>
    <w:uiPriority w:val="99"/>
    <w:semiHidden/>
    <w:unhideWhenUsed/>
    <w:rsid w:val="00DF15C3"/>
    <w:pPr>
      <w:spacing w:after="0" w:line="240" w:lineRule="auto"/>
    </w:pPr>
    <w:rPr>
      <w:rFonts w:eastAsia="Calibri"/>
      <w:sz w:val="16"/>
      <w:szCs w:val="20"/>
      <w:lang w:val="es-ES"/>
    </w:rPr>
  </w:style>
  <w:style w:type="character" w:customStyle="1" w:styleId="CommentTextChar1">
    <w:name w:val="Comment Text Char1"/>
    <w:uiPriority w:val="99"/>
    <w:semiHidden/>
    <w:rsid w:val="00DF15C3"/>
    <w:rPr>
      <w:sz w:val="20"/>
      <w:szCs w:val="20"/>
      <w:lang w:val="en-US"/>
    </w:rPr>
  </w:style>
  <w:style w:type="character" w:customStyle="1" w:styleId="AsuntodelcomentarioCar">
    <w:name w:val="Asunto del comentario Car"/>
    <w:link w:val="Asuntodelcomentario"/>
    <w:uiPriority w:val="99"/>
    <w:semiHidden/>
    <w:rsid w:val="00DF15C3"/>
    <w:rPr>
      <w:rFonts w:ascii="Calibri" w:eastAsia="Calibri" w:hAnsi="Calibri" w:cs="Times New Roman"/>
      <w:b/>
      <w:bCs/>
      <w:sz w:val="16"/>
      <w:szCs w:val="20"/>
      <w:lang w:val="es-ES"/>
    </w:rPr>
  </w:style>
  <w:style w:type="paragraph" w:styleId="Asuntodelcomentario">
    <w:name w:val="annotation subject"/>
    <w:basedOn w:val="Textocomentario"/>
    <w:next w:val="Textocomentario"/>
    <w:link w:val="AsuntodelcomentarioCar"/>
    <w:uiPriority w:val="99"/>
    <w:semiHidden/>
    <w:unhideWhenUsed/>
    <w:rsid w:val="00DF15C3"/>
    <w:rPr>
      <w:b/>
      <w:bCs/>
    </w:rPr>
  </w:style>
  <w:style w:type="character" w:customStyle="1" w:styleId="CommentSubjectChar1">
    <w:name w:val="Comment Subject Char1"/>
    <w:uiPriority w:val="99"/>
    <w:semiHidden/>
    <w:rsid w:val="00DF15C3"/>
    <w:rPr>
      <w:b/>
      <w:bCs/>
      <w:sz w:val="20"/>
      <w:szCs w:val="20"/>
      <w:lang w:val="en-US"/>
    </w:rPr>
  </w:style>
  <w:style w:type="paragraph" w:styleId="HTMLconformatoprevio">
    <w:name w:val="HTML Preformatted"/>
    <w:basedOn w:val="Normal"/>
    <w:link w:val="HTMLconformatoprevioCar"/>
    <w:uiPriority w:val="99"/>
    <w:unhideWhenUsed/>
    <w:rsid w:val="00DF15C3"/>
    <w:pPr>
      <w:spacing w:after="0" w:line="240" w:lineRule="auto"/>
    </w:pPr>
    <w:rPr>
      <w:rFonts w:ascii="Consolas" w:eastAsia="Calibri" w:hAnsi="Consolas"/>
      <w:sz w:val="16"/>
      <w:szCs w:val="20"/>
      <w:lang w:val="es-ES"/>
    </w:rPr>
  </w:style>
  <w:style w:type="character" w:customStyle="1" w:styleId="HTMLconformatoprevioCar">
    <w:name w:val="HTML con formato previo Car"/>
    <w:link w:val="HTMLconformatoprevio"/>
    <w:uiPriority w:val="99"/>
    <w:rsid w:val="00DF15C3"/>
    <w:rPr>
      <w:rFonts w:ascii="Consolas" w:eastAsia="Calibri" w:hAnsi="Consolas" w:cs="Times New Roman"/>
      <w:sz w:val="16"/>
      <w:szCs w:val="20"/>
      <w:lang w:val="es-ES"/>
    </w:rPr>
  </w:style>
  <w:style w:type="character" w:customStyle="1" w:styleId="normal--char">
    <w:name w:val="normal--char"/>
    <w:basedOn w:val="Fuentedeprrafopredeter"/>
    <w:uiPriority w:val="99"/>
    <w:rsid w:val="00DF15C3"/>
  </w:style>
  <w:style w:type="paragraph" w:customStyle="1" w:styleId="ju-005fpara">
    <w:name w:val="ju-005fpara"/>
    <w:basedOn w:val="Normal"/>
    <w:rsid w:val="00DF15C3"/>
    <w:pPr>
      <w:spacing w:before="100" w:beforeAutospacing="1" w:after="100" w:afterAutospacing="1" w:line="240" w:lineRule="auto"/>
    </w:pPr>
    <w:rPr>
      <w:rFonts w:ascii="Times New Roman" w:hAnsi="Times New Roman"/>
      <w:sz w:val="24"/>
      <w:szCs w:val="24"/>
      <w:lang w:val="es-ES" w:eastAsia="es-ES"/>
    </w:rPr>
  </w:style>
  <w:style w:type="paragraph" w:styleId="Sangradetextonormal">
    <w:name w:val="Body Text Indent"/>
    <w:basedOn w:val="Normal"/>
    <w:link w:val="SangradetextonormalCar"/>
    <w:uiPriority w:val="99"/>
    <w:rsid w:val="00DF15C3"/>
    <w:pPr>
      <w:spacing w:after="120" w:line="240" w:lineRule="auto"/>
      <w:ind w:left="360"/>
    </w:pPr>
    <w:rPr>
      <w:rFonts w:ascii="Times New Roman" w:eastAsia="MS Mincho" w:hAnsi="Times New Roman"/>
      <w:sz w:val="24"/>
      <w:szCs w:val="24"/>
      <w:lang w:val="es-AR"/>
    </w:rPr>
  </w:style>
  <w:style w:type="character" w:customStyle="1" w:styleId="SangradetextonormalCar">
    <w:name w:val="Sangría de texto normal Car"/>
    <w:link w:val="Sangradetextonormal"/>
    <w:uiPriority w:val="99"/>
    <w:rsid w:val="00DF15C3"/>
    <w:rPr>
      <w:rFonts w:ascii="Times New Roman" w:eastAsia="MS Mincho" w:hAnsi="Times New Roman" w:cs="Times New Roman"/>
      <w:sz w:val="24"/>
      <w:szCs w:val="24"/>
      <w:lang w:val="es-AR"/>
    </w:rPr>
  </w:style>
  <w:style w:type="character" w:customStyle="1" w:styleId="tccabeceratexto1">
    <w:name w:val="tccabeceratexto1"/>
    <w:rsid w:val="00DF15C3"/>
    <w:rPr>
      <w:rFonts w:ascii="Verdana" w:hAnsi="Verdana" w:hint="default"/>
      <w:b w:val="0"/>
      <w:bCs w:val="0"/>
      <w:i w:val="0"/>
      <w:iCs w:val="0"/>
      <w:smallCaps w:val="0"/>
      <w:color w:val="000000"/>
      <w:sz w:val="18"/>
      <w:szCs w:val="18"/>
    </w:rPr>
  </w:style>
  <w:style w:type="character" w:customStyle="1" w:styleId="apple-converted-space">
    <w:name w:val="apple-converted-space"/>
    <w:basedOn w:val="Fuentedeprrafopredeter"/>
    <w:rsid w:val="00DF15C3"/>
  </w:style>
  <w:style w:type="character" w:customStyle="1" w:styleId="MapadeldocumentoCar">
    <w:name w:val="Mapa del documento Car"/>
    <w:link w:val="Mapadeldocumento"/>
    <w:uiPriority w:val="99"/>
    <w:semiHidden/>
    <w:rsid w:val="00DF15C3"/>
    <w:rPr>
      <w:rFonts w:ascii="Tahoma" w:eastAsia="Times New Roman" w:hAnsi="Tahoma" w:cs="Times New Roman"/>
      <w:sz w:val="16"/>
      <w:szCs w:val="16"/>
      <w:lang w:val="es-ES_tradnl"/>
    </w:rPr>
  </w:style>
  <w:style w:type="paragraph" w:styleId="Mapadeldocumento">
    <w:name w:val="Document Map"/>
    <w:basedOn w:val="Normal"/>
    <w:link w:val="MapadeldocumentoCar"/>
    <w:uiPriority w:val="99"/>
    <w:semiHidden/>
    <w:unhideWhenUsed/>
    <w:rsid w:val="00DF15C3"/>
    <w:pPr>
      <w:spacing w:after="0" w:line="240" w:lineRule="auto"/>
    </w:pPr>
    <w:rPr>
      <w:rFonts w:ascii="Tahoma" w:hAnsi="Tahoma"/>
      <w:sz w:val="16"/>
      <w:szCs w:val="16"/>
      <w:lang w:val="es-ES_tradnl"/>
    </w:rPr>
  </w:style>
  <w:style w:type="character" w:customStyle="1" w:styleId="DocumentMapChar1">
    <w:name w:val="Document Map Char1"/>
    <w:uiPriority w:val="99"/>
    <w:semiHidden/>
    <w:rsid w:val="00DF15C3"/>
    <w:rPr>
      <w:rFonts w:ascii="Tahoma" w:hAnsi="Tahoma" w:cs="Tahoma"/>
      <w:sz w:val="16"/>
      <w:szCs w:val="16"/>
      <w:lang w:val="en-US"/>
    </w:rPr>
  </w:style>
  <w:style w:type="paragraph" w:styleId="TDC5">
    <w:name w:val="toc 5"/>
    <w:basedOn w:val="Normal"/>
    <w:next w:val="Normal"/>
    <w:autoRedefine/>
    <w:uiPriority w:val="39"/>
    <w:unhideWhenUsed/>
    <w:rsid w:val="00DF15C3"/>
    <w:pPr>
      <w:tabs>
        <w:tab w:val="right" w:leader="dot" w:pos="8931"/>
      </w:tabs>
      <w:spacing w:after="0"/>
      <w:ind w:right="-561"/>
      <w:jc w:val="both"/>
    </w:pPr>
  </w:style>
  <w:style w:type="character" w:customStyle="1" w:styleId="ju-005fpara-002cleft-002cfirst-0020line-003a-0020-00200-0020cm--char">
    <w:name w:val="ju-005fpara-002cleft-002cfirst-0020line-003a-0020-00200-0020cm--char"/>
    <w:basedOn w:val="Fuentedeprrafopredeter"/>
    <w:rsid w:val="00DF15C3"/>
  </w:style>
  <w:style w:type="character" w:customStyle="1" w:styleId="ju-005fpara--char">
    <w:name w:val="ju-005fpara--char"/>
    <w:basedOn w:val="Fuentedeprrafopredeter"/>
    <w:rsid w:val="00DF15C3"/>
  </w:style>
  <w:style w:type="character" w:customStyle="1" w:styleId="ju--005fpara--002cleft--002cfirst--0020line--003a--0020--00200--0020cm----char--char">
    <w:name w:val="ju--005fpara--002cleft--002cfirst--0020line--003a--0020--00200--0020cm----char--char"/>
    <w:basedOn w:val="Fuentedeprrafopredeter"/>
    <w:rsid w:val="00DF15C3"/>
  </w:style>
  <w:style w:type="paragraph" w:customStyle="1" w:styleId="Normal1">
    <w:name w:val="Normal1"/>
    <w:basedOn w:val="Normal"/>
    <w:uiPriority w:val="99"/>
    <w:rsid w:val="00DF15C3"/>
    <w:pPr>
      <w:spacing w:before="100" w:beforeAutospacing="1" w:after="100" w:afterAutospacing="1" w:line="240" w:lineRule="auto"/>
    </w:pPr>
    <w:rPr>
      <w:rFonts w:ascii="Times New Roman" w:hAnsi="Times New Roman"/>
      <w:sz w:val="24"/>
      <w:szCs w:val="24"/>
    </w:rPr>
  </w:style>
  <w:style w:type="paragraph" w:customStyle="1" w:styleId="PrrafodeSentencia">
    <w:name w:val="*. Párrafo de Sentencia"/>
    <w:basedOn w:val="Normal"/>
    <w:autoRedefine/>
    <w:qFormat/>
    <w:rsid w:val="00DF15C3"/>
    <w:pPr>
      <w:spacing w:after="0" w:line="240" w:lineRule="auto"/>
      <w:ind w:left="567"/>
      <w:jc w:val="both"/>
    </w:pPr>
    <w:rPr>
      <w:rFonts w:ascii="Verdana" w:eastAsia="Batang" w:hAnsi="Verdana"/>
      <w:i/>
      <w:sz w:val="20"/>
      <w:szCs w:val="20"/>
      <w:lang w:val="es-CL"/>
    </w:rPr>
  </w:style>
  <w:style w:type="character" w:customStyle="1" w:styleId="FootnotesChar">
    <w:name w:val="**. Footnotes Char"/>
    <w:rsid w:val="00DF15C3"/>
    <w:rPr>
      <w:rFonts w:ascii="Verdana" w:eastAsia="Times New Roman" w:hAnsi="Verdana"/>
      <w:bCs/>
      <w:iCs/>
      <w:sz w:val="16"/>
      <w:szCs w:val="16"/>
      <w:lang w:val="es-ES"/>
    </w:rPr>
  </w:style>
  <w:style w:type="paragraph" w:customStyle="1" w:styleId="Footnotes">
    <w:name w:val="**. Footnotes"/>
    <w:basedOn w:val="Textonotapie"/>
    <w:autoRedefine/>
    <w:qFormat/>
    <w:rsid w:val="00DF15C3"/>
    <w:pPr>
      <w:jc w:val="both"/>
    </w:pPr>
    <w:rPr>
      <w:rFonts w:ascii="Verdana" w:eastAsia="Times New Roman" w:hAnsi="Verdana"/>
      <w:bCs/>
      <w:iCs/>
      <w:sz w:val="16"/>
      <w:szCs w:val="16"/>
      <w:lang w:val="es-ES"/>
    </w:rPr>
  </w:style>
  <w:style w:type="character" w:styleId="nfasis">
    <w:name w:val="Emphasis"/>
    <w:uiPriority w:val="20"/>
    <w:qFormat/>
    <w:rsid w:val="00DF15C3"/>
    <w:rPr>
      <w:i/>
      <w:iCs/>
    </w:rPr>
  </w:style>
  <w:style w:type="paragraph" w:customStyle="1" w:styleId="Bullet2G">
    <w:name w:val="_Bullet 2_G"/>
    <w:basedOn w:val="Normal"/>
    <w:rsid w:val="00DF15C3"/>
    <w:pPr>
      <w:numPr>
        <w:numId w:val="7"/>
      </w:numPr>
      <w:spacing w:after="120" w:line="240" w:lineRule="atLeast"/>
      <w:ind w:right="1134"/>
      <w:jc w:val="both"/>
    </w:pPr>
    <w:rPr>
      <w:rFonts w:ascii="Times New Roman" w:hAnsi="Times New Roman"/>
      <w:sz w:val="16"/>
      <w:szCs w:val="20"/>
      <w:lang w:val="es-ES" w:eastAsia="es-ES"/>
    </w:rPr>
  </w:style>
  <w:style w:type="character" w:customStyle="1" w:styleId="FootnoteTextChar3">
    <w:name w:val="Footnote Text Char3"/>
    <w:aliases w:val="Footnote Text Char Char Char Char Char Char3,Footnote Text Char Char Char Char Char4,Footnote reference Char3,FA Fu Char3,Footnote Text Char Char Char Char4,Footnote Text Cha Char3,FA Fußnotentext Char3,FA Fuﬂnotentext Char3,Ca Char3"/>
    <w:uiPriority w:val="99"/>
    <w:rsid w:val="00DF15C3"/>
    <w:rPr>
      <w:rFonts w:ascii="Verdana" w:eastAsia="Times New Roman" w:hAnsi="Verdana" w:cs="Verdana"/>
      <w:sz w:val="16"/>
      <w:szCs w:val="16"/>
      <w:lang w:val="es-ES_tradnl"/>
    </w:rPr>
  </w:style>
  <w:style w:type="character" w:customStyle="1" w:styleId="Textoindependiente2Car">
    <w:name w:val="Texto independiente 2 Car"/>
    <w:link w:val="Textoindependiente2"/>
    <w:uiPriority w:val="99"/>
    <w:semiHidden/>
    <w:rsid w:val="00DF15C3"/>
    <w:rPr>
      <w:rFonts w:ascii="Calibri" w:eastAsia="Calibri" w:hAnsi="Calibri" w:cs="Times New Roman"/>
      <w:sz w:val="16"/>
      <w:szCs w:val="20"/>
    </w:rPr>
  </w:style>
  <w:style w:type="paragraph" w:styleId="Textoindependiente2">
    <w:name w:val="Body Text 2"/>
    <w:basedOn w:val="Normal"/>
    <w:link w:val="Textoindependiente2Car"/>
    <w:uiPriority w:val="99"/>
    <w:semiHidden/>
    <w:unhideWhenUsed/>
    <w:rsid w:val="00DF15C3"/>
    <w:pPr>
      <w:spacing w:after="120" w:line="480" w:lineRule="auto"/>
    </w:pPr>
    <w:rPr>
      <w:rFonts w:eastAsia="Calibri"/>
      <w:sz w:val="16"/>
      <w:szCs w:val="20"/>
      <w:lang w:val="es-CR"/>
    </w:rPr>
  </w:style>
  <w:style w:type="character" w:customStyle="1" w:styleId="BodyText2Char1">
    <w:name w:val="Body Text 2 Char1"/>
    <w:uiPriority w:val="99"/>
    <w:semiHidden/>
    <w:rsid w:val="00DF15C3"/>
    <w:rPr>
      <w:lang w:val="en-US"/>
    </w:rPr>
  </w:style>
  <w:style w:type="character" w:styleId="Textoennegrita">
    <w:name w:val="Strong"/>
    <w:qFormat/>
    <w:rsid w:val="00DF15C3"/>
    <w:rPr>
      <w:b/>
      <w:bCs/>
    </w:rPr>
  </w:style>
  <w:style w:type="character" w:customStyle="1" w:styleId="destacado">
    <w:name w:val="destacado"/>
    <w:basedOn w:val="Fuentedeprrafopredeter"/>
    <w:rsid w:val="00DF15C3"/>
  </w:style>
  <w:style w:type="paragraph" w:customStyle="1" w:styleId="Sangradetindependiente">
    <w:name w:val="Sangría de t. independiente"/>
    <w:basedOn w:val="Normal"/>
    <w:rsid w:val="00DF15C3"/>
    <w:pPr>
      <w:spacing w:after="0" w:line="240" w:lineRule="auto"/>
      <w:jc w:val="both"/>
    </w:pPr>
    <w:rPr>
      <w:rFonts w:ascii="Helvetica" w:hAnsi="Helvetica"/>
      <w:sz w:val="18"/>
      <w:szCs w:val="20"/>
      <w:lang w:val="es-ES_tradnl" w:eastAsia="es-CR"/>
    </w:rPr>
  </w:style>
  <w:style w:type="paragraph" w:styleId="TDC6">
    <w:name w:val="toc 6"/>
    <w:basedOn w:val="Normal"/>
    <w:next w:val="Normal"/>
    <w:autoRedefine/>
    <w:uiPriority w:val="39"/>
    <w:unhideWhenUsed/>
    <w:rsid w:val="00DF15C3"/>
    <w:pPr>
      <w:tabs>
        <w:tab w:val="right" w:leader="dot" w:pos="8931"/>
      </w:tabs>
      <w:spacing w:after="0"/>
      <w:ind w:right="-561"/>
    </w:pPr>
  </w:style>
  <w:style w:type="paragraph" w:styleId="TDC7">
    <w:name w:val="toc 7"/>
    <w:basedOn w:val="Normal"/>
    <w:next w:val="Normal"/>
    <w:autoRedefine/>
    <w:uiPriority w:val="39"/>
    <w:unhideWhenUsed/>
    <w:rsid w:val="00DF15C3"/>
    <w:pPr>
      <w:spacing w:after="0"/>
    </w:pPr>
  </w:style>
  <w:style w:type="paragraph" w:styleId="TDC8">
    <w:name w:val="toc 8"/>
    <w:basedOn w:val="Normal"/>
    <w:next w:val="Normal"/>
    <w:autoRedefine/>
    <w:uiPriority w:val="39"/>
    <w:unhideWhenUsed/>
    <w:rsid w:val="00DF15C3"/>
    <w:pPr>
      <w:spacing w:after="0"/>
    </w:pPr>
  </w:style>
  <w:style w:type="paragraph" w:styleId="TDC9">
    <w:name w:val="toc 9"/>
    <w:basedOn w:val="Normal"/>
    <w:next w:val="Normal"/>
    <w:autoRedefine/>
    <w:uiPriority w:val="39"/>
    <w:unhideWhenUsed/>
    <w:rsid w:val="00DF15C3"/>
    <w:pPr>
      <w:spacing w:after="0"/>
    </w:pPr>
  </w:style>
  <w:style w:type="paragraph" w:customStyle="1" w:styleId="Estilo2">
    <w:name w:val="Estilo2"/>
    <w:basedOn w:val="Normal"/>
    <w:link w:val="Estilo2Car"/>
    <w:qFormat/>
    <w:rsid w:val="00DF15C3"/>
    <w:pPr>
      <w:tabs>
        <w:tab w:val="left" w:pos="567"/>
        <w:tab w:val="left" w:pos="1134"/>
      </w:tabs>
      <w:spacing w:after="120" w:line="240" w:lineRule="auto"/>
      <w:ind w:firstLine="357"/>
      <w:jc w:val="both"/>
    </w:pPr>
    <w:rPr>
      <w:rFonts w:ascii="Verdana" w:eastAsia="Calibri" w:hAnsi="Verdana"/>
      <w:sz w:val="20"/>
      <w:szCs w:val="20"/>
      <w:lang w:val="es-ES_tradnl"/>
    </w:rPr>
  </w:style>
  <w:style w:type="character" w:customStyle="1" w:styleId="Sangra2detindependienteCar">
    <w:name w:val="Sangría 2 de t. independiente Car"/>
    <w:link w:val="Sangra2detindependiente"/>
    <w:uiPriority w:val="99"/>
    <w:semiHidden/>
    <w:rsid w:val="00DF15C3"/>
    <w:rPr>
      <w:rFonts w:ascii="Verdana" w:eastAsia="Times New Roman" w:hAnsi="Verdana" w:cs="Times New Roman"/>
      <w:sz w:val="16"/>
      <w:szCs w:val="20"/>
      <w:lang w:val="es-ES_tradnl"/>
    </w:rPr>
  </w:style>
  <w:style w:type="paragraph" w:styleId="Sangra2detindependiente">
    <w:name w:val="Body Text Indent 2"/>
    <w:basedOn w:val="Normal"/>
    <w:link w:val="Sangra2detindependienteCar"/>
    <w:uiPriority w:val="99"/>
    <w:semiHidden/>
    <w:unhideWhenUsed/>
    <w:rsid w:val="00DF15C3"/>
    <w:pPr>
      <w:spacing w:after="120" w:line="480" w:lineRule="auto"/>
      <w:ind w:left="360"/>
    </w:pPr>
    <w:rPr>
      <w:rFonts w:ascii="Verdana" w:hAnsi="Verdana"/>
      <w:sz w:val="16"/>
      <w:szCs w:val="20"/>
      <w:lang w:val="es-ES_tradnl"/>
    </w:rPr>
  </w:style>
  <w:style w:type="character" w:customStyle="1" w:styleId="BodyTextIndent2Char1">
    <w:name w:val="Body Text Indent 2 Char1"/>
    <w:uiPriority w:val="99"/>
    <w:semiHidden/>
    <w:rsid w:val="00DF15C3"/>
    <w:rPr>
      <w:lang w:val="en-US"/>
    </w:rPr>
  </w:style>
  <w:style w:type="paragraph" w:customStyle="1" w:styleId="Estilo7">
    <w:name w:val="Estilo7"/>
    <w:basedOn w:val="Normal"/>
    <w:qFormat/>
    <w:rsid w:val="00DF15C3"/>
    <w:pPr>
      <w:tabs>
        <w:tab w:val="left" w:pos="567"/>
        <w:tab w:val="left" w:pos="851"/>
        <w:tab w:val="num" w:pos="2160"/>
      </w:tabs>
      <w:spacing w:before="120" w:after="120" w:line="240" w:lineRule="auto"/>
      <w:ind w:left="2160" w:hanging="180"/>
      <w:jc w:val="both"/>
    </w:pPr>
    <w:rPr>
      <w:rFonts w:ascii="Verdana" w:eastAsia="Batang" w:hAnsi="Verdana"/>
      <w:b/>
      <w:i/>
      <w:sz w:val="20"/>
      <w:szCs w:val="20"/>
      <w:lang w:val="es-ES_tradnl"/>
    </w:rPr>
  </w:style>
  <w:style w:type="character" w:customStyle="1" w:styleId="shorttext">
    <w:name w:val="short_text"/>
    <w:basedOn w:val="Fuentedeprrafopredeter"/>
    <w:rsid w:val="00DF15C3"/>
  </w:style>
  <w:style w:type="character" w:customStyle="1" w:styleId="shorttext0">
    <w:name w:val="shorttext"/>
    <w:basedOn w:val="Fuentedeprrafopredeter"/>
    <w:rsid w:val="00DF15C3"/>
  </w:style>
  <w:style w:type="character" w:styleId="MquinadeescribirHTML">
    <w:name w:val="HTML Typewriter"/>
    <w:rsid w:val="00DF15C3"/>
    <w:rPr>
      <w:rFonts w:ascii="Courier New" w:eastAsia="Times New Roman" w:hAnsi="Courier New" w:cs="Courier New"/>
      <w:sz w:val="20"/>
      <w:szCs w:val="20"/>
    </w:rPr>
  </w:style>
  <w:style w:type="paragraph" w:styleId="Textodebloque">
    <w:name w:val="Block Text"/>
    <w:basedOn w:val="Normal"/>
    <w:rsid w:val="00DF15C3"/>
    <w:pPr>
      <w:spacing w:after="0" w:line="240" w:lineRule="auto"/>
      <w:ind w:left="720" w:right="720"/>
      <w:jc w:val="both"/>
    </w:pPr>
    <w:rPr>
      <w:rFonts w:ascii="Verdana" w:eastAsia="Times" w:hAnsi="Verdana"/>
      <w:color w:val="000000"/>
      <w:sz w:val="18"/>
      <w:szCs w:val="20"/>
      <w:lang w:val="es-ES_tradnl"/>
    </w:rPr>
  </w:style>
  <w:style w:type="character" w:styleId="Nmerodelnea">
    <w:name w:val="line number"/>
    <w:basedOn w:val="Fuentedeprrafopredeter"/>
    <w:uiPriority w:val="99"/>
    <w:semiHidden/>
    <w:unhideWhenUsed/>
    <w:rsid w:val="00DF15C3"/>
  </w:style>
  <w:style w:type="character" w:styleId="Refdenotaalfinal">
    <w:name w:val="endnote reference"/>
    <w:uiPriority w:val="99"/>
    <w:semiHidden/>
    <w:unhideWhenUsed/>
    <w:rsid w:val="00DF15C3"/>
    <w:rPr>
      <w:vertAlign w:val="superscript"/>
    </w:rPr>
  </w:style>
  <w:style w:type="paragraph" w:styleId="Revisin">
    <w:name w:val="Revision"/>
    <w:hidden/>
    <w:uiPriority w:val="99"/>
    <w:semiHidden/>
    <w:rsid w:val="00DF15C3"/>
    <w:rPr>
      <w:sz w:val="22"/>
      <w:szCs w:val="22"/>
      <w:lang w:val="en-US" w:eastAsia="es-MX"/>
    </w:rPr>
  </w:style>
  <w:style w:type="character" w:customStyle="1" w:styleId="st">
    <w:name w:val="st"/>
    <w:basedOn w:val="Fuentedeprrafopredeter"/>
    <w:rsid w:val="00DF15C3"/>
  </w:style>
  <w:style w:type="character" w:styleId="Hipervnculovisitado">
    <w:name w:val="FollowedHyperlink"/>
    <w:uiPriority w:val="99"/>
    <w:semiHidden/>
    <w:unhideWhenUsed/>
    <w:rsid w:val="00DF15C3"/>
    <w:rPr>
      <w:color w:val="800080"/>
      <w:u w:val="single"/>
    </w:rPr>
  </w:style>
  <w:style w:type="character" w:customStyle="1" w:styleId="Estilo2Car">
    <w:name w:val="Estilo2 Car"/>
    <w:link w:val="Estilo2"/>
    <w:locked/>
    <w:rsid w:val="001E0DBB"/>
    <w:rPr>
      <w:rFonts w:ascii="Verdana" w:eastAsia="Calibri" w:hAnsi="Verdana" w:cs="Times New Roman"/>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19514">
      <w:bodyDiv w:val="1"/>
      <w:marLeft w:val="0"/>
      <w:marRight w:val="0"/>
      <w:marTop w:val="0"/>
      <w:marBottom w:val="0"/>
      <w:divBdr>
        <w:top w:val="none" w:sz="0" w:space="0" w:color="auto"/>
        <w:left w:val="none" w:sz="0" w:space="0" w:color="auto"/>
        <w:bottom w:val="none" w:sz="0" w:space="0" w:color="auto"/>
        <w:right w:val="none" w:sz="0" w:space="0" w:color="auto"/>
      </w:divBdr>
    </w:div>
    <w:div w:id="1852210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ine.gob.gt/np/snvcm/inde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cicig.org/uploads/documents/informes/INFOR-LABO_DOC05_20100901_ES.pdf" TargetMode="External"/><Relationship Id="rId13" Type="http://schemas.openxmlformats.org/officeDocument/2006/relationships/hyperlink" Target="http://www.lexadin.nl/wlg/legis/nofr/oeur/arch/gua/CodigoProcesalPenal.pdf" TargetMode="External"/><Relationship Id="rId18" Type="http://schemas.openxmlformats.org/officeDocument/2006/relationships/hyperlink" Target="http://www.bjdh.org.mx/BJDH/busqueda" TargetMode="External"/><Relationship Id="rId3" Type="http://schemas.openxmlformats.org/officeDocument/2006/relationships/hyperlink" Target="http://www.ine.gob.gt/np/snvcm/index" TargetMode="External"/><Relationship Id="rId21" Type="http://schemas.openxmlformats.org/officeDocument/2006/relationships/hyperlink" Target="http://noticiasguate.com/el-inacif-podria-desaparecer/" TargetMode="External"/><Relationship Id="rId7" Type="http://schemas.openxmlformats.org/officeDocument/2006/relationships/hyperlink" Target="http://www.derechoshumanos.net/lesahumanidad/informes/guatemala/Informe-Final-Minugua.pdf" TargetMode="External"/><Relationship Id="rId12" Type="http://schemas.openxmlformats.org/officeDocument/2006/relationships/hyperlink" Target="http://www.un.org/womenwatch/daw/cedaw/35sess.htm" TargetMode="External"/><Relationship Id="rId17" Type="http://schemas.openxmlformats.org/officeDocument/2006/relationships/hyperlink" Target="http://www.ine.gob.gt/np/snvcm/index" TargetMode="External"/><Relationship Id="rId2" Type="http://schemas.openxmlformats.org/officeDocument/2006/relationships/hyperlink" Target="http://www.ine.gob.gt/np/snvcm/index" TargetMode="External"/><Relationship Id="rId16" Type="http://schemas.openxmlformats.org/officeDocument/2006/relationships/hyperlink" Target="http://www.cidh.org/countryrep/Guatemala2003sp/indice.htm" TargetMode="External"/><Relationship Id="rId20" Type="http://schemas.openxmlformats.org/officeDocument/2006/relationships/hyperlink" Target="http://joomla.corteidh.or.cr:8080/joomla/es/jurisprudencia-oc-simple/38-jurisprudencia/2114-corte-idh-caso-gutierrez-y-familia-vs-argentina-fondo-reparaciones-y-costas-sentencia-de-25-de-noviembre-de-2013-serie-c-no-271" TargetMode="External"/><Relationship Id="rId1" Type="http://schemas.openxmlformats.org/officeDocument/2006/relationships/hyperlink" Target="http://www.oas.org/es/cidh/audiencias/Hearings.aspx?Lang=En&amp;Session=8" TargetMode="External"/><Relationship Id="rId6" Type="http://schemas.openxmlformats.org/officeDocument/2006/relationships/hyperlink" Target="http://www.who.int/violence_injury_prevention/violence/national_activities/informe_estadistico_violencia_guatemala.pdf" TargetMode="External"/><Relationship Id="rId11" Type="http://schemas.openxmlformats.org/officeDocument/2006/relationships/hyperlink" Target="http://www.impunitywatch.org/docs/BCR_Guatemala_Spanish.pdf" TargetMode="External"/><Relationship Id="rId5" Type="http://schemas.openxmlformats.org/officeDocument/2006/relationships/hyperlink" Target="http://www.oas.org/es/mesecvi/docs/Questionnaire1-GuatemalaResponse.doc" TargetMode="External"/><Relationship Id="rId15" Type="http://schemas.openxmlformats.org/officeDocument/2006/relationships/hyperlink" Target="http://www.cidh.org/countryrep/guatemala01sp/indice.htm" TargetMode="External"/><Relationship Id="rId10" Type="http://schemas.openxmlformats.org/officeDocument/2006/relationships/hyperlink" Target="http://www.pbi-guatemala.org/fileadmin/user_files/projects/guatemala/files/spanish/10anos.pdf" TargetMode="External"/><Relationship Id="rId19" Type="http://schemas.openxmlformats.org/officeDocument/2006/relationships/hyperlink" Target="http://joomla.corteidh.or.cr:8080/joomla/es/casos-contenciosos/38-jurisprudencia/2121-corte-idh-caso-osorio-rivera-y-familiares-vs-peru-excepciones-preliminares-fondo-reparaciones-y-costas-sentencia-de-26-de-noviembre-de-2013-serie-c-no-274" TargetMode="External"/><Relationship Id="rId4" Type="http://schemas.openxmlformats.org/officeDocument/2006/relationships/hyperlink" Target="http://www.iom.int/seguridad-fronteriza/lit/land/cap2_2.pdf" TargetMode="External"/><Relationship Id="rId9" Type="http://schemas.openxmlformats.org/officeDocument/2006/relationships/hyperlink" Target="http://www.cicig.org/uploads/documents/2013/COM-045-20130822-DOC01-ES.pdf" TargetMode="External"/><Relationship Id="rId14" Type="http://schemas.openxmlformats.org/officeDocument/2006/relationships/hyperlink" Target="http://www.un.org/esa/gopher-data/conf/fwcw/conf/gov/950914133159.tx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34F304-49F7-43C7-9D76-E0ABB230E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70</Pages>
  <Words>48355</Words>
  <Characters>265954</Characters>
  <Application>Microsoft Office Word</Application>
  <DocSecurity>0</DocSecurity>
  <Lines>2216</Lines>
  <Paragraphs>627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313682</CharactersWithSpaces>
  <SharedDoc>false</SharedDoc>
  <HLinks>
    <vt:vector size="684" baseType="variant">
      <vt:variant>
        <vt:i4>458829</vt:i4>
      </vt:variant>
      <vt:variant>
        <vt:i4>525</vt:i4>
      </vt:variant>
      <vt:variant>
        <vt:i4>0</vt:i4>
      </vt:variant>
      <vt:variant>
        <vt:i4>5</vt:i4>
      </vt:variant>
      <vt:variant>
        <vt:lpwstr>http://www.ine.gob.gt/np/snvcm/index</vt:lpwstr>
      </vt:variant>
      <vt:variant>
        <vt:lpwstr/>
      </vt:variant>
      <vt:variant>
        <vt:i4>1835057</vt:i4>
      </vt:variant>
      <vt:variant>
        <vt:i4>518</vt:i4>
      </vt:variant>
      <vt:variant>
        <vt:i4>0</vt:i4>
      </vt:variant>
      <vt:variant>
        <vt:i4>5</vt:i4>
      </vt:variant>
      <vt:variant>
        <vt:lpwstr/>
      </vt:variant>
      <vt:variant>
        <vt:lpwstr>_Toc394313722</vt:lpwstr>
      </vt:variant>
      <vt:variant>
        <vt:i4>1835057</vt:i4>
      </vt:variant>
      <vt:variant>
        <vt:i4>515</vt:i4>
      </vt:variant>
      <vt:variant>
        <vt:i4>0</vt:i4>
      </vt:variant>
      <vt:variant>
        <vt:i4>5</vt:i4>
      </vt:variant>
      <vt:variant>
        <vt:lpwstr/>
      </vt:variant>
      <vt:variant>
        <vt:lpwstr>_Toc394313721</vt:lpwstr>
      </vt:variant>
      <vt:variant>
        <vt:i4>1835057</vt:i4>
      </vt:variant>
      <vt:variant>
        <vt:i4>509</vt:i4>
      </vt:variant>
      <vt:variant>
        <vt:i4>0</vt:i4>
      </vt:variant>
      <vt:variant>
        <vt:i4>5</vt:i4>
      </vt:variant>
      <vt:variant>
        <vt:lpwstr/>
      </vt:variant>
      <vt:variant>
        <vt:lpwstr>_Toc394313720</vt:lpwstr>
      </vt:variant>
      <vt:variant>
        <vt:i4>2031665</vt:i4>
      </vt:variant>
      <vt:variant>
        <vt:i4>503</vt:i4>
      </vt:variant>
      <vt:variant>
        <vt:i4>0</vt:i4>
      </vt:variant>
      <vt:variant>
        <vt:i4>5</vt:i4>
      </vt:variant>
      <vt:variant>
        <vt:lpwstr/>
      </vt:variant>
      <vt:variant>
        <vt:lpwstr>_Toc394313718</vt:lpwstr>
      </vt:variant>
      <vt:variant>
        <vt:i4>2031665</vt:i4>
      </vt:variant>
      <vt:variant>
        <vt:i4>497</vt:i4>
      </vt:variant>
      <vt:variant>
        <vt:i4>0</vt:i4>
      </vt:variant>
      <vt:variant>
        <vt:i4>5</vt:i4>
      </vt:variant>
      <vt:variant>
        <vt:lpwstr/>
      </vt:variant>
      <vt:variant>
        <vt:lpwstr>_Toc394313717</vt:lpwstr>
      </vt:variant>
      <vt:variant>
        <vt:i4>2031665</vt:i4>
      </vt:variant>
      <vt:variant>
        <vt:i4>491</vt:i4>
      </vt:variant>
      <vt:variant>
        <vt:i4>0</vt:i4>
      </vt:variant>
      <vt:variant>
        <vt:i4>5</vt:i4>
      </vt:variant>
      <vt:variant>
        <vt:lpwstr/>
      </vt:variant>
      <vt:variant>
        <vt:lpwstr>_Toc394313716</vt:lpwstr>
      </vt:variant>
      <vt:variant>
        <vt:i4>2031665</vt:i4>
      </vt:variant>
      <vt:variant>
        <vt:i4>485</vt:i4>
      </vt:variant>
      <vt:variant>
        <vt:i4>0</vt:i4>
      </vt:variant>
      <vt:variant>
        <vt:i4>5</vt:i4>
      </vt:variant>
      <vt:variant>
        <vt:lpwstr/>
      </vt:variant>
      <vt:variant>
        <vt:lpwstr>_Toc394313715</vt:lpwstr>
      </vt:variant>
      <vt:variant>
        <vt:i4>2031665</vt:i4>
      </vt:variant>
      <vt:variant>
        <vt:i4>479</vt:i4>
      </vt:variant>
      <vt:variant>
        <vt:i4>0</vt:i4>
      </vt:variant>
      <vt:variant>
        <vt:i4>5</vt:i4>
      </vt:variant>
      <vt:variant>
        <vt:lpwstr/>
      </vt:variant>
      <vt:variant>
        <vt:lpwstr>_Toc394313714</vt:lpwstr>
      </vt:variant>
      <vt:variant>
        <vt:i4>2031665</vt:i4>
      </vt:variant>
      <vt:variant>
        <vt:i4>473</vt:i4>
      </vt:variant>
      <vt:variant>
        <vt:i4>0</vt:i4>
      </vt:variant>
      <vt:variant>
        <vt:i4>5</vt:i4>
      </vt:variant>
      <vt:variant>
        <vt:lpwstr/>
      </vt:variant>
      <vt:variant>
        <vt:lpwstr>_Toc394313713</vt:lpwstr>
      </vt:variant>
      <vt:variant>
        <vt:i4>2031665</vt:i4>
      </vt:variant>
      <vt:variant>
        <vt:i4>467</vt:i4>
      </vt:variant>
      <vt:variant>
        <vt:i4>0</vt:i4>
      </vt:variant>
      <vt:variant>
        <vt:i4>5</vt:i4>
      </vt:variant>
      <vt:variant>
        <vt:lpwstr/>
      </vt:variant>
      <vt:variant>
        <vt:lpwstr>_Toc394313712</vt:lpwstr>
      </vt:variant>
      <vt:variant>
        <vt:i4>2031665</vt:i4>
      </vt:variant>
      <vt:variant>
        <vt:i4>461</vt:i4>
      </vt:variant>
      <vt:variant>
        <vt:i4>0</vt:i4>
      </vt:variant>
      <vt:variant>
        <vt:i4>5</vt:i4>
      </vt:variant>
      <vt:variant>
        <vt:lpwstr/>
      </vt:variant>
      <vt:variant>
        <vt:lpwstr>_Toc394313711</vt:lpwstr>
      </vt:variant>
      <vt:variant>
        <vt:i4>2031665</vt:i4>
      </vt:variant>
      <vt:variant>
        <vt:i4>455</vt:i4>
      </vt:variant>
      <vt:variant>
        <vt:i4>0</vt:i4>
      </vt:variant>
      <vt:variant>
        <vt:i4>5</vt:i4>
      </vt:variant>
      <vt:variant>
        <vt:lpwstr/>
      </vt:variant>
      <vt:variant>
        <vt:lpwstr>_Toc394313710</vt:lpwstr>
      </vt:variant>
      <vt:variant>
        <vt:i4>1966129</vt:i4>
      </vt:variant>
      <vt:variant>
        <vt:i4>449</vt:i4>
      </vt:variant>
      <vt:variant>
        <vt:i4>0</vt:i4>
      </vt:variant>
      <vt:variant>
        <vt:i4>5</vt:i4>
      </vt:variant>
      <vt:variant>
        <vt:lpwstr/>
      </vt:variant>
      <vt:variant>
        <vt:lpwstr>_Toc394313709</vt:lpwstr>
      </vt:variant>
      <vt:variant>
        <vt:i4>1966129</vt:i4>
      </vt:variant>
      <vt:variant>
        <vt:i4>443</vt:i4>
      </vt:variant>
      <vt:variant>
        <vt:i4>0</vt:i4>
      </vt:variant>
      <vt:variant>
        <vt:i4>5</vt:i4>
      </vt:variant>
      <vt:variant>
        <vt:lpwstr/>
      </vt:variant>
      <vt:variant>
        <vt:lpwstr>_Toc394313708</vt:lpwstr>
      </vt:variant>
      <vt:variant>
        <vt:i4>1966129</vt:i4>
      </vt:variant>
      <vt:variant>
        <vt:i4>437</vt:i4>
      </vt:variant>
      <vt:variant>
        <vt:i4>0</vt:i4>
      </vt:variant>
      <vt:variant>
        <vt:i4>5</vt:i4>
      </vt:variant>
      <vt:variant>
        <vt:lpwstr/>
      </vt:variant>
      <vt:variant>
        <vt:lpwstr>_Toc394313707</vt:lpwstr>
      </vt:variant>
      <vt:variant>
        <vt:i4>1966129</vt:i4>
      </vt:variant>
      <vt:variant>
        <vt:i4>431</vt:i4>
      </vt:variant>
      <vt:variant>
        <vt:i4>0</vt:i4>
      </vt:variant>
      <vt:variant>
        <vt:i4>5</vt:i4>
      </vt:variant>
      <vt:variant>
        <vt:lpwstr/>
      </vt:variant>
      <vt:variant>
        <vt:lpwstr>_Toc394313706</vt:lpwstr>
      </vt:variant>
      <vt:variant>
        <vt:i4>1966129</vt:i4>
      </vt:variant>
      <vt:variant>
        <vt:i4>425</vt:i4>
      </vt:variant>
      <vt:variant>
        <vt:i4>0</vt:i4>
      </vt:variant>
      <vt:variant>
        <vt:i4>5</vt:i4>
      </vt:variant>
      <vt:variant>
        <vt:lpwstr/>
      </vt:variant>
      <vt:variant>
        <vt:lpwstr>_Toc394313705</vt:lpwstr>
      </vt:variant>
      <vt:variant>
        <vt:i4>1966129</vt:i4>
      </vt:variant>
      <vt:variant>
        <vt:i4>419</vt:i4>
      </vt:variant>
      <vt:variant>
        <vt:i4>0</vt:i4>
      </vt:variant>
      <vt:variant>
        <vt:i4>5</vt:i4>
      </vt:variant>
      <vt:variant>
        <vt:lpwstr/>
      </vt:variant>
      <vt:variant>
        <vt:lpwstr>_Toc394313704</vt:lpwstr>
      </vt:variant>
      <vt:variant>
        <vt:i4>1966129</vt:i4>
      </vt:variant>
      <vt:variant>
        <vt:i4>413</vt:i4>
      </vt:variant>
      <vt:variant>
        <vt:i4>0</vt:i4>
      </vt:variant>
      <vt:variant>
        <vt:i4>5</vt:i4>
      </vt:variant>
      <vt:variant>
        <vt:lpwstr/>
      </vt:variant>
      <vt:variant>
        <vt:lpwstr>_Toc394313703</vt:lpwstr>
      </vt:variant>
      <vt:variant>
        <vt:i4>1966129</vt:i4>
      </vt:variant>
      <vt:variant>
        <vt:i4>407</vt:i4>
      </vt:variant>
      <vt:variant>
        <vt:i4>0</vt:i4>
      </vt:variant>
      <vt:variant>
        <vt:i4>5</vt:i4>
      </vt:variant>
      <vt:variant>
        <vt:lpwstr/>
      </vt:variant>
      <vt:variant>
        <vt:lpwstr>_Toc394313702</vt:lpwstr>
      </vt:variant>
      <vt:variant>
        <vt:i4>1966129</vt:i4>
      </vt:variant>
      <vt:variant>
        <vt:i4>401</vt:i4>
      </vt:variant>
      <vt:variant>
        <vt:i4>0</vt:i4>
      </vt:variant>
      <vt:variant>
        <vt:i4>5</vt:i4>
      </vt:variant>
      <vt:variant>
        <vt:lpwstr/>
      </vt:variant>
      <vt:variant>
        <vt:lpwstr>_Toc394313701</vt:lpwstr>
      </vt:variant>
      <vt:variant>
        <vt:i4>1966129</vt:i4>
      </vt:variant>
      <vt:variant>
        <vt:i4>395</vt:i4>
      </vt:variant>
      <vt:variant>
        <vt:i4>0</vt:i4>
      </vt:variant>
      <vt:variant>
        <vt:i4>5</vt:i4>
      </vt:variant>
      <vt:variant>
        <vt:lpwstr/>
      </vt:variant>
      <vt:variant>
        <vt:lpwstr>_Toc394313700</vt:lpwstr>
      </vt:variant>
      <vt:variant>
        <vt:i4>1507376</vt:i4>
      </vt:variant>
      <vt:variant>
        <vt:i4>389</vt:i4>
      </vt:variant>
      <vt:variant>
        <vt:i4>0</vt:i4>
      </vt:variant>
      <vt:variant>
        <vt:i4>5</vt:i4>
      </vt:variant>
      <vt:variant>
        <vt:lpwstr/>
      </vt:variant>
      <vt:variant>
        <vt:lpwstr>_Toc394313699</vt:lpwstr>
      </vt:variant>
      <vt:variant>
        <vt:i4>1507376</vt:i4>
      </vt:variant>
      <vt:variant>
        <vt:i4>383</vt:i4>
      </vt:variant>
      <vt:variant>
        <vt:i4>0</vt:i4>
      </vt:variant>
      <vt:variant>
        <vt:i4>5</vt:i4>
      </vt:variant>
      <vt:variant>
        <vt:lpwstr/>
      </vt:variant>
      <vt:variant>
        <vt:lpwstr>_Toc394313698</vt:lpwstr>
      </vt:variant>
      <vt:variant>
        <vt:i4>1507376</vt:i4>
      </vt:variant>
      <vt:variant>
        <vt:i4>377</vt:i4>
      </vt:variant>
      <vt:variant>
        <vt:i4>0</vt:i4>
      </vt:variant>
      <vt:variant>
        <vt:i4>5</vt:i4>
      </vt:variant>
      <vt:variant>
        <vt:lpwstr/>
      </vt:variant>
      <vt:variant>
        <vt:lpwstr>_Toc394313697</vt:lpwstr>
      </vt:variant>
      <vt:variant>
        <vt:i4>1507376</vt:i4>
      </vt:variant>
      <vt:variant>
        <vt:i4>371</vt:i4>
      </vt:variant>
      <vt:variant>
        <vt:i4>0</vt:i4>
      </vt:variant>
      <vt:variant>
        <vt:i4>5</vt:i4>
      </vt:variant>
      <vt:variant>
        <vt:lpwstr/>
      </vt:variant>
      <vt:variant>
        <vt:lpwstr>_Toc394313696</vt:lpwstr>
      </vt:variant>
      <vt:variant>
        <vt:i4>1507376</vt:i4>
      </vt:variant>
      <vt:variant>
        <vt:i4>365</vt:i4>
      </vt:variant>
      <vt:variant>
        <vt:i4>0</vt:i4>
      </vt:variant>
      <vt:variant>
        <vt:i4>5</vt:i4>
      </vt:variant>
      <vt:variant>
        <vt:lpwstr/>
      </vt:variant>
      <vt:variant>
        <vt:lpwstr>_Toc394313695</vt:lpwstr>
      </vt:variant>
      <vt:variant>
        <vt:i4>1507376</vt:i4>
      </vt:variant>
      <vt:variant>
        <vt:i4>359</vt:i4>
      </vt:variant>
      <vt:variant>
        <vt:i4>0</vt:i4>
      </vt:variant>
      <vt:variant>
        <vt:i4>5</vt:i4>
      </vt:variant>
      <vt:variant>
        <vt:lpwstr/>
      </vt:variant>
      <vt:variant>
        <vt:lpwstr>_Toc394313694</vt:lpwstr>
      </vt:variant>
      <vt:variant>
        <vt:i4>1507376</vt:i4>
      </vt:variant>
      <vt:variant>
        <vt:i4>353</vt:i4>
      </vt:variant>
      <vt:variant>
        <vt:i4>0</vt:i4>
      </vt:variant>
      <vt:variant>
        <vt:i4>5</vt:i4>
      </vt:variant>
      <vt:variant>
        <vt:lpwstr/>
      </vt:variant>
      <vt:variant>
        <vt:lpwstr>_Toc394313693</vt:lpwstr>
      </vt:variant>
      <vt:variant>
        <vt:i4>1507376</vt:i4>
      </vt:variant>
      <vt:variant>
        <vt:i4>347</vt:i4>
      </vt:variant>
      <vt:variant>
        <vt:i4>0</vt:i4>
      </vt:variant>
      <vt:variant>
        <vt:i4>5</vt:i4>
      </vt:variant>
      <vt:variant>
        <vt:lpwstr/>
      </vt:variant>
      <vt:variant>
        <vt:lpwstr>_Toc394313692</vt:lpwstr>
      </vt:variant>
      <vt:variant>
        <vt:i4>1507376</vt:i4>
      </vt:variant>
      <vt:variant>
        <vt:i4>341</vt:i4>
      </vt:variant>
      <vt:variant>
        <vt:i4>0</vt:i4>
      </vt:variant>
      <vt:variant>
        <vt:i4>5</vt:i4>
      </vt:variant>
      <vt:variant>
        <vt:lpwstr/>
      </vt:variant>
      <vt:variant>
        <vt:lpwstr>_Toc394313691</vt:lpwstr>
      </vt:variant>
      <vt:variant>
        <vt:i4>1507376</vt:i4>
      </vt:variant>
      <vt:variant>
        <vt:i4>335</vt:i4>
      </vt:variant>
      <vt:variant>
        <vt:i4>0</vt:i4>
      </vt:variant>
      <vt:variant>
        <vt:i4>5</vt:i4>
      </vt:variant>
      <vt:variant>
        <vt:lpwstr/>
      </vt:variant>
      <vt:variant>
        <vt:lpwstr>_Toc394313690</vt:lpwstr>
      </vt:variant>
      <vt:variant>
        <vt:i4>1441840</vt:i4>
      </vt:variant>
      <vt:variant>
        <vt:i4>332</vt:i4>
      </vt:variant>
      <vt:variant>
        <vt:i4>0</vt:i4>
      </vt:variant>
      <vt:variant>
        <vt:i4>5</vt:i4>
      </vt:variant>
      <vt:variant>
        <vt:lpwstr/>
      </vt:variant>
      <vt:variant>
        <vt:lpwstr>_Toc394313689</vt:lpwstr>
      </vt:variant>
      <vt:variant>
        <vt:i4>1441840</vt:i4>
      </vt:variant>
      <vt:variant>
        <vt:i4>326</vt:i4>
      </vt:variant>
      <vt:variant>
        <vt:i4>0</vt:i4>
      </vt:variant>
      <vt:variant>
        <vt:i4>5</vt:i4>
      </vt:variant>
      <vt:variant>
        <vt:lpwstr/>
      </vt:variant>
      <vt:variant>
        <vt:lpwstr>_Toc394313688</vt:lpwstr>
      </vt:variant>
      <vt:variant>
        <vt:i4>1441840</vt:i4>
      </vt:variant>
      <vt:variant>
        <vt:i4>320</vt:i4>
      </vt:variant>
      <vt:variant>
        <vt:i4>0</vt:i4>
      </vt:variant>
      <vt:variant>
        <vt:i4>5</vt:i4>
      </vt:variant>
      <vt:variant>
        <vt:lpwstr/>
      </vt:variant>
      <vt:variant>
        <vt:lpwstr>_Toc394313687</vt:lpwstr>
      </vt:variant>
      <vt:variant>
        <vt:i4>1441840</vt:i4>
      </vt:variant>
      <vt:variant>
        <vt:i4>314</vt:i4>
      </vt:variant>
      <vt:variant>
        <vt:i4>0</vt:i4>
      </vt:variant>
      <vt:variant>
        <vt:i4>5</vt:i4>
      </vt:variant>
      <vt:variant>
        <vt:lpwstr/>
      </vt:variant>
      <vt:variant>
        <vt:lpwstr>_Toc394313686</vt:lpwstr>
      </vt:variant>
      <vt:variant>
        <vt:i4>1441840</vt:i4>
      </vt:variant>
      <vt:variant>
        <vt:i4>311</vt:i4>
      </vt:variant>
      <vt:variant>
        <vt:i4>0</vt:i4>
      </vt:variant>
      <vt:variant>
        <vt:i4>5</vt:i4>
      </vt:variant>
      <vt:variant>
        <vt:lpwstr/>
      </vt:variant>
      <vt:variant>
        <vt:lpwstr>_Toc394313685</vt:lpwstr>
      </vt:variant>
      <vt:variant>
        <vt:i4>1441840</vt:i4>
      </vt:variant>
      <vt:variant>
        <vt:i4>305</vt:i4>
      </vt:variant>
      <vt:variant>
        <vt:i4>0</vt:i4>
      </vt:variant>
      <vt:variant>
        <vt:i4>5</vt:i4>
      </vt:variant>
      <vt:variant>
        <vt:lpwstr/>
      </vt:variant>
      <vt:variant>
        <vt:lpwstr>_Toc394313684</vt:lpwstr>
      </vt:variant>
      <vt:variant>
        <vt:i4>1441840</vt:i4>
      </vt:variant>
      <vt:variant>
        <vt:i4>299</vt:i4>
      </vt:variant>
      <vt:variant>
        <vt:i4>0</vt:i4>
      </vt:variant>
      <vt:variant>
        <vt:i4>5</vt:i4>
      </vt:variant>
      <vt:variant>
        <vt:lpwstr/>
      </vt:variant>
      <vt:variant>
        <vt:lpwstr>_Toc394313683</vt:lpwstr>
      </vt:variant>
      <vt:variant>
        <vt:i4>1441840</vt:i4>
      </vt:variant>
      <vt:variant>
        <vt:i4>293</vt:i4>
      </vt:variant>
      <vt:variant>
        <vt:i4>0</vt:i4>
      </vt:variant>
      <vt:variant>
        <vt:i4>5</vt:i4>
      </vt:variant>
      <vt:variant>
        <vt:lpwstr/>
      </vt:variant>
      <vt:variant>
        <vt:lpwstr>_Toc394313682</vt:lpwstr>
      </vt:variant>
      <vt:variant>
        <vt:i4>1441840</vt:i4>
      </vt:variant>
      <vt:variant>
        <vt:i4>287</vt:i4>
      </vt:variant>
      <vt:variant>
        <vt:i4>0</vt:i4>
      </vt:variant>
      <vt:variant>
        <vt:i4>5</vt:i4>
      </vt:variant>
      <vt:variant>
        <vt:lpwstr/>
      </vt:variant>
      <vt:variant>
        <vt:lpwstr>_Toc394313681</vt:lpwstr>
      </vt:variant>
      <vt:variant>
        <vt:i4>1441840</vt:i4>
      </vt:variant>
      <vt:variant>
        <vt:i4>281</vt:i4>
      </vt:variant>
      <vt:variant>
        <vt:i4>0</vt:i4>
      </vt:variant>
      <vt:variant>
        <vt:i4>5</vt:i4>
      </vt:variant>
      <vt:variant>
        <vt:lpwstr/>
      </vt:variant>
      <vt:variant>
        <vt:lpwstr>_Toc394313680</vt:lpwstr>
      </vt:variant>
      <vt:variant>
        <vt:i4>1638448</vt:i4>
      </vt:variant>
      <vt:variant>
        <vt:i4>275</vt:i4>
      </vt:variant>
      <vt:variant>
        <vt:i4>0</vt:i4>
      </vt:variant>
      <vt:variant>
        <vt:i4>5</vt:i4>
      </vt:variant>
      <vt:variant>
        <vt:lpwstr/>
      </vt:variant>
      <vt:variant>
        <vt:lpwstr>_Toc394313679</vt:lpwstr>
      </vt:variant>
      <vt:variant>
        <vt:i4>1638448</vt:i4>
      </vt:variant>
      <vt:variant>
        <vt:i4>269</vt:i4>
      </vt:variant>
      <vt:variant>
        <vt:i4>0</vt:i4>
      </vt:variant>
      <vt:variant>
        <vt:i4>5</vt:i4>
      </vt:variant>
      <vt:variant>
        <vt:lpwstr/>
      </vt:variant>
      <vt:variant>
        <vt:lpwstr>_Toc394313678</vt:lpwstr>
      </vt:variant>
      <vt:variant>
        <vt:i4>1638448</vt:i4>
      </vt:variant>
      <vt:variant>
        <vt:i4>263</vt:i4>
      </vt:variant>
      <vt:variant>
        <vt:i4>0</vt:i4>
      </vt:variant>
      <vt:variant>
        <vt:i4>5</vt:i4>
      </vt:variant>
      <vt:variant>
        <vt:lpwstr/>
      </vt:variant>
      <vt:variant>
        <vt:lpwstr>_Toc394313677</vt:lpwstr>
      </vt:variant>
      <vt:variant>
        <vt:i4>1638448</vt:i4>
      </vt:variant>
      <vt:variant>
        <vt:i4>257</vt:i4>
      </vt:variant>
      <vt:variant>
        <vt:i4>0</vt:i4>
      </vt:variant>
      <vt:variant>
        <vt:i4>5</vt:i4>
      </vt:variant>
      <vt:variant>
        <vt:lpwstr/>
      </vt:variant>
      <vt:variant>
        <vt:lpwstr>_Toc394313676</vt:lpwstr>
      </vt:variant>
      <vt:variant>
        <vt:i4>1638448</vt:i4>
      </vt:variant>
      <vt:variant>
        <vt:i4>254</vt:i4>
      </vt:variant>
      <vt:variant>
        <vt:i4>0</vt:i4>
      </vt:variant>
      <vt:variant>
        <vt:i4>5</vt:i4>
      </vt:variant>
      <vt:variant>
        <vt:lpwstr/>
      </vt:variant>
      <vt:variant>
        <vt:lpwstr>_Toc394313675</vt:lpwstr>
      </vt:variant>
      <vt:variant>
        <vt:i4>1638448</vt:i4>
      </vt:variant>
      <vt:variant>
        <vt:i4>248</vt:i4>
      </vt:variant>
      <vt:variant>
        <vt:i4>0</vt:i4>
      </vt:variant>
      <vt:variant>
        <vt:i4>5</vt:i4>
      </vt:variant>
      <vt:variant>
        <vt:lpwstr/>
      </vt:variant>
      <vt:variant>
        <vt:lpwstr>_Toc394313674</vt:lpwstr>
      </vt:variant>
      <vt:variant>
        <vt:i4>1638448</vt:i4>
      </vt:variant>
      <vt:variant>
        <vt:i4>242</vt:i4>
      </vt:variant>
      <vt:variant>
        <vt:i4>0</vt:i4>
      </vt:variant>
      <vt:variant>
        <vt:i4>5</vt:i4>
      </vt:variant>
      <vt:variant>
        <vt:lpwstr/>
      </vt:variant>
      <vt:variant>
        <vt:lpwstr>_Toc394313673</vt:lpwstr>
      </vt:variant>
      <vt:variant>
        <vt:i4>1638448</vt:i4>
      </vt:variant>
      <vt:variant>
        <vt:i4>236</vt:i4>
      </vt:variant>
      <vt:variant>
        <vt:i4>0</vt:i4>
      </vt:variant>
      <vt:variant>
        <vt:i4>5</vt:i4>
      </vt:variant>
      <vt:variant>
        <vt:lpwstr/>
      </vt:variant>
      <vt:variant>
        <vt:lpwstr>_Toc394313672</vt:lpwstr>
      </vt:variant>
      <vt:variant>
        <vt:i4>1638448</vt:i4>
      </vt:variant>
      <vt:variant>
        <vt:i4>230</vt:i4>
      </vt:variant>
      <vt:variant>
        <vt:i4>0</vt:i4>
      </vt:variant>
      <vt:variant>
        <vt:i4>5</vt:i4>
      </vt:variant>
      <vt:variant>
        <vt:lpwstr/>
      </vt:variant>
      <vt:variant>
        <vt:lpwstr>_Toc394313671</vt:lpwstr>
      </vt:variant>
      <vt:variant>
        <vt:i4>1638448</vt:i4>
      </vt:variant>
      <vt:variant>
        <vt:i4>224</vt:i4>
      </vt:variant>
      <vt:variant>
        <vt:i4>0</vt:i4>
      </vt:variant>
      <vt:variant>
        <vt:i4>5</vt:i4>
      </vt:variant>
      <vt:variant>
        <vt:lpwstr/>
      </vt:variant>
      <vt:variant>
        <vt:lpwstr>_Toc394313670</vt:lpwstr>
      </vt:variant>
      <vt:variant>
        <vt:i4>1572912</vt:i4>
      </vt:variant>
      <vt:variant>
        <vt:i4>218</vt:i4>
      </vt:variant>
      <vt:variant>
        <vt:i4>0</vt:i4>
      </vt:variant>
      <vt:variant>
        <vt:i4>5</vt:i4>
      </vt:variant>
      <vt:variant>
        <vt:lpwstr/>
      </vt:variant>
      <vt:variant>
        <vt:lpwstr>_Toc394313669</vt:lpwstr>
      </vt:variant>
      <vt:variant>
        <vt:i4>1572912</vt:i4>
      </vt:variant>
      <vt:variant>
        <vt:i4>212</vt:i4>
      </vt:variant>
      <vt:variant>
        <vt:i4>0</vt:i4>
      </vt:variant>
      <vt:variant>
        <vt:i4>5</vt:i4>
      </vt:variant>
      <vt:variant>
        <vt:lpwstr/>
      </vt:variant>
      <vt:variant>
        <vt:lpwstr>_Toc394313668</vt:lpwstr>
      </vt:variant>
      <vt:variant>
        <vt:i4>1572912</vt:i4>
      </vt:variant>
      <vt:variant>
        <vt:i4>209</vt:i4>
      </vt:variant>
      <vt:variant>
        <vt:i4>0</vt:i4>
      </vt:variant>
      <vt:variant>
        <vt:i4>5</vt:i4>
      </vt:variant>
      <vt:variant>
        <vt:lpwstr/>
      </vt:variant>
      <vt:variant>
        <vt:lpwstr>_Toc394313667</vt:lpwstr>
      </vt:variant>
      <vt:variant>
        <vt:i4>1572912</vt:i4>
      </vt:variant>
      <vt:variant>
        <vt:i4>203</vt:i4>
      </vt:variant>
      <vt:variant>
        <vt:i4>0</vt:i4>
      </vt:variant>
      <vt:variant>
        <vt:i4>5</vt:i4>
      </vt:variant>
      <vt:variant>
        <vt:lpwstr/>
      </vt:variant>
      <vt:variant>
        <vt:lpwstr>_Toc394313666</vt:lpwstr>
      </vt:variant>
      <vt:variant>
        <vt:i4>1572912</vt:i4>
      </vt:variant>
      <vt:variant>
        <vt:i4>197</vt:i4>
      </vt:variant>
      <vt:variant>
        <vt:i4>0</vt:i4>
      </vt:variant>
      <vt:variant>
        <vt:i4>5</vt:i4>
      </vt:variant>
      <vt:variant>
        <vt:lpwstr/>
      </vt:variant>
      <vt:variant>
        <vt:lpwstr>_Toc394313665</vt:lpwstr>
      </vt:variant>
      <vt:variant>
        <vt:i4>1572912</vt:i4>
      </vt:variant>
      <vt:variant>
        <vt:i4>191</vt:i4>
      </vt:variant>
      <vt:variant>
        <vt:i4>0</vt:i4>
      </vt:variant>
      <vt:variant>
        <vt:i4>5</vt:i4>
      </vt:variant>
      <vt:variant>
        <vt:lpwstr/>
      </vt:variant>
      <vt:variant>
        <vt:lpwstr>_Toc394313664</vt:lpwstr>
      </vt:variant>
      <vt:variant>
        <vt:i4>1572912</vt:i4>
      </vt:variant>
      <vt:variant>
        <vt:i4>185</vt:i4>
      </vt:variant>
      <vt:variant>
        <vt:i4>0</vt:i4>
      </vt:variant>
      <vt:variant>
        <vt:i4>5</vt:i4>
      </vt:variant>
      <vt:variant>
        <vt:lpwstr/>
      </vt:variant>
      <vt:variant>
        <vt:lpwstr>_Toc394313663</vt:lpwstr>
      </vt:variant>
      <vt:variant>
        <vt:i4>1572912</vt:i4>
      </vt:variant>
      <vt:variant>
        <vt:i4>179</vt:i4>
      </vt:variant>
      <vt:variant>
        <vt:i4>0</vt:i4>
      </vt:variant>
      <vt:variant>
        <vt:i4>5</vt:i4>
      </vt:variant>
      <vt:variant>
        <vt:lpwstr/>
      </vt:variant>
      <vt:variant>
        <vt:lpwstr>_Toc394313662</vt:lpwstr>
      </vt:variant>
      <vt:variant>
        <vt:i4>1572912</vt:i4>
      </vt:variant>
      <vt:variant>
        <vt:i4>173</vt:i4>
      </vt:variant>
      <vt:variant>
        <vt:i4>0</vt:i4>
      </vt:variant>
      <vt:variant>
        <vt:i4>5</vt:i4>
      </vt:variant>
      <vt:variant>
        <vt:lpwstr/>
      </vt:variant>
      <vt:variant>
        <vt:lpwstr>_Toc394313661</vt:lpwstr>
      </vt:variant>
      <vt:variant>
        <vt:i4>1572912</vt:i4>
      </vt:variant>
      <vt:variant>
        <vt:i4>167</vt:i4>
      </vt:variant>
      <vt:variant>
        <vt:i4>0</vt:i4>
      </vt:variant>
      <vt:variant>
        <vt:i4>5</vt:i4>
      </vt:variant>
      <vt:variant>
        <vt:lpwstr/>
      </vt:variant>
      <vt:variant>
        <vt:lpwstr>_Toc394313660</vt:lpwstr>
      </vt:variant>
      <vt:variant>
        <vt:i4>1769520</vt:i4>
      </vt:variant>
      <vt:variant>
        <vt:i4>161</vt:i4>
      </vt:variant>
      <vt:variant>
        <vt:i4>0</vt:i4>
      </vt:variant>
      <vt:variant>
        <vt:i4>5</vt:i4>
      </vt:variant>
      <vt:variant>
        <vt:lpwstr/>
      </vt:variant>
      <vt:variant>
        <vt:lpwstr>_Toc394313659</vt:lpwstr>
      </vt:variant>
      <vt:variant>
        <vt:i4>1769520</vt:i4>
      </vt:variant>
      <vt:variant>
        <vt:i4>155</vt:i4>
      </vt:variant>
      <vt:variant>
        <vt:i4>0</vt:i4>
      </vt:variant>
      <vt:variant>
        <vt:i4>5</vt:i4>
      </vt:variant>
      <vt:variant>
        <vt:lpwstr/>
      </vt:variant>
      <vt:variant>
        <vt:lpwstr>_Toc394313658</vt:lpwstr>
      </vt:variant>
      <vt:variant>
        <vt:i4>1769520</vt:i4>
      </vt:variant>
      <vt:variant>
        <vt:i4>149</vt:i4>
      </vt:variant>
      <vt:variant>
        <vt:i4>0</vt:i4>
      </vt:variant>
      <vt:variant>
        <vt:i4>5</vt:i4>
      </vt:variant>
      <vt:variant>
        <vt:lpwstr/>
      </vt:variant>
      <vt:variant>
        <vt:lpwstr>_Toc394313657</vt:lpwstr>
      </vt:variant>
      <vt:variant>
        <vt:i4>1769520</vt:i4>
      </vt:variant>
      <vt:variant>
        <vt:i4>146</vt:i4>
      </vt:variant>
      <vt:variant>
        <vt:i4>0</vt:i4>
      </vt:variant>
      <vt:variant>
        <vt:i4>5</vt:i4>
      </vt:variant>
      <vt:variant>
        <vt:lpwstr/>
      </vt:variant>
      <vt:variant>
        <vt:lpwstr>_Toc394313656</vt:lpwstr>
      </vt:variant>
      <vt:variant>
        <vt:i4>1769520</vt:i4>
      </vt:variant>
      <vt:variant>
        <vt:i4>140</vt:i4>
      </vt:variant>
      <vt:variant>
        <vt:i4>0</vt:i4>
      </vt:variant>
      <vt:variant>
        <vt:i4>5</vt:i4>
      </vt:variant>
      <vt:variant>
        <vt:lpwstr/>
      </vt:variant>
      <vt:variant>
        <vt:lpwstr>_Toc394313655</vt:lpwstr>
      </vt:variant>
      <vt:variant>
        <vt:i4>1769520</vt:i4>
      </vt:variant>
      <vt:variant>
        <vt:i4>134</vt:i4>
      </vt:variant>
      <vt:variant>
        <vt:i4>0</vt:i4>
      </vt:variant>
      <vt:variant>
        <vt:i4>5</vt:i4>
      </vt:variant>
      <vt:variant>
        <vt:lpwstr/>
      </vt:variant>
      <vt:variant>
        <vt:lpwstr>_Toc394313654</vt:lpwstr>
      </vt:variant>
      <vt:variant>
        <vt:i4>1769520</vt:i4>
      </vt:variant>
      <vt:variant>
        <vt:i4>128</vt:i4>
      </vt:variant>
      <vt:variant>
        <vt:i4>0</vt:i4>
      </vt:variant>
      <vt:variant>
        <vt:i4>5</vt:i4>
      </vt:variant>
      <vt:variant>
        <vt:lpwstr/>
      </vt:variant>
      <vt:variant>
        <vt:lpwstr>_Toc394313653</vt:lpwstr>
      </vt:variant>
      <vt:variant>
        <vt:i4>1769520</vt:i4>
      </vt:variant>
      <vt:variant>
        <vt:i4>122</vt:i4>
      </vt:variant>
      <vt:variant>
        <vt:i4>0</vt:i4>
      </vt:variant>
      <vt:variant>
        <vt:i4>5</vt:i4>
      </vt:variant>
      <vt:variant>
        <vt:lpwstr/>
      </vt:variant>
      <vt:variant>
        <vt:lpwstr>_Toc394313652</vt:lpwstr>
      </vt:variant>
      <vt:variant>
        <vt:i4>1769520</vt:i4>
      </vt:variant>
      <vt:variant>
        <vt:i4>116</vt:i4>
      </vt:variant>
      <vt:variant>
        <vt:i4>0</vt:i4>
      </vt:variant>
      <vt:variant>
        <vt:i4>5</vt:i4>
      </vt:variant>
      <vt:variant>
        <vt:lpwstr/>
      </vt:variant>
      <vt:variant>
        <vt:lpwstr>_Toc394313651</vt:lpwstr>
      </vt:variant>
      <vt:variant>
        <vt:i4>1769520</vt:i4>
      </vt:variant>
      <vt:variant>
        <vt:i4>110</vt:i4>
      </vt:variant>
      <vt:variant>
        <vt:i4>0</vt:i4>
      </vt:variant>
      <vt:variant>
        <vt:i4>5</vt:i4>
      </vt:variant>
      <vt:variant>
        <vt:lpwstr/>
      </vt:variant>
      <vt:variant>
        <vt:lpwstr>_Toc394313650</vt:lpwstr>
      </vt:variant>
      <vt:variant>
        <vt:i4>1703984</vt:i4>
      </vt:variant>
      <vt:variant>
        <vt:i4>107</vt:i4>
      </vt:variant>
      <vt:variant>
        <vt:i4>0</vt:i4>
      </vt:variant>
      <vt:variant>
        <vt:i4>5</vt:i4>
      </vt:variant>
      <vt:variant>
        <vt:lpwstr/>
      </vt:variant>
      <vt:variant>
        <vt:lpwstr>_Toc394313649</vt:lpwstr>
      </vt:variant>
      <vt:variant>
        <vt:i4>1703984</vt:i4>
      </vt:variant>
      <vt:variant>
        <vt:i4>101</vt:i4>
      </vt:variant>
      <vt:variant>
        <vt:i4>0</vt:i4>
      </vt:variant>
      <vt:variant>
        <vt:i4>5</vt:i4>
      </vt:variant>
      <vt:variant>
        <vt:lpwstr/>
      </vt:variant>
      <vt:variant>
        <vt:lpwstr>_Toc394313648</vt:lpwstr>
      </vt:variant>
      <vt:variant>
        <vt:i4>1703984</vt:i4>
      </vt:variant>
      <vt:variant>
        <vt:i4>95</vt:i4>
      </vt:variant>
      <vt:variant>
        <vt:i4>0</vt:i4>
      </vt:variant>
      <vt:variant>
        <vt:i4>5</vt:i4>
      </vt:variant>
      <vt:variant>
        <vt:lpwstr/>
      </vt:variant>
      <vt:variant>
        <vt:lpwstr>_Toc394313647</vt:lpwstr>
      </vt:variant>
      <vt:variant>
        <vt:i4>1703984</vt:i4>
      </vt:variant>
      <vt:variant>
        <vt:i4>89</vt:i4>
      </vt:variant>
      <vt:variant>
        <vt:i4>0</vt:i4>
      </vt:variant>
      <vt:variant>
        <vt:i4>5</vt:i4>
      </vt:variant>
      <vt:variant>
        <vt:lpwstr/>
      </vt:variant>
      <vt:variant>
        <vt:lpwstr>_Toc394313646</vt:lpwstr>
      </vt:variant>
      <vt:variant>
        <vt:i4>1703984</vt:i4>
      </vt:variant>
      <vt:variant>
        <vt:i4>83</vt:i4>
      </vt:variant>
      <vt:variant>
        <vt:i4>0</vt:i4>
      </vt:variant>
      <vt:variant>
        <vt:i4>5</vt:i4>
      </vt:variant>
      <vt:variant>
        <vt:lpwstr/>
      </vt:variant>
      <vt:variant>
        <vt:lpwstr>_Toc394313645</vt:lpwstr>
      </vt:variant>
      <vt:variant>
        <vt:i4>1703984</vt:i4>
      </vt:variant>
      <vt:variant>
        <vt:i4>77</vt:i4>
      </vt:variant>
      <vt:variant>
        <vt:i4>0</vt:i4>
      </vt:variant>
      <vt:variant>
        <vt:i4>5</vt:i4>
      </vt:variant>
      <vt:variant>
        <vt:lpwstr/>
      </vt:variant>
      <vt:variant>
        <vt:lpwstr>_Toc394313644</vt:lpwstr>
      </vt:variant>
      <vt:variant>
        <vt:i4>1703984</vt:i4>
      </vt:variant>
      <vt:variant>
        <vt:i4>71</vt:i4>
      </vt:variant>
      <vt:variant>
        <vt:i4>0</vt:i4>
      </vt:variant>
      <vt:variant>
        <vt:i4>5</vt:i4>
      </vt:variant>
      <vt:variant>
        <vt:lpwstr/>
      </vt:variant>
      <vt:variant>
        <vt:lpwstr>_Toc394313643</vt:lpwstr>
      </vt:variant>
      <vt:variant>
        <vt:i4>1703984</vt:i4>
      </vt:variant>
      <vt:variant>
        <vt:i4>65</vt:i4>
      </vt:variant>
      <vt:variant>
        <vt:i4>0</vt:i4>
      </vt:variant>
      <vt:variant>
        <vt:i4>5</vt:i4>
      </vt:variant>
      <vt:variant>
        <vt:lpwstr/>
      </vt:variant>
      <vt:variant>
        <vt:lpwstr>_Toc394313642</vt:lpwstr>
      </vt:variant>
      <vt:variant>
        <vt:i4>1703984</vt:i4>
      </vt:variant>
      <vt:variant>
        <vt:i4>62</vt:i4>
      </vt:variant>
      <vt:variant>
        <vt:i4>0</vt:i4>
      </vt:variant>
      <vt:variant>
        <vt:i4>5</vt:i4>
      </vt:variant>
      <vt:variant>
        <vt:lpwstr/>
      </vt:variant>
      <vt:variant>
        <vt:lpwstr>_Toc394313641</vt:lpwstr>
      </vt:variant>
      <vt:variant>
        <vt:i4>1703984</vt:i4>
      </vt:variant>
      <vt:variant>
        <vt:i4>59</vt:i4>
      </vt:variant>
      <vt:variant>
        <vt:i4>0</vt:i4>
      </vt:variant>
      <vt:variant>
        <vt:i4>5</vt:i4>
      </vt:variant>
      <vt:variant>
        <vt:lpwstr/>
      </vt:variant>
      <vt:variant>
        <vt:lpwstr>_Toc394313640</vt:lpwstr>
      </vt:variant>
      <vt:variant>
        <vt:i4>1900592</vt:i4>
      </vt:variant>
      <vt:variant>
        <vt:i4>53</vt:i4>
      </vt:variant>
      <vt:variant>
        <vt:i4>0</vt:i4>
      </vt:variant>
      <vt:variant>
        <vt:i4>5</vt:i4>
      </vt:variant>
      <vt:variant>
        <vt:lpwstr/>
      </vt:variant>
      <vt:variant>
        <vt:lpwstr>_Toc394313639</vt:lpwstr>
      </vt:variant>
      <vt:variant>
        <vt:i4>1900592</vt:i4>
      </vt:variant>
      <vt:variant>
        <vt:i4>50</vt:i4>
      </vt:variant>
      <vt:variant>
        <vt:i4>0</vt:i4>
      </vt:variant>
      <vt:variant>
        <vt:i4>5</vt:i4>
      </vt:variant>
      <vt:variant>
        <vt:lpwstr/>
      </vt:variant>
      <vt:variant>
        <vt:lpwstr>_Toc394313638</vt:lpwstr>
      </vt:variant>
      <vt:variant>
        <vt:i4>1900592</vt:i4>
      </vt:variant>
      <vt:variant>
        <vt:i4>44</vt:i4>
      </vt:variant>
      <vt:variant>
        <vt:i4>0</vt:i4>
      </vt:variant>
      <vt:variant>
        <vt:i4>5</vt:i4>
      </vt:variant>
      <vt:variant>
        <vt:lpwstr/>
      </vt:variant>
      <vt:variant>
        <vt:lpwstr>_Toc394313637</vt:lpwstr>
      </vt:variant>
      <vt:variant>
        <vt:i4>1900592</vt:i4>
      </vt:variant>
      <vt:variant>
        <vt:i4>38</vt:i4>
      </vt:variant>
      <vt:variant>
        <vt:i4>0</vt:i4>
      </vt:variant>
      <vt:variant>
        <vt:i4>5</vt:i4>
      </vt:variant>
      <vt:variant>
        <vt:lpwstr/>
      </vt:variant>
      <vt:variant>
        <vt:lpwstr>_Toc394313636</vt:lpwstr>
      </vt:variant>
      <vt:variant>
        <vt:i4>1900592</vt:i4>
      </vt:variant>
      <vt:variant>
        <vt:i4>32</vt:i4>
      </vt:variant>
      <vt:variant>
        <vt:i4>0</vt:i4>
      </vt:variant>
      <vt:variant>
        <vt:i4>5</vt:i4>
      </vt:variant>
      <vt:variant>
        <vt:lpwstr/>
      </vt:variant>
      <vt:variant>
        <vt:lpwstr>_Toc394313635</vt:lpwstr>
      </vt:variant>
      <vt:variant>
        <vt:i4>1900592</vt:i4>
      </vt:variant>
      <vt:variant>
        <vt:i4>26</vt:i4>
      </vt:variant>
      <vt:variant>
        <vt:i4>0</vt:i4>
      </vt:variant>
      <vt:variant>
        <vt:i4>5</vt:i4>
      </vt:variant>
      <vt:variant>
        <vt:lpwstr/>
      </vt:variant>
      <vt:variant>
        <vt:lpwstr>_Toc394313634</vt:lpwstr>
      </vt:variant>
      <vt:variant>
        <vt:i4>1900592</vt:i4>
      </vt:variant>
      <vt:variant>
        <vt:i4>20</vt:i4>
      </vt:variant>
      <vt:variant>
        <vt:i4>0</vt:i4>
      </vt:variant>
      <vt:variant>
        <vt:i4>5</vt:i4>
      </vt:variant>
      <vt:variant>
        <vt:lpwstr/>
      </vt:variant>
      <vt:variant>
        <vt:lpwstr>_Toc394313633</vt:lpwstr>
      </vt:variant>
      <vt:variant>
        <vt:i4>1900592</vt:i4>
      </vt:variant>
      <vt:variant>
        <vt:i4>14</vt:i4>
      </vt:variant>
      <vt:variant>
        <vt:i4>0</vt:i4>
      </vt:variant>
      <vt:variant>
        <vt:i4>5</vt:i4>
      </vt:variant>
      <vt:variant>
        <vt:lpwstr/>
      </vt:variant>
      <vt:variant>
        <vt:lpwstr>_Toc394313632</vt:lpwstr>
      </vt:variant>
      <vt:variant>
        <vt:i4>1900592</vt:i4>
      </vt:variant>
      <vt:variant>
        <vt:i4>8</vt:i4>
      </vt:variant>
      <vt:variant>
        <vt:i4>0</vt:i4>
      </vt:variant>
      <vt:variant>
        <vt:i4>5</vt:i4>
      </vt:variant>
      <vt:variant>
        <vt:lpwstr/>
      </vt:variant>
      <vt:variant>
        <vt:lpwstr>_Toc394313630</vt:lpwstr>
      </vt:variant>
      <vt:variant>
        <vt:i4>1835056</vt:i4>
      </vt:variant>
      <vt:variant>
        <vt:i4>2</vt:i4>
      </vt:variant>
      <vt:variant>
        <vt:i4>0</vt:i4>
      </vt:variant>
      <vt:variant>
        <vt:i4>5</vt:i4>
      </vt:variant>
      <vt:variant>
        <vt:lpwstr/>
      </vt:variant>
      <vt:variant>
        <vt:lpwstr>_Toc394313629</vt:lpwstr>
      </vt:variant>
      <vt:variant>
        <vt:i4>6750242</vt:i4>
      </vt:variant>
      <vt:variant>
        <vt:i4>60</vt:i4>
      </vt:variant>
      <vt:variant>
        <vt:i4>0</vt:i4>
      </vt:variant>
      <vt:variant>
        <vt:i4>5</vt:i4>
      </vt:variant>
      <vt:variant>
        <vt:lpwstr>http://noticiasguate.com/el-inacif-podria-desaparecer/</vt:lpwstr>
      </vt:variant>
      <vt:variant>
        <vt:lpwstr/>
      </vt:variant>
      <vt:variant>
        <vt:i4>3342368</vt:i4>
      </vt:variant>
      <vt:variant>
        <vt:i4>57</vt:i4>
      </vt:variant>
      <vt:variant>
        <vt:i4>0</vt:i4>
      </vt:variant>
      <vt:variant>
        <vt:i4>5</vt:i4>
      </vt:variant>
      <vt:variant>
        <vt:lpwstr>http://joomla.corteidh.or.cr:8080/joomla/es/jurisprudencia-oc-simple/38-jurisprudencia/2114-corte-idh-caso-gutierrez-y-familia-vs-argentina-fondo-reparaciones-y-costas-sentencia-de-25-de-noviembre-de-2013-serie-c-no-271</vt:lpwstr>
      </vt:variant>
      <vt:variant>
        <vt:lpwstr/>
      </vt:variant>
      <vt:variant>
        <vt:i4>458832</vt:i4>
      </vt:variant>
      <vt:variant>
        <vt:i4>54</vt:i4>
      </vt:variant>
      <vt:variant>
        <vt:i4>0</vt:i4>
      </vt:variant>
      <vt:variant>
        <vt:i4>5</vt:i4>
      </vt:variant>
      <vt:variant>
        <vt:lpwstr>http://joomla.corteidh.or.cr:8080/joomla/es/casos-contenciosos/38-jurisprudencia/2121-corte-idh-caso-osorio-rivera-y-familiares-vs-peru-excepciones-preliminares-fondo-reparaciones-y-costas-sentencia-de-26-de-noviembre-de-2013-serie-c-no-274</vt:lpwstr>
      </vt:variant>
      <vt:variant>
        <vt:lpwstr/>
      </vt:variant>
      <vt:variant>
        <vt:i4>917530</vt:i4>
      </vt:variant>
      <vt:variant>
        <vt:i4>51</vt:i4>
      </vt:variant>
      <vt:variant>
        <vt:i4>0</vt:i4>
      </vt:variant>
      <vt:variant>
        <vt:i4>5</vt:i4>
      </vt:variant>
      <vt:variant>
        <vt:lpwstr>http://www.bjdh.org.mx/BJDH/busqueda</vt:lpwstr>
      </vt:variant>
      <vt:variant>
        <vt:lpwstr/>
      </vt:variant>
      <vt:variant>
        <vt:i4>458829</vt:i4>
      </vt:variant>
      <vt:variant>
        <vt:i4>48</vt:i4>
      </vt:variant>
      <vt:variant>
        <vt:i4>0</vt:i4>
      </vt:variant>
      <vt:variant>
        <vt:i4>5</vt:i4>
      </vt:variant>
      <vt:variant>
        <vt:lpwstr>http://www.ine.gob.gt/np/snvcm/index</vt:lpwstr>
      </vt:variant>
      <vt:variant>
        <vt:lpwstr/>
      </vt:variant>
      <vt:variant>
        <vt:i4>655452</vt:i4>
      </vt:variant>
      <vt:variant>
        <vt:i4>45</vt:i4>
      </vt:variant>
      <vt:variant>
        <vt:i4>0</vt:i4>
      </vt:variant>
      <vt:variant>
        <vt:i4>5</vt:i4>
      </vt:variant>
      <vt:variant>
        <vt:lpwstr>http://www.cidh.org/countryrep/Guatemala2003sp/indice.htm</vt:lpwstr>
      </vt:variant>
      <vt:variant>
        <vt:lpwstr/>
      </vt:variant>
      <vt:variant>
        <vt:i4>3670126</vt:i4>
      </vt:variant>
      <vt:variant>
        <vt:i4>42</vt:i4>
      </vt:variant>
      <vt:variant>
        <vt:i4>0</vt:i4>
      </vt:variant>
      <vt:variant>
        <vt:i4>5</vt:i4>
      </vt:variant>
      <vt:variant>
        <vt:lpwstr>http://www.cidh.org/countryrep/guatemala01sp/indice.htm</vt:lpwstr>
      </vt:variant>
      <vt:variant>
        <vt:lpwstr/>
      </vt:variant>
      <vt:variant>
        <vt:i4>5832794</vt:i4>
      </vt:variant>
      <vt:variant>
        <vt:i4>39</vt:i4>
      </vt:variant>
      <vt:variant>
        <vt:i4>0</vt:i4>
      </vt:variant>
      <vt:variant>
        <vt:i4>5</vt:i4>
      </vt:variant>
      <vt:variant>
        <vt:lpwstr>http://www.un.org/esa/gopher-data/conf/fwcw/conf/gov/950914133159.txt</vt:lpwstr>
      </vt:variant>
      <vt:variant>
        <vt:lpwstr/>
      </vt:variant>
      <vt:variant>
        <vt:i4>4128889</vt:i4>
      </vt:variant>
      <vt:variant>
        <vt:i4>36</vt:i4>
      </vt:variant>
      <vt:variant>
        <vt:i4>0</vt:i4>
      </vt:variant>
      <vt:variant>
        <vt:i4>5</vt:i4>
      </vt:variant>
      <vt:variant>
        <vt:lpwstr>http://www.lexadin.nl/wlg/legis/nofr/oeur/arch/gua/CodigoProcesalPenal.pdf</vt:lpwstr>
      </vt:variant>
      <vt:variant>
        <vt:lpwstr/>
      </vt:variant>
      <vt:variant>
        <vt:i4>4587585</vt:i4>
      </vt:variant>
      <vt:variant>
        <vt:i4>33</vt:i4>
      </vt:variant>
      <vt:variant>
        <vt:i4>0</vt:i4>
      </vt:variant>
      <vt:variant>
        <vt:i4>5</vt:i4>
      </vt:variant>
      <vt:variant>
        <vt:lpwstr>http://www.un.org/womenwatch/daw/cedaw/35sess.htm</vt:lpwstr>
      </vt:variant>
      <vt:variant>
        <vt:lpwstr/>
      </vt:variant>
      <vt:variant>
        <vt:i4>2555941</vt:i4>
      </vt:variant>
      <vt:variant>
        <vt:i4>30</vt:i4>
      </vt:variant>
      <vt:variant>
        <vt:i4>0</vt:i4>
      </vt:variant>
      <vt:variant>
        <vt:i4>5</vt:i4>
      </vt:variant>
      <vt:variant>
        <vt:lpwstr>http://www.impunitywatch.org/docs/BCR_Guatemala_Spanish.pdf</vt:lpwstr>
      </vt:variant>
      <vt:variant>
        <vt:lpwstr/>
      </vt:variant>
      <vt:variant>
        <vt:i4>2686984</vt:i4>
      </vt:variant>
      <vt:variant>
        <vt:i4>27</vt:i4>
      </vt:variant>
      <vt:variant>
        <vt:i4>0</vt:i4>
      </vt:variant>
      <vt:variant>
        <vt:i4>5</vt:i4>
      </vt:variant>
      <vt:variant>
        <vt:lpwstr>http://www.pbi-guatemala.org/fileadmin/user_files/projects/guatemala/files/spanish/10anos.pdf</vt:lpwstr>
      </vt:variant>
      <vt:variant>
        <vt:lpwstr/>
      </vt:variant>
      <vt:variant>
        <vt:i4>6225926</vt:i4>
      </vt:variant>
      <vt:variant>
        <vt:i4>24</vt:i4>
      </vt:variant>
      <vt:variant>
        <vt:i4>0</vt:i4>
      </vt:variant>
      <vt:variant>
        <vt:i4>5</vt:i4>
      </vt:variant>
      <vt:variant>
        <vt:lpwstr>http://www.cicig.org/uploads/documents/2013/COM-045-20130822-DOC01-ES.pdf</vt:lpwstr>
      </vt:variant>
      <vt:variant>
        <vt:lpwstr/>
      </vt:variant>
      <vt:variant>
        <vt:i4>2490439</vt:i4>
      </vt:variant>
      <vt:variant>
        <vt:i4>21</vt:i4>
      </vt:variant>
      <vt:variant>
        <vt:i4>0</vt:i4>
      </vt:variant>
      <vt:variant>
        <vt:i4>5</vt:i4>
      </vt:variant>
      <vt:variant>
        <vt:lpwstr>http://www.cicig.org/uploads/documents/informes/INFOR-LABO_DOC05_20100901_ES.pdf</vt:lpwstr>
      </vt:variant>
      <vt:variant>
        <vt:lpwstr/>
      </vt:variant>
      <vt:variant>
        <vt:i4>1572886</vt:i4>
      </vt:variant>
      <vt:variant>
        <vt:i4>18</vt:i4>
      </vt:variant>
      <vt:variant>
        <vt:i4>0</vt:i4>
      </vt:variant>
      <vt:variant>
        <vt:i4>5</vt:i4>
      </vt:variant>
      <vt:variant>
        <vt:lpwstr>http://www.derechoshumanos.net/lesahumanidad/informes/guatemala/Informe-Final-Minugua.pdf</vt:lpwstr>
      </vt:variant>
      <vt:variant>
        <vt:lpwstr/>
      </vt:variant>
      <vt:variant>
        <vt:i4>6750314</vt:i4>
      </vt:variant>
      <vt:variant>
        <vt:i4>15</vt:i4>
      </vt:variant>
      <vt:variant>
        <vt:i4>0</vt:i4>
      </vt:variant>
      <vt:variant>
        <vt:i4>5</vt:i4>
      </vt:variant>
      <vt:variant>
        <vt:lpwstr>http://www.who.int/violence_injury_prevention/violence/national_activities/informe_estadistico_violencia_guatemala.pdf</vt:lpwstr>
      </vt:variant>
      <vt:variant>
        <vt:lpwstr/>
      </vt:variant>
      <vt:variant>
        <vt:i4>2883639</vt:i4>
      </vt:variant>
      <vt:variant>
        <vt:i4>12</vt:i4>
      </vt:variant>
      <vt:variant>
        <vt:i4>0</vt:i4>
      </vt:variant>
      <vt:variant>
        <vt:i4>5</vt:i4>
      </vt:variant>
      <vt:variant>
        <vt:lpwstr>http://www.oas.org/es/mesecvi/docs/Questionnaire1-GuatemalaResponse.doc</vt:lpwstr>
      </vt:variant>
      <vt:variant>
        <vt:lpwstr/>
      </vt:variant>
      <vt:variant>
        <vt:i4>4915248</vt:i4>
      </vt:variant>
      <vt:variant>
        <vt:i4>9</vt:i4>
      </vt:variant>
      <vt:variant>
        <vt:i4>0</vt:i4>
      </vt:variant>
      <vt:variant>
        <vt:i4>5</vt:i4>
      </vt:variant>
      <vt:variant>
        <vt:lpwstr>http://www.iom.int/seguridad-fronteriza/lit/land/cap2_2.pdf</vt:lpwstr>
      </vt:variant>
      <vt:variant>
        <vt:lpwstr/>
      </vt:variant>
      <vt:variant>
        <vt:i4>458829</vt:i4>
      </vt:variant>
      <vt:variant>
        <vt:i4>6</vt:i4>
      </vt:variant>
      <vt:variant>
        <vt:i4>0</vt:i4>
      </vt:variant>
      <vt:variant>
        <vt:i4>5</vt:i4>
      </vt:variant>
      <vt:variant>
        <vt:lpwstr>http://www.ine.gob.gt/np/snvcm/index</vt:lpwstr>
      </vt:variant>
      <vt:variant>
        <vt:lpwstr/>
      </vt:variant>
      <vt:variant>
        <vt:i4>458829</vt:i4>
      </vt:variant>
      <vt:variant>
        <vt:i4>3</vt:i4>
      </vt:variant>
      <vt:variant>
        <vt:i4>0</vt:i4>
      </vt:variant>
      <vt:variant>
        <vt:i4>5</vt:i4>
      </vt:variant>
      <vt:variant>
        <vt:lpwstr>http://www.ine.gob.gt/np/snvcm/index</vt:lpwstr>
      </vt:variant>
      <vt:variant>
        <vt:lpwstr/>
      </vt:variant>
      <vt:variant>
        <vt:i4>1835013</vt:i4>
      </vt:variant>
      <vt:variant>
        <vt:i4>0</vt:i4>
      </vt:variant>
      <vt:variant>
        <vt:i4>0</vt:i4>
      </vt:variant>
      <vt:variant>
        <vt:i4>5</vt:i4>
      </vt:variant>
      <vt:variant>
        <vt:lpwstr>http://www.oas.org/es/cidh/audiencias/Hearings.aspx?Lang=En&amp;Session=8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2017-08-08T17:13:00Z</cp:lastPrinted>
  <dcterms:created xsi:type="dcterms:W3CDTF">2017-08-08T17:13:00Z</dcterms:created>
  <dcterms:modified xsi:type="dcterms:W3CDTF">2017-08-08T17:13:00Z</dcterms:modified>
</cp:coreProperties>
</file>