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056" w:rsidRPr="00A2649F" w:rsidRDefault="00AE2056" w:rsidP="00AE2056">
      <w:pPr>
        <w:pStyle w:val="Puesto"/>
        <w:rPr>
          <w:rFonts w:ascii="Verdana" w:hAnsi="Verdana"/>
          <w:caps/>
          <w:sz w:val="20"/>
        </w:rPr>
      </w:pPr>
    </w:p>
    <w:p w:rsidR="00AE2056" w:rsidRPr="00A2649F" w:rsidRDefault="00AE2056" w:rsidP="00AE2056">
      <w:pPr>
        <w:pStyle w:val="Puesto"/>
        <w:rPr>
          <w:rFonts w:ascii="Verdana" w:hAnsi="Verdana"/>
          <w:caps/>
          <w:sz w:val="20"/>
        </w:rPr>
      </w:pPr>
      <w:r w:rsidRPr="00A2649F">
        <w:rPr>
          <w:rFonts w:ascii="Verdana" w:hAnsi="Verdana"/>
          <w:caps/>
          <w:sz w:val="20"/>
        </w:rPr>
        <w:t>Resolución de la Presidenta de la</w:t>
      </w:r>
    </w:p>
    <w:p w:rsidR="00AE2056" w:rsidRPr="00A2649F" w:rsidRDefault="00AE2056" w:rsidP="00AE2056">
      <w:pPr>
        <w:pStyle w:val="Puesto"/>
        <w:rPr>
          <w:rFonts w:ascii="Verdana" w:hAnsi="Verdana"/>
          <w:caps/>
          <w:sz w:val="20"/>
        </w:rPr>
      </w:pPr>
    </w:p>
    <w:p w:rsidR="00AE2056" w:rsidRPr="00A2649F" w:rsidRDefault="00AE2056" w:rsidP="00AE2056">
      <w:pPr>
        <w:pStyle w:val="Puesto"/>
        <w:rPr>
          <w:rFonts w:ascii="Verdana" w:hAnsi="Verdana"/>
          <w:caps/>
          <w:sz w:val="20"/>
        </w:rPr>
      </w:pPr>
      <w:r w:rsidRPr="00A2649F">
        <w:rPr>
          <w:rFonts w:ascii="Verdana" w:hAnsi="Verdana"/>
          <w:caps/>
          <w:sz w:val="20"/>
        </w:rPr>
        <w:t>Corte Interamericana de Derechos Humanos</w:t>
      </w:r>
    </w:p>
    <w:p w:rsidR="00AE2056" w:rsidRPr="00A2649F" w:rsidRDefault="00AE2056" w:rsidP="00AE2056">
      <w:pPr>
        <w:pStyle w:val="Puesto"/>
        <w:rPr>
          <w:rFonts w:ascii="Verdana" w:hAnsi="Verdana"/>
          <w:caps/>
          <w:sz w:val="20"/>
        </w:rPr>
      </w:pPr>
    </w:p>
    <w:p w:rsidR="00AE2056" w:rsidRPr="00A2649F" w:rsidRDefault="00AE2056" w:rsidP="00AE2056">
      <w:pPr>
        <w:pStyle w:val="Puesto"/>
        <w:rPr>
          <w:rFonts w:ascii="Verdana" w:hAnsi="Verdana"/>
          <w:caps/>
          <w:sz w:val="20"/>
        </w:rPr>
      </w:pPr>
      <w:r w:rsidRPr="00A2649F">
        <w:rPr>
          <w:rFonts w:ascii="Verdana" w:hAnsi="Verdana"/>
          <w:caps/>
          <w:sz w:val="20"/>
        </w:rPr>
        <w:t>de 20 de NOVIEMBRE de 2008</w:t>
      </w:r>
    </w:p>
    <w:p w:rsidR="00AE2056" w:rsidRPr="00A2649F" w:rsidRDefault="00AE2056" w:rsidP="00AE2056">
      <w:pPr>
        <w:jc w:val="center"/>
        <w:rPr>
          <w:rFonts w:ascii="Verdana" w:hAnsi="Verdana"/>
          <w:b/>
          <w:caps/>
          <w:sz w:val="20"/>
          <w:lang w:val="es-ES_tradnl"/>
        </w:rPr>
      </w:pPr>
    </w:p>
    <w:p w:rsidR="00AE2056" w:rsidRPr="00A2649F" w:rsidRDefault="00AE2056" w:rsidP="00AE2056">
      <w:pPr>
        <w:pStyle w:val="Subttulo"/>
        <w:tabs>
          <w:tab w:val="left" w:pos="8640"/>
        </w:tabs>
        <w:spacing w:after="0"/>
        <w:ind w:right="0"/>
        <w:rPr>
          <w:rFonts w:ascii="Verdana" w:hAnsi="Verdana"/>
          <w:caps/>
          <w:smallCaps w:val="0"/>
          <w:sz w:val="20"/>
        </w:rPr>
      </w:pPr>
      <w:r w:rsidRPr="00A2649F">
        <w:rPr>
          <w:rFonts w:ascii="Verdana" w:hAnsi="Verdana"/>
          <w:caps/>
          <w:smallCaps w:val="0"/>
          <w:sz w:val="20"/>
        </w:rPr>
        <w:t xml:space="preserve">Caso Sétimo GARIBALDI </w:t>
      </w:r>
      <w:r w:rsidRPr="00A2649F">
        <w:rPr>
          <w:rFonts w:ascii="Verdana" w:hAnsi="Verdana"/>
          <w:i/>
          <w:caps/>
          <w:smallCaps w:val="0"/>
          <w:sz w:val="20"/>
        </w:rPr>
        <w:t xml:space="preserve">vs. </w:t>
      </w:r>
      <w:r w:rsidRPr="00A2649F">
        <w:rPr>
          <w:rFonts w:ascii="Verdana" w:hAnsi="Verdana"/>
          <w:caps/>
          <w:smallCaps w:val="0"/>
          <w:sz w:val="20"/>
        </w:rPr>
        <w:t>brasil</w:t>
      </w:r>
    </w:p>
    <w:p w:rsidR="00AE2056" w:rsidRPr="00A2649F" w:rsidRDefault="00AE2056" w:rsidP="00AE2056">
      <w:pPr>
        <w:jc w:val="both"/>
        <w:rPr>
          <w:rFonts w:ascii="Verdana" w:hAnsi="Verdana"/>
          <w:b/>
          <w:caps/>
          <w:sz w:val="20"/>
          <w:lang w:val="es-ES_tradnl"/>
        </w:rPr>
      </w:pPr>
    </w:p>
    <w:p w:rsidR="00AE2056" w:rsidRPr="00A2649F" w:rsidRDefault="00AE2056" w:rsidP="00AE2056">
      <w:pPr>
        <w:ind w:right="746"/>
        <w:jc w:val="center"/>
        <w:rPr>
          <w:rFonts w:ascii="Verdana" w:hAnsi="Verdana"/>
          <w:b/>
          <w:caps/>
          <w:sz w:val="20"/>
          <w:lang w:val="es-ES_tradnl"/>
        </w:rPr>
      </w:pPr>
    </w:p>
    <w:p w:rsidR="00AE2056" w:rsidRPr="00A2649F" w:rsidRDefault="00AE2056" w:rsidP="00AE2056">
      <w:pPr>
        <w:ind w:right="40"/>
        <w:jc w:val="both"/>
        <w:rPr>
          <w:rFonts w:ascii="Verdana" w:hAnsi="Verdana"/>
          <w:b/>
          <w:caps/>
          <w:sz w:val="20"/>
          <w:lang w:val="es-ES_tradnl"/>
        </w:rPr>
      </w:pPr>
      <w:r w:rsidRPr="00A2649F">
        <w:rPr>
          <w:rFonts w:ascii="Verdana" w:hAnsi="Verdana"/>
          <w:b/>
          <w:caps/>
          <w:sz w:val="20"/>
          <w:lang w:val="es-ES_tradnl"/>
        </w:rPr>
        <w:t>VISTO:</w:t>
      </w:r>
    </w:p>
    <w:p w:rsidR="00AE2056" w:rsidRPr="00CF544F" w:rsidRDefault="00AE2056" w:rsidP="00AE2056">
      <w:pPr>
        <w:tabs>
          <w:tab w:val="left" w:pos="6800"/>
        </w:tabs>
        <w:ind w:right="40"/>
        <w:jc w:val="both"/>
        <w:rPr>
          <w:rFonts w:ascii="Verdana" w:hAnsi="Verdana"/>
          <w:sz w:val="20"/>
          <w:lang w:val="es-ES_tradnl"/>
        </w:rPr>
      </w:pPr>
    </w:p>
    <w:p w:rsidR="00AE2056" w:rsidRPr="00206A25" w:rsidRDefault="00AE2056" w:rsidP="00AE2056">
      <w:pPr>
        <w:pStyle w:val="Textoindependiente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b/>
          <w:sz w:val="20"/>
        </w:rPr>
      </w:pPr>
      <w:r w:rsidRPr="00206A25">
        <w:rPr>
          <w:rFonts w:ascii="Verdana" w:hAnsi="Verdana"/>
          <w:sz w:val="20"/>
        </w:rPr>
        <w:t>1.</w:t>
      </w:r>
      <w:r w:rsidRPr="00206A25">
        <w:rPr>
          <w:rFonts w:ascii="Verdana" w:hAnsi="Verdana"/>
          <w:sz w:val="20"/>
        </w:rPr>
        <w:tab/>
        <w:t xml:space="preserve">El escrito de demanda presentado por la Comisión Interamericana de Derechos Humanos (en adelante “la Comisión Interamericana” o “la Comisión”) ante la Corte Interamericana de Derechos Humanos (en adelante “la Corte Interamericana”, “la Corte” o “el Tribunal”) </w:t>
      </w:r>
      <w:r w:rsidRPr="00A11223">
        <w:rPr>
          <w:rFonts w:ascii="Verdana" w:hAnsi="Verdana"/>
          <w:sz w:val="20"/>
        </w:rPr>
        <w:t>el 24 de diciembre de 2007,</w:t>
      </w:r>
      <w:r w:rsidRPr="00206A25">
        <w:rPr>
          <w:rFonts w:ascii="Verdana" w:hAnsi="Verdana"/>
          <w:sz w:val="20"/>
        </w:rPr>
        <w:t xml:space="preserve"> mediante el cual ofreció dos testigos y un perito.</w:t>
      </w:r>
    </w:p>
    <w:p w:rsidR="00AE2056" w:rsidRPr="00206A25"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lang w:val="es-ES_tradnl"/>
        </w:rPr>
      </w:pPr>
    </w:p>
    <w:p w:rsidR="00AE2056" w:rsidRPr="00206A25" w:rsidRDefault="00AE2056" w:rsidP="00AE2056">
      <w:pPr>
        <w:pStyle w:val="Textoindependiente2"/>
        <w:rPr>
          <w:rFonts w:ascii="Verdana" w:hAnsi="Verdana"/>
          <w:sz w:val="20"/>
        </w:rPr>
      </w:pPr>
      <w:r w:rsidRPr="00206A25">
        <w:rPr>
          <w:rFonts w:ascii="Verdana" w:hAnsi="Verdana"/>
          <w:sz w:val="20"/>
        </w:rPr>
        <w:t>2.</w:t>
      </w:r>
      <w:r w:rsidRPr="00206A25">
        <w:rPr>
          <w:rFonts w:ascii="Verdana" w:hAnsi="Verdana"/>
          <w:sz w:val="20"/>
        </w:rPr>
        <w:tab/>
        <w:t xml:space="preserve">El escrito de solicitudes, argumentos y pruebas (en adelante “escrito de solicitudes y argumentos”) presentado por los representantes de las presuntas víctimas (en adelante “los representantes”) </w:t>
      </w:r>
      <w:r w:rsidRPr="00A11223">
        <w:rPr>
          <w:rFonts w:ascii="Verdana" w:hAnsi="Verdana"/>
          <w:sz w:val="20"/>
        </w:rPr>
        <w:t xml:space="preserve">el 11 de abril de 2008, </w:t>
      </w:r>
      <w:r w:rsidRPr="00A11223" w:rsidDel="00A2649F">
        <w:rPr>
          <w:rFonts w:ascii="Verdana" w:hAnsi="Verdana"/>
          <w:sz w:val="20"/>
        </w:rPr>
        <w:t>en el cual</w:t>
      </w:r>
      <w:r w:rsidRPr="00206A25">
        <w:rPr>
          <w:rFonts w:ascii="Verdana" w:hAnsi="Verdana"/>
          <w:sz w:val="20"/>
        </w:rPr>
        <w:t xml:space="preserve"> ofrecieron tres testigos y un perito.</w:t>
      </w:r>
    </w:p>
    <w:p w:rsidR="00AE2056" w:rsidRPr="00206A25" w:rsidRDefault="00AE2056" w:rsidP="00AE2056">
      <w:pPr>
        <w:jc w:val="both"/>
        <w:rPr>
          <w:rFonts w:ascii="Verdana" w:hAnsi="Verdana"/>
          <w:sz w:val="20"/>
          <w:lang w:val="es-ES_tradnl"/>
        </w:rPr>
      </w:pPr>
    </w:p>
    <w:p w:rsidR="00AE2056" w:rsidRPr="00CF544F" w:rsidRDefault="00AE2056" w:rsidP="00AE2056">
      <w:pPr>
        <w:pStyle w:val="Textoindependiente2"/>
        <w:spacing w:after="60"/>
      </w:pPr>
      <w:r w:rsidRPr="00206A25">
        <w:rPr>
          <w:rFonts w:ascii="Verdana" w:hAnsi="Verdana"/>
          <w:sz w:val="20"/>
        </w:rPr>
        <w:t>3.</w:t>
      </w:r>
      <w:r w:rsidRPr="00206A25">
        <w:rPr>
          <w:rFonts w:ascii="Verdana" w:hAnsi="Verdana"/>
          <w:sz w:val="20"/>
        </w:rPr>
        <w:tab/>
        <w:t>El escrito de interposición de excepciones preliminares, contestación de la demanda y observaciones al escrito de solicitudes y argumentos (en adelante “contestación de la demanda”) presentado por la República Federativa de Brasil (en adelante “el Estado” o “Brasil”) el 11</w:t>
      </w:r>
      <w:r w:rsidRPr="00A11223">
        <w:rPr>
          <w:rFonts w:ascii="Verdana" w:hAnsi="Verdana"/>
          <w:sz w:val="20"/>
        </w:rPr>
        <w:t xml:space="preserve"> de julio de 2008, m</w:t>
      </w:r>
      <w:r w:rsidRPr="00E32D77">
        <w:rPr>
          <w:rFonts w:ascii="Verdana" w:hAnsi="Verdana"/>
          <w:sz w:val="20"/>
        </w:rPr>
        <w:t xml:space="preserve">ediante el cual </w:t>
      </w:r>
      <w:r w:rsidRPr="00206A25">
        <w:rPr>
          <w:rFonts w:ascii="Verdana" w:hAnsi="Verdana"/>
          <w:sz w:val="20"/>
        </w:rPr>
        <w:t>ofreció tres testimonios y un peritaje. Entre otras</w:t>
      </w:r>
      <w:r w:rsidRPr="00F00621">
        <w:rPr>
          <w:rFonts w:ascii="Verdana" w:hAnsi="Verdana"/>
          <w:sz w:val="20"/>
        </w:rPr>
        <w:t>, el Estado interpuso una excepción preliminar con el fin de que el escrito de solicitudes y argumentos de los representantes no fuera admitido por extemporáneo. Finalmente, Brasil solicitó una “audiencia especial para el examen de las excepciones preliminares, en los términos del artículo [37.5] del Reglamento de la Corte”.</w:t>
      </w:r>
    </w:p>
    <w:p w:rsidR="00AE2056" w:rsidRPr="00CF544F" w:rsidRDefault="00AE2056" w:rsidP="00AE2056">
      <w:pPr>
        <w:pStyle w:val="Textoindependiente2"/>
      </w:pPr>
    </w:p>
    <w:p w:rsidR="00AE2056" w:rsidRPr="00050DFB" w:rsidRDefault="00AE2056" w:rsidP="00AE2056">
      <w:pPr>
        <w:jc w:val="both"/>
        <w:rPr>
          <w:rFonts w:ascii="Verdana" w:hAnsi="Verdana"/>
          <w:sz w:val="20"/>
        </w:rPr>
      </w:pPr>
      <w:r w:rsidRPr="00050DFB">
        <w:rPr>
          <w:rFonts w:ascii="Verdana" w:hAnsi="Verdana"/>
          <w:sz w:val="20"/>
          <w:lang w:val="es-ES_tradnl"/>
        </w:rPr>
        <w:t xml:space="preserve">4. </w:t>
      </w:r>
      <w:r w:rsidRPr="00050DFB">
        <w:rPr>
          <w:rFonts w:ascii="Verdana" w:hAnsi="Verdana"/>
          <w:sz w:val="20"/>
          <w:lang w:val="es-ES_tradnl"/>
        </w:rPr>
        <w:tab/>
        <w:t xml:space="preserve">La comunicación </w:t>
      </w:r>
      <w:r w:rsidRPr="00050DFB">
        <w:rPr>
          <w:rFonts w:ascii="Verdana" w:hAnsi="Verdana"/>
          <w:sz w:val="20"/>
        </w:rPr>
        <w:t xml:space="preserve">de 23 de julio de 2008, mediante la cual </w:t>
      </w:r>
      <w:r w:rsidRPr="00050DFB">
        <w:rPr>
          <w:rFonts w:ascii="Verdana" w:hAnsi="Verdana"/>
          <w:sz w:val="20"/>
          <w:lang w:val="es-ES_tradnl"/>
        </w:rPr>
        <w:t>la Secretaría de la Corte Interamericana</w:t>
      </w:r>
      <w:r w:rsidRPr="00050DFB">
        <w:rPr>
          <w:rFonts w:ascii="Verdana" w:hAnsi="Verdana"/>
          <w:sz w:val="20"/>
        </w:rPr>
        <w:t xml:space="preserve">, siguiendo instrucciones de la Presidenta del Tribunal (en adelante “la Presidenta”), solicitó al Estado, entre otra información, la remisión del </w:t>
      </w:r>
      <w:proofErr w:type="spellStart"/>
      <w:r w:rsidRPr="00050DFB">
        <w:rPr>
          <w:rFonts w:ascii="Verdana" w:hAnsi="Verdana"/>
          <w:sz w:val="20"/>
        </w:rPr>
        <w:t>d</w:t>
      </w:r>
      <w:r w:rsidRPr="005A4638">
        <w:rPr>
          <w:rFonts w:ascii="Verdana" w:hAnsi="Verdana"/>
          <w:sz w:val="20"/>
        </w:rPr>
        <w:t>el</w:t>
      </w:r>
      <w:proofErr w:type="spellEnd"/>
      <w:r w:rsidRPr="00050DFB">
        <w:rPr>
          <w:rFonts w:ascii="Verdana" w:hAnsi="Verdana"/>
          <w:sz w:val="20"/>
        </w:rPr>
        <w:t xml:space="preserve"> </w:t>
      </w:r>
      <w:r w:rsidRPr="00A11223">
        <w:rPr>
          <w:rFonts w:ascii="Verdana" w:hAnsi="Verdana"/>
          <w:i/>
          <w:sz w:val="20"/>
        </w:rPr>
        <w:t>currículum vitae</w:t>
      </w:r>
      <w:r w:rsidRPr="00050DFB">
        <w:rPr>
          <w:rFonts w:ascii="Verdana" w:hAnsi="Verdana"/>
          <w:sz w:val="20"/>
        </w:rPr>
        <w:t xml:space="preserve"> de la persona ofrecida en calidad de perito, el cual no había sido aportado en la contestación de la demanda. Dicha hoja de vida fue presentada al Tribunal el 1º de agosto de 2008.</w:t>
      </w:r>
    </w:p>
    <w:p w:rsidR="00AE2056" w:rsidRPr="00050DFB" w:rsidRDefault="00AE2056" w:rsidP="00AE2056">
      <w:pPr>
        <w:jc w:val="both"/>
        <w:rPr>
          <w:rFonts w:ascii="Verdana" w:hAnsi="Verdana"/>
          <w:sz w:val="20"/>
          <w:lang w:val="es-ES_tradnl"/>
        </w:rPr>
      </w:pPr>
    </w:p>
    <w:p w:rsidR="00AE2056" w:rsidRPr="00050DFB" w:rsidRDefault="00AE2056" w:rsidP="00AE2056">
      <w:pPr>
        <w:jc w:val="both"/>
        <w:rPr>
          <w:rFonts w:ascii="Verdana" w:hAnsi="Verdana"/>
          <w:sz w:val="20"/>
          <w:lang w:val="es-ES_tradnl"/>
        </w:rPr>
      </w:pPr>
      <w:r w:rsidRPr="00050DFB">
        <w:rPr>
          <w:rFonts w:ascii="Verdana" w:hAnsi="Verdana"/>
          <w:sz w:val="20"/>
          <w:lang w:val="es-ES_tradnl"/>
        </w:rPr>
        <w:t>5.</w:t>
      </w:r>
      <w:r w:rsidRPr="00050DFB">
        <w:rPr>
          <w:rFonts w:ascii="Verdana" w:hAnsi="Verdana"/>
          <w:sz w:val="20"/>
          <w:lang w:val="es-ES_tradnl"/>
        </w:rPr>
        <w:tab/>
        <w:t>Los escritos de 24 y 27 de agosto de 2008, mediante los cuales la Comisión Interamericana y los representantes presentaron, respectivamente, sus alegatos escritos a las excepciones preliminares opuestas por el Estado (</w:t>
      </w:r>
      <w:r w:rsidRPr="001070C5">
        <w:rPr>
          <w:rFonts w:ascii="Verdana" w:hAnsi="Verdana"/>
          <w:i/>
          <w:sz w:val="20"/>
          <w:lang w:val="es-ES_tradnl"/>
        </w:rPr>
        <w:t>supra</w:t>
      </w:r>
      <w:r w:rsidRPr="00050DFB">
        <w:rPr>
          <w:rFonts w:ascii="Verdana" w:hAnsi="Verdana"/>
          <w:sz w:val="20"/>
          <w:lang w:val="es-ES_tradnl"/>
        </w:rPr>
        <w:t xml:space="preserve"> Visto 3).</w:t>
      </w:r>
    </w:p>
    <w:p w:rsidR="00AE2056" w:rsidRPr="00050DFB" w:rsidRDefault="00AE2056" w:rsidP="00AE2056">
      <w:pPr>
        <w:jc w:val="both"/>
        <w:rPr>
          <w:rFonts w:ascii="Verdana" w:hAnsi="Verdana"/>
          <w:sz w:val="20"/>
          <w:lang w:val="es-ES_tradnl"/>
        </w:rPr>
      </w:pPr>
    </w:p>
    <w:p w:rsidR="00AE2056" w:rsidRPr="00095F20" w:rsidRDefault="00AE2056" w:rsidP="00AE2056">
      <w:pPr>
        <w:jc w:val="both"/>
        <w:rPr>
          <w:rFonts w:ascii="Verdana" w:hAnsi="Verdana"/>
          <w:b/>
          <w:sz w:val="20"/>
        </w:rPr>
      </w:pPr>
      <w:r w:rsidRPr="00050DFB">
        <w:rPr>
          <w:rFonts w:ascii="Verdana" w:hAnsi="Verdana"/>
          <w:sz w:val="20"/>
          <w:lang w:val="es-ES_tradnl"/>
        </w:rPr>
        <w:t>6.</w:t>
      </w:r>
      <w:r w:rsidRPr="00050DFB">
        <w:rPr>
          <w:rFonts w:ascii="Verdana" w:hAnsi="Verdana"/>
          <w:sz w:val="20"/>
          <w:lang w:val="es-ES_tradnl"/>
        </w:rPr>
        <w:tab/>
        <w:t xml:space="preserve">La comunicación </w:t>
      </w:r>
      <w:r w:rsidRPr="00834F06">
        <w:rPr>
          <w:rFonts w:ascii="Verdana" w:hAnsi="Verdana"/>
          <w:sz w:val="20"/>
          <w:lang w:val="es-ES_tradnl"/>
        </w:rPr>
        <w:t>transmitida a las partes el 9</w:t>
      </w:r>
      <w:r w:rsidRPr="00050DFB">
        <w:rPr>
          <w:rFonts w:ascii="Verdana" w:hAnsi="Verdana"/>
          <w:sz w:val="20"/>
        </w:rPr>
        <w:t xml:space="preserve"> de septiembre de 2008, mediante la cual </w:t>
      </w:r>
      <w:r w:rsidRPr="00050DFB">
        <w:rPr>
          <w:rFonts w:ascii="Verdana" w:hAnsi="Verdana"/>
          <w:sz w:val="20"/>
          <w:lang w:val="es-ES_tradnl"/>
        </w:rPr>
        <w:t>la Secretaría de la Corte</w:t>
      </w:r>
      <w:r w:rsidRPr="00050DFB">
        <w:rPr>
          <w:rFonts w:ascii="Verdana" w:hAnsi="Verdana"/>
          <w:sz w:val="20"/>
        </w:rPr>
        <w:t xml:space="preserve">, siguiendo instrucciones de la Presidenta, solicitó a la Comisión Interamericana, a los representantes y al Estado la remisión, a más tardar el 16 de septiembre de 2008, </w:t>
      </w:r>
      <w:r w:rsidRPr="00834F06">
        <w:rPr>
          <w:rFonts w:ascii="Verdana" w:hAnsi="Verdana"/>
          <w:sz w:val="20"/>
        </w:rPr>
        <w:t>de sus listas definitivas de testigos y peritos.</w:t>
      </w:r>
      <w:r w:rsidRPr="00050DFB">
        <w:rPr>
          <w:rFonts w:ascii="Verdana" w:hAnsi="Verdana"/>
          <w:sz w:val="20"/>
        </w:rPr>
        <w:t xml:space="preserve"> Además, por razones de economía procesal, se solicitó a las partes que </w:t>
      </w:r>
      <w:r w:rsidRPr="00050DFB">
        <w:rPr>
          <w:rFonts w:ascii="Verdana" w:hAnsi="Verdana"/>
          <w:sz w:val="20"/>
        </w:rPr>
        <w:lastRenderedPageBreak/>
        <w:t>indicaran cuáles de los testigos y peritos propuestos podrían rendir su declaración o dictamen ante fedatario público (</w:t>
      </w:r>
      <w:r w:rsidRPr="00050DFB">
        <w:rPr>
          <w:rFonts w:ascii="Verdana" w:hAnsi="Verdana"/>
          <w:iCs/>
          <w:sz w:val="20"/>
        </w:rPr>
        <w:t>affidávit</w:t>
      </w:r>
      <w:r w:rsidRPr="00050DFB">
        <w:rPr>
          <w:rFonts w:ascii="Verdana" w:hAnsi="Verdana"/>
          <w:sz w:val="20"/>
        </w:rPr>
        <w:t>), conforme al artículo 47.3 del Reglamento de la Corte.</w:t>
      </w:r>
    </w:p>
    <w:p w:rsidR="00AE2056" w:rsidRPr="00206A25" w:rsidRDefault="00AE2056" w:rsidP="00AE2056">
      <w:pPr>
        <w:jc w:val="both"/>
        <w:rPr>
          <w:rFonts w:ascii="Verdana" w:hAnsi="Verdana"/>
          <w:sz w:val="20"/>
        </w:rPr>
      </w:pPr>
      <w:r w:rsidRPr="00206A25">
        <w:rPr>
          <w:rFonts w:ascii="Verdana" w:hAnsi="Verdana"/>
          <w:sz w:val="20"/>
        </w:rPr>
        <w:t xml:space="preserve"> </w:t>
      </w:r>
    </w:p>
    <w:p w:rsidR="00AE2056" w:rsidRPr="000B51D4" w:rsidRDefault="00AE2056" w:rsidP="00AE2056">
      <w:pPr>
        <w:jc w:val="both"/>
        <w:rPr>
          <w:rFonts w:ascii="Verdana" w:hAnsi="Verdana"/>
          <w:sz w:val="20"/>
          <w:lang w:val="es-ES_tradnl"/>
        </w:rPr>
      </w:pPr>
      <w:r w:rsidRPr="000B51D4">
        <w:rPr>
          <w:rFonts w:ascii="Verdana" w:hAnsi="Verdana"/>
          <w:sz w:val="20"/>
          <w:lang w:val="es-ES_tradnl"/>
        </w:rPr>
        <w:t xml:space="preserve">7. </w:t>
      </w:r>
      <w:r w:rsidRPr="000B51D4">
        <w:rPr>
          <w:rFonts w:ascii="Verdana" w:hAnsi="Verdana"/>
          <w:sz w:val="20"/>
          <w:lang w:val="es-ES_tradnl"/>
        </w:rPr>
        <w:tab/>
        <w:t>La comunicación de 16 de septiembre de 2008, mediante la cual la Comisión Interamericana presentó su lista definitiva de testigos y peritos. La Comisión informó que estimaba necesario que uno de los testimonios y el dictamen pericial originalmente propuestos fueran escuchados en audiencia pública, mientras que el otro testigo ofrecido en la demanda podría rendir su declaración ante fedatario público (affidávit).</w:t>
      </w:r>
    </w:p>
    <w:p w:rsidR="00AE2056" w:rsidRPr="000B51D4" w:rsidRDefault="00AE2056" w:rsidP="00AE2056">
      <w:pPr>
        <w:jc w:val="both"/>
        <w:rPr>
          <w:rFonts w:ascii="Verdana" w:hAnsi="Verdana"/>
          <w:sz w:val="20"/>
          <w:lang w:val="es-ES_tradnl"/>
        </w:rPr>
      </w:pPr>
    </w:p>
    <w:p w:rsidR="00AE2056" w:rsidRPr="000B51D4" w:rsidRDefault="00AE2056" w:rsidP="00AE2056">
      <w:pPr>
        <w:jc w:val="both"/>
        <w:rPr>
          <w:rFonts w:ascii="Verdana" w:hAnsi="Verdana"/>
          <w:sz w:val="20"/>
          <w:lang w:val="es-ES_tradnl"/>
        </w:rPr>
      </w:pPr>
      <w:r w:rsidRPr="000B51D4">
        <w:rPr>
          <w:rFonts w:ascii="Verdana" w:hAnsi="Verdana"/>
          <w:sz w:val="20"/>
          <w:lang w:val="es-ES_tradnl"/>
        </w:rPr>
        <w:t xml:space="preserve">8. </w:t>
      </w:r>
      <w:r w:rsidRPr="000B51D4">
        <w:rPr>
          <w:rFonts w:ascii="Verdana" w:hAnsi="Verdana"/>
          <w:sz w:val="20"/>
          <w:lang w:val="es-ES_tradnl"/>
        </w:rPr>
        <w:tab/>
        <w:t>La comunicación de 16</w:t>
      </w:r>
      <w:r w:rsidRPr="00A11223">
        <w:rPr>
          <w:rFonts w:ascii="Verdana" w:hAnsi="Verdana"/>
          <w:sz w:val="20"/>
          <w:lang w:val="es-ES_tradnl"/>
        </w:rPr>
        <w:t xml:space="preserve"> de septiembre de 2008, mediante</w:t>
      </w:r>
      <w:r w:rsidRPr="000B51D4">
        <w:rPr>
          <w:rFonts w:ascii="Verdana" w:hAnsi="Verdana"/>
          <w:sz w:val="20"/>
          <w:lang w:val="es-ES_tradnl"/>
        </w:rPr>
        <w:t xml:space="preserve"> la cual los representantes presentaron su lista definitiva de testigos y peritos. Los representantes solicitaron la sustitución de los tres testigos originalmente propuestos por un único testigo, el señor Silvio de </w:t>
      </w:r>
      <w:proofErr w:type="spellStart"/>
      <w:r w:rsidRPr="000B51D4">
        <w:rPr>
          <w:rFonts w:ascii="Verdana" w:hAnsi="Verdana"/>
          <w:sz w:val="20"/>
          <w:lang w:val="es-ES_tradnl"/>
        </w:rPr>
        <w:t>Jesus</w:t>
      </w:r>
      <w:proofErr w:type="spellEnd"/>
      <w:r w:rsidRPr="000B51D4">
        <w:rPr>
          <w:rFonts w:ascii="Verdana" w:hAnsi="Verdana"/>
          <w:sz w:val="20"/>
          <w:lang w:val="es-ES_tradnl"/>
        </w:rPr>
        <w:t xml:space="preserve"> Coelho, quien prestaría su testimonio durante la audiencia pública. Asimismo, requirieron que el perito originalmente ofrecido también presentara su dictamen ante la Corte en la audiencia pública.</w:t>
      </w:r>
    </w:p>
    <w:p w:rsidR="00AE2056" w:rsidRPr="000B51D4" w:rsidRDefault="00AE2056" w:rsidP="00AE2056">
      <w:pPr>
        <w:jc w:val="both"/>
        <w:rPr>
          <w:rFonts w:ascii="Verdana" w:hAnsi="Verdana"/>
          <w:sz w:val="20"/>
          <w:lang w:val="es-ES_tradnl"/>
        </w:rPr>
      </w:pPr>
    </w:p>
    <w:p w:rsidR="00AE2056" w:rsidRPr="000B51D4" w:rsidRDefault="00AE2056" w:rsidP="00AE2056">
      <w:pPr>
        <w:jc w:val="both"/>
        <w:rPr>
          <w:rFonts w:ascii="Verdana" w:hAnsi="Verdana"/>
          <w:sz w:val="20"/>
          <w:lang w:val="es-ES_tradnl"/>
        </w:rPr>
      </w:pPr>
      <w:r w:rsidRPr="000B51D4">
        <w:rPr>
          <w:rFonts w:ascii="Verdana" w:hAnsi="Verdana"/>
          <w:sz w:val="20"/>
          <w:lang w:val="es-ES_tradnl"/>
        </w:rPr>
        <w:t xml:space="preserve">9. </w:t>
      </w:r>
      <w:r w:rsidRPr="000B51D4">
        <w:rPr>
          <w:rFonts w:ascii="Verdana" w:hAnsi="Verdana"/>
          <w:sz w:val="20"/>
          <w:lang w:val="es-ES_tradnl"/>
        </w:rPr>
        <w:tab/>
        <w:t>La comunicación de 18</w:t>
      </w:r>
      <w:r w:rsidRPr="00A11223">
        <w:rPr>
          <w:rFonts w:ascii="Verdana" w:hAnsi="Verdana"/>
          <w:sz w:val="20"/>
          <w:lang w:val="es-ES_tradnl"/>
        </w:rPr>
        <w:t xml:space="preserve"> de septiembre de 2008</w:t>
      </w:r>
      <w:r w:rsidRPr="000B51D4">
        <w:rPr>
          <w:rFonts w:ascii="Verdana" w:hAnsi="Verdana"/>
          <w:sz w:val="20"/>
          <w:lang w:val="es-ES_tradnl"/>
        </w:rPr>
        <w:t xml:space="preserve">, mediante la cual el Estado presentó su lista definitiva de testigos y peritos. El Estado indicó </w:t>
      </w:r>
      <w:r w:rsidRPr="00FD301D">
        <w:rPr>
          <w:rFonts w:ascii="Verdana" w:hAnsi="Verdana"/>
          <w:sz w:val="20"/>
        </w:rPr>
        <w:t>“que, en principio, deberán prestar declaración oral todos los testigos y [la perita]” ofrecidos en la contestación de la demanda y que la “confirmación definitiva de tales declaraciones orales dependerá […] de la divulgación de la(s) fecha(s) en que la Corte realizará las audiencias”.</w:t>
      </w:r>
    </w:p>
    <w:p w:rsidR="00AE2056" w:rsidRPr="000B51D4" w:rsidRDefault="00AE2056" w:rsidP="00AE2056">
      <w:pPr>
        <w:jc w:val="both"/>
        <w:rPr>
          <w:rFonts w:ascii="Verdana" w:hAnsi="Verdana"/>
          <w:sz w:val="20"/>
          <w:lang w:val="es-ES_tradnl"/>
        </w:rPr>
      </w:pPr>
    </w:p>
    <w:p w:rsidR="00AE2056" w:rsidRPr="00C067BE" w:rsidRDefault="00AE2056" w:rsidP="00AE2056">
      <w:pPr>
        <w:pStyle w:val="Textoindependiente2"/>
        <w:rPr>
          <w:rFonts w:ascii="Verdana" w:hAnsi="Verdana"/>
          <w:sz w:val="20"/>
          <w:lang w:val="es-ES"/>
        </w:rPr>
      </w:pPr>
      <w:r w:rsidRPr="00C067BE">
        <w:rPr>
          <w:rFonts w:ascii="Verdana" w:hAnsi="Verdana"/>
          <w:sz w:val="20"/>
          <w:lang w:val="es-ES"/>
        </w:rPr>
        <w:t xml:space="preserve">10. </w:t>
      </w:r>
      <w:r w:rsidRPr="00C067BE">
        <w:rPr>
          <w:rFonts w:ascii="Verdana" w:hAnsi="Verdana"/>
          <w:sz w:val="20"/>
          <w:lang w:val="es-ES"/>
        </w:rPr>
        <w:tab/>
        <w:t xml:space="preserve">La nota </w:t>
      </w:r>
      <w:r w:rsidRPr="000B51D4">
        <w:rPr>
          <w:rFonts w:ascii="Verdana" w:hAnsi="Verdana"/>
          <w:sz w:val="20"/>
          <w:lang w:val="es-ES"/>
        </w:rPr>
        <w:t>de 22 de septiembre de 2008,</w:t>
      </w:r>
      <w:r w:rsidRPr="00C067BE">
        <w:rPr>
          <w:rFonts w:ascii="Verdana" w:hAnsi="Verdana"/>
          <w:sz w:val="20"/>
          <w:lang w:val="es-ES"/>
        </w:rPr>
        <w:t xml:space="preserve"> mediante la cual</w:t>
      </w:r>
      <w:r w:rsidRPr="00A2649F">
        <w:rPr>
          <w:rFonts w:ascii="Verdana" w:hAnsi="Verdana"/>
          <w:sz w:val="20"/>
          <w:lang w:val="es-ES"/>
        </w:rPr>
        <w:t xml:space="preserve"> </w:t>
      </w:r>
      <w:r w:rsidRPr="00C067BE">
        <w:rPr>
          <w:rFonts w:ascii="Verdana" w:hAnsi="Verdana"/>
          <w:sz w:val="20"/>
          <w:lang w:val="es-ES"/>
        </w:rPr>
        <w:t>la Secretaría de la Corte, siguiendo instrucciones de la Presidenta,</w:t>
      </w:r>
      <w:r w:rsidRPr="00C067BE" w:rsidDel="00A2649F">
        <w:rPr>
          <w:rFonts w:ascii="Verdana" w:hAnsi="Verdana"/>
          <w:sz w:val="20"/>
          <w:lang w:val="es-ES"/>
        </w:rPr>
        <w:t xml:space="preserve"> </w:t>
      </w:r>
      <w:r w:rsidRPr="00C067BE">
        <w:rPr>
          <w:rFonts w:ascii="Verdana" w:hAnsi="Verdana"/>
          <w:sz w:val="20"/>
          <w:lang w:val="es-ES"/>
        </w:rPr>
        <w:t>solicitó al Estado, a la Comisión Interamericana y a los representantes que remitieran sus observaciones a las listas definitivas de testigos y peritos presentadas por las partes, a más tardar, el 2 de octubre de 2008. Asimismo, e</w:t>
      </w:r>
      <w:r w:rsidRPr="00FD301D">
        <w:rPr>
          <w:rFonts w:ascii="Verdana" w:hAnsi="Verdana"/>
          <w:sz w:val="20"/>
        </w:rPr>
        <w:t>n cuanto a la intención manifestada por el Estado que la perita y los tres testigos por él ofrecidos declaren eventualmente de manera oral ante la Corte (</w:t>
      </w:r>
      <w:r w:rsidRPr="00FD301D">
        <w:rPr>
          <w:rFonts w:ascii="Verdana" w:hAnsi="Verdana"/>
          <w:i/>
          <w:sz w:val="20"/>
        </w:rPr>
        <w:t>supra</w:t>
      </w:r>
      <w:r w:rsidRPr="00FD301D">
        <w:rPr>
          <w:rFonts w:ascii="Verdana" w:hAnsi="Verdana"/>
          <w:sz w:val="20"/>
        </w:rPr>
        <w:t xml:space="preserve"> Visto 9), la Secretaría informó a Brasil que, sin perjuicio que su petición será considerada oportunamente, de conformidad con el artículo 47.3 de su Reglamento, el Tribunal podría determinar que algunas de dichas personas declaren por escrito ante fedatario público.</w:t>
      </w:r>
    </w:p>
    <w:p w:rsidR="00AE2056" w:rsidRPr="00CF544F" w:rsidRDefault="00AE2056" w:rsidP="00AE2056">
      <w:pPr>
        <w:pStyle w:val="Textoindependiente2"/>
        <w:rPr>
          <w:rFonts w:ascii="Verdana" w:hAnsi="Verdana"/>
          <w:sz w:val="20"/>
        </w:rPr>
      </w:pPr>
    </w:p>
    <w:p w:rsidR="00AE2056" w:rsidRPr="00EE1779" w:rsidRDefault="00AE2056" w:rsidP="00AE2056">
      <w:pPr>
        <w:pStyle w:val="Textoindependiente2"/>
        <w:rPr>
          <w:rFonts w:ascii="Verdana" w:hAnsi="Verdana"/>
          <w:sz w:val="20"/>
        </w:rPr>
      </w:pPr>
      <w:r w:rsidRPr="001D743F">
        <w:rPr>
          <w:rFonts w:ascii="Verdana" w:hAnsi="Verdana"/>
          <w:sz w:val="20"/>
        </w:rPr>
        <w:t>11.</w:t>
      </w:r>
      <w:r w:rsidRPr="001D743F">
        <w:rPr>
          <w:rFonts w:ascii="Verdana" w:hAnsi="Verdana"/>
          <w:sz w:val="20"/>
        </w:rPr>
        <w:tab/>
        <w:t xml:space="preserve">La comunicación de 29 de septiembre de 2008, mediante la cual la Comisión Interamericana informó que </w:t>
      </w:r>
      <w:r w:rsidRPr="00F91F51">
        <w:rPr>
          <w:rFonts w:ascii="Verdana" w:hAnsi="Verdana"/>
          <w:sz w:val="20"/>
        </w:rPr>
        <w:t>no tenía observaciones respecto de las listas definitivas de peritos y testigos presentadas por el Estado y los representantes</w:t>
      </w:r>
      <w:r w:rsidRPr="00FA5699">
        <w:rPr>
          <w:rFonts w:ascii="Verdana" w:hAnsi="Verdana"/>
          <w:sz w:val="20"/>
        </w:rPr>
        <w:t xml:space="preserve">. </w:t>
      </w:r>
      <w:r w:rsidRPr="00EE1779">
        <w:rPr>
          <w:rFonts w:ascii="Verdana" w:hAnsi="Verdana"/>
          <w:sz w:val="20"/>
        </w:rPr>
        <w:t>El Estado y los representantes no presentaron observaciones a las listas definitivas.</w:t>
      </w:r>
    </w:p>
    <w:p w:rsidR="00AE2056" w:rsidRPr="001D743F" w:rsidRDefault="00AE2056" w:rsidP="00AE2056">
      <w:pPr>
        <w:pStyle w:val="Textoindependiente2"/>
        <w:rPr>
          <w:rFonts w:ascii="Verdana" w:hAnsi="Verdana"/>
          <w:sz w:val="20"/>
        </w:rPr>
      </w:pPr>
    </w:p>
    <w:p w:rsidR="00AE2056" w:rsidRPr="001D743F" w:rsidRDefault="00AE2056" w:rsidP="00AE2056">
      <w:pPr>
        <w:pStyle w:val="Textoindependiente2"/>
        <w:rPr>
          <w:rFonts w:ascii="Verdana" w:hAnsi="Verdana"/>
          <w:sz w:val="20"/>
        </w:rPr>
      </w:pPr>
      <w:r w:rsidRPr="00CF544F">
        <w:rPr>
          <w:rFonts w:ascii="Verdana" w:hAnsi="Verdana"/>
          <w:sz w:val="20"/>
        </w:rPr>
        <w:t xml:space="preserve">12. </w:t>
      </w:r>
      <w:r w:rsidRPr="00CF544F">
        <w:rPr>
          <w:rFonts w:ascii="Verdana" w:hAnsi="Verdana"/>
          <w:sz w:val="20"/>
        </w:rPr>
        <w:tab/>
      </w:r>
      <w:r w:rsidRPr="001D743F">
        <w:rPr>
          <w:rFonts w:ascii="Verdana" w:hAnsi="Verdana"/>
          <w:sz w:val="20"/>
        </w:rPr>
        <w:t xml:space="preserve">La comunicación de 2 de octubre de 2008, mediante la cual los representantes ofrecieron el testimonio de </w:t>
      </w:r>
      <w:proofErr w:type="spellStart"/>
      <w:r w:rsidRPr="001D743F">
        <w:rPr>
          <w:rFonts w:ascii="Verdana" w:hAnsi="Verdana"/>
          <w:sz w:val="20"/>
        </w:rPr>
        <w:t>Giovani</w:t>
      </w:r>
      <w:proofErr w:type="spellEnd"/>
      <w:r w:rsidRPr="001D743F">
        <w:rPr>
          <w:rFonts w:ascii="Verdana" w:hAnsi="Verdana"/>
          <w:sz w:val="20"/>
        </w:rPr>
        <w:t xml:space="preserve"> </w:t>
      </w:r>
      <w:proofErr w:type="spellStart"/>
      <w:r w:rsidRPr="001D743F">
        <w:rPr>
          <w:rFonts w:ascii="Verdana" w:hAnsi="Verdana"/>
          <w:sz w:val="20"/>
        </w:rPr>
        <w:t>Braum</w:t>
      </w:r>
      <w:proofErr w:type="spellEnd"/>
      <w:r w:rsidRPr="001D743F">
        <w:rPr>
          <w:rFonts w:ascii="Verdana" w:hAnsi="Verdana"/>
          <w:sz w:val="20"/>
        </w:rPr>
        <w:t xml:space="preserve"> en sustitución al testimonio de Silvio de </w:t>
      </w:r>
      <w:proofErr w:type="spellStart"/>
      <w:r w:rsidRPr="001D743F">
        <w:rPr>
          <w:rFonts w:ascii="Verdana" w:hAnsi="Verdana"/>
          <w:sz w:val="20"/>
        </w:rPr>
        <w:t>Jesus</w:t>
      </w:r>
      <w:proofErr w:type="spellEnd"/>
      <w:r w:rsidRPr="001D743F">
        <w:rPr>
          <w:rFonts w:ascii="Verdana" w:hAnsi="Verdana"/>
          <w:sz w:val="20"/>
        </w:rPr>
        <w:t xml:space="preserve"> Coelho, el cual había sido propuesto en su lista definitiva de testigos y peritos (</w:t>
      </w:r>
      <w:r w:rsidRPr="00F91F51">
        <w:rPr>
          <w:rFonts w:ascii="Verdana" w:hAnsi="Verdana"/>
          <w:i/>
          <w:sz w:val="20"/>
        </w:rPr>
        <w:t>supra</w:t>
      </w:r>
      <w:r w:rsidRPr="001D743F">
        <w:rPr>
          <w:rFonts w:ascii="Verdana" w:hAnsi="Verdana"/>
          <w:sz w:val="20"/>
        </w:rPr>
        <w:t xml:space="preserve"> Visto 8).</w:t>
      </w:r>
    </w:p>
    <w:p w:rsidR="00AE2056" w:rsidRPr="001D743F" w:rsidRDefault="00AE2056" w:rsidP="00AE2056">
      <w:pPr>
        <w:pStyle w:val="Textoindependiente2"/>
        <w:rPr>
          <w:rFonts w:ascii="Verdana" w:hAnsi="Verdana"/>
          <w:sz w:val="20"/>
        </w:rPr>
      </w:pPr>
    </w:p>
    <w:p w:rsidR="00AE2056" w:rsidRPr="00F91F51" w:rsidRDefault="00AE2056" w:rsidP="00AE2056">
      <w:pPr>
        <w:pStyle w:val="Textoindependiente2"/>
        <w:rPr>
          <w:rFonts w:ascii="Verdana" w:hAnsi="Verdana"/>
          <w:b/>
          <w:sz w:val="20"/>
        </w:rPr>
      </w:pPr>
      <w:r w:rsidRPr="001D743F">
        <w:rPr>
          <w:rFonts w:ascii="Verdana" w:hAnsi="Verdana"/>
          <w:sz w:val="20"/>
        </w:rPr>
        <w:t>13.</w:t>
      </w:r>
      <w:r w:rsidRPr="001D743F">
        <w:rPr>
          <w:rFonts w:ascii="Verdana" w:hAnsi="Verdana"/>
          <w:sz w:val="20"/>
        </w:rPr>
        <w:tab/>
        <w:t>La nota de 8 de octubre de 2008, mediante la cual la Secretaria de la Corte informó que la Comisión Interamericana y el Estado contaban con un plazo hasta el 14 de octubre de 2008, para remitir sus observaciones al segundo pedido de sustitución del testigo formulado por los representantes (</w:t>
      </w:r>
      <w:r w:rsidRPr="00F91F51">
        <w:rPr>
          <w:rFonts w:ascii="Verdana" w:hAnsi="Verdana"/>
          <w:i/>
          <w:sz w:val="20"/>
        </w:rPr>
        <w:t>supra</w:t>
      </w:r>
      <w:r w:rsidRPr="001D743F">
        <w:rPr>
          <w:rFonts w:ascii="Verdana" w:hAnsi="Verdana"/>
          <w:sz w:val="20"/>
        </w:rPr>
        <w:t xml:space="preserve"> Visto 12).</w:t>
      </w:r>
    </w:p>
    <w:p w:rsidR="00AE2056" w:rsidRPr="00F91F51" w:rsidRDefault="00AE2056" w:rsidP="00AE2056">
      <w:pPr>
        <w:pStyle w:val="Textoindependiente2"/>
        <w:rPr>
          <w:rFonts w:ascii="Verdana" w:hAnsi="Verdana"/>
          <w:sz w:val="20"/>
        </w:rPr>
      </w:pPr>
    </w:p>
    <w:p w:rsidR="00AE2056" w:rsidRPr="00EE1779" w:rsidRDefault="00AE2056" w:rsidP="00AE2056">
      <w:pPr>
        <w:pStyle w:val="Textoindependiente2"/>
        <w:rPr>
          <w:rFonts w:ascii="Verdana" w:hAnsi="Verdana"/>
          <w:sz w:val="20"/>
        </w:rPr>
      </w:pPr>
      <w:r w:rsidRPr="00F91F51">
        <w:rPr>
          <w:rFonts w:ascii="Verdana" w:hAnsi="Verdana"/>
          <w:sz w:val="20"/>
        </w:rPr>
        <w:t>14.</w:t>
      </w:r>
      <w:r w:rsidRPr="00F91F51">
        <w:rPr>
          <w:rFonts w:ascii="Verdana" w:hAnsi="Verdana"/>
          <w:sz w:val="20"/>
        </w:rPr>
        <w:tab/>
        <w:t xml:space="preserve">El escrito de 9 de octubre de 2008, mediante el cual la Comisión Interamericana indicó que no tenía observaciones sobre el pedido de sustitución del testigo ofrecido por los representantes. </w:t>
      </w:r>
      <w:r w:rsidRPr="00EE1779">
        <w:rPr>
          <w:rFonts w:ascii="Verdana" w:hAnsi="Verdana"/>
          <w:sz w:val="20"/>
        </w:rPr>
        <w:t>El Estado no presentó observaciones al respecto.</w:t>
      </w:r>
    </w:p>
    <w:p w:rsidR="00AE2056" w:rsidRPr="00FA5699" w:rsidRDefault="00AE2056" w:rsidP="00AE2056">
      <w:pPr>
        <w:pStyle w:val="Textoindependiente2"/>
        <w:rPr>
          <w:rFonts w:ascii="Verdana" w:hAnsi="Verdana"/>
          <w:sz w:val="20"/>
        </w:rPr>
      </w:pPr>
    </w:p>
    <w:p w:rsidR="00AE2056" w:rsidRPr="00CF544F" w:rsidRDefault="00AE2056" w:rsidP="00AE2056">
      <w:pPr>
        <w:pStyle w:val="Textoindependiente2"/>
        <w:rPr>
          <w:rFonts w:ascii="Verdana" w:hAnsi="Verdana"/>
          <w:sz w:val="20"/>
        </w:rPr>
      </w:pPr>
    </w:p>
    <w:p w:rsidR="00AE2056" w:rsidRPr="00CF544F" w:rsidRDefault="00AE2056" w:rsidP="00AE2056">
      <w:pPr>
        <w:ind w:right="40"/>
        <w:jc w:val="both"/>
        <w:rPr>
          <w:rFonts w:ascii="Verdana" w:hAnsi="Verdana"/>
          <w:b/>
          <w:sz w:val="20"/>
          <w:lang w:val="es-ES_tradnl"/>
        </w:rPr>
      </w:pPr>
      <w:r w:rsidRPr="00A260D4">
        <w:rPr>
          <w:rFonts w:ascii="Verdana" w:hAnsi="Verdana"/>
          <w:b/>
          <w:smallCaps/>
          <w:sz w:val="20"/>
          <w:szCs w:val="20"/>
          <w:lang w:val="es-ES_tradnl"/>
        </w:rPr>
        <w:t>CONSIDERANDO</w:t>
      </w:r>
      <w:r w:rsidRPr="00CF544F">
        <w:rPr>
          <w:rFonts w:ascii="Verdana" w:hAnsi="Verdana"/>
          <w:b/>
          <w:sz w:val="20"/>
          <w:lang w:val="es-ES_tradnl"/>
        </w:rPr>
        <w:t>:</w:t>
      </w:r>
    </w:p>
    <w:p w:rsidR="00AE2056" w:rsidRPr="00097F6F" w:rsidRDefault="00AE2056">
      <w:pPr>
        <w:pStyle w:val="Textoindependiente2"/>
        <w:rPr>
          <w:rFonts w:ascii="Verdana" w:hAnsi="Verdana"/>
          <w:sz w:val="20"/>
        </w:rPr>
      </w:pPr>
    </w:p>
    <w:p w:rsidR="00AE2056" w:rsidRPr="00097F6F" w:rsidRDefault="00AE2056">
      <w:pPr>
        <w:pStyle w:val="Textoindependiente2"/>
        <w:rPr>
          <w:rFonts w:ascii="Verdana" w:hAnsi="Verdana"/>
          <w:sz w:val="20"/>
        </w:rPr>
      </w:pPr>
      <w:r w:rsidRPr="00097F6F">
        <w:rPr>
          <w:rFonts w:ascii="Verdana" w:hAnsi="Verdana"/>
          <w:sz w:val="20"/>
        </w:rPr>
        <w:t>1.</w:t>
      </w:r>
      <w:r w:rsidRPr="00097F6F">
        <w:rPr>
          <w:rFonts w:ascii="Verdana" w:hAnsi="Verdana"/>
          <w:sz w:val="20"/>
        </w:rPr>
        <w:tab/>
        <w:t>Que en cuanto a la admisión de la prueba, el artículo 44 del Reglamento dispone que:</w:t>
      </w:r>
    </w:p>
    <w:p w:rsidR="00AE2056" w:rsidRPr="00097F6F" w:rsidRDefault="00AE2056">
      <w:pPr>
        <w:jc w:val="both"/>
        <w:rPr>
          <w:rFonts w:ascii="Verdana" w:hAnsi="Verdana"/>
          <w:sz w:val="20"/>
          <w:lang w:val="es-ES_tradnl"/>
        </w:rPr>
      </w:pPr>
    </w:p>
    <w:p w:rsidR="00AE2056" w:rsidRPr="00943512" w:rsidRDefault="00AE2056">
      <w:pPr>
        <w:ind w:left="1120" w:right="720"/>
        <w:jc w:val="both"/>
        <w:rPr>
          <w:rFonts w:ascii="Verdana" w:hAnsi="Verdana"/>
          <w:sz w:val="16"/>
          <w:szCs w:val="18"/>
          <w:lang w:val="es-ES_tradnl"/>
        </w:rPr>
      </w:pPr>
      <w:r w:rsidRPr="00943512">
        <w:rPr>
          <w:rFonts w:ascii="Verdana" w:hAnsi="Verdana"/>
          <w:sz w:val="16"/>
          <w:szCs w:val="18"/>
          <w:lang w:val="es-ES_tradnl"/>
        </w:rPr>
        <w:t>1.</w:t>
      </w:r>
      <w:r w:rsidRPr="00943512">
        <w:rPr>
          <w:rFonts w:ascii="Verdana" w:hAnsi="Verdana"/>
          <w:sz w:val="16"/>
          <w:szCs w:val="18"/>
          <w:lang w:val="es-ES_tradnl"/>
        </w:rPr>
        <w:tab/>
        <w:t>Las pruebas promovidas por las partes sólo serán admitidas si son ofrecidas en la demanda y en su contestación y en su caso, en el escrito de excepciones preliminares y en su contestación.</w:t>
      </w:r>
    </w:p>
    <w:p w:rsidR="00AE2056" w:rsidRPr="00943512" w:rsidRDefault="00AE2056">
      <w:pPr>
        <w:ind w:left="1120" w:right="720"/>
        <w:jc w:val="both"/>
        <w:rPr>
          <w:rFonts w:ascii="Verdana" w:hAnsi="Verdana"/>
          <w:sz w:val="16"/>
          <w:szCs w:val="18"/>
          <w:lang w:val="es-ES_tradnl"/>
        </w:rPr>
      </w:pPr>
    </w:p>
    <w:p w:rsidR="00AE2056" w:rsidRPr="00943512" w:rsidRDefault="00AE2056">
      <w:pPr>
        <w:ind w:left="1120" w:right="720"/>
        <w:jc w:val="both"/>
        <w:rPr>
          <w:rFonts w:ascii="Verdana" w:hAnsi="Verdana"/>
          <w:sz w:val="16"/>
          <w:szCs w:val="18"/>
          <w:lang w:val="es-ES_tradnl"/>
        </w:rPr>
      </w:pPr>
      <w:r w:rsidRPr="00943512">
        <w:rPr>
          <w:rFonts w:ascii="Verdana" w:hAnsi="Verdana"/>
          <w:sz w:val="16"/>
          <w:szCs w:val="18"/>
          <w:lang w:val="es-ES_tradnl"/>
        </w:rPr>
        <w:sym w:font="Symbol" w:char="F05B"/>
      </w:r>
      <w:r w:rsidRPr="00943512">
        <w:rPr>
          <w:rFonts w:ascii="Verdana" w:hAnsi="Verdana"/>
          <w:sz w:val="16"/>
          <w:szCs w:val="18"/>
          <w:lang w:val="es-ES_tradnl"/>
        </w:rPr>
        <w:t>…</w:t>
      </w:r>
      <w:r w:rsidRPr="00943512">
        <w:rPr>
          <w:rFonts w:ascii="Verdana" w:hAnsi="Verdana"/>
          <w:sz w:val="16"/>
          <w:szCs w:val="18"/>
          <w:lang w:val="es-ES_tradnl"/>
        </w:rPr>
        <w:sym w:font="Symbol" w:char="F05D"/>
      </w:r>
    </w:p>
    <w:p w:rsidR="00AE2056" w:rsidRPr="00943512" w:rsidRDefault="00AE2056" w:rsidP="00AE2056">
      <w:pPr>
        <w:ind w:right="720"/>
        <w:jc w:val="both"/>
        <w:rPr>
          <w:rFonts w:ascii="Verdana" w:hAnsi="Verdana"/>
          <w:sz w:val="16"/>
          <w:szCs w:val="18"/>
          <w:lang w:val="es-ES_tradnl"/>
        </w:rPr>
      </w:pPr>
    </w:p>
    <w:p w:rsidR="00AE2056" w:rsidRPr="00943512" w:rsidRDefault="00AE2056">
      <w:pPr>
        <w:ind w:left="1120" w:right="720"/>
        <w:jc w:val="both"/>
        <w:rPr>
          <w:rFonts w:ascii="Verdana" w:hAnsi="Verdana"/>
          <w:sz w:val="16"/>
          <w:szCs w:val="18"/>
          <w:lang w:val="es-ES_tradnl"/>
        </w:rPr>
      </w:pPr>
      <w:r w:rsidRPr="00943512">
        <w:rPr>
          <w:rFonts w:ascii="Verdana" w:hAnsi="Verdana"/>
          <w:sz w:val="16"/>
          <w:szCs w:val="18"/>
          <w:lang w:val="es-ES_tradnl"/>
        </w:rPr>
        <w:t>4.</w:t>
      </w:r>
      <w:r w:rsidRPr="00943512">
        <w:rPr>
          <w:rFonts w:ascii="Verdana" w:hAnsi="Verdana"/>
          <w:sz w:val="16"/>
          <w:szCs w:val="18"/>
          <w:lang w:val="es-ES_tradnl"/>
        </w:rPr>
        <w:tab/>
        <w:t>En el caso de la presunta víctima, sus familiares o sus representantes debidamente acreditados, la admisión de pruebas se regirá además por lo dispuesto en los artículos 23, 36 y 37.5 del Reglamento.</w:t>
      </w:r>
    </w:p>
    <w:p w:rsidR="00AE2056" w:rsidRPr="00F91F51" w:rsidRDefault="00AE2056">
      <w:pPr>
        <w:tabs>
          <w:tab w:val="left" w:pos="1440"/>
          <w:tab w:val="left" w:pos="2160"/>
          <w:tab w:val="left" w:pos="2880"/>
          <w:tab w:val="left" w:pos="3600"/>
          <w:tab w:val="left" w:pos="4320"/>
          <w:tab w:val="left" w:pos="5040"/>
          <w:tab w:val="left" w:pos="5760"/>
          <w:tab w:val="left" w:pos="6480"/>
          <w:tab w:val="left" w:pos="7200"/>
          <w:tab w:val="left" w:pos="8640"/>
        </w:tabs>
        <w:ind w:left="1170" w:right="720"/>
        <w:jc w:val="both"/>
        <w:rPr>
          <w:rFonts w:ascii="Verdana" w:hAnsi="Verdana"/>
          <w:sz w:val="20"/>
          <w:lang w:val="es-ES_tradnl"/>
        </w:rPr>
      </w:pPr>
    </w:p>
    <w:p w:rsidR="00AE2056" w:rsidRPr="00F91F51" w:rsidRDefault="00AE2056">
      <w:pPr>
        <w:pStyle w:val="Textoindependiente2"/>
        <w:rPr>
          <w:rFonts w:ascii="Verdana" w:hAnsi="Verdana"/>
          <w:sz w:val="20"/>
        </w:rPr>
      </w:pPr>
      <w:r w:rsidRPr="00F91F51" w:rsidDel="00906D96">
        <w:rPr>
          <w:rFonts w:ascii="Verdana" w:hAnsi="Verdana"/>
          <w:sz w:val="20"/>
        </w:rPr>
        <w:t>2</w:t>
      </w:r>
      <w:r w:rsidRPr="00F91F51">
        <w:rPr>
          <w:rFonts w:ascii="Verdana" w:hAnsi="Verdana"/>
          <w:sz w:val="20"/>
        </w:rPr>
        <w:t>.</w:t>
      </w:r>
      <w:r w:rsidRPr="00F91F51">
        <w:rPr>
          <w:rFonts w:ascii="Verdana" w:hAnsi="Verdana"/>
          <w:sz w:val="20"/>
        </w:rPr>
        <w:tab/>
        <w:t>Que el artículo 47 del Reglamento estipula que:</w:t>
      </w:r>
    </w:p>
    <w:p w:rsidR="00AE2056" w:rsidRPr="00F91F51" w:rsidRDefault="00AE2056">
      <w:pPr>
        <w:pStyle w:val="Textonotapie"/>
        <w:rPr>
          <w:rFonts w:ascii="Verdana" w:eastAsia="Times" w:hAnsi="Verdana"/>
        </w:rPr>
      </w:pPr>
    </w:p>
    <w:p w:rsidR="00AE2056" w:rsidRPr="00F91F51" w:rsidRDefault="00AE2056" w:rsidP="00AE2056">
      <w:pPr>
        <w:numPr>
          <w:ilvl w:val="0"/>
          <w:numId w:val="30"/>
        </w:numPr>
        <w:tabs>
          <w:tab w:val="clear" w:pos="2160"/>
        </w:tabs>
        <w:ind w:left="1080" w:right="720"/>
        <w:jc w:val="both"/>
        <w:rPr>
          <w:rFonts w:ascii="Verdana" w:hAnsi="Verdana"/>
          <w:sz w:val="16"/>
        </w:rPr>
      </w:pPr>
      <w:r w:rsidRPr="00F91F51">
        <w:rPr>
          <w:rFonts w:ascii="Verdana" w:hAnsi="Verdana"/>
          <w:sz w:val="16"/>
        </w:rPr>
        <w:t xml:space="preserve">La Corte fijará la oportunidad para la presentación, a cargo de las partes, de los testigos y peritos que considere necesario escuchar. Asimismo, al citar al testigo y al perito, la Corte indicará el objeto del testimonio o peritaje. </w:t>
      </w:r>
    </w:p>
    <w:p w:rsidR="00AE2056" w:rsidRPr="00F91F51" w:rsidRDefault="00AE2056" w:rsidP="00AE2056">
      <w:pPr>
        <w:ind w:left="1080" w:right="720" w:hanging="720"/>
        <w:jc w:val="both"/>
        <w:rPr>
          <w:rFonts w:ascii="Verdana" w:hAnsi="Verdana"/>
          <w:sz w:val="16"/>
        </w:rPr>
      </w:pPr>
    </w:p>
    <w:p w:rsidR="00AE2056" w:rsidRPr="00386D34" w:rsidRDefault="00AE2056" w:rsidP="00AE2056">
      <w:pPr>
        <w:numPr>
          <w:ilvl w:val="0"/>
          <w:numId w:val="30"/>
        </w:numPr>
        <w:tabs>
          <w:tab w:val="clear" w:pos="2160"/>
        </w:tabs>
        <w:ind w:left="1080" w:right="720"/>
        <w:jc w:val="both"/>
        <w:rPr>
          <w:rFonts w:ascii="Verdana" w:hAnsi="Verdana"/>
          <w:color w:val="000000"/>
          <w:sz w:val="16"/>
        </w:rPr>
      </w:pPr>
      <w:r w:rsidRPr="00F91F51">
        <w:rPr>
          <w:rFonts w:ascii="Verdana" w:hAnsi="Verdana"/>
          <w:sz w:val="16"/>
        </w:rPr>
        <w:t>La parte</w:t>
      </w:r>
      <w:r w:rsidRPr="00386D34">
        <w:rPr>
          <w:rFonts w:ascii="Verdana" w:hAnsi="Verdana"/>
          <w:color w:val="000000"/>
          <w:sz w:val="16"/>
        </w:rPr>
        <w:t xml:space="preserve"> que ofrece una prueba de testigos o peritos se encargará de su comparecencia ante el Tribunal. </w:t>
      </w:r>
    </w:p>
    <w:p w:rsidR="00AE2056" w:rsidRPr="00386D34" w:rsidRDefault="00AE2056" w:rsidP="00AE2056">
      <w:pPr>
        <w:ind w:left="1080" w:right="720" w:hanging="720"/>
        <w:jc w:val="both"/>
        <w:rPr>
          <w:rFonts w:ascii="Verdana" w:hAnsi="Verdana"/>
          <w:color w:val="000000"/>
          <w:sz w:val="16"/>
        </w:rPr>
      </w:pPr>
    </w:p>
    <w:p w:rsidR="00AE2056" w:rsidRPr="00097F6F" w:rsidRDefault="00AE2056" w:rsidP="00AE2056">
      <w:pPr>
        <w:numPr>
          <w:ilvl w:val="0"/>
          <w:numId w:val="30"/>
        </w:numPr>
        <w:tabs>
          <w:tab w:val="clear" w:pos="2160"/>
        </w:tabs>
        <w:ind w:left="1080" w:right="720"/>
        <w:jc w:val="both"/>
        <w:rPr>
          <w:rFonts w:ascii="Verdana" w:hAnsi="Verdana"/>
          <w:sz w:val="20"/>
          <w:lang w:val="es-ES_tradnl"/>
        </w:rPr>
      </w:pPr>
      <w:r w:rsidRPr="00386D34">
        <w:rPr>
          <w:rFonts w:ascii="Verdana" w:hAnsi="Verdana"/>
          <w:color w:val="000000"/>
          <w:sz w:val="16"/>
        </w:rPr>
        <w:t>La Corte podrá requerir que determinados testigos y peritos ofrecidos por las partes presten sus testimonios o peritazgos a través de declaración rendida ante fedatario público (affidávit</w:t>
      </w:r>
      <w:r w:rsidRPr="00386D34">
        <w:rPr>
          <w:rFonts w:ascii="Verdana" w:hAnsi="Verdana"/>
          <w:i/>
          <w:color w:val="000000"/>
          <w:sz w:val="16"/>
        </w:rPr>
        <w:t>)</w:t>
      </w:r>
      <w:r w:rsidRPr="00386D34">
        <w:rPr>
          <w:rFonts w:ascii="Verdana" w:hAnsi="Verdana"/>
          <w:color w:val="000000"/>
          <w:sz w:val="16"/>
        </w:rPr>
        <w:t>. Una vez recibida la declaración rendida ante fedatario público (affidávit</w:t>
      </w:r>
      <w:r w:rsidRPr="00386D34">
        <w:rPr>
          <w:rFonts w:ascii="Verdana" w:hAnsi="Verdana"/>
          <w:i/>
          <w:color w:val="000000"/>
          <w:sz w:val="16"/>
        </w:rPr>
        <w:t>)</w:t>
      </w:r>
      <w:r w:rsidRPr="00386D34">
        <w:rPr>
          <w:rFonts w:ascii="Verdana" w:hAnsi="Verdana"/>
          <w:color w:val="000000"/>
          <w:sz w:val="16"/>
        </w:rPr>
        <w:t>, ésta se trasladará a la o las otras partes para que presenten sus observaciones.</w:t>
      </w:r>
      <w:r>
        <w:rPr>
          <w:rFonts w:ascii="Verdana" w:hAnsi="Verdana"/>
          <w:b/>
          <w:color w:val="000000"/>
          <w:sz w:val="16"/>
        </w:rPr>
        <w:t xml:space="preserve">  </w:t>
      </w:r>
    </w:p>
    <w:p w:rsidR="00AE2056" w:rsidRPr="00097F6F" w:rsidRDefault="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lang w:val="es-ES_tradnl"/>
        </w:rPr>
      </w:pPr>
    </w:p>
    <w:p w:rsidR="00AE2056" w:rsidRPr="00CF544F"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
        <w:jc w:val="both"/>
        <w:rPr>
          <w:rFonts w:ascii="Verdana" w:hAnsi="Verdana"/>
          <w:sz w:val="20"/>
          <w:lang w:val="es-ES_tradnl"/>
        </w:rPr>
      </w:pPr>
      <w:r w:rsidRPr="00CF544F">
        <w:rPr>
          <w:rFonts w:ascii="Verdana" w:hAnsi="Verdana"/>
          <w:sz w:val="20"/>
          <w:lang w:val="es-ES_tradnl"/>
        </w:rPr>
        <w:t>3.</w:t>
      </w:r>
      <w:r w:rsidRPr="00CF544F">
        <w:rPr>
          <w:rFonts w:ascii="Verdana" w:hAnsi="Verdana"/>
          <w:sz w:val="20"/>
          <w:lang w:val="es-ES_tradnl"/>
        </w:rPr>
        <w:tab/>
        <w:t>Que la Co</w:t>
      </w:r>
      <w:r>
        <w:rPr>
          <w:rFonts w:ascii="Verdana" w:hAnsi="Verdana"/>
          <w:sz w:val="20"/>
          <w:lang w:val="es-ES_tradnl"/>
        </w:rPr>
        <w:t xml:space="preserve">misión y el Estado ofrecieron </w:t>
      </w:r>
      <w:r w:rsidRPr="00CF544F">
        <w:rPr>
          <w:rFonts w:ascii="Verdana" w:hAnsi="Verdana"/>
          <w:sz w:val="20"/>
          <w:lang w:val="es-ES_tradnl"/>
        </w:rPr>
        <w:t>prueba testimonial y pericial en la debida oportunidad procesal (</w:t>
      </w:r>
      <w:r w:rsidRPr="00CF544F">
        <w:rPr>
          <w:rFonts w:ascii="Verdana" w:hAnsi="Verdana"/>
          <w:i/>
          <w:sz w:val="20"/>
          <w:lang w:val="es-ES_tradnl"/>
        </w:rPr>
        <w:t>supra</w:t>
      </w:r>
      <w:r>
        <w:rPr>
          <w:rFonts w:ascii="Verdana" w:hAnsi="Verdana"/>
          <w:sz w:val="20"/>
          <w:lang w:val="es-ES_tradnl"/>
        </w:rPr>
        <w:t xml:space="preserve"> Vistos 1 y 3</w:t>
      </w:r>
      <w:r w:rsidRPr="00CF544F">
        <w:rPr>
          <w:rFonts w:ascii="Verdana" w:hAnsi="Verdana"/>
          <w:sz w:val="20"/>
          <w:lang w:val="es-ES_tradnl"/>
        </w:rPr>
        <w:t>).</w:t>
      </w:r>
    </w:p>
    <w:p w:rsidR="00AE2056" w:rsidRPr="00CF544F" w:rsidRDefault="00AE2056" w:rsidP="00AE2056">
      <w:pPr>
        <w:widowControl w:val="0"/>
        <w:autoSpaceDE w:val="0"/>
        <w:autoSpaceDN w:val="0"/>
        <w:adjustRightInd w:val="0"/>
        <w:jc w:val="both"/>
        <w:rPr>
          <w:rFonts w:ascii="Verdana" w:hAnsi="Verdana"/>
          <w:sz w:val="20"/>
          <w:szCs w:val="20"/>
          <w:lang w:val="es-ES_tradnl" w:eastAsia="en-US" w:bidi="x-none"/>
        </w:rPr>
      </w:pPr>
    </w:p>
    <w:p w:rsidR="00AE2056" w:rsidRPr="00DC12C2" w:rsidRDefault="00AE2056" w:rsidP="00AE2056">
      <w:pPr>
        <w:widowControl w:val="0"/>
        <w:autoSpaceDE w:val="0"/>
        <w:autoSpaceDN w:val="0"/>
        <w:adjustRightInd w:val="0"/>
        <w:jc w:val="both"/>
        <w:rPr>
          <w:rFonts w:ascii="Verdana" w:hAnsi="Verdana"/>
          <w:sz w:val="20"/>
          <w:szCs w:val="20"/>
          <w:lang w:val="es-ES_tradnl" w:eastAsia="en-US" w:bidi="x-none"/>
        </w:rPr>
      </w:pPr>
      <w:r w:rsidRPr="00CF544F">
        <w:rPr>
          <w:rFonts w:ascii="Verdana" w:hAnsi="Verdana"/>
          <w:sz w:val="20"/>
          <w:szCs w:val="20"/>
          <w:lang w:val="es-ES_tradnl" w:eastAsia="en-US" w:bidi="x-none"/>
        </w:rPr>
        <w:t>4.</w:t>
      </w:r>
      <w:r w:rsidRPr="00CF544F">
        <w:rPr>
          <w:rFonts w:ascii="Verdana" w:hAnsi="Verdana"/>
          <w:sz w:val="20"/>
          <w:szCs w:val="20"/>
          <w:lang w:val="es-ES_tradnl" w:eastAsia="en-US" w:bidi="x-none"/>
        </w:rPr>
        <w:tab/>
        <w:t>Que los representantes ofrecieron prueba testimonial y pericial en su escrito de solicitudes y argumentos (</w:t>
      </w:r>
      <w:r w:rsidRPr="004F56CB">
        <w:rPr>
          <w:rFonts w:ascii="Verdana" w:hAnsi="Verdana"/>
          <w:i/>
          <w:sz w:val="20"/>
          <w:szCs w:val="20"/>
          <w:lang w:val="es-ES_tradnl" w:eastAsia="en-US" w:bidi="x-none"/>
        </w:rPr>
        <w:t>supra</w:t>
      </w:r>
      <w:r w:rsidRPr="00CF544F">
        <w:rPr>
          <w:rFonts w:ascii="Verdana" w:hAnsi="Verdana"/>
          <w:sz w:val="20"/>
          <w:szCs w:val="20"/>
          <w:lang w:val="es-ES_tradnl" w:eastAsia="en-US" w:bidi="x-none"/>
        </w:rPr>
        <w:t xml:space="preserve"> Visto 2), respecto del cual el Estado opuso una excepción preliminar en la que alega la extemporaneidad del referido escrito (</w:t>
      </w:r>
      <w:r w:rsidRPr="004F56CB">
        <w:rPr>
          <w:rFonts w:ascii="Verdana" w:hAnsi="Verdana"/>
          <w:i/>
          <w:sz w:val="20"/>
          <w:szCs w:val="20"/>
          <w:lang w:val="es-ES_tradnl" w:eastAsia="en-US" w:bidi="x-none"/>
        </w:rPr>
        <w:t>supra</w:t>
      </w:r>
      <w:r w:rsidRPr="00CF544F">
        <w:rPr>
          <w:rFonts w:ascii="Verdana" w:hAnsi="Verdana"/>
          <w:sz w:val="20"/>
          <w:szCs w:val="20"/>
          <w:lang w:val="es-ES_tradnl" w:eastAsia="en-US" w:bidi="x-none"/>
        </w:rPr>
        <w:t xml:space="preserve"> Visto 3). </w:t>
      </w:r>
      <w:r w:rsidRPr="00DC12C2">
        <w:rPr>
          <w:rFonts w:ascii="Verdana" w:hAnsi="Verdana"/>
          <w:sz w:val="20"/>
          <w:szCs w:val="20"/>
          <w:lang w:val="es-ES_tradnl" w:eastAsia="en-US" w:bidi="x-none"/>
        </w:rPr>
        <w:t>La Corte considerará y se pronunciará sobre la alegada extemporaneidad de dicho escrito en el momento procesal oportuno, es decir cuando el Tribunal cuente con todos los elementos necesarios para efectuar el análisis de las excepciones preliminares opuestas por el Estado en el presente caso. En tal oportunidad el Tribunal resolverá todas las excepciones preliminares, incluyendo el planteo sobre la alegada extemporaneidad del escrito de los representantes. En razón de lo anterior, en la presente etapa del procedimiento esta Presidencia estima conveniente admitir preliminarmente el escrito de solicitudes y argumentos y el ofrecimiento de prueba testimonial y pericial allí realizado, sin perjuicio de la posterior decisión definitiva del Tribunal a este respecto, la que se hará junto con los demás planteos de excepciones preliminares.</w:t>
      </w:r>
    </w:p>
    <w:p w:rsidR="00AE2056" w:rsidRPr="00CF544F" w:rsidRDefault="00AE2056" w:rsidP="00AE2056">
      <w:pPr>
        <w:widowControl w:val="0"/>
        <w:autoSpaceDE w:val="0"/>
        <w:autoSpaceDN w:val="0"/>
        <w:adjustRightInd w:val="0"/>
        <w:jc w:val="both"/>
        <w:rPr>
          <w:rFonts w:ascii="Verdana" w:hAnsi="Verdana"/>
          <w:sz w:val="20"/>
          <w:szCs w:val="20"/>
          <w:lang w:val="es-ES_tradnl" w:eastAsia="en-US" w:bidi="x-none"/>
        </w:rPr>
      </w:pPr>
    </w:p>
    <w:p w:rsidR="00AE2056" w:rsidRPr="002B394D" w:rsidRDefault="00AE2056" w:rsidP="00AE2056">
      <w:pPr>
        <w:widowControl w:val="0"/>
        <w:autoSpaceDE w:val="0"/>
        <w:autoSpaceDN w:val="0"/>
        <w:adjustRightInd w:val="0"/>
        <w:jc w:val="both"/>
        <w:rPr>
          <w:rFonts w:ascii="Verdana" w:hAnsi="Verdana"/>
          <w:b/>
          <w:sz w:val="20"/>
          <w:szCs w:val="20"/>
          <w:lang w:val="es-ES_tradnl" w:eastAsia="en-US" w:bidi="x-none"/>
        </w:rPr>
      </w:pPr>
      <w:r w:rsidRPr="00CF544F">
        <w:rPr>
          <w:rFonts w:ascii="Verdana" w:hAnsi="Verdana"/>
          <w:sz w:val="20"/>
          <w:szCs w:val="20"/>
          <w:lang w:val="es-ES_tradnl" w:eastAsia="en-US" w:bidi="x-none"/>
        </w:rPr>
        <w:t>5.</w:t>
      </w:r>
      <w:r w:rsidRPr="00CF544F">
        <w:rPr>
          <w:rFonts w:ascii="Verdana" w:hAnsi="Verdana"/>
          <w:sz w:val="20"/>
          <w:szCs w:val="20"/>
          <w:lang w:val="es-ES_tradnl" w:eastAsia="en-US" w:bidi="x-none"/>
        </w:rPr>
        <w:tab/>
        <w:t xml:space="preserve">Que se ha otorgado a la Comisión Interamericana, a los representantes y al Estado el derecho de defensa respecto de los ofrecimientos probatorios realizados por las demás partes </w:t>
      </w:r>
      <w:r>
        <w:rPr>
          <w:rFonts w:ascii="Verdana" w:hAnsi="Verdana"/>
          <w:sz w:val="20"/>
          <w:szCs w:val="20"/>
          <w:lang w:val="es-ES_tradnl" w:eastAsia="en-US" w:bidi="x-none"/>
        </w:rPr>
        <w:t>en sus escritos de demanda, de solicitudes y argumentos, y de contestación de la demanda, y en sus respectivas listas definitivas</w:t>
      </w:r>
      <w:r w:rsidRPr="00CF544F">
        <w:rPr>
          <w:rFonts w:ascii="Verdana" w:hAnsi="Verdana"/>
          <w:sz w:val="20"/>
          <w:szCs w:val="20"/>
          <w:lang w:val="es-ES_tradnl" w:eastAsia="en-US" w:bidi="x-none"/>
        </w:rPr>
        <w:t xml:space="preserve"> de testigos y peritos (</w:t>
      </w:r>
      <w:r w:rsidRPr="00A11223">
        <w:rPr>
          <w:rFonts w:ascii="Verdana" w:hAnsi="Verdana"/>
          <w:i/>
          <w:sz w:val="20"/>
          <w:szCs w:val="20"/>
          <w:lang w:val="es-ES_tradnl" w:eastAsia="en-US" w:bidi="x-none"/>
        </w:rPr>
        <w:t>supra</w:t>
      </w:r>
      <w:r w:rsidRPr="00CF544F">
        <w:rPr>
          <w:rFonts w:ascii="Verdana" w:hAnsi="Verdana"/>
          <w:sz w:val="20"/>
          <w:szCs w:val="20"/>
          <w:lang w:val="es-ES_tradnl" w:eastAsia="en-US" w:bidi="x-none"/>
        </w:rPr>
        <w:t xml:space="preserve"> Vistos 1 a 3, 7 a 9 y 12).</w:t>
      </w:r>
    </w:p>
    <w:p w:rsidR="00AE2056" w:rsidRPr="00CF544F"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
        <w:jc w:val="both"/>
        <w:rPr>
          <w:rFonts w:ascii="Verdana" w:hAnsi="Verdana"/>
          <w:sz w:val="20"/>
          <w:lang w:val="es-ES_tradnl"/>
        </w:rPr>
      </w:pPr>
    </w:p>
    <w:p w:rsidR="00AE2056" w:rsidRPr="00CF544F"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
        <w:jc w:val="both"/>
        <w:rPr>
          <w:rFonts w:ascii="Verdana" w:hAnsi="Verdana"/>
          <w:sz w:val="20"/>
          <w:lang w:val="es-ES_tradnl"/>
        </w:rPr>
      </w:pPr>
      <w:r w:rsidRPr="00CF544F">
        <w:rPr>
          <w:rFonts w:ascii="Verdana" w:hAnsi="Verdana"/>
          <w:sz w:val="20"/>
          <w:lang w:val="es-ES_tradnl"/>
        </w:rPr>
        <w:t>6.</w:t>
      </w:r>
      <w:r w:rsidRPr="00CF544F">
        <w:rPr>
          <w:rFonts w:ascii="Verdana" w:hAnsi="Verdana"/>
          <w:sz w:val="20"/>
          <w:lang w:val="es-ES_tradnl"/>
        </w:rPr>
        <w:tab/>
      </w:r>
      <w:r w:rsidRPr="00494FFE">
        <w:rPr>
          <w:rFonts w:ascii="Verdana" w:hAnsi="Verdana"/>
          <w:sz w:val="20"/>
          <w:lang w:val="es-ES_tradnl"/>
        </w:rPr>
        <w:t xml:space="preserve">Que la Comisión Interamericana ofreció los testimonios de </w:t>
      </w:r>
      <w:proofErr w:type="spellStart"/>
      <w:r w:rsidRPr="00494FFE">
        <w:rPr>
          <w:rFonts w:ascii="Verdana" w:hAnsi="Verdana"/>
          <w:sz w:val="20"/>
          <w:lang w:val="es-ES_tradnl"/>
        </w:rPr>
        <w:t>Iracema</w:t>
      </w:r>
      <w:proofErr w:type="spellEnd"/>
      <w:r w:rsidRPr="00494FFE">
        <w:rPr>
          <w:rFonts w:ascii="Verdana" w:hAnsi="Verdana"/>
          <w:sz w:val="20"/>
          <w:lang w:val="es-ES_tradnl"/>
        </w:rPr>
        <w:t xml:space="preserve"> Garibaldi y de </w:t>
      </w:r>
      <w:proofErr w:type="spellStart"/>
      <w:r w:rsidRPr="00494FFE">
        <w:rPr>
          <w:rFonts w:ascii="Verdana" w:hAnsi="Verdana"/>
          <w:sz w:val="20"/>
          <w:lang w:val="es-ES_tradnl"/>
        </w:rPr>
        <w:t>Vanderlei</w:t>
      </w:r>
      <w:proofErr w:type="spellEnd"/>
      <w:r w:rsidRPr="00494FFE">
        <w:rPr>
          <w:rFonts w:ascii="Verdana" w:hAnsi="Verdana"/>
          <w:sz w:val="20"/>
          <w:lang w:val="es-ES_tradnl"/>
        </w:rPr>
        <w:t xml:space="preserve"> Garibaldi, y el peritaje de Salo de Carvalho, e indicó que la declaración del segundo testigo podría ser rendida ante fedatario público. Por otra parte, </w:t>
      </w:r>
      <w:r w:rsidRPr="00F91F51">
        <w:rPr>
          <w:rFonts w:ascii="Verdana" w:hAnsi="Verdana"/>
          <w:sz w:val="20"/>
          <w:lang w:val="es-ES_tradnl"/>
        </w:rPr>
        <w:t>no presentó observaciones a las pruebas testimoniales y periciales ofrecidas por el Estado y por los representantes</w:t>
      </w:r>
      <w:r w:rsidRPr="00494FFE">
        <w:rPr>
          <w:rFonts w:ascii="Verdana" w:hAnsi="Verdana"/>
          <w:sz w:val="20"/>
          <w:lang w:val="es-ES_tradnl"/>
        </w:rPr>
        <w:t xml:space="preserve"> (</w:t>
      </w:r>
      <w:r w:rsidRPr="00494FFE">
        <w:rPr>
          <w:rFonts w:ascii="Verdana" w:hAnsi="Verdana"/>
          <w:i/>
          <w:sz w:val="20"/>
          <w:lang w:val="es-ES_tradnl"/>
        </w:rPr>
        <w:t>supra</w:t>
      </w:r>
      <w:r w:rsidRPr="00494FFE">
        <w:rPr>
          <w:rFonts w:ascii="Verdana" w:hAnsi="Verdana"/>
          <w:sz w:val="20"/>
          <w:lang w:val="es-ES_tradnl"/>
        </w:rPr>
        <w:t xml:space="preserve"> Visto 11).</w:t>
      </w:r>
      <w:r w:rsidRPr="00CF544F">
        <w:rPr>
          <w:rFonts w:ascii="Verdana" w:hAnsi="Verdana"/>
          <w:sz w:val="20"/>
          <w:lang w:val="es-ES_tradnl"/>
        </w:rPr>
        <w:t xml:space="preserve"> </w:t>
      </w:r>
    </w:p>
    <w:p w:rsidR="00AE2056" w:rsidRPr="00CF544F"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
        <w:jc w:val="both"/>
        <w:rPr>
          <w:rFonts w:ascii="Verdana" w:hAnsi="Verdana"/>
          <w:sz w:val="20"/>
          <w:lang w:val="es-ES_tradnl"/>
        </w:rPr>
      </w:pPr>
    </w:p>
    <w:p w:rsidR="00AE2056" w:rsidRPr="00F91F51" w:rsidRDefault="00AE2056" w:rsidP="00AE2056">
      <w:pPr>
        <w:ind w:right="-7"/>
        <w:jc w:val="both"/>
        <w:rPr>
          <w:rFonts w:ascii="Verdana" w:hAnsi="Verdana"/>
          <w:sz w:val="20"/>
          <w:lang w:val="es-ES_tradnl"/>
        </w:rPr>
      </w:pPr>
      <w:r w:rsidRPr="00CF544F">
        <w:rPr>
          <w:rFonts w:ascii="Verdana" w:hAnsi="Verdana"/>
          <w:sz w:val="20"/>
          <w:lang w:val="es-ES_tradnl"/>
        </w:rPr>
        <w:t>7.</w:t>
      </w:r>
      <w:r w:rsidRPr="00CF544F">
        <w:rPr>
          <w:rFonts w:ascii="Verdana" w:hAnsi="Verdana"/>
          <w:sz w:val="20"/>
          <w:lang w:val="es-ES_tradnl"/>
        </w:rPr>
        <w:tab/>
      </w:r>
      <w:r w:rsidRPr="00494FFE">
        <w:rPr>
          <w:rFonts w:ascii="Verdana" w:hAnsi="Verdana"/>
          <w:sz w:val="20"/>
          <w:lang w:val="es-ES_tradnl"/>
        </w:rPr>
        <w:t xml:space="preserve">Que los representantes ofrecieron el testimonio de </w:t>
      </w:r>
      <w:proofErr w:type="spellStart"/>
      <w:r w:rsidRPr="00494FFE">
        <w:rPr>
          <w:rFonts w:ascii="Verdana" w:hAnsi="Verdana"/>
          <w:sz w:val="20"/>
          <w:lang w:val="es-ES_tradnl"/>
        </w:rPr>
        <w:t>Giovani</w:t>
      </w:r>
      <w:proofErr w:type="spellEnd"/>
      <w:r w:rsidRPr="00494FFE">
        <w:rPr>
          <w:rFonts w:ascii="Verdana" w:hAnsi="Verdana"/>
          <w:sz w:val="20"/>
          <w:lang w:val="es-ES_tradnl"/>
        </w:rPr>
        <w:t xml:space="preserve"> </w:t>
      </w:r>
      <w:proofErr w:type="spellStart"/>
      <w:r w:rsidRPr="00494FFE">
        <w:rPr>
          <w:rFonts w:ascii="Verdana" w:hAnsi="Verdana"/>
          <w:sz w:val="20"/>
          <w:lang w:val="es-ES_tradnl"/>
        </w:rPr>
        <w:t>Braum</w:t>
      </w:r>
      <w:proofErr w:type="spellEnd"/>
      <w:r w:rsidRPr="00494FFE">
        <w:rPr>
          <w:rFonts w:ascii="Verdana" w:hAnsi="Verdana"/>
          <w:sz w:val="20"/>
          <w:lang w:val="es-ES_tradnl"/>
        </w:rPr>
        <w:t xml:space="preserve"> y el peritaje de </w:t>
      </w:r>
      <w:proofErr w:type="spellStart"/>
      <w:r w:rsidRPr="00494FFE">
        <w:rPr>
          <w:rFonts w:ascii="Verdana" w:hAnsi="Verdana"/>
          <w:sz w:val="20"/>
          <w:lang w:val="es-ES_tradnl"/>
        </w:rPr>
        <w:t>Sérgio</w:t>
      </w:r>
      <w:proofErr w:type="spellEnd"/>
      <w:r w:rsidRPr="00494FFE">
        <w:rPr>
          <w:rFonts w:ascii="Verdana" w:hAnsi="Verdana"/>
          <w:sz w:val="20"/>
          <w:lang w:val="es-ES_tradnl"/>
        </w:rPr>
        <w:t xml:space="preserve"> </w:t>
      </w:r>
      <w:proofErr w:type="spellStart"/>
      <w:r w:rsidRPr="00494FFE">
        <w:rPr>
          <w:rFonts w:ascii="Verdana" w:hAnsi="Verdana"/>
          <w:sz w:val="20"/>
          <w:lang w:val="es-ES_tradnl"/>
        </w:rPr>
        <w:t>Sauer</w:t>
      </w:r>
      <w:proofErr w:type="spellEnd"/>
      <w:r w:rsidRPr="00494FFE">
        <w:rPr>
          <w:rFonts w:ascii="Verdana" w:hAnsi="Verdana"/>
          <w:sz w:val="20"/>
          <w:lang w:val="es-ES_tradnl"/>
        </w:rPr>
        <w:t xml:space="preserve">, y señalaron que ambos podrían prestar su declaración y su dictamen, respectivamente, durante la audiencia pública. Por otra parte, no </w:t>
      </w:r>
      <w:r w:rsidRPr="00F91F51">
        <w:rPr>
          <w:rFonts w:ascii="Verdana" w:hAnsi="Verdana"/>
          <w:sz w:val="20"/>
          <w:lang w:val="es-ES_tradnl"/>
        </w:rPr>
        <w:t>presentaron observaciones a las pruebas testimoniales y periciales ofrecidas por el Estado y por la Comisión.</w:t>
      </w:r>
    </w:p>
    <w:p w:rsidR="00AE2056" w:rsidRPr="00F91F51" w:rsidRDefault="00AE2056" w:rsidP="00AE2056">
      <w:pPr>
        <w:ind w:right="-7"/>
        <w:jc w:val="both"/>
        <w:rPr>
          <w:rFonts w:ascii="Verdana" w:hAnsi="Verdana"/>
          <w:sz w:val="20"/>
          <w:lang w:val="es-ES_tradnl"/>
        </w:rPr>
      </w:pPr>
    </w:p>
    <w:p w:rsidR="00AE2056" w:rsidRPr="00494FFE" w:rsidRDefault="00AE2056" w:rsidP="00AE2056">
      <w:pPr>
        <w:ind w:right="-7"/>
        <w:jc w:val="both"/>
        <w:rPr>
          <w:rFonts w:ascii="Verdana" w:hAnsi="Verdana"/>
          <w:sz w:val="20"/>
          <w:lang w:val="es-ES_tradnl"/>
        </w:rPr>
      </w:pPr>
      <w:r w:rsidRPr="00F91F51">
        <w:rPr>
          <w:rFonts w:ascii="Verdana" w:hAnsi="Verdana"/>
          <w:sz w:val="20"/>
          <w:lang w:val="es-ES_tradnl"/>
        </w:rPr>
        <w:t xml:space="preserve">8. </w:t>
      </w:r>
      <w:r w:rsidRPr="00F91F51">
        <w:rPr>
          <w:rFonts w:ascii="Verdana" w:hAnsi="Verdana"/>
          <w:sz w:val="20"/>
          <w:lang w:val="es-ES_tradnl"/>
        </w:rPr>
        <w:tab/>
        <w:t xml:space="preserve">Que el Estado propuso los testimonios de </w:t>
      </w:r>
      <w:proofErr w:type="spellStart"/>
      <w:r w:rsidRPr="00C4011F">
        <w:rPr>
          <w:rFonts w:ascii="Verdana" w:hAnsi="Verdana"/>
          <w:sz w:val="20"/>
        </w:rPr>
        <w:t>Rolf</w:t>
      </w:r>
      <w:proofErr w:type="spellEnd"/>
      <w:r w:rsidRPr="00C4011F">
        <w:rPr>
          <w:rFonts w:ascii="Verdana" w:hAnsi="Verdana"/>
          <w:sz w:val="20"/>
        </w:rPr>
        <w:t xml:space="preserve"> </w:t>
      </w:r>
      <w:proofErr w:type="spellStart"/>
      <w:r w:rsidRPr="00C4011F">
        <w:rPr>
          <w:rFonts w:ascii="Verdana" w:hAnsi="Verdana"/>
          <w:sz w:val="20"/>
        </w:rPr>
        <w:t>Hackbart</w:t>
      </w:r>
      <w:proofErr w:type="spellEnd"/>
      <w:r w:rsidRPr="00C4011F">
        <w:rPr>
          <w:rFonts w:ascii="Verdana" w:hAnsi="Verdana"/>
          <w:sz w:val="20"/>
        </w:rPr>
        <w:t xml:space="preserve">, </w:t>
      </w:r>
      <w:proofErr w:type="spellStart"/>
      <w:r w:rsidRPr="00C4011F">
        <w:rPr>
          <w:rFonts w:ascii="Verdana" w:hAnsi="Verdana"/>
          <w:sz w:val="20"/>
        </w:rPr>
        <w:t>Sadi</w:t>
      </w:r>
      <w:proofErr w:type="spellEnd"/>
      <w:r w:rsidRPr="00C4011F">
        <w:rPr>
          <w:rFonts w:ascii="Verdana" w:hAnsi="Verdana"/>
          <w:sz w:val="20"/>
        </w:rPr>
        <w:t xml:space="preserve"> </w:t>
      </w:r>
      <w:proofErr w:type="spellStart"/>
      <w:r w:rsidRPr="00C4011F">
        <w:rPr>
          <w:rFonts w:ascii="Verdana" w:hAnsi="Verdana"/>
          <w:sz w:val="20"/>
        </w:rPr>
        <w:t>Pansera</w:t>
      </w:r>
      <w:proofErr w:type="spellEnd"/>
      <w:r w:rsidRPr="00C4011F">
        <w:rPr>
          <w:rFonts w:ascii="Verdana" w:hAnsi="Verdana"/>
          <w:sz w:val="20"/>
        </w:rPr>
        <w:t xml:space="preserve"> y </w:t>
      </w:r>
      <w:proofErr w:type="spellStart"/>
      <w:r w:rsidRPr="00C4011F">
        <w:rPr>
          <w:rFonts w:ascii="Verdana" w:hAnsi="Verdana"/>
          <w:sz w:val="20"/>
        </w:rPr>
        <w:t>Fábio</w:t>
      </w:r>
      <w:proofErr w:type="spellEnd"/>
      <w:r w:rsidRPr="00C4011F">
        <w:rPr>
          <w:rFonts w:ascii="Verdana" w:hAnsi="Verdana"/>
          <w:sz w:val="20"/>
        </w:rPr>
        <w:t xml:space="preserve"> André </w:t>
      </w:r>
      <w:proofErr w:type="spellStart"/>
      <w:r w:rsidRPr="00C4011F">
        <w:rPr>
          <w:rFonts w:ascii="Verdana" w:hAnsi="Verdana"/>
          <w:sz w:val="20"/>
        </w:rPr>
        <w:t>Guaragni</w:t>
      </w:r>
      <w:proofErr w:type="spellEnd"/>
      <w:r w:rsidRPr="00C4011F">
        <w:rPr>
          <w:rFonts w:ascii="Verdana" w:hAnsi="Verdana"/>
          <w:sz w:val="20"/>
        </w:rPr>
        <w:t xml:space="preserve"> y el peritaje de Maria </w:t>
      </w:r>
      <w:proofErr w:type="spellStart"/>
      <w:r w:rsidRPr="00C4011F">
        <w:rPr>
          <w:rFonts w:ascii="Verdana" w:hAnsi="Verdana"/>
          <w:sz w:val="20"/>
        </w:rPr>
        <w:t>Thereza</w:t>
      </w:r>
      <w:proofErr w:type="spellEnd"/>
      <w:r w:rsidRPr="00C4011F">
        <w:rPr>
          <w:rFonts w:ascii="Verdana" w:hAnsi="Verdana"/>
          <w:sz w:val="20"/>
        </w:rPr>
        <w:t xml:space="preserve"> Rocha de </w:t>
      </w:r>
      <w:proofErr w:type="spellStart"/>
      <w:r w:rsidRPr="00C4011F">
        <w:rPr>
          <w:rFonts w:ascii="Verdana" w:hAnsi="Verdana"/>
          <w:sz w:val="20"/>
        </w:rPr>
        <w:t>Assis</w:t>
      </w:r>
      <w:proofErr w:type="spellEnd"/>
      <w:r w:rsidRPr="00C4011F">
        <w:rPr>
          <w:rFonts w:ascii="Verdana" w:hAnsi="Verdana"/>
          <w:sz w:val="20"/>
        </w:rPr>
        <w:t xml:space="preserve"> </w:t>
      </w:r>
      <w:proofErr w:type="spellStart"/>
      <w:r w:rsidRPr="00C4011F">
        <w:rPr>
          <w:rFonts w:ascii="Verdana" w:hAnsi="Verdana"/>
          <w:sz w:val="20"/>
        </w:rPr>
        <w:t>Moura</w:t>
      </w:r>
      <w:proofErr w:type="spellEnd"/>
      <w:r w:rsidRPr="00C4011F">
        <w:rPr>
          <w:rFonts w:ascii="Verdana" w:hAnsi="Verdana"/>
          <w:sz w:val="20"/>
        </w:rPr>
        <w:t xml:space="preserve">, quienes podrían rendir sus declaraciones e informe oralmente ante la Corte. Por otra parte, Brasil </w:t>
      </w:r>
      <w:r w:rsidRPr="00494FFE">
        <w:rPr>
          <w:rFonts w:ascii="Verdana" w:hAnsi="Verdana"/>
          <w:sz w:val="20"/>
          <w:lang w:val="es-ES_tradnl"/>
        </w:rPr>
        <w:t>no presentó objeciones a los testigos y peritos propuestos por la Comisión Interamericana y por los representantes.</w:t>
      </w:r>
    </w:p>
    <w:p w:rsidR="00AE2056" w:rsidRPr="00494FFE" w:rsidRDefault="00AE2056" w:rsidP="00AE2056">
      <w:pPr>
        <w:ind w:right="-7"/>
        <w:jc w:val="center"/>
        <w:rPr>
          <w:rFonts w:ascii="Verdana" w:hAnsi="Verdana"/>
          <w:sz w:val="20"/>
          <w:lang w:val="es-ES_tradnl"/>
        </w:rPr>
      </w:pPr>
    </w:p>
    <w:p w:rsidR="00AE2056" w:rsidRPr="00494FFE" w:rsidRDefault="00AE2056" w:rsidP="00AE2056">
      <w:pPr>
        <w:ind w:right="-7"/>
        <w:jc w:val="center"/>
        <w:rPr>
          <w:rFonts w:ascii="Verdana" w:hAnsi="Verdana"/>
          <w:sz w:val="20"/>
          <w:lang w:val="es-ES_tradnl"/>
        </w:rPr>
      </w:pPr>
      <w:r w:rsidRPr="00494FFE">
        <w:rPr>
          <w:rFonts w:ascii="Verdana" w:hAnsi="Verdana"/>
          <w:sz w:val="20"/>
          <w:lang w:val="es-ES_tradnl"/>
        </w:rPr>
        <w:t>*</w:t>
      </w:r>
    </w:p>
    <w:p w:rsidR="00AE2056" w:rsidRPr="00F91F51" w:rsidRDefault="00AE2056" w:rsidP="00AE2056">
      <w:pPr>
        <w:ind w:right="-7"/>
        <w:jc w:val="center"/>
        <w:rPr>
          <w:rFonts w:ascii="Verdana" w:hAnsi="Verdana"/>
          <w:sz w:val="20"/>
          <w:lang w:val="es-ES_tradnl"/>
        </w:rPr>
      </w:pPr>
      <w:r w:rsidRPr="00494FFE">
        <w:rPr>
          <w:rFonts w:ascii="Verdana" w:hAnsi="Verdana"/>
          <w:sz w:val="20"/>
          <w:lang w:val="es-ES_tradnl"/>
        </w:rPr>
        <w:t>*</w:t>
      </w:r>
      <w:r w:rsidRPr="00494FFE">
        <w:rPr>
          <w:rFonts w:ascii="Verdana" w:hAnsi="Verdana"/>
          <w:sz w:val="20"/>
          <w:lang w:val="es-ES_tradnl"/>
        </w:rPr>
        <w:tab/>
        <w:t>*</w:t>
      </w:r>
    </w:p>
    <w:p w:rsidR="00AE2056" w:rsidRPr="00CF544F" w:rsidRDefault="00AE2056" w:rsidP="00AE2056">
      <w:pPr>
        <w:ind w:right="-7"/>
        <w:jc w:val="both"/>
        <w:rPr>
          <w:rFonts w:ascii="Verdana" w:hAnsi="Verdana"/>
          <w:sz w:val="20"/>
          <w:lang w:val="es-ES_tradnl"/>
        </w:rPr>
      </w:pPr>
    </w:p>
    <w:p w:rsidR="00AE2056"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0"/>
        <w:rPr>
          <w:rFonts w:ascii="Verdana" w:hAnsi="Verdana"/>
          <w:sz w:val="20"/>
        </w:rPr>
      </w:pPr>
      <w:r>
        <w:rPr>
          <w:rFonts w:ascii="Verdana" w:hAnsi="Verdana"/>
          <w:sz w:val="20"/>
        </w:rPr>
        <w:t>9.</w:t>
      </w:r>
      <w:r>
        <w:rPr>
          <w:rFonts w:ascii="Verdana" w:hAnsi="Verdana"/>
          <w:sz w:val="20"/>
        </w:rPr>
        <w:tab/>
        <w:t>Que en un tribunal internacional cuyo fin es la protección de los derechos humanos, como es la Corte, el procedimiento reviste particularidades propias que le diferencian del procedimiento en el derecho interno. Aquél es menos formal y más flexible que éste, sin que por ello deje de velar por la seguridad jurídica y por el equilibrio procesal de las partes</w:t>
      </w:r>
      <w:r w:rsidRPr="000E0017">
        <w:rPr>
          <w:rStyle w:val="Refdenotaalpie"/>
          <w:rFonts w:ascii="Verdana" w:hAnsi="Verdana"/>
          <w:sz w:val="20"/>
        </w:rPr>
        <w:footnoteReference w:id="1"/>
      </w:r>
      <w:r w:rsidRPr="00A51D85">
        <w:rPr>
          <w:rFonts w:ascii="Verdana" w:hAnsi="Verdana"/>
          <w:i/>
          <w:sz w:val="20"/>
        </w:rPr>
        <w:t>.</w:t>
      </w:r>
      <w:r>
        <w:rPr>
          <w:rFonts w:ascii="Verdana" w:hAnsi="Verdana"/>
          <w:sz w:val="20"/>
        </w:rPr>
        <w:t xml:space="preserve"> Por eso la Corte, en ejercicio de su función contenciosa, tiene amplias facultades para recibir la prueba que estime necesaria o pertinente.</w:t>
      </w:r>
    </w:p>
    <w:p w:rsidR="00AE2056" w:rsidRPr="0034040E" w:rsidRDefault="00AE2056" w:rsidP="00AE2056">
      <w:pPr>
        <w:widowControl w:val="0"/>
        <w:jc w:val="both"/>
        <w:rPr>
          <w:rFonts w:ascii="Verdana" w:hAnsi="Verdana"/>
          <w:sz w:val="20"/>
          <w:lang w:val="es-ES_tradnl"/>
        </w:rPr>
      </w:pPr>
    </w:p>
    <w:p w:rsidR="00AE2056" w:rsidRPr="00C4011F" w:rsidRDefault="00AE2056" w:rsidP="00AE2056">
      <w:pPr>
        <w:jc w:val="both"/>
        <w:rPr>
          <w:rFonts w:ascii="Verdana" w:hAnsi="Verdana"/>
          <w:sz w:val="20"/>
        </w:rPr>
      </w:pPr>
      <w:r w:rsidRPr="00494FFE">
        <w:rPr>
          <w:rFonts w:ascii="Verdana" w:hAnsi="Verdana"/>
          <w:sz w:val="20"/>
        </w:rPr>
        <w:t xml:space="preserve">10. </w:t>
      </w:r>
      <w:r w:rsidRPr="00494FFE">
        <w:rPr>
          <w:rFonts w:ascii="Verdana" w:hAnsi="Verdana"/>
          <w:sz w:val="20"/>
        </w:rPr>
        <w:tab/>
        <w:t xml:space="preserve"> Que en cuanto a las personas ofrecidas como testigos y peritos por la Comisión, los representantes y el Estado, cuya declaración o comparecencia no haya sido objetada por las partes, esta Presidencia considera conveniente recabar dicha prueba, a efectos de que el Tribunal pueda apreciar su valor en la debida oportunidad, dentro del contexto del acervo probatorio existente y según las reglas de la sana crítica. </w:t>
      </w:r>
      <w:r w:rsidRPr="00C4011F">
        <w:rPr>
          <w:rFonts w:ascii="Verdana" w:hAnsi="Verdana"/>
          <w:sz w:val="20"/>
        </w:rPr>
        <w:t xml:space="preserve">Esas personas son las siguientes: 1) </w:t>
      </w:r>
      <w:proofErr w:type="spellStart"/>
      <w:r w:rsidRPr="00C4011F">
        <w:rPr>
          <w:rFonts w:ascii="Verdana" w:hAnsi="Verdana"/>
          <w:sz w:val="20"/>
        </w:rPr>
        <w:t>Iracema</w:t>
      </w:r>
      <w:proofErr w:type="spellEnd"/>
      <w:r w:rsidRPr="00C4011F">
        <w:rPr>
          <w:rFonts w:ascii="Verdana" w:hAnsi="Verdana"/>
          <w:sz w:val="20"/>
        </w:rPr>
        <w:t xml:space="preserve"> Garibaldi; 2) </w:t>
      </w:r>
      <w:proofErr w:type="spellStart"/>
      <w:r w:rsidRPr="00C4011F">
        <w:rPr>
          <w:rFonts w:ascii="Verdana" w:hAnsi="Verdana"/>
          <w:sz w:val="20"/>
        </w:rPr>
        <w:t>Vanderlei</w:t>
      </w:r>
      <w:proofErr w:type="spellEnd"/>
      <w:r w:rsidRPr="00C4011F">
        <w:rPr>
          <w:rFonts w:ascii="Verdana" w:hAnsi="Verdana"/>
          <w:sz w:val="20"/>
        </w:rPr>
        <w:t xml:space="preserve"> Garibaldi, y 3) Salo de Carvalho, testigos y perito, respectivamente, ofrecidos por la Comisión Interamericana; 4) </w:t>
      </w:r>
      <w:proofErr w:type="spellStart"/>
      <w:r w:rsidRPr="00C4011F">
        <w:rPr>
          <w:rFonts w:ascii="Verdana" w:hAnsi="Verdana"/>
          <w:sz w:val="20"/>
        </w:rPr>
        <w:t>Giovani</w:t>
      </w:r>
      <w:proofErr w:type="spellEnd"/>
      <w:r w:rsidRPr="00C4011F">
        <w:rPr>
          <w:rFonts w:ascii="Verdana" w:hAnsi="Verdana"/>
          <w:sz w:val="20"/>
        </w:rPr>
        <w:t xml:space="preserve"> </w:t>
      </w:r>
      <w:proofErr w:type="spellStart"/>
      <w:r w:rsidRPr="00C4011F">
        <w:rPr>
          <w:rFonts w:ascii="Verdana" w:hAnsi="Verdana"/>
          <w:sz w:val="20"/>
        </w:rPr>
        <w:t>Braum</w:t>
      </w:r>
      <w:proofErr w:type="spellEnd"/>
      <w:r w:rsidRPr="00C4011F">
        <w:rPr>
          <w:rFonts w:ascii="Verdana" w:hAnsi="Verdana"/>
          <w:sz w:val="20"/>
        </w:rPr>
        <w:t xml:space="preserve">, y 5) </w:t>
      </w:r>
      <w:proofErr w:type="spellStart"/>
      <w:r w:rsidRPr="00C4011F">
        <w:rPr>
          <w:rFonts w:ascii="Verdana" w:hAnsi="Verdana"/>
          <w:sz w:val="20"/>
        </w:rPr>
        <w:t>Sérgio</w:t>
      </w:r>
      <w:proofErr w:type="spellEnd"/>
      <w:r w:rsidRPr="00C4011F">
        <w:rPr>
          <w:rFonts w:ascii="Verdana" w:hAnsi="Verdana"/>
          <w:sz w:val="20"/>
        </w:rPr>
        <w:t xml:space="preserve"> </w:t>
      </w:r>
      <w:proofErr w:type="spellStart"/>
      <w:r w:rsidRPr="00C4011F">
        <w:rPr>
          <w:rFonts w:ascii="Verdana" w:hAnsi="Verdana"/>
          <w:sz w:val="20"/>
        </w:rPr>
        <w:t>Sauer</w:t>
      </w:r>
      <w:proofErr w:type="spellEnd"/>
      <w:r w:rsidRPr="00C4011F">
        <w:rPr>
          <w:rFonts w:ascii="Verdana" w:hAnsi="Verdana"/>
          <w:sz w:val="20"/>
        </w:rPr>
        <w:t xml:space="preserve">, </w:t>
      </w:r>
      <w:r w:rsidRPr="00C4011F">
        <w:rPr>
          <w:rFonts w:ascii="Verdana" w:hAnsi="Verdana"/>
          <w:sz w:val="20"/>
        </w:rPr>
        <w:lastRenderedPageBreak/>
        <w:t xml:space="preserve">testigo y perito, respectivamente, propuestos por los representantes; y 6) </w:t>
      </w:r>
      <w:proofErr w:type="spellStart"/>
      <w:r w:rsidRPr="00C4011F">
        <w:rPr>
          <w:rFonts w:ascii="Verdana" w:hAnsi="Verdana"/>
          <w:sz w:val="20"/>
        </w:rPr>
        <w:t>Rolf</w:t>
      </w:r>
      <w:proofErr w:type="spellEnd"/>
      <w:r w:rsidRPr="00C4011F">
        <w:rPr>
          <w:rFonts w:ascii="Verdana" w:hAnsi="Verdana"/>
          <w:sz w:val="20"/>
        </w:rPr>
        <w:t xml:space="preserve"> </w:t>
      </w:r>
      <w:proofErr w:type="spellStart"/>
      <w:r w:rsidRPr="00C4011F">
        <w:rPr>
          <w:rFonts w:ascii="Verdana" w:hAnsi="Verdana"/>
          <w:sz w:val="20"/>
        </w:rPr>
        <w:t>Hackbart</w:t>
      </w:r>
      <w:proofErr w:type="spellEnd"/>
      <w:r w:rsidRPr="00C4011F">
        <w:rPr>
          <w:rFonts w:ascii="Verdana" w:hAnsi="Verdana"/>
          <w:sz w:val="20"/>
        </w:rPr>
        <w:t xml:space="preserve">; 7) </w:t>
      </w:r>
      <w:proofErr w:type="spellStart"/>
      <w:r w:rsidRPr="00C4011F">
        <w:rPr>
          <w:rFonts w:ascii="Verdana" w:hAnsi="Verdana"/>
          <w:sz w:val="20"/>
        </w:rPr>
        <w:t>Sadi</w:t>
      </w:r>
      <w:proofErr w:type="spellEnd"/>
      <w:r w:rsidRPr="00C4011F">
        <w:rPr>
          <w:rFonts w:ascii="Verdana" w:hAnsi="Verdana"/>
          <w:sz w:val="20"/>
        </w:rPr>
        <w:t xml:space="preserve"> </w:t>
      </w:r>
      <w:proofErr w:type="spellStart"/>
      <w:r w:rsidRPr="00C4011F">
        <w:rPr>
          <w:rFonts w:ascii="Verdana" w:hAnsi="Verdana"/>
          <w:sz w:val="20"/>
        </w:rPr>
        <w:t>Pansera</w:t>
      </w:r>
      <w:proofErr w:type="spellEnd"/>
      <w:r w:rsidRPr="00C4011F">
        <w:rPr>
          <w:rFonts w:ascii="Verdana" w:hAnsi="Verdana"/>
          <w:sz w:val="20"/>
        </w:rPr>
        <w:t xml:space="preserve">; 8) </w:t>
      </w:r>
      <w:proofErr w:type="spellStart"/>
      <w:r w:rsidRPr="00C4011F">
        <w:rPr>
          <w:rFonts w:ascii="Verdana" w:hAnsi="Verdana"/>
          <w:sz w:val="20"/>
        </w:rPr>
        <w:t>Fábio</w:t>
      </w:r>
      <w:proofErr w:type="spellEnd"/>
      <w:r w:rsidRPr="00C4011F">
        <w:rPr>
          <w:rFonts w:ascii="Verdana" w:hAnsi="Verdana"/>
          <w:sz w:val="20"/>
        </w:rPr>
        <w:t xml:space="preserve"> André </w:t>
      </w:r>
      <w:proofErr w:type="spellStart"/>
      <w:r w:rsidRPr="00C4011F">
        <w:rPr>
          <w:rFonts w:ascii="Verdana" w:hAnsi="Verdana"/>
          <w:sz w:val="20"/>
        </w:rPr>
        <w:t>Guaragni</w:t>
      </w:r>
      <w:proofErr w:type="spellEnd"/>
      <w:r w:rsidRPr="00C4011F">
        <w:rPr>
          <w:rFonts w:ascii="Verdana" w:hAnsi="Verdana"/>
          <w:sz w:val="20"/>
        </w:rPr>
        <w:t xml:space="preserve">; y 9) Maria </w:t>
      </w:r>
      <w:proofErr w:type="spellStart"/>
      <w:r w:rsidRPr="00C4011F">
        <w:rPr>
          <w:rFonts w:ascii="Verdana" w:hAnsi="Verdana"/>
          <w:sz w:val="20"/>
        </w:rPr>
        <w:t>Thereza</w:t>
      </w:r>
      <w:proofErr w:type="spellEnd"/>
      <w:r w:rsidRPr="00C4011F">
        <w:rPr>
          <w:rFonts w:ascii="Verdana" w:hAnsi="Verdana"/>
          <w:sz w:val="20"/>
        </w:rPr>
        <w:t xml:space="preserve"> Rocha de </w:t>
      </w:r>
      <w:proofErr w:type="spellStart"/>
      <w:r w:rsidRPr="00C4011F">
        <w:rPr>
          <w:rFonts w:ascii="Verdana" w:hAnsi="Verdana"/>
          <w:sz w:val="20"/>
        </w:rPr>
        <w:t>Assis</w:t>
      </w:r>
      <w:proofErr w:type="spellEnd"/>
      <w:r w:rsidRPr="00C4011F">
        <w:rPr>
          <w:rFonts w:ascii="Verdana" w:hAnsi="Verdana"/>
          <w:sz w:val="20"/>
        </w:rPr>
        <w:t xml:space="preserve"> </w:t>
      </w:r>
      <w:proofErr w:type="spellStart"/>
      <w:r w:rsidRPr="00C4011F">
        <w:rPr>
          <w:rFonts w:ascii="Verdana" w:hAnsi="Verdana"/>
          <w:sz w:val="20"/>
        </w:rPr>
        <w:t>Moura</w:t>
      </w:r>
      <w:proofErr w:type="spellEnd"/>
      <w:r w:rsidRPr="00C4011F">
        <w:rPr>
          <w:rFonts w:ascii="Verdana" w:hAnsi="Verdana"/>
          <w:sz w:val="20"/>
        </w:rPr>
        <w:t xml:space="preserve">, testigos y perita, respectivamente, propuestos por el Estado. </w:t>
      </w:r>
      <w:r w:rsidRPr="00753713">
        <w:rPr>
          <w:rFonts w:ascii="Verdana" w:hAnsi="Verdana"/>
          <w:sz w:val="20"/>
        </w:rPr>
        <w:t>Esta Presidencia determinará el objeto de sus testimonios e informes periciales, y la forma en que serán recibidos, de conformidad con los términos dispuestos en la parte resolutiva de esta decisión (</w:t>
      </w:r>
      <w:r w:rsidRPr="00753713">
        <w:rPr>
          <w:rFonts w:ascii="Verdana" w:hAnsi="Verdana"/>
          <w:i/>
          <w:sz w:val="20"/>
        </w:rPr>
        <w:t>infra</w:t>
      </w:r>
      <w:r w:rsidRPr="00753713">
        <w:rPr>
          <w:rFonts w:ascii="Verdana" w:hAnsi="Verdana"/>
          <w:sz w:val="20"/>
        </w:rPr>
        <w:t xml:space="preserve"> puntos resolutivos 1 y 4).</w:t>
      </w:r>
    </w:p>
    <w:p w:rsidR="00AE2056" w:rsidRPr="00494FFE" w:rsidRDefault="00AE2056" w:rsidP="00AE2056">
      <w:pPr>
        <w:widowControl w:val="0"/>
        <w:jc w:val="both"/>
        <w:rPr>
          <w:rFonts w:ascii="Verdana" w:hAnsi="Verdana"/>
          <w:sz w:val="20"/>
        </w:rPr>
      </w:pPr>
    </w:p>
    <w:p w:rsidR="00AE2056" w:rsidRPr="00605B4A" w:rsidRDefault="00AE2056" w:rsidP="00AE2056">
      <w:pPr>
        <w:spacing w:after="60"/>
        <w:jc w:val="both"/>
        <w:rPr>
          <w:rFonts w:ascii="Verdana" w:hAnsi="Verdana"/>
          <w:sz w:val="20"/>
        </w:rPr>
      </w:pPr>
      <w:r w:rsidRPr="00A636D4">
        <w:rPr>
          <w:rFonts w:ascii="Verdana" w:hAnsi="Verdana"/>
          <w:sz w:val="20"/>
        </w:rPr>
        <w:t>11.</w:t>
      </w:r>
      <w:r w:rsidRPr="00A636D4">
        <w:rPr>
          <w:rFonts w:ascii="Verdana" w:hAnsi="Verdana"/>
          <w:sz w:val="20"/>
        </w:rPr>
        <w:tab/>
        <w:t xml:space="preserve">Que en relación con la declaración testimonial de algunas de las presuntas víctimas del caso, como </w:t>
      </w:r>
      <w:proofErr w:type="spellStart"/>
      <w:r w:rsidRPr="00C4011F">
        <w:rPr>
          <w:rFonts w:ascii="Verdana" w:hAnsi="Verdana"/>
          <w:sz w:val="20"/>
        </w:rPr>
        <w:t>Iracema</w:t>
      </w:r>
      <w:proofErr w:type="spellEnd"/>
      <w:r w:rsidRPr="00C4011F">
        <w:rPr>
          <w:rFonts w:ascii="Verdana" w:hAnsi="Verdana"/>
          <w:sz w:val="20"/>
        </w:rPr>
        <w:t xml:space="preserve"> Garibaldi y </w:t>
      </w:r>
      <w:proofErr w:type="spellStart"/>
      <w:r w:rsidRPr="00C4011F">
        <w:rPr>
          <w:rFonts w:ascii="Verdana" w:hAnsi="Verdana"/>
          <w:sz w:val="20"/>
        </w:rPr>
        <w:t>Vanderlei</w:t>
      </w:r>
      <w:proofErr w:type="spellEnd"/>
      <w:r w:rsidRPr="00C4011F">
        <w:rPr>
          <w:rFonts w:ascii="Verdana" w:hAnsi="Verdana"/>
          <w:sz w:val="20"/>
        </w:rPr>
        <w:t xml:space="preserve"> Garibaldi,</w:t>
      </w:r>
      <w:r w:rsidRPr="00A636D4">
        <w:rPr>
          <w:rFonts w:ascii="Verdana" w:hAnsi="Verdana"/>
          <w:sz w:val="20"/>
        </w:rPr>
        <w:t xml:space="preserve"> </w:t>
      </w:r>
      <w:r w:rsidRPr="00B9647A">
        <w:rPr>
          <w:rFonts w:ascii="Verdana" w:hAnsi="Verdana"/>
          <w:sz w:val="20"/>
          <w:szCs w:val="22"/>
        </w:rPr>
        <w:t xml:space="preserve">esta Presidencia recuerda que la Corte </w:t>
      </w:r>
      <w:r w:rsidRPr="00605B4A">
        <w:rPr>
          <w:rFonts w:ascii="Verdana" w:hAnsi="Verdana"/>
          <w:sz w:val="20"/>
        </w:rPr>
        <w:t>ha señalado reiteradamente que la declaración de las presuntas víctimas son útiles en la medida en que pueden proporcionar mayor información sobre las alegadas violaciones y sus consecuencias</w:t>
      </w:r>
      <w:r w:rsidRPr="00605B4A">
        <w:rPr>
          <w:rStyle w:val="Refdenotaalpie"/>
          <w:rFonts w:ascii="Verdana" w:hAnsi="Verdana"/>
          <w:sz w:val="20"/>
        </w:rPr>
        <w:footnoteReference w:id="2"/>
      </w:r>
      <w:r w:rsidRPr="00605B4A">
        <w:rPr>
          <w:rFonts w:ascii="Verdana" w:hAnsi="Verdana"/>
          <w:sz w:val="20"/>
        </w:rPr>
        <w:t>.</w:t>
      </w:r>
    </w:p>
    <w:p w:rsidR="00AE2056" w:rsidRPr="000B51D4"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Verdana" w:hAnsi="Verdana"/>
          <w:sz w:val="20"/>
        </w:rPr>
      </w:pPr>
    </w:p>
    <w:p w:rsidR="00AE2056" w:rsidRPr="000B51D4"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Verdana" w:hAnsi="Verdana"/>
          <w:sz w:val="20"/>
        </w:rPr>
      </w:pPr>
      <w:r w:rsidRPr="000B51D4">
        <w:rPr>
          <w:rFonts w:ascii="Verdana" w:hAnsi="Verdana"/>
          <w:sz w:val="20"/>
        </w:rPr>
        <w:t>*</w:t>
      </w:r>
    </w:p>
    <w:p w:rsidR="00AE2056" w:rsidRPr="000B51D4"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Verdana" w:hAnsi="Verdana"/>
          <w:sz w:val="20"/>
        </w:rPr>
      </w:pPr>
      <w:r w:rsidRPr="000B51D4">
        <w:rPr>
          <w:rFonts w:ascii="Verdana" w:hAnsi="Verdana"/>
          <w:sz w:val="20"/>
        </w:rPr>
        <w:t>*</w:t>
      </w:r>
      <w:r w:rsidRPr="000B51D4">
        <w:rPr>
          <w:rFonts w:ascii="Verdana" w:hAnsi="Verdana"/>
          <w:sz w:val="20"/>
        </w:rPr>
        <w:tab/>
        <w:t>*</w:t>
      </w:r>
    </w:p>
    <w:p w:rsidR="00AE2056" w:rsidRPr="00494FFE" w:rsidRDefault="00AE2056" w:rsidP="00AE2056">
      <w:pPr>
        <w:spacing w:after="60"/>
        <w:jc w:val="both"/>
        <w:rPr>
          <w:rFonts w:ascii="Verdana" w:hAnsi="Verdana"/>
          <w:sz w:val="20"/>
        </w:rPr>
      </w:pPr>
    </w:p>
    <w:p w:rsidR="00AE2056" w:rsidRPr="00DC12C2" w:rsidRDefault="00AE2056" w:rsidP="00AE2056">
      <w:pPr>
        <w:spacing w:after="60"/>
        <w:jc w:val="both"/>
        <w:rPr>
          <w:rFonts w:ascii="Verdana" w:hAnsi="Verdana"/>
          <w:sz w:val="20"/>
        </w:rPr>
      </w:pPr>
      <w:r w:rsidRPr="00DC12C2">
        <w:rPr>
          <w:rFonts w:ascii="Verdana" w:hAnsi="Verdana"/>
          <w:sz w:val="20"/>
        </w:rPr>
        <w:t>12.</w:t>
      </w:r>
      <w:r w:rsidRPr="00DC12C2">
        <w:rPr>
          <w:rFonts w:ascii="Verdana" w:hAnsi="Verdana"/>
          <w:sz w:val="20"/>
        </w:rPr>
        <w:tab/>
        <w:t>Que en cuanto a la solicitud del Estado respecto de la celebración de una audiencia específica sobre excepciones preliminares (</w:t>
      </w:r>
      <w:r w:rsidRPr="00DC12C2">
        <w:rPr>
          <w:rFonts w:ascii="Verdana" w:hAnsi="Verdana"/>
          <w:i/>
          <w:sz w:val="20"/>
        </w:rPr>
        <w:t>supra</w:t>
      </w:r>
      <w:r w:rsidRPr="00DC12C2">
        <w:rPr>
          <w:rFonts w:ascii="Verdana" w:hAnsi="Verdana"/>
          <w:sz w:val="20"/>
        </w:rPr>
        <w:t xml:space="preserve"> Visto 3), esta Presidencia por razones de conveniencia y con base en el principio de economía procesal, estima oportuno realizar una audiencia pública, con el fin de que el Tribunal reciba, como es su práctica habitual de los últimos años, en una única instancia procesal, las pruebas testimoniales y periciales aportadas por las partes, como así también sus alegatos sobre las excepciones preliminares y sobre los eventuales fondo, reparaciones y costas.</w:t>
      </w:r>
    </w:p>
    <w:p w:rsidR="00AE2056" w:rsidRPr="000B51D4"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Verdana" w:hAnsi="Verdana"/>
          <w:sz w:val="20"/>
        </w:rPr>
      </w:pPr>
    </w:p>
    <w:p w:rsidR="00AE2056" w:rsidRPr="000B51D4"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Verdana" w:hAnsi="Verdana"/>
          <w:sz w:val="20"/>
        </w:rPr>
      </w:pPr>
      <w:r w:rsidRPr="000B51D4">
        <w:rPr>
          <w:rFonts w:ascii="Verdana" w:hAnsi="Verdana"/>
          <w:sz w:val="20"/>
        </w:rPr>
        <w:t>*</w:t>
      </w:r>
    </w:p>
    <w:p w:rsidR="00AE2056" w:rsidRPr="000B51D4"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Verdana" w:hAnsi="Verdana"/>
          <w:sz w:val="20"/>
        </w:rPr>
      </w:pPr>
      <w:r w:rsidRPr="000B51D4">
        <w:rPr>
          <w:rFonts w:ascii="Verdana" w:hAnsi="Verdana"/>
          <w:sz w:val="20"/>
        </w:rPr>
        <w:t>*</w:t>
      </w:r>
      <w:r w:rsidRPr="000B51D4">
        <w:rPr>
          <w:rFonts w:ascii="Verdana" w:hAnsi="Verdana"/>
          <w:sz w:val="20"/>
        </w:rPr>
        <w:tab/>
        <w:t>*</w:t>
      </w:r>
    </w:p>
    <w:p w:rsidR="00AE2056" w:rsidRPr="00F00621" w:rsidRDefault="00AE2056" w:rsidP="00AE2056">
      <w:pPr>
        <w:spacing w:after="60"/>
        <w:jc w:val="both"/>
        <w:rPr>
          <w:rFonts w:ascii="Verdana" w:hAnsi="Verdana"/>
          <w:sz w:val="20"/>
        </w:rPr>
      </w:pPr>
    </w:p>
    <w:p w:rsidR="00AE2056" w:rsidRPr="00494FFE" w:rsidRDefault="00AE2056" w:rsidP="00AE2056">
      <w:pPr>
        <w:spacing w:after="60"/>
        <w:jc w:val="both"/>
        <w:rPr>
          <w:rFonts w:ascii="Verdana" w:hAnsi="Verdana"/>
          <w:sz w:val="20"/>
        </w:rPr>
      </w:pPr>
      <w:r w:rsidRPr="00494FFE">
        <w:rPr>
          <w:rFonts w:ascii="Verdana" w:hAnsi="Verdana"/>
          <w:sz w:val="20"/>
        </w:rPr>
        <w:t>13.</w:t>
      </w:r>
      <w:r w:rsidRPr="00494FFE">
        <w:rPr>
          <w:rFonts w:ascii="Verdana" w:hAnsi="Verdana"/>
          <w:sz w:val="20"/>
        </w:rPr>
        <w:tab/>
        <w:t>Que es necesario asegurar el conocimiento de la verdad y la más amplia presentación de hechos y argumentos por las partes, en todo lo que sea pertinente para la solución de las cuestiones controvertidas, garantizando a éstas</w:t>
      </w:r>
      <w:r>
        <w:rPr>
          <w:rFonts w:ascii="Verdana" w:hAnsi="Verdana"/>
          <w:sz w:val="20"/>
        </w:rPr>
        <w:t xml:space="preserve"> tanto</w:t>
      </w:r>
      <w:r w:rsidRPr="00494FFE">
        <w:rPr>
          <w:rFonts w:ascii="Verdana" w:hAnsi="Verdana"/>
          <w:sz w:val="20"/>
        </w:rPr>
        <w:t xml:space="preserve"> el derecho a la defensa de sus respectivas posiciones como la posibilidad de atender adecuadamente los casos sujetos a la consideración de la Corte, </w:t>
      </w:r>
      <w:r w:rsidRPr="00834F06">
        <w:rPr>
          <w:rFonts w:ascii="Verdana" w:hAnsi="Verdana"/>
          <w:sz w:val="20"/>
        </w:rPr>
        <w:t xml:space="preserve">teniendo en </w:t>
      </w:r>
      <w:r w:rsidRPr="00834F06" w:rsidDel="009952C0">
        <w:rPr>
          <w:rFonts w:ascii="Verdana" w:hAnsi="Verdana"/>
          <w:sz w:val="20"/>
        </w:rPr>
        <w:t xml:space="preserve">cuenta </w:t>
      </w:r>
      <w:r w:rsidRPr="00834F06">
        <w:rPr>
          <w:rFonts w:ascii="Verdana" w:hAnsi="Verdana"/>
          <w:sz w:val="20"/>
        </w:rPr>
        <w:t>que su número ha crecido considerablemente y se incrementa de manera constante.</w:t>
      </w:r>
      <w:r>
        <w:rPr>
          <w:rFonts w:ascii="Verdana" w:hAnsi="Verdana"/>
          <w:sz w:val="20"/>
        </w:rPr>
        <w:t xml:space="preserve"> Además, es necesario</w:t>
      </w:r>
      <w:r w:rsidRPr="00494FFE">
        <w:rPr>
          <w:rFonts w:ascii="Verdana" w:hAnsi="Verdana"/>
          <w:sz w:val="20"/>
        </w:rPr>
        <w:t xml:space="preserve"> que esa atención se actualice en un plazo razonable, como lo requiere el efectivo acceso a la justicia. En razón de lo anterior, es preciso recibir por declaración rendida ante fedatario público el mayor número posible de testimonios y dictámenes, y escuchar en audiencia pública a los testigos y peritos cuya declaración directa resulte verdaderamente indispensable, tomando en cuenta las circunstancias del caso y el objeto de los testimonios y dictámenes</w:t>
      </w:r>
      <w:r w:rsidRPr="00494FFE">
        <w:rPr>
          <w:rStyle w:val="Refdenotaalpie"/>
          <w:rFonts w:ascii="Verdana" w:hAnsi="Verdana"/>
          <w:sz w:val="20"/>
        </w:rPr>
        <w:footnoteReference w:id="3"/>
      </w:r>
      <w:r w:rsidRPr="00494FFE">
        <w:rPr>
          <w:rFonts w:ascii="Verdana" w:hAnsi="Verdana"/>
          <w:sz w:val="20"/>
        </w:rPr>
        <w:t xml:space="preserve">. En consecuencia, esta </w:t>
      </w:r>
      <w:r w:rsidRPr="00494FFE">
        <w:rPr>
          <w:rFonts w:ascii="Verdana" w:hAnsi="Verdana"/>
          <w:sz w:val="20"/>
        </w:rPr>
        <w:lastRenderedPageBreak/>
        <w:t xml:space="preserve">Presidencia ordena que los testigos </w:t>
      </w:r>
      <w:proofErr w:type="spellStart"/>
      <w:r w:rsidRPr="00494FFE">
        <w:rPr>
          <w:rFonts w:ascii="Verdana" w:hAnsi="Verdana"/>
          <w:sz w:val="20"/>
        </w:rPr>
        <w:t>Rolf</w:t>
      </w:r>
      <w:proofErr w:type="spellEnd"/>
      <w:r w:rsidRPr="00494FFE">
        <w:rPr>
          <w:rFonts w:ascii="Verdana" w:hAnsi="Verdana"/>
          <w:sz w:val="20"/>
        </w:rPr>
        <w:t xml:space="preserve"> </w:t>
      </w:r>
      <w:proofErr w:type="spellStart"/>
      <w:r w:rsidRPr="00494FFE">
        <w:rPr>
          <w:rFonts w:ascii="Verdana" w:hAnsi="Verdana"/>
          <w:sz w:val="20"/>
        </w:rPr>
        <w:t>Hackbart</w:t>
      </w:r>
      <w:proofErr w:type="spellEnd"/>
      <w:r w:rsidRPr="00494FFE">
        <w:rPr>
          <w:rFonts w:ascii="Verdana" w:hAnsi="Verdana"/>
          <w:sz w:val="20"/>
        </w:rPr>
        <w:t xml:space="preserve"> y </w:t>
      </w:r>
      <w:proofErr w:type="spellStart"/>
      <w:r w:rsidRPr="00494FFE">
        <w:rPr>
          <w:rFonts w:ascii="Verdana" w:hAnsi="Verdana"/>
          <w:sz w:val="20"/>
        </w:rPr>
        <w:t>Sadi</w:t>
      </w:r>
      <w:proofErr w:type="spellEnd"/>
      <w:r w:rsidRPr="00494FFE">
        <w:rPr>
          <w:rFonts w:ascii="Verdana" w:hAnsi="Verdana"/>
          <w:sz w:val="20"/>
        </w:rPr>
        <w:t xml:space="preserve"> </w:t>
      </w:r>
      <w:proofErr w:type="spellStart"/>
      <w:r w:rsidRPr="00494FFE">
        <w:rPr>
          <w:rFonts w:ascii="Verdana" w:hAnsi="Verdana"/>
          <w:sz w:val="20"/>
        </w:rPr>
        <w:t>Pansera</w:t>
      </w:r>
      <w:proofErr w:type="spellEnd"/>
      <w:r w:rsidRPr="00494FFE">
        <w:rPr>
          <w:rFonts w:ascii="Verdana" w:hAnsi="Verdana"/>
          <w:sz w:val="20"/>
        </w:rPr>
        <w:t xml:space="preserve">, propuestos por el Estado para que rindan su declaración en la audiencia pública, presten su testimonio ante fedatario público; de igual manera rendirá su testimonio el señor </w:t>
      </w:r>
      <w:proofErr w:type="spellStart"/>
      <w:r w:rsidRPr="00494FFE">
        <w:rPr>
          <w:rFonts w:ascii="Verdana" w:hAnsi="Verdana"/>
          <w:sz w:val="20"/>
        </w:rPr>
        <w:t>Giovani</w:t>
      </w:r>
      <w:proofErr w:type="spellEnd"/>
      <w:r w:rsidRPr="00494FFE">
        <w:rPr>
          <w:rFonts w:ascii="Verdana" w:hAnsi="Verdana"/>
          <w:sz w:val="20"/>
        </w:rPr>
        <w:t xml:space="preserve"> </w:t>
      </w:r>
      <w:proofErr w:type="spellStart"/>
      <w:r w:rsidRPr="00494FFE">
        <w:rPr>
          <w:rFonts w:ascii="Verdana" w:hAnsi="Verdana"/>
          <w:sz w:val="20"/>
        </w:rPr>
        <w:t>Braum</w:t>
      </w:r>
      <w:proofErr w:type="spellEnd"/>
      <w:r w:rsidRPr="00494FFE">
        <w:rPr>
          <w:rFonts w:ascii="Verdana" w:hAnsi="Verdana"/>
          <w:sz w:val="20"/>
        </w:rPr>
        <w:t>, propuesto por los representantes de las presuntas víctimas, así como todas las demás personas mencionadas en el punto resolutivo primero de la presente decisión.</w:t>
      </w:r>
    </w:p>
    <w:p w:rsidR="00AE2056" w:rsidRPr="00494FFE" w:rsidRDefault="00AE2056" w:rsidP="00AE2056">
      <w:pPr>
        <w:spacing w:after="60"/>
        <w:jc w:val="both"/>
        <w:rPr>
          <w:rFonts w:ascii="Verdana" w:hAnsi="Verdana"/>
          <w:sz w:val="20"/>
        </w:rPr>
      </w:pPr>
      <w:r w:rsidRPr="00494FFE">
        <w:rPr>
          <w:rFonts w:ascii="Verdana" w:hAnsi="Verdana"/>
          <w:sz w:val="20"/>
        </w:rPr>
        <w:t xml:space="preserve"> </w:t>
      </w:r>
    </w:p>
    <w:p w:rsidR="00AE2056" w:rsidRPr="00095F20" w:rsidRDefault="00AE2056" w:rsidP="00AE2056">
      <w:pPr>
        <w:spacing w:after="60"/>
        <w:jc w:val="both"/>
        <w:rPr>
          <w:rFonts w:ascii="Verdana" w:hAnsi="Verdana"/>
          <w:sz w:val="20"/>
        </w:rPr>
      </w:pPr>
      <w:r w:rsidRPr="005D43FF">
        <w:rPr>
          <w:rFonts w:ascii="Verdana" w:hAnsi="Verdana"/>
          <w:sz w:val="20"/>
        </w:rPr>
        <w:t xml:space="preserve">14. </w:t>
      </w:r>
      <w:r w:rsidRPr="005D43FF">
        <w:rPr>
          <w:rFonts w:ascii="Verdana" w:hAnsi="Verdana"/>
          <w:sz w:val="20"/>
        </w:rPr>
        <w:tab/>
        <w:t>Que de conformidad con el derecho de defensa y el principio del contradictorio, las declaraciones y dictámenes rendidos por affidávit conforme a la presente Resolución deberán ser transmitidas a las partes para que presenten las observaciones que estimen pertinentes en el plazo que se ordena adelante (</w:t>
      </w:r>
      <w:r w:rsidRPr="005D43FF">
        <w:rPr>
          <w:rFonts w:ascii="Verdana" w:hAnsi="Verdana"/>
          <w:i/>
          <w:sz w:val="20"/>
        </w:rPr>
        <w:t>infra</w:t>
      </w:r>
      <w:r w:rsidRPr="005D43FF">
        <w:rPr>
          <w:rFonts w:ascii="Verdana" w:hAnsi="Verdana"/>
          <w:sz w:val="20"/>
        </w:rPr>
        <w:t xml:space="preserve"> punto resolutivo 3)</w:t>
      </w:r>
      <w:r w:rsidRPr="005D43FF">
        <w:rPr>
          <w:rStyle w:val="Refdenotaalpie"/>
          <w:rFonts w:ascii="Verdana" w:hAnsi="Verdana"/>
          <w:sz w:val="20"/>
        </w:rPr>
        <w:footnoteReference w:id="4"/>
      </w:r>
      <w:r w:rsidRPr="005D43FF">
        <w:rPr>
          <w:rFonts w:ascii="Verdana" w:hAnsi="Verdana"/>
          <w:sz w:val="20"/>
        </w:rPr>
        <w:t>. El valor probatorio de dichas declaraciones y dictámenes será determinado en su oportunidad por el Tribunal, el cual tomará en cuenta los puntos de vista expresados por las partes en ejercicio de su derecho a la defensa</w:t>
      </w:r>
      <w:r w:rsidRPr="005D43FF">
        <w:rPr>
          <w:rStyle w:val="Refdenotaalpie"/>
          <w:rFonts w:ascii="Verdana" w:hAnsi="Verdana"/>
          <w:sz w:val="20"/>
        </w:rPr>
        <w:footnoteReference w:id="5"/>
      </w:r>
      <w:r w:rsidRPr="005D43FF">
        <w:rPr>
          <w:rFonts w:ascii="Verdana" w:hAnsi="Verdana"/>
          <w:sz w:val="20"/>
        </w:rPr>
        <w:t>.</w:t>
      </w:r>
    </w:p>
    <w:p w:rsidR="00AE2056" w:rsidRPr="000B51D4"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Verdana" w:hAnsi="Verdana"/>
          <w:sz w:val="20"/>
        </w:rPr>
      </w:pPr>
    </w:p>
    <w:p w:rsidR="00AE2056" w:rsidRPr="000B51D4"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Verdana" w:hAnsi="Verdana"/>
          <w:sz w:val="20"/>
        </w:rPr>
      </w:pPr>
      <w:r w:rsidRPr="000B51D4">
        <w:rPr>
          <w:rFonts w:ascii="Verdana" w:hAnsi="Verdana"/>
          <w:sz w:val="20"/>
        </w:rPr>
        <w:t>*</w:t>
      </w:r>
    </w:p>
    <w:p w:rsidR="00AE2056" w:rsidRPr="000B51D4"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Verdana" w:hAnsi="Verdana"/>
          <w:sz w:val="20"/>
        </w:rPr>
      </w:pPr>
      <w:r w:rsidRPr="000B51D4">
        <w:rPr>
          <w:rFonts w:ascii="Verdana" w:hAnsi="Verdana"/>
          <w:sz w:val="20"/>
        </w:rPr>
        <w:t>*</w:t>
      </w:r>
      <w:r w:rsidRPr="000B51D4">
        <w:rPr>
          <w:rFonts w:ascii="Verdana" w:hAnsi="Verdana"/>
          <w:sz w:val="20"/>
        </w:rPr>
        <w:tab/>
        <w:t>*</w:t>
      </w:r>
    </w:p>
    <w:p w:rsidR="00AE2056" w:rsidRPr="004126DB"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b/>
          <w:sz w:val="20"/>
        </w:rPr>
      </w:pPr>
    </w:p>
    <w:p w:rsidR="00AE2056" w:rsidRPr="00C4011F" w:rsidRDefault="00AE2056" w:rsidP="00AE2056">
      <w:pPr>
        <w:jc w:val="both"/>
        <w:rPr>
          <w:rFonts w:ascii="Verdana" w:hAnsi="Verdana"/>
          <w:sz w:val="20"/>
        </w:rPr>
      </w:pPr>
      <w:r>
        <w:rPr>
          <w:rFonts w:ascii="Verdana" w:hAnsi="Verdana"/>
          <w:sz w:val="20"/>
          <w:szCs w:val="20"/>
          <w:lang w:val="es-ES_tradnl"/>
        </w:rPr>
        <w:t>15.</w:t>
      </w:r>
      <w:r>
        <w:rPr>
          <w:rFonts w:ascii="Verdana" w:hAnsi="Verdana"/>
          <w:sz w:val="20"/>
          <w:szCs w:val="20"/>
          <w:lang w:val="es-ES_tradnl"/>
        </w:rPr>
        <w:tab/>
      </w:r>
      <w:r w:rsidRPr="00806C2A">
        <w:rPr>
          <w:rFonts w:ascii="Verdana" w:hAnsi="Verdana"/>
          <w:sz w:val="20"/>
          <w:szCs w:val="20"/>
          <w:lang w:val="es-ES_tradnl"/>
        </w:rPr>
        <w:t xml:space="preserve">Que los autos en el presente caso se encuentran listos para la apertura del procedimiento oral en cuanto </w:t>
      </w:r>
      <w:r w:rsidRPr="00806C2A">
        <w:rPr>
          <w:rFonts w:ascii="Verdana" w:hAnsi="Verdana"/>
          <w:sz w:val="20"/>
        </w:rPr>
        <w:t>a las alegadas excepciones preliminares y eventuales fondo, reparaciones y costas</w:t>
      </w:r>
      <w:r w:rsidRPr="00806C2A">
        <w:rPr>
          <w:rFonts w:ascii="Verdana" w:hAnsi="Verdana"/>
          <w:sz w:val="20"/>
          <w:szCs w:val="20"/>
          <w:lang w:val="es-ES_tradnl"/>
        </w:rPr>
        <w:t xml:space="preserve">, por lo que esta Presidencia estima pertinente convocar a una audiencia pública para escuchar las declaraciones de </w:t>
      </w:r>
      <w:r w:rsidRPr="00EE1779">
        <w:rPr>
          <w:rFonts w:ascii="Verdana" w:hAnsi="Verdana"/>
          <w:sz w:val="20"/>
          <w:szCs w:val="20"/>
          <w:lang w:val="es-ES_tradnl"/>
        </w:rPr>
        <w:t>dos testigos</w:t>
      </w:r>
      <w:r w:rsidRPr="00806C2A">
        <w:rPr>
          <w:rFonts w:ascii="Verdana" w:hAnsi="Verdana"/>
          <w:sz w:val="20"/>
          <w:szCs w:val="20"/>
          <w:lang w:val="es-ES_tradnl"/>
        </w:rPr>
        <w:t xml:space="preserve"> y </w:t>
      </w:r>
      <w:r w:rsidRPr="00F91F51">
        <w:rPr>
          <w:rFonts w:ascii="Verdana" w:hAnsi="Verdana"/>
          <w:sz w:val="20"/>
          <w:szCs w:val="20"/>
          <w:lang w:val="es-ES_tradnl"/>
        </w:rPr>
        <w:t>dos</w:t>
      </w:r>
      <w:r w:rsidRPr="00806C2A">
        <w:rPr>
          <w:rFonts w:ascii="Verdana" w:hAnsi="Verdana"/>
          <w:sz w:val="20"/>
          <w:szCs w:val="20"/>
          <w:lang w:val="es-ES_tradnl"/>
        </w:rPr>
        <w:t xml:space="preserve"> peritos ofrecidos por la Comisión Interamericana y por el Estado </w:t>
      </w:r>
      <w:r w:rsidRPr="00753713">
        <w:rPr>
          <w:rFonts w:ascii="Verdana" w:hAnsi="Verdana"/>
          <w:sz w:val="20"/>
        </w:rPr>
        <w:t>(</w:t>
      </w:r>
      <w:r w:rsidRPr="00753713">
        <w:rPr>
          <w:rFonts w:ascii="Verdana" w:hAnsi="Verdana"/>
          <w:i/>
          <w:sz w:val="20"/>
        </w:rPr>
        <w:t>infra</w:t>
      </w:r>
      <w:r w:rsidRPr="00753713">
        <w:rPr>
          <w:rFonts w:ascii="Verdana" w:hAnsi="Verdana"/>
          <w:sz w:val="20"/>
        </w:rPr>
        <w:t xml:space="preserve"> punto resolutivo 4).</w:t>
      </w:r>
    </w:p>
    <w:p w:rsidR="00AE2056" w:rsidRPr="0047517C" w:rsidRDefault="00AE2056" w:rsidP="00AE2056">
      <w:pPr>
        <w:jc w:val="both"/>
        <w:rPr>
          <w:rFonts w:ascii="Verdana" w:hAnsi="Verdana"/>
          <w:sz w:val="20"/>
        </w:rPr>
      </w:pPr>
    </w:p>
    <w:p w:rsidR="00AE2056" w:rsidRPr="00806C2A"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szCs w:val="20"/>
          <w:lang w:val="es-ES_tradnl"/>
        </w:rPr>
      </w:pPr>
      <w:r w:rsidRPr="002C2D9B">
        <w:rPr>
          <w:rFonts w:ascii="Verdana" w:hAnsi="Verdana"/>
          <w:sz w:val="20"/>
        </w:rPr>
        <w:t>16.</w:t>
      </w:r>
      <w:r w:rsidRPr="002C2D9B">
        <w:rPr>
          <w:rFonts w:ascii="Verdana" w:hAnsi="Verdana"/>
          <w:sz w:val="20"/>
        </w:rPr>
        <w:tab/>
        <w:t>Que la Comisión Interamericana, los representantes y el Estado podrán presentar sus alegatos finales orales sobre las excepciones preliminares y los eventuales fondo, reparaciones y</w:t>
      </w:r>
      <w:r w:rsidRPr="002C2D9B">
        <w:rPr>
          <w:rFonts w:ascii="Verdana" w:hAnsi="Verdana"/>
          <w:b/>
          <w:sz w:val="20"/>
        </w:rPr>
        <w:t xml:space="preserve"> </w:t>
      </w:r>
      <w:r w:rsidRPr="002C2D9B">
        <w:rPr>
          <w:rFonts w:ascii="Verdana" w:hAnsi="Verdana"/>
          <w:sz w:val="20"/>
        </w:rPr>
        <w:t xml:space="preserve">costas en este caso, al término de las declaraciones de los testigos y de los peritos. </w:t>
      </w:r>
    </w:p>
    <w:p w:rsidR="00AE2056" w:rsidRDefault="00AE2056" w:rsidP="00AE2056">
      <w:pPr>
        <w:jc w:val="both"/>
      </w:pPr>
    </w:p>
    <w:p w:rsidR="00AE2056" w:rsidRPr="002C2D9B"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eastAsia="Times" w:hAnsi="Verdana"/>
          <w:sz w:val="20"/>
        </w:rPr>
      </w:pPr>
      <w:r w:rsidRPr="002C2D9B">
        <w:rPr>
          <w:rFonts w:ascii="Verdana" w:hAnsi="Verdana"/>
          <w:sz w:val="20"/>
        </w:rPr>
        <w:t>17.</w:t>
      </w:r>
      <w:r w:rsidRPr="002C2D9B">
        <w:rPr>
          <w:rFonts w:ascii="Verdana" w:hAnsi="Verdana"/>
          <w:sz w:val="20"/>
        </w:rPr>
        <w:tab/>
        <w:t>Que de acuerdo con la práctica constante del Tribunal, la Comisión Interamericana, los representantes y el Estado podrán presentar sus alegatos finales escritos sobre las excepciones preliminares y los eventuales fondo, reparaciones y</w:t>
      </w:r>
      <w:r w:rsidRPr="002C2D9B">
        <w:rPr>
          <w:rFonts w:ascii="Verdana" w:hAnsi="Verdana"/>
          <w:b/>
          <w:sz w:val="20"/>
        </w:rPr>
        <w:t xml:space="preserve"> </w:t>
      </w:r>
      <w:r w:rsidRPr="002C2D9B">
        <w:rPr>
          <w:rFonts w:ascii="Verdana" w:hAnsi="Verdana"/>
          <w:sz w:val="20"/>
        </w:rPr>
        <w:t xml:space="preserve">costas en este caso, en el plazo que </w:t>
      </w:r>
      <w:r w:rsidRPr="002C2D9B">
        <w:rPr>
          <w:rFonts w:ascii="Verdana" w:eastAsia="Times" w:hAnsi="Verdana"/>
          <w:sz w:val="20"/>
        </w:rPr>
        <w:t>para tal efecto se fija en la presente Resolución (</w:t>
      </w:r>
      <w:r w:rsidRPr="002C2D9B">
        <w:rPr>
          <w:rFonts w:ascii="Verdana" w:eastAsia="Times" w:hAnsi="Verdana"/>
          <w:i/>
          <w:sz w:val="20"/>
        </w:rPr>
        <w:t xml:space="preserve">infra </w:t>
      </w:r>
      <w:r w:rsidRPr="002C2D9B">
        <w:rPr>
          <w:rFonts w:ascii="Verdana" w:eastAsia="Times" w:hAnsi="Verdana"/>
          <w:sz w:val="20"/>
        </w:rPr>
        <w:t>punto resolutivo 11).</w:t>
      </w:r>
    </w:p>
    <w:p w:rsidR="00AE2056" w:rsidRPr="002C2D9B"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eastAsia="Times" w:hAnsi="Verdana"/>
          <w:sz w:val="20"/>
        </w:rPr>
      </w:pPr>
    </w:p>
    <w:p w:rsidR="00AE2056" w:rsidRPr="002C2D9B" w:rsidRDefault="00AE2056" w:rsidP="00AE2056">
      <w:pPr>
        <w:pStyle w:val="Textoindependient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eastAsia="Times" w:hAnsi="Verdana"/>
          <w:sz w:val="20"/>
        </w:rPr>
      </w:pPr>
    </w:p>
    <w:p w:rsidR="00AE2056" w:rsidRPr="00CF544F" w:rsidRDefault="00AE2056" w:rsidP="00AE2056">
      <w:pPr>
        <w:jc w:val="both"/>
        <w:rPr>
          <w:rFonts w:ascii="Verdana" w:hAnsi="Verdana"/>
          <w:b/>
          <w:sz w:val="20"/>
          <w:lang w:val="es-ES_tradnl"/>
        </w:rPr>
      </w:pPr>
      <w:r w:rsidRPr="00CF544F">
        <w:rPr>
          <w:rFonts w:ascii="Verdana" w:hAnsi="Verdana"/>
          <w:b/>
          <w:sz w:val="20"/>
          <w:lang w:val="es-ES_tradnl"/>
        </w:rPr>
        <w:t>POR TANTO:</w:t>
      </w:r>
    </w:p>
    <w:p w:rsidR="00AE2056" w:rsidRPr="00CF544F"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b/>
          <w:sz w:val="20"/>
          <w:lang w:val="es-ES_tradnl"/>
        </w:rPr>
      </w:pPr>
    </w:p>
    <w:p w:rsidR="00AE2056" w:rsidRPr="00CF544F"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b/>
          <w:sz w:val="20"/>
          <w:lang w:val="es-ES_tradnl"/>
        </w:rPr>
      </w:pPr>
    </w:p>
    <w:p w:rsidR="00AE2056" w:rsidRPr="00CF544F"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lang w:val="es-ES_tradnl"/>
        </w:rPr>
      </w:pPr>
      <w:r w:rsidRPr="00CF544F">
        <w:rPr>
          <w:rFonts w:ascii="Verdana" w:hAnsi="Verdana"/>
          <w:b/>
          <w:sz w:val="20"/>
          <w:lang w:val="es-ES_tradnl"/>
        </w:rPr>
        <w:lastRenderedPageBreak/>
        <w:t>LA PRESIDENTA DE LA CORTE INTERAMERICANA DE DERECHOS HUMANOS,</w:t>
      </w:r>
    </w:p>
    <w:p w:rsidR="00AE2056" w:rsidRPr="00CF544F"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lang w:val="es-ES_tradnl"/>
        </w:rPr>
      </w:pPr>
    </w:p>
    <w:p w:rsidR="00AE2056" w:rsidRPr="00CF544F" w:rsidRDefault="00AE2056" w:rsidP="00AE2056">
      <w:pPr>
        <w:jc w:val="both"/>
        <w:rPr>
          <w:rFonts w:ascii="Verdana" w:hAnsi="Verdana"/>
          <w:sz w:val="20"/>
          <w:lang w:val="es-ES_tradnl"/>
        </w:rPr>
      </w:pPr>
      <w:proofErr w:type="gramStart"/>
      <w:r w:rsidRPr="00CF544F">
        <w:rPr>
          <w:rFonts w:ascii="Verdana" w:hAnsi="Verdana"/>
          <w:color w:val="000000"/>
          <w:sz w:val="20"/>
          <w:lang w:val="es-ES_tradnl"/>
        </w:rPr>
        <w:t>de</w:t>
      </w:r>
      <w:proofErr w:type="gramEnd"/>
      <w:r w:rsidRPr="00CF544F">
        <w:rPr>
          <w:rFonts w:ascii="Verdana" w:hAnsi="Verdana"/>
          <w:color w:val="000000"/>
          <w:sz w:val="20"/>
          <w:lang w:val="es-ES_tradnl"/>
        </w:rPr>
        <w:t xml:space="preserve"> conformidad con los artículos 24.1 y 25.</w:t>
      </w:r>
      <w:r w:rsidRPr="00CF544F" w:rsidDel="00420960">
        <w:rPr>
          <w:rFonts w:ascii="Verdana" w:hAnsi="Verdana"/>
          <w:color w:val="000000"/>
          <w:sz w:val="20"/>
          <w:lang w:val="es-ES_tradnl"/>
        </w:rPr>
        <w:t>2</w:t>
      </w:r>
      <w:r w:rsidRPr="00CF544F">
        <w:rPr>
          <w:rFonts w:ascii="Verdana" w:hAnsi="Verdana"/>
          <w:color w:val="000000"/>
          <w:sz w:val="20"/>
          <w:lang w:val="es-ES_tradnl"/>
        </w:rPr>
        <w:t xml:space="preserve"> del Estatuto de la Corte y con los artículos 4, 14.1, 24, 29.2, 40, 42, 43.3, 44, 45, 46, 47, 51 y 52 del Reglamento, y en consulta con los demás Jueces del Tribunal,</w:t>
      </w:r>
    </w:p>
    <w:p w:rsidR="00AE2056" w:rsidRDefault="00AE2056"/>
    <w:p w:rsidR="00AE2056" w:rsidRPr="00CF544F" w:rsidRDefault="00AE2056" w:rsidP="00AE2056">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mallCaps/>
          <w:sz w:val="20"/>
          <w:lang w:val="es-ES_tradnl"/>
        </w:rPr>
      </w:pPr>
      <w:r w:rsidRPr="00CF544F">
        <w:rPr>
          <w:rFonts w:ascii="Verdana" w:hAnsi="Verdana"/>
          <w:b/>
          <w:caps/>
          <w:sz w:val="20"/>
          <w:lang w:val="es-ES_tradnl"/>
        </w:rPr>
        <w:t>Resuelve</w:t>
      </w:r>
      <w:r w:rsidRPr="00CF544F">
        <w:rPr>
          <w:rFonts w:ascii="Verdana" w:hAnsi="Verdana"/>
          <w:b/>
          <w:smallCaps/>
          <w:sz w:val="20"/>
          <w:lang w:val="es-ES_tradnl"/>
        </w:rPr>
        <w:t>:</w:t>
      </w:r>
    </w:p>
    <w:p w:rsidR="00AE2056" w:rsidRPr="00C067BE" w:rsidRDefault="00AE2056">
      <w:pPr>
        <w:rPr>
          <w:rFonts w:ascii="Verdana" w:hAnsi="Verdana"/>
          <w:sz w:val="20"/>
        </w:rPr>
      </w:pPr>
    </w:p>
    <w:p w:rsidR="00AE2056" w:rsidRPr="00C067BE" w:rsidRDefault="00AE2056">
      <w:pPr>
        <w:rPr>
          <w:rFonts w:ascii="Verdana" w:hAnsi="Verdana"/>
          <w:sz w:val="20"/>
        </w:rPr>
      </w:pPr>
    </w:p>
    <w:p w:rsidR="00AE2056" w:rsidRPr="00CF544F"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lang w:val="es-ES_tradnl"/>
        </w:rPr>
      </w:pPr>
      <w:r w:rsidRPr="00CF544F">
        <w:rPr>
          <w:rFonts w:ascii="Verdana" w:hAnsi="Verdana"/>
          <w:sz w:val="20"/>
          <w:lang w:val="es-ES_tradnl"/>
        </w:rPr>
        <w:t>1.</w:t>
      </w:r>
      <w:r w:rsidRPr="00CF544F">
        <w:rPr>
          <w:rFonts w:ascii="Verdana" w:hAnsi="Verdana"/>
          <w:sz w:val="20"/>
          <w:lang w:val="es-ES_tradnl"/>
        </w:rPr>
        <w:tab/>
        <w:t xml:space="preserve">Requerir, por las razones señaladas en el Considerando 13 de </w:t>
      </w:r>
      <w:r w:rsidRPr="00E93C12">
        <w:rPr>
          <w:rFonts w:ascii="Verdana" w:hAnsi="Verdana"/>
          <w:sz w:val="20"/>
          <w:lang w:val="es-ES_tradnl"/>
        </w:rPr>
        <w:t xml:space="preserve">la presente Resolución y en ejercicio de la facultad que le otorga el artículo 47.3 del Reglamento, que los siguientes testigos y peritos, </w:t>
      </w:r>
      <w:r w:rsidRPr="00B278E7">
        <w:rPr>
          <w:rFonts w:ascii="Verdana" w:hAnsi="Verdana"/>
          <w:sz w:val="20"/>
        </w:rPr>
        <w:t xml:space="preserve">propuestos por la Comisión Interamericana, </w:t>
      </w:r>
      <w:r w:rsidRPr="00A2649F">
        <w:rPr>
          <w:rFonts w:ascii="Verdana" w:hAnsi="Verdana"/>
          <w:sz w:val="20"/>
        </w:rPr>
        <w:t xml:space="preserve">los representantes de las presuntas víctimas y el Estado </w:t>
      </w:r>
      <w:r w:rsidRPr="00A2649F">
        <w:rPr>
          <w:rFonts w:ascii="Verdana" w:hAnsi="Verdana"/>
          <w:bCs/>
          <w:sz w:val="20"/>
        </w:rPr>
        <w:t>rindan sus declaraciones y dictámenes,</w:t>
      </w:r>
      <w:r>
        <w:rPr>
          <w:rFonts w:ascii="Verdana" w:hAnsi="Verdana"/>
          <w:bCs/>
          <w:sz w:val="20"/>
        </w:rPr>
        <w:t xml:space="preserve"> a través de declaración ante fedatario público (affidávit)</w:t>
      </w:r>
      <w:r w:rsidRPr="00CF544F">
        <w:rPr>
          <w:rFonts w:ascii="Verdana" w:hAnsi="Verdana"/>
          <w:sz w:val="20"/>
          <w:lang w:val="es-ES_tradnl"/>
        </w:rPr>
        <w:t>:</w:t>
      </w:r>
    </w:p>
    <w:p w:rsidR="00AE2056" w:rsidRPr="00915A3E"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color w:val="FF0000"/>
          <w:sz w:val="20"/>
        </w:rPr>
      </w:pPr>
    </w:p>
    <w:p w:rsidR="00AE2056" w:rsidRPr="00915A3E"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color w:val="FF0000"/>
          <w:sz w:val="20"/>
        </w:rPr>
      </w:pPr>
    </w:p>
    <w:p w:rsidR="00AE2056" w:rsidRPr="00DB337E" w:rsidDel="00A636D4"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b/>
          <w:i/>
          <w:sz w:val="20"/>
        </w:rPr>
      </w:pPr>
      <w:r w:rsidRPr="00DB337E" w:rsidDel="00A636D4">
        <w:rPr>
          <w:rFonts w:ascii="Verdana" w:hAnsi="Verdana"/>
          <w:b/>
          <w:i/>
          <w:sz w:val="20"/>
        </w:rPr>
        <w:t>Testigos</w:t>
      </w:r>
    </w:p>
    <w:p w:rsidR="00AE2056" w:rsidRPr="00DB337E"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DB337E"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i/>
          <w:sz w:val="20"/>
        </w:rPr>
      </w:pPr>
      <w:r w:rsidRPr="005D43FF">
        <w:rPr>
          <w:rFonts w:ascii="Verdana" w:hAnsi="Verdana"/>
          <w:i/>
          <w:sz w:val="20"/>
        </w:rPr>
        <w:tab/>
        <w:t>A) Propuesto por la Comisión Interamericana:</w:t>
      </w: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b/>
          <w:i/>
          <w:sz w:val="20"/>
        </w:rPr>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i/>
          <w:sz w:val="20"/>
        </w:rPr>
      </w:pPr>
      <w:r w:rsidRPr="005D43FF">
        <w:rPr>
          <w:rFonts w:ascii="Verdana" w:hAnsi="Verdana"/>
          <w:i/>
          <w:sz w:val="20"/>
        </w:rPr>
        <w:tab/>
        <w:t xml:space="preserve">1) </w:t>
      </w:r>
      <w:proofErr w:type="spellStart"/>
      <w:r w:rsidRPr="005D43FF">
        <w:rPr>
          <w:rFonts w:ascii="Verdana" w:hAnsi="Verdana"/>
          <w:i/>
          <w:sz w:val="20"/>
        </w:rPr>
        <w:t>Vanderlei</w:t>
      </w:r>
      <w:proofErr w:type="spellEnd"/>
      <w:r w:rsidRPr="005D43FF">
        <w:rPr>
          <w:rFonts w:ascii="Verdana" w:hAnsi="Verdana"/>
          <w:i/>
          <w:sz w:val="20"/>
        </w:rPr>
        <w:t xml:space="preserve"> Garibaldi </w:t>
      </w:r>
      <w:r w:rsidRPr="00FA5699">
        <w:rPr>
          <w:rFonts w:ascii="Verdana" w:hAnsi="Verdana"/>
          <w:i/>
          <w:sz w:val="20"/>
        </w:rPr>
        <w:t>(presunta víctima),</w:t>
      </w:r>
      <w:r w:rsidRPr="005D43FF">
        <w:rPr>
          <w:rFonts w:ascii="Verdana" w:hAnsi="Verdana"/>
          <w:sz w:val="20"/>
        </w:rPr>
        <w:t xml:space="preserve"> quien rendirá testimonio sobre:</w:t>
      </w:r>
    </w:p>
    <w:p w:rsidR="00AE2056" w:rsidRPr="005D43FF" w:rsidRDefault="00AE2056" w:rsidP="00AE2056">
      <w:pPr>
        <w:pStyle w:val="Textoindependiente"/>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s>
        <w:rPr>
          <w:rFonts w:ascii="Verdana" w:hAnsi="Verdana"/>
          <w:sz w:val="20"/>
        </w:rPr>
      </w:pPr>
      <w:r w:rsidRPr="005D43FF">
        <w:rPr>
          <w:rFonts w:ascii="Verdana" w:hAnsi="Verdana"/>
          <w:sz w:val="20"/>
        </w:rPr>
        <w:t xml:space="preserve"> </w:t>
      </w:r>
    </w:p>
    <w:p w:rsidR="00AE2056" w:rsidRPr="008F3A33" w:rsidRDefault="00AE2056" w:rsidP="00AE2056">
      <w:pPr>
        <w:numPr>
          <w:ilvl w:val="1"/>
          <w:numId w:val="34"/>
        </w:numPr>
        <w:tabs>
          <w:tab w:val="clear" w:pos="2160"/>
          <w:tab w:val="left" w:pos="720"/>
          <w:tab w:val="num" w:pos="1440"/>
          <w:tab w:val="left" w:pos="1800"/>
        </w:tabs>
        <w:ind w:left="720" w:firstLine="0"/>
        <w:jc w:val="both"/>
        <w:rPr>
          <w:rFonts w:ascii="Verdana" w:hAnsi="Verdana"/>
          <w:sz w:val="20"/>
          <w:szCs w:val="22"/>
          <w:lang w:val="es-ES_tradnl"/>
        </w:rPr>
      </w:pPr>
      <w:r w:rsidRPr="008F3A33">
        <w:rPr>
          <w:rFonts w:ascii="Verdana" w:hAnsi="Verdana"/>
          <w:sz w:val="20"/>
          <w:szCs w:val="22"/>
          <w:lang w:val="es-ES_tradnl"/>
        </w:rPr>
        <w:t>la alegada falta de justicia en el presente caso y sus efectos sobre las presuntas víctimas;</w:t>
      </w:r>
    </w:p>
    <w:p w:rsidR="00AE2056" w:rsidRPr="005D43FF" w:rsidRDefault="00AE2056" w:rsidP="00AE2056">
      <w:pPr>
        <w:ind w:left="720"/>
        <w:jc w:val="both"/>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i/>
          <w:sz w:val="20"/>
        </w:rPr>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ind w:left="720"/>
        <w:rPr>
          <w:rFonts w:ascii="Verdana" w:hAnsi="Verdana"/>
          <w:i/>
          <w:sz w:val="20"/>
        </w:rPr>
      </w:pPr>
      <w:r w:rsidRPr="005D43FF">
        <w:rPr>
          <w:rFonts w:ascii="Verdana" w:hAnsi="Verdana"/>
          <w:i/>
          <w:sz w:val="20"/>
        </w:rPr>
        <w:t>B) propuesto por los representantes:</w:t>
      </w: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i/>
          <w:sz w:val="20"/>
        </w:rPr>
      </w:pPr>
    </w:p>
    <w:p w:rsidR="00AE2056" w:rsidRPr="00EE1779"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i/>
          <w:sz w:val="20"/>
        </w:rPr>
      </w:pPr>
      <w:r w:rsidRPr="00FA5699">
        <w:rPr>
          <w:rFonts w:ascii="Verdana" w:hAnsi="Verdana"/>
          <w:b/>
          <w:i/>
          <w:sz w:val="20"/>
        </w:rPr>
        <w:tab/>
      </w:r>
      <w:r w:rsidRPr="00EE1779">
        <w:rPr>
          <w:rFonts w:ascii="Verdana" w:hAnsi="Verdana"/>
          <w:i/>
          <w:sz w:val="20"/>
        </w:rPr>
        <w:t xml:space="preserve">2) </w:t>
      </w:r>
      <w:proofErr w:type="spellStart"/>
      <w:r w:rsidRPr="00EE1779">
        <w:rPr>
          <w:rFonts w:ascii="Verdana" w:hAnsi="Verdana"/>
          <w:i/>
          <w:sz w:val="20"/>
        </w:rPr>
        <w:t>Giovani</w:t>
      </w:r>
      <w:proofErr w:type="spellEnd"/>
      <w:r w:rsidRPr="00EE1779">
        <w:rPr>
          <w:rFonts w:ascii="Verdana" w:hAnsi="Verdana"/>
          <w:i/>
          <w:sz w:val="20"/>
        </w:rPr>
        <w:t xml:space="preserve"> </w:t>
      </w:r>
      <w:proofErr w:type="spellStart"/>
      <w:r w:rsidRPr="00EE1779">
        <w:rPr>
          <w:rFonts w:ascii="Verdana" w:hAnsi="Verdana"/>
          <w:i/>
          <w:sz w:val="20"/>
        </w:rPr>
        <w:t>Braum</w:t>
      </w:r>
      <w:proofErr w:type="spellEnd"/>
      <w:r w:rsidRPr="00EE1779">
        <w:rPr>
          <w:rFonts w:ascii="Verdana" w:hAnsi="Verdana"/>
          <w:i/>
          <w:sz w:val="20"/>
        </w:rPr>
        <w:t xml:space="preserve">, </w:t>
      </w:r>
      <w:r w:rsidRPr="00EE1779">
        <w:rPr>
          <w:rFonts w:ascii="Verdana" w:hAnsi="Verdana"/>
          <w:sz w:val="20"/>
        </w:rPr>
        <w:t>quien rendirá testimonio sobre:</w:t>
      </w:r>
      <w:r w:rsidRPr="00EE1779">
        <w:rPr>
          <w:rFonts w:ascii="Verdana" w:hAnsi="Verdana"/>
          <w:i/>
          <w:sz w:val="20"/>
        </w:rPr>
        <w:t xml:space="preserve"> </w:t>
      </w:r>
    </w:p>
    <w:p w:rsidR="00AE2056" w:rsidRPr="00EE1779"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r w:rsidRPr="00EE1779">
        <w:rPr>
          <w:rFonts w:ascii="Verdana" w:hAnsi="Verdana"/>
          <w:sz w:val="20"/>
        </w:rPr>
        <w:t xml:space="preserve"> </w:t>
      </w:r>
    </w:p>
    <w:p w:rsidR="00AE2056" w:rsidRPr="008F3A33" w:rsidRDefault="00AE2056" w:rsidP="00AE2056">
      <w:pPr>
        <w:numPr>
          <w:ilvl w:val="0"/>
          <w:numId w:val="33"/>
        </w:numPr>
        <w:tabs>
          <w:tab w:val="clear" w:pos="2160"/>
          <w:tab w:val="left" w:pos="990"/>
        </w:tabs>
        <w:ind w:left="720" w:firstLine="0"/>
        <w:jc w:val="both"/>
        <w:rPr>
          <w:rFonts w:ascii="Verdana" w:hAnsi="Verdana"/>
          <w:sz w:val="20"/>
          <w:lang w:val="es-ES_tradnl"/>
        </w:rPr>
      </w:pPr>
      <w:r w:rsidRPr="00EE1779">
        <w:rPr>
          <w:rFonts w:ascii="Verdana" w:hAnsi="Verdana"/>
          <w:sz w:val="20"/>
          <w:szCs w:val="18"/>
          <w:lang w:val="es-ES_tradnl"/>
        </w:rPr>
        <w:t xml:space="preserve">la lucha de la familia de Sétimo Garibaldi para obtener la titulación de las tierras en que reside, </w:t>
      </w:r>
      <w:r w:rsidRPr="008F3A33">
        <w:rPr>
          <w:rFonts w:ascii="Verdana" w:hAnsi="Verdana"/>
          <w:sz w:val="20"/>
          <w:szCs w:val="18"/>
          <w:lang w:val="es-ES_tradnl"/>
        </w:rPr>
        <w:t>y el acompañamiento de las investigaciones relativas al asesinato de Sétimo Garibaldi.</w:t>
      </w: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ind w:left="720"/>
        <w:rPr>
          <w:rFonts w:ascii="Verdana" w:hAnsi="Verdana"/>
          <w:i/>
          <w:sz w:val="20"/>
        </w:rPr>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i/>
          <w:sz w:val="20"/>
        </w:rPr>
      </w:pPr>
      <w:r w:rsidRPr="005D43FF">
        <w:rPr>
          <w:rFonts w:ascii="Verdana" w:hAnsi="Verdana"/>
          <w:i/>
          <w:sz w:val="20"/>
        </w:rPr>
        <w:tab/>
        <w:t>C) Propuestos por el Estado:</w:t>
      </w: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i/>
          <w:sz w:val="20"/>
        </w:rPr>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b/>
          <w:i/>
          <w:sz w:val="20"/>
        </w:rPr>
      </w:pPr>
      <w:r w:rsidRPr="005D43FF">
        <w:rPr>
          <w:rFonts w:ascii="Verdana" w:hAnsi="Verdana"/>
          <w:sz w:val="20"/>
        </w:rPr>
        <w:tab/>
        <w:t xml:space="preserve">3) </w:t>
      </w:r>
      <w:proofErr w:type="spellStart"/>
      <w:r w:rsidRPr="004F56CB">
        <w:rPr>
          <w:rFonts w:ascii="Verdana" w:hAnsi="Verdana"/>
          <w:i/>
          <w:sz w:val="20"/>
        </w:rPr>
        <w:t>Rolf</w:t>
      </w:r>
      <w:proofErr w:type="spellEnd"/>
      <w:r w:rsidRPr="004F56CB">
        <w:rPr>
          <w:rFonts w:ascii="Verdana" w:hAnsi="Verdana"/>
          <w:i/>
          <w:sz w:val="20"/>
        </w:rPr>
        <w:t xml:space="preserve"> </w:t>
      </w:r>
      <w:proofErr w:type="spellStart"/>
      <w:r w:rsidRPr="004F56CB">
        <w:rPr>
          <w:rFonts w:ascii="Verdana" w:hAnsi="Verdana"/>
          <w:i/>
          <w:sz w:val="20"/>
        </w:rPr>
        <w:t>Hackbart</w:t>
      </w:r>
      <w:proofErr w:type="spellEnd"/>
      <w:r w:rsidRPr="005D43FF">
        <w:rPr>
          <w:rFonts w:ascii="Verdana" w:hAnsi="Verdana"/>
          <w:sz w:val="20"/>
        </w:rPr>
        <w:t xml:space="preserve">, quien rendirá testimonio sobre: </w:t>
      </w: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b/>
          <w:i/>
          <w:sz w:val="20"/>
        </w:rPr>
      </w:pPr>
    </w:p>
    <w:p w:rsidR="00AE2056" w:rsidRPr="004F56CB"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ind w:left="720"/>
        <w:rPr>
          <w:rFonts w:ascii="Verdana" w:hAnsi="Verdana"/>
          <w:sz w:val="20"/>
          <w:szCs w:val="22"/>
        </w:rPr>
      </w:pPr>
      <w:r w:rsidRPr="005D43FF">
        <w:rPr>
          <w:rFonts w:ascii="Verdana" w:hAnsi="Verdana"/>
          <w:sz w:val="20"/>
          <w:szCs w:val="22"/>
        </w:rPr>
        <w:t>i.</w:t>
      </w:r>
      <w:r w:rsidRPr="005D43FF">
        <w:rPr>
          <w:rFonts w:ascii="Verdana" w:hAnsi="Verdana"/>
          <w:sz w:val="20"/>
          <w:szCs w:val="22"/>
        </w:rPr>
        <w:tab/>
        <w:t xml:space="preserve"> </w:t>
      </w:r>
      <w:r w:rsidRPr="004F56CB">
        <w:rPr>
          <w:rFonts w:ascii="Verdana" w:hAnsi="Verdana"/>
          <w:sz w:val="20"/>
          <w:szCs w:val="22"/>
        </w:rPr>
        <w:t>la Política de Reforma Agraria en Brasil y las relaciones del gobierno brasileño con los movimientos sociales de trabajadores sin tierra.</w:t>
      </w:r>
    </w:p>
    <w:p w:rsidR="00AE2056" w:rsidRPr="004F56CB"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b/>
          <w:i/>
          <w:sz w:val="20"/>
        </w:rPr>
      </w:pPr>
    </w:p>
    <w:p w:rsidR="00AE2056" w:rsidRPr="004F56CB"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r w:rsidRPr="004F56CB">
        <w:rPr>
          <w:rFonts w:ascii="Verdana" w:hAnsi="Verdana"/>
          <w:b/>
          <w:i/>
          <w:sz w:val="20"/>
        </w:rPr>
        <w:tab/>
      </w:r>
      <w:r w:rsidRPr="00EE1779">
        <w:rPr>
          <w:rFonts w:ascii="Verdana" w:hAnsi="Verdana"/>
          <w:sz w:val="20"/>
        </w:rPr>
        <w:t>4</w:t>
      </w:r>
      <w:r w:rsidRPr="004F56CB">
        <w:rPr>
          <w:rFonts w:ascii="Verdana" w:hAnsi="Verdana"/>
          <w:sz w:val="20"/>
        </w:rPr>
        <w:t xml:space="preserve">) </w:t>
      </w:r>
      <w:proofErr w:type="spellStart"/>
      <w:r w:rsidRPr="004F56CB">
        <w:rPr>
          <w:rFonts w:ascii="Verdana" w:hAnsi="Verdana"/>
          <w:i/>
          <w:sz w:val="20"/>
        </w:rPr>
        <w:t>Sadi</w:t>
      </w:r>
      <w:proofErr w:type="spellEnd"/>
      <w:r w:rsidRPr="004F56CB">
        <w:rPr>
          <w:rFonts w:ascii="Verdana" w:hAnsi="Verdana"/>
          <w:i/>
          <w:sz w:val="20"/>
        </w:rPr>
        <w:t xml:space="preserve"> </w:t>
      </w:r>
      <w:proofErr w:type="spellStart"/>
      <w:r w:rsidRPr="004F56CB">
        <w:rPr>
          <w:rFonts w:ascii="Verdana" w:hAnsi="Verdana"/>
          <w:i/>
          <w:sz w:val="20"/>
        </w:rPr>
        <w:t>Pansera</w:t>
      </w:r>
      <w:proofErr w:type="spellEnd"/>
      <w:r w:rsidRPr="004F56CB">
        <w:rPr>
          <w:rFonts w:ascii="Verdana" w:hAnsi="Verdana"/>
          <w:sz w:val="20"/>
        </w:rPr>
        <w:t>, quien rendirá testimonio sobre:</w:t>
      </w:r>
    </w:p>
    <w:p w:rsidR="00AE2056" w:rsidRPr="004F56CB"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4F56CB"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r w:rsidRPr="004F56CB">
        <w:rPr>
          <w:rFonts w:ascii="Verdana" w:hAnsi="Verdana"/>
          <w:sz w:val="20"/>
        </w:rPr>
        <w:tab/>
        <w:t xml:space="preserve">i. </w:t>
      </w:r>
      <w:r w:rsidRPr="004F56CB">
        <w:rPr>
          <w:rFonts w:ascii="Verdana" w:hAnsi="Verdana"/>
          <w:sz w:val="20"/>
        </w:rPr>
        <w:tab/>
      </w:r>
      <w:r w:rsidRPr="004F56CB">
        <w:rPr>
          <w:rFonts w:ascii="Verdana" w:hAnsi="Verdana"/>
          <w:sz w:val="20"/>
          <w:szCs w:val="22"/>
        </w:rPr>
        <w:t>la Política de Combate a la Violencia en el Campo del Estado brasileño.</w:t>
      </w: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ind w:left="720"/>
        <w:rPr>
          <w:rFonts w:ascii="Verdana" w:hAnsi="Verdana"/>
          <w:b/>
          <w:i/>
          <w:sz w:val="20"/>
        </w:rPr>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b/>
          <w:i/>
          <w:sz w:val="20"/>
        </w:rPr>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r w:rsidRPr="005D43FF">
        <w:rPr>
          <w:rFonts w:ascii="Verdana" w:hAnsi="Verdana"/>
          <w:b/>
          <w:i/>
          <w:sz w:val="20"/>
        </w:rPr>
        <w:t>Peritos</w:t>
      </w: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i/>
          <w:sz w:val="20"/>
        </w:rPr>
      </w:pPr>
      <w:r w:rsidRPr="005D43FF">
        <w:rPr>
          <w:rFonts w:ascii="Verdana" w:hAnsi="Verdana"/>
          <w:i/>
          <w:sz w:val="20"/>
        </w:rPr>
        <w:tab/>
        <w:t xml:space="preserve">A) </w:t>
      </w:r>
      <w:r w:rsidRPr="005D43FF">
        <w:rPr>
          <w:rFonts w:ascii="Verdana" w:hAnsi="Verdana"/>
          <w:i/>
          <w:sz w:val="20"/>
        </w:rPr>
        <w:tab/>
        <w:t>Propuesto por los representantes:</w:t>
      </w: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r w:rsidRPr="005D43FF">
        <w:rPr>
          <w:rFonts w:ascii="Verdana" w:hAnsi="Verdana"/>
          <w:sz w:val="20"/>
        </w:rPr>
        <w:tab/>
        <w:t xml:space="preserve">1) </w:t>
      </w:r>
      <w:proofErr w:type="spellStart"/>
      <w:r w:rsidRPr="003932F2">
        <w:rPr>
          <w:rFonts w:ascii="Verdana" w:hAnsi="Verdana"/>
          <w:i/>
          <w:sz w:val="20"/>
        </w:rPr>
        <w:t>Sérgio</w:t>
      </w:r>
      <w:proofErr w:type="spellEnd"/>
      <w:r w:rsidRPr="003932F2">
        <w:rPr>
          <w:rFonts w:ascii="Verdana" w:hAnsi="Verdana"/>
          <w:i/>
          <w:sz w:val="20"/>
        </w:rPr>
        <w:t xml:space="preserve"> </w:t>
      </w:r>
      <w:proofErr w:type="spellStart"/>
      <w:r w:rsidRPr="003932F2">
        <w:rPr>
          <w:rFonts w:ascii="Verdana" w:hAnsi="Verdana"/>
          <w:i/>
          <w:sz w:val="20"/>
        </w:rPr>
        <w:t>Sauer</w:t>
      </w:r>
      <w:proofErr w:type="spellEnd"/>
      <w:r w:rsidRPr="005D43FF">
        <w:rPr>
          <w:rFonts w:ascii="Verdana" w:hAnsi="Verdana"/>
          <w:sz w:val="20"/>
        </w:rPr>
        <w:t xml:space="preserve">, quien rendirá un dictamen pericial sobre: </w:t>
      </w:r>
    </w:p>
    <w:p w:rsidR="00AE2056" w:rsidRPr="003932F2"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3932F2" w:rsidRDefault="00AE2056" w:rsidP="00AE2056">
      <w:pPr>
        <w:ind w:left="720"/>
        <w:jc w:val="both"/>
        <w:rPr>
          <w:rFonts w:ascii="Verdana" w:hAnsi="Verdana"/>
          <w:sz w:val="20"/>
          <w:lang w:val="es-ES_tradnl"/>
        </w:rPr>
      </w:pPr>
      <w:r w:rsidRPr="003932F2">
        <w:rPr>
          <w:rFonts w:ascii="Verdana" w:hAnsi="Verdana"/>
          <w:sz w:val="20"/>
        </w:rPr>
        <w:t>i.</w:t>
      </w:r>
      <w:r w:rsidRPr="003932F2">
        <w:rPr>
          <w:rFonts w:ascii="Verdana" w:hAnsi="Verdana"/>
          <w:sz w:val="20"/>
        </w:rPr>
        <w:tab/>
      </w:r>
      <w:r w:rsidRPr="003932F2">
        <w:rPr>
          <w:rFonts w:ascii="Verdana" w:hAnsi="Verdana"/>
          <w:sz w:val="20"/>
          <w:lang w:val="es-ES_tradnl"/>
        </w:rPr>
        <w:t>la situación de lucha de los trabajadores rurales por el derecho a la tierra y la alegada situación continua de vulnerabilidad frente a la violencia, amenazas a la vida e integridad física, y la supuesta ineficacia de las políticas públicas de combate a la violencia.</w:t>
      </w: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EE1779"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sz w:val="20"/>
        </w:rPr>
      </w:pPr>
      <w:r w:rsidRPr="00A660EE">
        <w:rPr>
          <w:rFonts w:ascii="Verdana" w:hAnsi="Verdana"/>
          <w:sz w:val="20"/>
        </w:rPr>
        <w:t>2.</w:t>
      </w:r>
      <w:r w:rsidRPr="00A660EE">
        <w:rPr>
          <w:rFonts w:ascii="Verdana" w:hAnsi="Verdana"/>
          <w:sz w:val="20"/>
        </w:rPr>
        <w:tab/>
        <w:t>Requerir a la Comisión Interamericana, a los representantes de las presuntas víctimas y al Estado que coordinen y realicen las diligencias necesarias para que las personas mencionadas en el punto resolutivo anterior rindan su declaración y peritaje ante fedatario público (</w:t>
      </w:r>
      <w:r w:rsidRPr="00A660EE">
        <w:rPr>
          <w:rFonts w:ascii="Verdana" w:hAnsi="Verdana"/>
          <w:iCs/>
          <w:sz w:val="20"/>
        </w:rPr>
        <w:t>affidávit</w:t>
      </w:r>
      <w:r w:rsidRPr="00A660EE">
        <w:rPr>
          <w:rFonts w:ascii="Verdana" w:hAnsi="Verdana"/>
          <w:sz w:val="20"/>
        </w:rPr>
        <w:t xml:space="preserve">) y los remitan a la Corte Interamericana de Derechos Humanos a más tardar </w:t>
      </w:r>
      <w:r w:rsidRPr="00A30A97">
        <w:rPr>
          <w:rFonts w:ascii="Verdana" w:hAnsi="Verdana"/>
          <w:sz w:val="20"/>
        </w:rPr>
        <w:t xml:space="preserve">el </w:t>
      </w:r>
      <w:r w:rsidRPr="00EE1779">
        <w:rPr>
          <w:rFonts w:ascii="Verdana" w:hAnsi="Verdana"/>
          <w:sz w:val="20"/>
        </w:rPr>
        <w:t>15 de diciembre de 2008.</w:t>
      </w:r>
    </w:p>
    <w:p w:rsidR="00AE2056" w:rsidRPr="00EE1779"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A660EE"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r w:rsidRPr="00A660EE">
        <w:rPr>
          <w:rFonts w:ascii="Verdana" w:hAnsi="Verdana"/>
          <w:sz w:val="20"/>
        </w:rPr>
        <w:t>3.</w:t>
      </w:r>
      <w:r w:rsidRPr="00A660EE">
        <w:rPr>
          <w:rFonts w:ascii="Verdana" w:hAnsi="Verdana"/>
          <w:sz w:val="20"/>
        </w:rPr>
        <w:tab/>
        <w:t xml:space="preserve">Solicitar a la Secretaría que, una vez recibidas las declaraciones </w:t>
      </w:r>
      <w:r w:rsidRPr="009F3849">
        <w:rPr>
          <w:rFonts w:ascii="Verdana" w:hAnsi="Verdana"/>
          <w:sz w:val="20"/>
        </w:rPr>
        <w:t xml:space="preserve">y los dictámenes rendidos ante fedatario público </w:t>
      </w:r>
      <w:r w:rsidRPr="00264339">
        <w:rPr>
          <w:rFonts w:ascii="Verdana" w:hAnsi="Verdana"/>
          <w:sz w:val="20"/>
        </w:rPr>
        <w:t>(</w:t>
      </w:r>
      <w:r w:rsidRPr="00264339">
        <w:rPr>
          <w:rFonts w:ascii="Verdana" w:hAnsi="Verdana"/>
          <w:iCs/>
          <w:sz w:val="20"/>
        </w:rPr>
        <w:t>affidávit</w:t>
      </w:r>
      <w:r w:rsidRPr="00264339">
        <w:rPr>
          <w:rFonts w:ascii="Verdana" w:hAnsi="Verdana"/>
          <w:sz w:val="20"/>
        </w:rPr>
        <w:t>) los transmita a las</w:t>
      </w:r>
      <w:r w:rsidRPr="00A660EE">
        <w:rPr>
          <w:rFonts w:ascii="Verdana" w:hAnsi="Verdana"/>
          <w:sz w:val="20"/>
        </w:rPr>
        <w:t xml:space="preserve"> demás partes para que, en un plazo improrrogable de veintiún</w:t>
      </w:r>
      <w:r w:rsidRPr="00BB6BDC">
        <w:rPr>
          <w:rFonts w:ascii="Verdana" w:hAnsi="Verdana"/>
          <w:sz w:val="20"/>
        </w:rPr>
        <w:t xml:space="preserve"> </w:t>
      </w:r>
      <w:r w:rsidRPr="00A660EE">
        <w:rPr>
          <w:rFonts w:ascii="Verdana" w:hAnsi="Verdana"/>
          <w:sz w:val="20"/>
        </w:rPr>
        <w:t xml:space="preserve">días, </w:t>
      </w:r>
      <w:r w:rsidRPr="00A73295">
        <w:rPr>
          <w:rFonts w:ascii="Verdana" w:hAnsi="Verdana"/>
          <w:sz w:val="20"/>
        </w:rPr>
        <w:t>contados</w:t>
      </w:r>
      <w:r w:rsidRPr="00A660EE">
        <w:rPr>
          <w:rFonts w:ascii="Verdana" w:hAnsi="Verdana"/>
          <w:sz w:val="20"/>
        </w:rPr>
        <w:t xml:space="preserve"> a partir de su recepción, presenten las observaciones que estimen pertinentes.</w:t>
      </w:r>
    </w:p>
    <w:p w:rsidR="00AE2056" w:rsidRPr="00A660EE" w:rsidRDefault="00AE2056" w:rsidP="00AE2056">
      <w:pPr>
        <w:ind w:right="40"/>
        <w:jc w:val="both"/>
        <w:rPr>
          <w:rFonts w:ascii="Verdana" w:hAnsi="Verdana"/>
          <w:sz w:val="20"/>
        </w:rPr>
      </w:pPr>
    </w:p>
    <w:p w:rsidR="00AE2056" w:rsidRPr="009F3849" w:rsidRDefault="00AE2056" w:rsidP="00AE2056">
      <w:pPr>
        <w:jc w:val="both"/>
        <w:rPr>
          <w:rFonts w:ascii="Verdana" w:hAnsi="Verdana"/>
          <w:b/>
          <w:sz w:val="20"/>
        </w:rPr>
      </w:pPr>
      <w:r w:rsidRPr="009F3849">
        <w:rPr>
          <w:rFonts w:ascii="Verdana" w:hAnsi="Verdana"/>
          <w:sz w:val="20"/>
        </w:rPr>
        <w:t>4.</w:t>
      </w:r>
      <w:r w:rsidRPr="009F3849">
        <w:rPr>
          <w:rFonts w:ascii="Verdana" w:hAnsi="Verdana"/>
          <w:sz w:val="20"/>
        </w:rPr>
        <w:tab/>
        <w:t xml:space="preserve">Convocar a la Comisión Interamericana de Derechos Humanos, a los representantes de las </w:t>
      </w:r>
      <w:r w:rsidRPr="00A30A97">
        <w:rPr>
          <w:rFonts w:ascii="Verdana" w:hAnsi="Verdana"/>
          <w:sz w:val="20"/>
        </w:rPr>
        <w:t xml:space="preserve">presuntas víctimas y al Estado de Brasil a una audiencia pública en la sede de la Corte Interamericana </w:t>
      </w:r>
      <w:r w:rsidRPr="00834F06">
        <w:rPr>
          <w:rFonts w:ascii="Verdana" w:hAnsi="Verdana"/>
          <w:sz w:val="20"/>
        </w:rPr>
        <w:t xml:space="preserve">durante el LXXXII Período Ordinario de Sesiones, a partir de las </w:t>
      </w:r>
      <w:r w:rsidRPr="00EE1779">
        <w:rPr>
          <w:rFonts w:ascii="Verdana" w:hAnsi="Verdana"/>
          <w:sz w:val="20"/>
        </w:rPr>
        <w:t>09:00 horas del 22 de enero de 2009,</w:t>
      </w:r>
      <w:r w:rsidRPr="009F3849">
        <w:rPr>
          <w:rFonts w:ascii="Verdana" w:hAnsi="Verdana"/>
          <w:b/>
          <w:sz w:val="20"/>
        </w:rPr>
        <w:t xml:space="preserve"> </w:t>
      </w:r>
      <w:r w:rsidRPr="009F3849">
        <w:rPr>
          <w:rFonts w:ascii="Verdana" w:hAnsi="Verdana"/>
          <w:sz w:val="20"/>
        </w:rPr>
        <w:t>para escuchar sus alegatos finales orales sobre las excepciones preliminares y eventuales fondo, reparaciones y costas en el presente caso, así como las declaraciones de los siguientes testigos y peritos</w:t>
      </w:r>
      <w:r w:rsidRPr="004F56CB">
        <w:rPr>
          <w:rFonts w:ascii="Verdana" w:hAnsi="Verdana"/>
          <w:sz w:val="20"/>
        </w:rPr>
        <w:t xml:space="preserve">: </w:t>
      </w:r>
    </w:p>
    <w:p w:rsidR="00AE2056" w:rsidRPr="00A660EE"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A660EE"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CB56A9" w:rsidRDefault="00AE2056" w:rsidP="00AE2056">
      <w:pPr>
        <w:jc w:val="both"/>
        <w:rPr>
          <w:rFonts w:ascii="Verdana" w:hAnsi="Verdana"/>
          <w:b/>
          <w:i/>
          <w:sz w:val="20"/>
        </w:rPr>
      </w:pPr>
      <w:r w:rsidRPr="00CB56A9">
        <w:rPr>
          <w:rFonts w:ascii="Verdana" w:hAnsi="Verdana"/>
          <w:b/>
          <w:i/>
          <w:sz w:val="20"/>
        </w:rPr>
        <w:t>Testigos</w:t>
      </w:r>
    </w:p>
    <w:p w:rsidR="00AE2056" w:rsidRPr="00943512" w:rsidRDefault="00AE2056" w:rsidP="00AE2056">
      <w:pPr>
        <w:jc w:val="both"/>
        <w:rPr>
          <w:rFonts w:ascii="Verdana" w:hAnsi="Verdana"/>
          <w:i/>
          <w:sz w:val="20"/>
          <w:szCs w:val="20"/>
          <w:lang w:val="es-ES_tradnl"/>
        </w:rPr>
      </w:pPr>
    </w:p>
    <w:p w:rsidR="00AE2056" w:rsidRPr="00943512" w:rsidRDefault="00AE2056" w:rsidP="00AE2056">
      <w:pPr>
        <w:jc w:val="both"/>
        <w:rPr>
          <w:rFonts w:ascii="Verdana" w:hAnsi="Verdana"/>
          <w:i/>
          <w:sz w:val="20"/>
          <w:szCs w:val="20"/>
          <w:lang w:val="es-ES_tradnl"/>
        </w:rPr>
      </w:pPr>
    </w:p>
    <w:p w:rsidR="00AE2056" w:rsidRPr="004F56CB" w:rsidRDefault="00AE2056" w:rsidP="00AE2056">
      <w:pPr>
        <w:ind w:firstLine="720"/>
        <w:jc w:val="both"/>
        <w:rPr>
          <w:rFonts w:ascii="Verdana" w:hAnsi="Verdana"/>
          <w:b/>
          <w:sz w:val="20"/>
        </w:rPr>
      </w:pPr>
      <w:r w:rsidRPr="00943512">
        <w:rPr>
          <w:rFonts w:ascii="Verdana" w:hAnsi="Verdana"/>
          <w:i/>
          <w:sz w:val="20"/>
          <w:szCs w:val="20"/>
          <w:lang w:val="es-ES_tradnl"/>
        </w:rPr>
        <w:t xml:space="preserve">A) </w:t>
      </w:r>
      <w:r w:rsidRPr="004F56CB">
        <w:rPr>
          <w:rFonts w:ascii="Verdana" w:hAnsi="Verdana"/>
          <w:i/>
          <w:sz w:val="20"/>
          <w:szCs w:val="20"/>
          <w:lang w:val="es-ES_tradnl"/>
        </w:rPr>
        <w:t>propuesta por la Comisión Interamericana:</w:t>
      </w:r>
    </w:p>
    <w:p w:rsidR="00AE2056" w:rsidRPr="004F56CB" w:rsidRDefault="00AE2056" w:rsidP="00AE2056">
      <w:pPr>
        <w:jc w:val="both"/>
        <w:rPr>
          <w:rFonts w:ascii="Verdana" w:hAnsi="Verdana"/>
          <w:b/>
          <w:sz w:val="20"/>
        </w:rPr>
      </w:pPr>
    </w:p>
    <w:p w:rsidR="00AE2056" w:rsidRPr="004F56CB"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ind w:left="720"/>
        <w:rPr>
          <w:rFonts w:ascii="Verdana" w:hAnsi="Verdana"/>
          <w:sz w:val="20"/>
        </w:rPr>
      </w:pPr>
      <w:r w:rsidRPr="004F56CB">
        <w:rPr>
          <w:rFonts w:ascii="Verdana" w:hAnsi="Verdana"/>
          <w:i/>
          <w:sz w:val="20"/>
        </w:rPr>
        <w:t xml:space="preserve">1) Iracema Garibaldi </w:t>
      </w:r>
      <w:r w:rsidRPr="00FA5699">
        <w:rPr>
          <w:rFonts w:ascii="Verdana" w:hAnsi="Verdana"/>
          <w:i/>
          <w:sz w:val="20"/>
        </w:rPr>
        <w:t>(presunta víctima</w:t>
      </w:r>
      <w:r w:rsidRPr="004F56CB">
        <w:rPr>
          <w:rFonts w:ascii="Verdana" w:hAnsi="Verdana"/>
          <w:i/>
          <w:sz w:val="20"/>
        </w:rPr>
        <w:t>),</w:t>
      </w:r>
      <w:r w:rsidRPr="004F56CB">
        <w:rPr>
          <w:rFonts w:ascii="Verdana" w:hAnsi="Verdana"/>
          <w:sz w:val="20"/>
        </w:rPr>
        <w:t xml:space="preserve"> quien rendirá testimonio sobre:</w:t>
      </w:r>
    </w:p>
    <w:p w:rsidR="00AE2056" w:rsidRPr="008F3A33" w:rsidRDefault="00AE2056" w:rsidP="00AE2056">
      <w:pPr>
        <w:pStyle w:val="Textoindependiente"/>
        <w:tabs>
          <w:tab w:val="left" w:pos="990"/>
          <w:tab w:val="left" w:pos="1260"/>
          <w:tab w:val="left" w:pos="2880"/>
          <w:tab w:val="left" w:pos="3600"/>
          <w:tab w:val="left" w:pos="4320"/>
          <w:tab w:val="left" w:pos="5040"/>
          <w:tab w:val="left" w:pos="5760"/>
          <w:tab w:val="left" w:pos="6480"/>
          <w:tab w:val="left" w:pos="7200"/>
          <w:tab w:val="left" w:pos="7920"/>
          <w:tab w:val="left" w:pos="8640"/>
        </w:tabs>
        <w:ind w:left="720"/>
        <w:rPr>
          <w:rFonts w:ascii="Verdana" w:hAnsi="Verdana"/>
          <w:sz w:val="20"/>
        </w:rPr>
      </w:pPr>
    </w:p>
    <w:p w:rsidR="00AE2056" w:rsidRPr="008F3A33" w:rsidRDefault="00AE2056" w:rsidP="00AE2056">
      <w:pPr>
        <w:tabs>
          <w:tab w:val="left" w:pos="990"/>
        </w:tabs>
        <w:ind w:left="720"/>
        <w:jc w:val="both"/>
        <w:rPr>
          <w:rFonts w:ascii="Verdana" w:hAnsi="Verdana"/>
          <w:i/>
          <w:sz w:val="20"/>
        </w:rPr>
      </w:pPr>
      <w:r w:rsidRPr="008F3A33">
        <w:rPr>
          <w:rFonts w:ascii="Verdana" w:hAnsi="Verdana"/>
          <w:sz w:val="20"/>
          <w:szCs w:val="22"/>
          <w:lang w:val="es-CR"/>
        </w:rPr>
        <w:t>i.</w:t>
      </w:r>
      <w:r w:rsidRPr="008F3A33">
        <w:rPr>
          <w:rFonts w:ascii="Verdana" w:hAnsi="Verdana"/>
          <w:sz w:val="20"/>
          <w:szCs w:val="22"/>
          <w:lang w:val="es-CR"/>
        </w:rPr>
        <w:tab/>
        <w:t xml:space="preserve">la investigación llevada a cabo en el presente caso, los alegados obstáculos e impunidad resultante, así como </w:t>
      </w:r>
      <w:r w:rsidRPr="008F3A33">
        <w:rPr>
          <w:rFonts w:ascii="Verdana" w:hAnsi="Verdana"/>
          <w:sz w:val="20"/>
          <w:szCs w:val="22"/>
        </w:rPr>
        <w:t>las consecuencias personales para ella y los hijos del señor Sétimo Garibaldi;</w:t>
      </w:r>
    </w:p>
    <w:p w:rsidR="00AE2056" w:rsidRPr="00753713" w:rsidRDefault="00AE2056" w:rsidP="00AE2056">
      <w:pPr>
        <w:tabs>
          <w:tab w:val="left" w:pos="1800"/>
        </w:tabs>
        <w:jc w:val="both"/>
        <w:rPr>
          <w:rFonts w:ascii="Verdana" w:hAnsi="Verdana"/>
          <w:sz w:val="18"/>
          <w:lang w:val="es-ES_tradnl"/>
        </w:rPr>
      </w:pPr>
    </w:p>
    <w:p w:rsidR="00AE2056" w:rsidRPr="005D43FF"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i/>
          <w:sz w:val="20"/>
        </w:rPr>
      </w:pPr>
      <w:r w:rsidRPr="00CB56A9">
        <w:rPr>
          <w:rFonts w:ascii="Verdana" w:hAnsi="Verdana"/>
          <w:b/>
          <w:i/>
          <w:sz w:val="20"/>
        </w:rPr>
        <w:tab/>
      </w:r>
      <w:r w:rsidRPr="004F56CB">
        <w:rPr>
          <w:rFonts w:ascii="Verdana" w:hAnsi="Verdana"/>
          <w:i/>
          <w:sz w:val="20"/>
        </w:rPr>
        <w:t>B</w:t>
      </w:r>
      <w:r w:rsidRPr="005D43FF">
        <w:rPr>
          <w:rFonts w:ascii="Verdana" w:hAnsi="Verdana"/>
          <w:i/>
          <w:sz w:val="20"/>
        </w:rPr>
        <w:t>) propuesto por el Estado:</w:t>
      </w:r>
    </w:p>
    <w:p w:rsidR="00AE2056" w:rsidRPr="005D43FF"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i/>
          <w:sz w:val="20"/>
        </w:rPr>
      </w:pPr>
    </w:p>
    <w:p w:rsidR="00AE2056" w:rsidRPr="004F56CB"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sz w:val="20"/>
        </w:rPr>
      </w:pPr>
      <w:r w:rsidRPr="004F56CB">
        <w:rPr>
          <w:rFonts w:ascii="Verdana" w:hAnsi="Verdana"/>
          <w:i/>
          <w:sz w:val="20"/>
        </w:rPr>
        <w:tab/>
        <w:t xml:space="preserve">2) </w:t>
      </w:r>
      <w:proofErr w:type="spellStart"/>
      <w:r w:rsidRPr="004F56CB">
        <w:rPr>
          <w:rFonts w:ascii="Verdana" w:hAnsi="Verdana"/>
          <w:i/>
          <w:sz w:val="20"/>
        </w:rPr>
        <w:t>Fábio</w:t>
      </w:r>
      <w:proofErr w:type="spellEnd"/>
      <w:r w:rsidRPr="004F56CB">
        <w:rPr>
          <w:rFonts w:ascii="Verdana" w:hAnsi="Verdana"/>
          <w:i/>
          <w:sz w:val="20"/>
        </w:rPr>
        <w:t xml:space="preserve"> André </w:t>
      </w:r>
      <w:proofErr w:type="spellStart"/>
      <w:r w:rsidRPr="004F56CB">
        <w:rPr>
          <w:rFonts w:ascii="Verdana" w:hAnsi="Verdana"/>
          <w:i/>
          <w:sz w:val="20"/>
        </w:rPr>
        <w:t>Guaragni</w:t>
      </w:r>
      <w:proofErr w:type="spellEnd"/>
      <w:r w:rsidRPr="004F56CB">
        <w:rPr>
          <w:rFonts w:ascii="Verdana" w:hAnsi="Verdana"/>
          <w:sz w:val="20"/>
        </w:rPr>
        <w:t>, quien rendirá testimonio sobre:</w:t>
      </w:r>
    </w:p>
    <w:p w:rsidR="00AE2056" w:rsidRPr="008F3A33"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ind w:left="1440"/>
        <w:rPr>
          <w:rFonts w:ascii="Verdana" w:hAnsi="Verdana"/>
          <w:sz w:val="20"/>
        </w:rPr>
      </w:pPr>
    </w:p>
    <w:p w:rsidR="00AE2056" w:rsidRPr="008F3A33" w:rsidRDefault="00AE2056" w:rsidP="00AE2056">
      <w:pPr>
        <w:widowControl w:val="0"/>
        <w:autoSpaceDE w:val="0"/>
        <w:autoSpaceDN w:val="0"/>
        <w:adjustRightInd w:val="0"/>
        <w:ind w:left="720"/>
        <w:jc w:val="both"/>
        <w:rPr>
          <w:rFonts w:ascii="Verdana" w:hAnsi="Verdana"/>
          <w:sz w:val="20"/>
          <w:szCs w:val="22"/>
          <w:lang w:val="es-ES_tradnl"/>
        </w:rPr>
      </w:pPr>
      <w:r w:rsidRPr="008F3A33">
        <w:rPr>
          <w:rFonts w:ascii="Verdana" w:hAnsi="Verdana"/>
          <w:sz w:val="20"/>
        </w:rPr>
        <w:t xml:space="preserve">i. </w:t>
      </w:r>
      <w:r w:rsidRPr="008F3A33">
        <w:rPr>
          <w:rFonts w:ascii="Verdana" w:hAnsi="Verdana"/>
          <w:sz w:val="20"/>
          <w:szCs w:val="22"/>
        </w:rPr>
        <w:t xml:space="preserve">la </w:t>
      </w:r>
      <w:r w:rsidRPr="008F3A33">
        <w:rPr>
          <w:rFonts w:ascii="Verdana" w:hAnsi="Verdana"/>
          <w:sz w:val="20"/>
          <w:szCs w:val="22"/>
          <w:lang w:val="es-ES_tradnl"/>
        </w:rPr>
        <w:t>regularidad de la investigación policial No. 179/98 [sobre el homicidio del señor Sétimo Garibaldi].</w:t>
      </w:r>
    </w:p>
    <w:p w:rsidR="00AE2056" w:rsidRPr="004F56CB"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ind w:left="720"/>
        <w:rPr>
          <w:rFonts w:ascii="Verdana" w:hAnsi="Verdana"/>
          <w:sz w:val="20"/>
        </w:rPr>
      </w:pPr>
    </w:p>
    <w:p w:rsidR="00AE2056" w:rsidRPr="00CB56A9"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b/>
          <w:i/>
          <w:sz w:val="20"/>
        </w:rPr>
      </w:pPr>
    </w:p>
    <w:p w:rsidR="00AE2056" w:rsidRPr="00CB56A9"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b/>
          <w:i/>
          <w:sz w:val="20"/>
        </w:rPr>
      </w:pPr>
    </w:p>
    <w:p w:rsidR="00AE2056" w:rsidRPr="00CB56A9"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b/>
          <w:i/>
          <w:sz w:val="20"/>
        </w:rPr>
      </w:pPr>
      <w:r w:rsidRPr="00CB56A9">
        <w:rPr>
          <w:rFonts w:ascii="Verdana" w:hAnsi="Verdana"/>
          <w:b/>
          <w:i/>
          <w:sz w:val="20"/>
        </w:rPr>
        <w:lastRenderedPageBreak/>
        <w:t>Peritos</w:t>
      </w:r>
    </w:p>
    <w:p w:rsidR="00AE2056" w:rsidRPr="000B51D4"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0B51D4"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CB56A9" w:rsidRDefault="00AE2056" w:rsidP="00AE2056">
      <w:pPr>
        <w:ind w:firstLine="720"/>
        <w:jc w:val="both"/>
        <w:rPr>
          <w:rFonts w:ascii="Verdana" w:hAnsi="Verdana"/>
          <w:b/>
          <w:sz w:val="20"/>
        </w:rPr>
      </w:pPr>
      <w:r w:rsidRPr="00943512">
        <w:rPr>
          <w:rFonts w:ascii="Verdana" w:hAnsi="Verdana"/>
          <w:i/>
          <w:sz w:val="20"/>
          <w:szCs w:val="20"/>
          <w:lang w:val="es-ES_tradnl"/>
        </w:rPr>
        <w:t>A) propuesto por la Comisión Interamericana:</w:t>
      </w:r>
    </w:p>
    <w:p w:rsidR="00AE2056" w:rsidRPr="000B51D4" w:rsidRDefault="00AE2056" w:rsidP="00AE2056">
      <w:pPr>
        <w:pStyle w:val="Textoindependiente"/>
        <w:tabs>
          <w:tab w:val="left" w:pos="720"/>
          <w:tab w:val="left" w:pos="2880"/>
          <w:tab w:val="left" w:pos="3600"/>
          <w:tab w:val="left" w:pos="4320"/>
          <w:tab w:val="left" w:pos="5040"/>
          <w:tab w:val="left" w:pos="5760"/>
          <w:tab w:val="left" w:pos="6480"/>
          <w:tab w:val="left" w:pos="7200"/>
          <w:tab w:val="left" w:pos="7920"/>
          <w:tab w:val="left" w:pos="8640"/>
        </w:tabs>
        <w:rPr>
          <w:rFonts w:ascii="Verdana" w:hAnsi="Verdana"/>
          <w:sz w:val="20"/>
        </w:rPr>
      </w:pPr>
    </w:p>
    <w:p w:rsidR="00AE2056" w:rsidRPr="000B51D4" w:rsidRDefault="00AE2056" w:rsidP="00AE2056">
      <w:pPr>
        <w:pStyle w:val="Textoindependiente"/>
        <w:ind w:left="720"/>
        <w:rPr>
          <w:rFonts w:ascii="Verdana" w:hAnsi="Verdana"/>
          <w:sz w:val="20"/>
        </w:rPr>
      </w:pPr>
      <w:r w:rsidRPr="000B51D4">
        <w:rPr>
          <w:rFonts w:ascii="Verdana" w:hAnsi="Verdana"/>
          <w:i/>
          <w:sz w:val="20"/>
        </w:rPr>
        <w:t>3) Salo de Carvalho,</w:t>
      </w:r>
      <w:r w:rsidRPr="000B51D4">
        <w:rPr>
          <w:rFonts w:ascii="Verdana" w:hAnsi="Verdana"/>
          <w:sz w:val="20"/>
        </w:rPr>
        <w:t xml:space="preserve"> quien rendirá un dictamen pericial sobre:</w:t>
      </w:r>
    </w:p>
    <w:p w:rsidR="00AE2056" w:rsidRPr="000B51D4" w:rsidRDefault="00AE2056" w:rsidP="00AE2056">
      <w:pPr>
        <w:pStyle w:val="Textoindependiente"/>
        <w:ind w:left="720"/>
        <w:rPr>
          <w:rFonts w:ascii="Verdana" w:hAnsi="Verdana"/>
          <w:sz w:val="20"/>
        </w:rPr>
      </w:pPr>
    </w:p>
    <w:p w:rsidR="00AE2056" w:rsidRPr="008F3A33" w:rsidRDefault="00AE2056" w:rsidP="00AE2056">
      <w:pPr>
        <w:pStyle w:val="Textoindependiente"/>
        <w:tabs>
          <w:tab w:val="num" w:pos="1080"/>
        </w:tabs>
        <w:ind w:left="720"/>
        <w:rPr>
          <w:rFonts w:ascii="Verdana" w:hAnsi="Verdana"/>
          <w:sz w:val="20"/>
          <w:szCs w:val="22"/>
        </w:rPr>
      </w:pPr>
      <w:r w:rsidRPr="00B9647A">
        <w:rPr>
          <w:rFonts w:ascii="Verdana" w:hAnsi="Verdana"/>
          <w:sz w:val="20"/>
          <w:szCs w:val="18"/>
        </w:rPr>
        <w:t>i.</w:t>
      </w:r>
      <w:r w:rsidRPr="00B9647A">
        <w:rPr>
          <w:rFonts w:ascii="Verdana" w:hAnsi="Verdana"/>
          <w:sz w:val="20"/>
          <w:szCs w:val="18"/>
        </w:rPr>
        <w:tab/>
      </w:r>
      <w:r w:rsidRPr="008F3A33">
        <w:rPr>
          <w:rFonts w:ascii="Verdana" w:hAnsi="Verdana"/>
          <w:sz w:val="20"/>
          <w:szCs w:val="22"/>
        </w:rPr>
        <w:t>los aspectos técnicos de la investigación penal por la muerte del señor Sétimo Garibaldi y la supuesta impunidad relativa a procedimientos judiciales relacionados al asesinato de trabajadores rurales en Brasil en el contexto del conflicto agrario.</w:t>
      </w:r>
    </w:p>
    <w:p w:rsidR="00AE2056" w:rsidRPr="00B9647A" w:rsidRDefault="00AE2056" w:rsidP="00AE2056">
      <w:pPr>
        <w:pStyle w:val="Textoindependiente2"/>
        <w:ind w:left="720"/>
        <w:rPr>
          <w:rFonts w:ascii="Verdana" w:hAnsi="Verdana"/>
          <w:sz w:val="20"/>
          <w:szCs w:val="18"/>
        </w:rPr>
      </w:pPr>
    </w:p>
    <w:p w:rsidR="00AE2056" w:rsidRPr="00D33000" w:rsidRDefault="00AE2056" w:rsidP="00AE2056">
      <w:pPr>
        <w:pStyle w:val="Textoindependiente2"/>
        <w:ind w:firstLine="720"/>
        <w:rPr>
          <w:rFonts w:ascii="Verdana" w:hAnsi="Verdana"/>
          <w:i/>
          <w:sz w:val="20"/>
        </w:rPr>
      </w:pPr>
      <w:r w:rsidRPr="00D33000">
        <w:rPr>
          <w:rFonts w:ascii="Verdana" w:hAnsi="Verdana"/>
          <w:i/>
          <w:sz w:val="20"/>
        </w:rPr>
        <w:t>B) propuesta por el Estado:</w:t>
      </w:r>
    </w:p>
    <w:p w:rsidR="00AE2056" w:rsidRPr="00A660EE"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rPr>
          <w:rFonts w:ascii="Verdana" w:eastAsia="Times" w:hAnsi="Verdana"/>
          <w:sz w:val="20"/>
        </w:rPr>
      </w:pPr>
      <w:r w:rsidRPr="00A660EE">
        <w:rPr>
          <w:rFonts w:ascii="Verdana" w:eastAsia="Times" w:hAnsi="Verdana"/>
          <w:sz w:val="20"/>
        </w:rPr>
        <w:tab/>
      </w:r>
    </w:p>
    <w:p w:rsidR="00AE2056" w:rsidRPr="005D43FF" w:rsidRDefault="00AE2056" w:rsidP="00AE2056">
      <w:pPr>
        <w:pStyle w:val="Textoindependiente"/>
        <w:tabs>
          <w:tab w:val="left" w:pos="720"/>
          <w:tab w:val="left" w:pos="1260"/>
          <w:tab w:val="left" w:pos="2880"/>
          <w:tab w:val="left" w:pos="3600"/>
          <w:tab w:val="left" w:pos="4320"/>
          <w:tab w:val="left" w:pos="5040"/>
          <w:tab w:val="left" w:pos="5760"/>
          <w:tab w:val="left" w:pos="6480"/>
          <w:tab w:val="left" w:pos="7200"/>
          <w:tab w:val="left" w:pos="7920"/>
          <w:tab w:val="left" w:pos="8640"/>
        </w:tabs>
        <w:ind w:left="720"/>
        <w:rPr>
          <w:rFonts w:ascii="Verdana" w:hAnsi="Verdana"/>
          <w:sz w:val="20"/>
        </w:rPr>
      </w:pPr>
      <w:r w:rsidRPr="005D43FF">
        <w:rPr>
          <w:rFonts w:ascii="Verdana" w:hAnsi="Verdana"/>
          <w:sz w:val="20"/>
        </w:rPr>
        <w:t xml:space="preserve">4) </w:t>
      </w:r>
      <w:r w:rsidRPr="009F3849">
        <w:rPr>
          <w:rFonts w:ascii="Verdana" w:hAnsi="Verdana"/>
          <w:i/>
          <w:sz w:val="20"/>
        </w:rPr>
        <w:t xml:space="preserve">Maria </w:t>
      </w:r>
      <w:proofErr w:type="spellStart"/>
      <w:r w:rsidRPr="009F3849">
        <w:rPr>
          <w:rFonts w:ascii="Verdana" w:hAnsi="Verdana"/>
          <w:i/>
          <w:sz w:val="20"/>
        </w:rPr>
        <w:t>Thereza</w:t>
      </w:r>
      <w:proofErr w:type="spellEnd"/>
      <w:r w:rsidRPr="009F3849">
        <w:rPr>
          <w:rFonts w:ascii="Verdana" w:hAnsi="Verdana"/>
          <w:i/>
          <w:sz w:val="20"/>
        </w:rPr>
        <w:t xml:space="preserve"> Rocha de </w:t>
      </w:r>
      <w:proofErr w:type="spellStart"/>
      <w:r w:rsidRPr="009F3849">
        <w:rPr>
          <w:rFonts w:ascii="Verdana" w:hAnsi="Verdana"/>
          <w:i/>
          <w:sz w:val="20"/>
        </w:rPr>
        <w:t>Assis</w:t>
      </w:r>
      <w:proofErr w:type="spellEnd"/>
      <w:r w:rsidRPr="009F3849">
        <w:rPr>
          <w:rFonts w:ascii="Verdana" w:hAnsi="Verdana"/>
          <w:i/>
          <w:sz w:val="20"/>
        </w:rPr>
        <w:t xml:space="preserve"> </w:t>
      </w:r>
      <w:proofErr w:type="spellStart"/>
      <w:r w:rsidRPr="009F3849">
        <w:rPr>
          <w:rFonts w:ascii="Verdana" w:hAnsi="Verdana"/>
          <w:i/>
          <w:sz w:val="20"/>
        </w:rPr>
        <w:t>Moura</w:t>
      </w:r>
      <w:proofErr w:type="spellEnd"/>
      <w:r w:rsidRPr="005D43FF">
        <w:rPr>
          <w:rFonts w:ascii="Verdana" w:hAnsi="Verdana"/>
          <w:sz w:val="20"/>
        </w:rPr>
        <w:t xml:space="preserve">, quien rendirá un dictamen pericial sobre: </w:t>
      </w:r>
    </w:p>
    <w:p w:rsidR="00AE2056" w:rsidRPr="005D43FF" w:rsidRDefault="00AE2056" w:rsidP="00AE2056">
      <w:pPr>
        <w:widowControl w:val="0"/>
        <w:autoSpaceDE w:val="0"/>
        <w:autoSpaceDN w:val="0"/>
        <w:adjustRightInd w:val="0"/>
        <w:ind w:left="720"/>
        <w:jc w:val="both"/>
        <w:rPr>
          <w:rFonts w:ascii="Verdana" w:hAnsi="Verdana"/>
          <w:sz w:val="20"/>
          <w:szCs w:val="22"/>
        </w:rPr>
      </w:pPr>
    </w:p>
    <w:p w:rsidR="00AE2056" w:rsidRPr="005D43FF" w:rsidRDefault="00AE2056" w:rsidP="00AE2056">
      <w:pPr>
        <w:widowControl w:val="0"/>
        <w:autoSpaceDE w:val="0"/>
        <w:autoSpaceDN w:val="0"/>
        <w:adjustRightInd w:val="0"/>
        <w:ind w:left="720"/>
        <w:jc w:val="both"/>
        <w:rPr>
          <w:rFonts w:ascii="Verdana" w:hAnsi="Verdana"/>
          <w:sz w:val="20"/>
          <w:szCs w:val="22"/>
        </w:rPr>
      </w:pPr>
      <w:r w:rsidRPr="005D43FF">
        <w:rPr>
          <w:rFonts w:ascii="Verdana" w:hAnsi="Verdana"/>
          <w:sz w:val="20"/>
          <w:szCs w:val="22"/>
        </w:rPr>
        <w:t>i.</w:t>
      </w:r>
      <w:r w:rsidRPr="005D43FF">
        <w:rPr>
          <w:rFonts w:ascii="Verdana" w:hAnsi="Verdana"/>
          <w:sz w:val="20"/>
          <w:szCs w:val="22"/>
        </w:rPr>
        <w:tab/>
        <w:t>el procedimiento de archivo de la investigación policial en el ordenamiento jurídico brasileño.</w:t>
      </w:r>
    </w:p>
    <w:p w:rsidR="00AE2056" w:rsidRPr="005D43FF" w:rsidRDefault="00AE2056" w:rsidP="00AE2056">
      <w:pPr>
        <w:widowControl w:val="0"/>
        <w:autoSpaceDE w:val="0"/>
        <w:autoSpaceDN w:val="0"/>
        <w:adjustRightInd w:val="0"/>
        <w:ind w:left="720"/>
        <w:jc w:val="both"/>
        <w:rPr>
          <w:rFonts w:ascii="Verdana" w:hAnsi="Verdana"/>
          <w:sz w:val="20"/>
          <w:szCs w:val="22"/>
        </w:rPr>
      </w:pPr>
    </w:p>
    <w:p w:rsidR="00AE2056" w:rsidRPr="00A660EE" w:rsidRDefault="00AE2056" w:rsidP="00AE2056">
      <w:pPr>
        <w:pStyle w:val="Textoindependiente2"/>
        <w:spacing w:after="60"/>
        <w:rPr>
          <w:rFonts w:ascii="Verdana" w:hAnsi="Verdana"/>
          <w:sz w:val="20"/>
        </w:rPr>
      </w:pPr>
      <w:r w:rsidRPr="00A660EE">
        <w:rPr>
          <w:rFonts w:ascii="Verdana" w:hAnsi="Verdana"/>
          <w:sz w:val="20"/>
        </w:rPr>
        <w:t>5.</w:t>
      </w:r>
      <w:r w:rsidRPr="00A660EE">
        <w:rPr>
          <w:rFonts w:ascii="Verdana" w:hAnsi="Verdana"/>
          <w:sz w:val="20"/>
        </w:rPr>
        <w:tab/>
        <w:t>Requerir al Estado de Brasil que facilite la salida y entrada de su territorio de los testigos y de los peritos, en el caso que residan o se encuentren en él y hayan sido citados en la presente Resolución a rendir testimonios y peritajes en la audiencia pública sobre excepciones preliminares y eventuales fondo, reparaciones y costas en este caso, de conformidad con lo dispuesto en el artículo 24.1 del Reglamento.</w:t>
      </w:r>
    </w:p>
    <w:p w:rsidR="00AE2056" w:rsidRPr="00A660EE" w:rsidRDefault="00AE2056" w:rsidP="00AE2056">
      <w:pPr>
        <w:pStyle w:val="Textoindependiente2"/>
        <w:spacing w:after="60"/>
        <w:rPr>
          <w:rFonts w:ascii="Verdana" w:hAnsi="Verdana"/>
          <w:b/>
          <w:sz w:val="20"/>
        </w:rPr>
      </w:pPr>
    </w:p>
    <w:p w:rsidR="00AE2056" w:rsidRPr="00264339" w:rsidRDefault="00AE2056" w:rsidP="00AE2056">
      <w:pPr>
        <w:pStyle w:val="Textoindependiente"/>
        <w:spacing w:after="60"/>
        <w:rPr>
          <w:rFonts w:ascii="Verdana" w:hAnsi="Verdana"/>
          <w:sz w:val="20"/>
        </w:rPr>
      </w:pPr>
      <w:r w:rsidRPr="00264339">
        <w:rPr>
          <w:rFonts w:ascii="Verdana" w:hAnsi="Verdana"/>
          <w:sz w:val="20"/>
        </w:rPr>
        <w:t>6.</w:t>
      </w:r>
      <w:r w:rsidRPr="00264339">
        <w:rPr>
          <w:rFonts w:ascii="Verdana" w:hAnsi="Verdana"/>
          <w:sz w:val="20"/>
        </w:rPr>
        <w:tab/>
        <w:t>Requerir a la Comisión Interamericana de Derechos Humanos, al Estado de Brasil y a los representantes de las presuntas víctimas que notifiquen la presente Resolución a las personas por ellos propuestas y que han sido convocadas a rendir testimonio o dictamen, de conformidad con lo dispuesto en el artículo 47.2 del Reglamento.</w:t>
      </w:r>
    </w:p>
    <w:p w:rsidR="00AE2056" w:rsidRPr="00264339" w:rsidRDefault="00AE2056" w:rsidP="00AE2056">
      <w:pPr>
        <w:pStyle w:val="Textoindependiente"/>
        <w:spacing w:after="60"/>
        <w:rPr>
          <w:rFonts w:ascii="Verdana" w:hAnsi="Verdana"/>
          <w:sz w:val="20"/>
        </w:rPr>
      </w:pPr>
    </w:p>
    <w:p w:rsidR="00AE2056" w:rsidRPr="00264339" w:rsidRDefault="00AE2056" w:rsidP="00AE2056">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Verdana" w:hAnsi="Verdana"/>
          <w:sz w:val="20"/>
        </w:rPr>
      </w:pPr>
      <w:r w:rsidRPr="00264339">
        <w:rPr>
          <w:rFonts w:ascii="Verdana" w:hAnsi="Verdana"/>
          <w:sz w:val="20"/>
        </w:rPr>
        <w:t>7.</w:t>
      </w:r>
      <w:r w:rsidRPr="00264339">
        <w:rPr>
          <w:rFonts w:ascii="Verdana" w:hAnsi="Verdana"/>
          <w:sz w:val="20"/>
        </w:rPr>
        <w:tab/>
        <w:t>Informar a la Comisión Interamericana de Derechos Humanos, al Estado de Brasil y a los representantes de las presuntas víctimas que deben cubrir los gastos que ocasione la aportación o rendición de la prueba propuesta por ellos, de conformidad con lo dispuesto en el artículo 46 del Reglamento.</w:t>
      </w:r>
    </w:p>
    <w:p w:rsidR="00AE2056" w:rsidRPr="00264339"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0"/>
        <w:jc w:val="both"/>
        <w:rPr>
          <w:rFonts w:ascii="Verdana" w:hAnsi="Verdana"/>
          <w:sz w:val="20"/>
        </w:rPr>
      </w:pPr>
    </w:p>
    <w:p w:rsidR="00AE2056" w:rsidRPr="00264339"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0"/>
        <w:jc w:val="both"/>
        <w:rPr>
          <w:rFonts w:ascii="Verdana" w:hAnsi="Verdana"/>
          <w:sz w:val="20"/>
        </w:rPr>
      </w:pPr>
      <w:r w:rsidRPr="00264339">
        <w:rPr>
          <w:rFonts w:ascii="Verdana" w:hAnsi="Verdana"/>
          <w:sz w:val="20"/>
        </w:rPr>
        <w:t>8.</w:t>
      </w:r>
      <w:r w:rsidRPr="00264339">
        <w:rPr>
          <w:rFonts w:ascii="Verdana" w:hAnsi="Verdana"/>
          <w:sz w:val="20"/>
        </w:rPr>
        <w:tab/>
        <w:t xml:space="preserve">Requerir a la Comisión Interamericana de Derechos Humanos, a los representantes de las presuntas víctimas y al Estado de Brasil que informen a los testigos y peritos convocados por esta Presidencia que, según lo dispuesto en el </w:t>
      </w:r>
      <w:r w:rsidRPr="00834F06">
        <w:rPr>
          <w:rFonts w:ascii="Verdana" w:hAnsi="Verdana"/>
          <w:sz w:val="20"/>
        </w:rPr>
        <w:t>artículo 52 del</w:t>
      </w:r>
      <w:r w:rsidRPr="00264339">
        <w:rPr>
          <w:rFonts w:ascii="Verdana" w:hAnsi="Verdana"/>
          <w:sz w:val="20"/>
        </w:rPr>
        <w:t xml:space="preserve"> Reglamento, la Corte pondrá en conocimiento de los Estados los casos en que las personas requeridas para comparecer o declarar no comparecieren o rehusaren deponer sin motivo legítimo o que, a consideración del Tribunal, hayan transgredido el deber que les impone el juramento o la declaración solemne, para los fines previstos en la legislación nacional correspondiente.</w:t>
      </w:r>
    </w:p>
    <w:p w:rsidR="00AE2056" w:rsidRPr="00264339"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0"/>
        <w:jc w:val="both"/>
        <w:rPr>
          <w:rFonts w:ascii="Verdana" w:hAnsi="Verdana"/>
          <w:sz w:val="20"/>
        </w:rPr>
      </w:pPr>
    </w:p>
    <w:p w:rsidR="00AE2056" w:rsidRPr="00A660EE"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0"/>
        <w:jc w:val="both"/>
        <w:rPr>
          <w:rFonts w:ascii="Verdana" w:hAnsi="Verdana"/>
          <w:sz w:val="20"/>
        </w:rPr>
      </w:pPr>
      <w:r w:rsidRPr="00264339">
        <w:rPr>
          <w:rFonts w:ascii="Verdana" w:hAnsi="Verdana"/>
          <w:sz w:val="20"/>
        </w:rPr>
        <w:t>9.</w:t>
      </w:r>
      <w:r w:rsidRPr="00264339">
        <w:rPr>
          <w:rFonts w:ascii="Verdana" w:hAnsi="Verdana"/>
          <w:sz w:val="20"/>
        </w:rPr>
        <w:tab/>
        <w:t>Informar a la Comisión Interamericana de Derechos Humanos, a los representantes de las presuntas víctimas</w:t>
      </w:r>
      <w:r w:rsidRPr="00A660EE">
        <w:rPr>
          <w:rFonts w:ascii="Verdana" w:hAnsi="Verdana"/>
          <w:sz w:val="20"/>
        </w:rPr>
        <w:t xml:space="preserve"> y al Estado de Brasil que, al término de las </w:t>
      </w:r>
      <w:r w:rsidRPr="00A660EE">
        <w:rPr>
          <w:rFonts w:ascii="Verdana" w:hAnsi="Verdana"/>
          <w:sz w:val="20"/>
        </w:rPr>
        <w:lastRenderedPageBreak/>
        <w:t xml:space="preserve">declaraciones de los testigos y los peritos, podrán presentar ante el Tribunal sus alegatos finales orales sobre </w:t>
      </w:r>
      <w:r w:rsidRPr="00834F06">
        <w:rPr>
          <w:rFonts w:ascii="Verdana" w:hAnsi="Verdana"/>
          <w:sz w:val="20"/>
        </w:rPr>
        <w:t>las excepciones preliminares y eventuales fondo, reparaciones y costas en el presente caso.</w:t>
      </w:r>
    </w:p>
    <w:p w:rsidR="00AE2056" w:rsidRPr="00A660EE"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0"/>
        <w:jc w:val="both"/>
        <w:rPr>
          <w:rFonts w:ascii="Verdana" w:hAnsi="Verdana"/>
          <w:sz w:val="20"/>
        </w:rPr>
      </w:pPr>
    </w:p>
    <w:p w:rsidR="00AE2056" w:rsidRPr="00264339" w:rsidRDefault="00AE2056" w:rsidP="00AE2056">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Verdana" w:hAnsi="Verdana"/>
          <w:sz w:val="20"/>
        </w:rPr>
      </w:pPr>
      <w:r w:rsidRPr="00A660EE">
        <w:rPr>
          <w:rFonts w:ascii="Verdana" w:hAnsi="Verdana"/>
          <w:sz w:val="20"/>
        </w:rPr>
        <w:t>10.</w:t>
      </w:r>
      <w:r w:rsidRPr="00A660EE">
        <w:rPr>
          <w:rFonts w:ascii="Verdana" w:hAnsi="Verdana"/>
          <w:sz w:val="20"/>
        </w:rPr>
        <w:tab/>
        <w:t xml:space="preserve">Requerir a la Secretaría que, de conformidad con lo dispuesto en el artículo 43.3 del Reglamento, remita a la Comisión Interamericana de Derechos Humanos, a los representantes de </w:t>
      </w:r>
      <w:r w:rsidRPr="00264339">
        <w:rPr>
          <w:rFonts w:ascii="Verdana" w:hAnsi="Verdana"/>
          <w:sz w:val="20"/>
        </w:rPr>
        <w:t xml:space="preserve">las presuntas víctimas y al Estado de Brasil una copia de la grabación de la audiencia pública </w:t>
      </w:r>
      <w:r w:rsidRPr="00834F06">
        <w:rPr>
          <w:rFonts w:ascii="Verdana" w:hAnsi="Verdana"/>
          <w:sz w:val="20"/>
        </w:rPr>
        <w:t>sobre las excepciones preliminares y eventuales fondo,</w:t>
      </w:r>
      <w:r w:rsidRPr="00264339">
        <w:rPr>
          <w:rFonts w:ascii="Verdana" w:hAnsi="Verdana"/>
          <w:sz w:val="20"/>
        </w:rPr>
        <w:t xml:space="preserve"> reparaciones y costas en el presente caso, al término de dicha audiencia o dentro de los 15 días siguientes a su celebración.</w:t>
      </w:r>
    </w:p>
    <w:p w:rsidR="00AE2056" w:rsidRPr="00264339" w:rsidRDefault="00AE2056" w:rsidP="00AE2056">
      <w:pPr>
        <w:spacing w:after="60"/>
        <w:jc w:val="both"/>
        <w:rPr>
          <w:rFonts w:ascii="Verdana" w:hAnsi="Verdana"/>
          <w:sz w:val="20"/>
        </w:rPr>
      </w:pPr>
    </w:p>
    <w:p w:rsidR="00AE2056" w:rsidRPr="00A660EE"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0"/>
        <w:jc w:val="both"/>
        <w:rPr>
          <w:rFonts w:ascii="Verdana" w:hAnsi="Verdana"/>
          <w:sz w:val="20"/>
        </w:rPr>
      </w:pPr>
      <w:r w:rsidRPr="00264339">
        <w:rPr>
          <w:rFonts w:ascii="Verdana" w:hAnsi="Verdana"/>
          <w:sz w:val="20"/>
        </w:rPr>
        <w:t>11.</w:t>
      </w:r>
      <w:r w:rsidRPr="00264339">
        <w:rPr>
          <w:rFonts w:ascii="Verdana" w:hAnsi="Verdana"/>
          <w:sz w:val="20"/>
        </w:rPr>
        <w:tab/>
        <w:t>Informar a la Comisión Interamericana de Derechos Humanos, a los representantes de las presuntas víctimas y al</w:t>
      </w:r>
      <w:r w:rsidRPr="00A660EE">
        <w:rPr>
          <w:rFonts w:ascii="Verdana" w:hAnsi="Verdana"/>
          <w:sz w:val="20"/>
        </w:rPr>
        <w:t xml:space="preserve"> Estado de Brasil que cuentan con un plazo hasta el </w:t>
      </w:r>
      <w:r w:rsidRPr="00F91F51">
        <w:rPr>
          <w:rFonts w:ascii="Verdana" w:hAnsi="Verdana"/>
          <w:sz w:val="20"/>
        </w:rPr>
        <w:t>25</w:t>
      </w:r>
      <w:r w:rsidRPr="00DC12C2">
        <w:rPr>
          <w:rFonts w:ascii="Verdana" w:hAnsi="Verdana"/>
          <w:sz w:val="20"/>
        </w:rPr>
        <w:t xml:space="preserve"> de </w:t>
      </w:r>
      <w:r w:rsidRPr="00F91F51">
        <w:rPr>
          <w:rFonts w:ascii="Verdana" w:hAnsi="Verdana"/>
          <w:sz w:val="20"/>
        </w:rPr>
        <w:t>febrero</w:t>
      </w:r>
      <w:r w:rsidRPr="00DC12C2">
        <w:rPr>
          <w:rFonts w:ascii="Verdana" w:hAnsi="Verdana"/>
          <w:sz w:val="20"/>
        </w:rPr>
        <w:t xml:space="preserve"> de 2009</w:t>
      </w:r>
      <w:r w:rsidRPr="00365481">
        <w:rPr>
          <w:rFonts w:ascii="Verdana" w:hAnsi="Verdana"/>
          <w:sz w:val="20"/>
        </w:rPr>
        <w:t xml:space="preserve"> </w:t>
      </w:r>
      <w:r w:rsidRPr="00A660EE">
        <w:rPr>
          <w:rFonts w:ascii="Verdana" w:hAnsi="Verdana"/>
          <w:sz w:val="20"/>
        </w:rPr>
        <w:t xml:space="preserve">para presentar sus alegatos finales escritos en relación con las </w:t>
      </w:r>
      <w:r w:rsidRPr="00834F06">
        <w:rPr>
          <w:rFonts w:ascii="Verdana" w:hAnsi="Verdana"/>
          <w:sz w:val="20"/>
        </w:rPr>
        <w:t>excepciones preliminares y eventuales fondo,</w:t>
      </w:r>
      <w:r w:rsidRPr="00A660EE">
        <w:rPr>
          <w:rFonts w:ascii="Verdana" w:hAnsi="Verdana"/>
          <w:sz w:val="20"/>
        </w:rPr>
        <w:t xml:space="preserve"> reparaciones y costas en este caso. Este plazo es improrrogable e independiente de la remisión de la copia de la grabación de la audiencia pública.</w:t>
      </w:r>
    </w:p>
    <w:p w:rsidR="00AE2056" w:rsidRPr="00A660EE" w:rsidRDefault="00AE2056" w:rsidP="00AE2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0"/>
        <w:jc w:val="both"/>
        <w:rPr>
          <w:rFonts w:ascii="Verdana" w:hAnsi="Verdana"/>
          <w:sz w:val="20"/>
        </w:rPr>
      </w:pPr>
    </w:p>
    <w:p w:rsidR="00AE2056" w:rsidRPr="00C067BE" w:rsidRDefault="00AE2056" w:rsidP="00AE2056">
      <w:pPr>
        <w:spacing w:after="60"/>
        <w:jc w:val="both"/>
        <w:rPr>
          <w:rFonts w:ascii="Verdana" w:hAnsi="Verdana"/>
          <w:sz w:val="20"/>
        </w:rPr>
      </w:pPr>
      <w:r w:rsidRPr="00B278E7">
        <w:rPr>
          <w:rFonts w:ascii="Verdana" w:hAnsi="Verdana"/>
          <w:sz w:val="20"/>
        </w:rPr>
        <w:t>12.</w:t>
      </w:r>
      <w:r w:rsidRPr="00B278E7">
        <w:rPr>
          <w:rFonts w:ascii="Verdana" w:hAnsi="Verdana"/>
          <w:sz w:val="20"/>
        </w:rPr>
        <w:tab/>
        <w:t xml:space="preserve">Requerir a la Secretaría del Tribunal que notifique la </w:t>
      </w:r>
      <w:r w:rsidRPr="00264339">
        <w:rPr>
          <w:rFonts w:ascii="Verdana" w:hAnsi="Verdana"/>
          <w:sz w:val="20"/>
        </w:rPr>
        <w:t>presente Resolución a la Comisión Interamericana de Derechos Humanos, a los representantes de las presuntas víctimas y al Estado de Brasil.</w:t>
      </w:r>
    </w:p>
    <w:p w:rsidR="00AE2056" w:rsidRDefault="00AE2056" w:rsidP="00AE2056">
      <w:pPr>
        <w:pStyle w:val="Textoindependiente"/>
        <w:spacing w:after="120"/>
      </w:pPr>
    </w:p>
    <w:p w:rsidR="00AE2056" w:rsidRPr="003B3296" w:rsidRDefault="00AE2056">
      <w:pPr>
        <w:rPr>
          <w:lang w:val="pt-BR"/>
        </w:rPr>
      </w:pPr>
    </w:p>
    <w:p w:rsidR="00AE2056" w:rsidRPr="00B5025F" w:rsidRDefault="00AE2056" w:rsidP="00AE2056">
      <w:pPr>
        <w:ind w:left="720"/>
        <w:jc w:val="center"/>
        <w:rPr>
          <w:rFonts w:ascii="Verdana" w:hAnsi="Verdana"/>
          <w:sz w:val="20"/>
        </w:rPr>
      </w:pPr>
      <w:r w:rsidRPr="00B5025F">
        <w:rPr>
          <w:rFonts w:ascii="Verdana" w:hAnsi="Verdana"/>
          <w:sz w:val="20"/>
        </w:rPr>
        <w:t xml:space="preserve">                                                                 Cecilia Medina Quiroga </w:t>
      </w:r>
    </w:p>
    <w:p w:rsidR="00AE2056" w:rsidRPr="00B5025F" w:rsidRDefault="00AE2056" w:rsidP="00AE2056">
      <w:pPr>
        <w:tabs>
          <w:tab w:val="left" w:pos="4860"/>
        </w:tabs>
        <w:ind w:left="720"/>
        <w:jc w:val="both"/>
        <w:rPr>
          <w:rFonts w:ascii="Verdana" w:hAnsi="Verdana"/>
          <w:sz w:val="20"/>
        </w:rPr>
      </w:pPr>
      <w:r w:rsidRPr="00B5025F">
        <w:rPr>
          <w:rFonts w:ascii="Verdana" w:hAnsi="Verdana"/>
          <w:sz w:val="20"/>
        </w:rPr>
        <w:t xml:space="preserve">                               </w:t>
      </w:r>
      <w:r w:rsidRPr="00B5025F">
        <w:rPr>
          <w:rFonts w:ascii="Verdana" w:hAnsi="Verdana"/>
          <w:sz w:val="20"/>
        </w:rPr>
        <w:tab/>
      </w:r>
      <w:r w:rsidRPr="00B5025F">
        <w:rPr>
          <w:rFonts w:ascii="Verdana" w:hAnsi="Verdana"/>
          <w:sz w:val="20"/>
        </w:rPr>
        <w:tab/>
      </w:r>
      <w:r w:rsidRPr="00B5025F">
        <w:rPr>
          <w:rFonts w:ascii="Verdana" w:hAnsi="Verdana"/>
          <w:sz w:val="20"/>
        </w:rPr>
        <w:tab/>
      </w:r>
      <w:r w:rsidRPr="00B5025F">
        <w:rPr>
          <w:rFonts w:ascii="Verdana" w:hAnsi="Verdana"/>
          <w:sz w:val="20"/>
        </w:rPr>
        <w:tab/>
        <w:t xml:space="preserve"> Presidenta</w:t>
      </w:r>
    </w:p>
    <w:p w:rsidR="00AE2056" w:rsidRPr="00B5025F" w:rsidRDefault="00AE2056" w:rsidP="00AE2056">
      <w:pPr>
        <w:jc w:val="both"/>
        <w:rPr>
          <w:rFonts w:ascii="Verdana" w:hAnsi="Verdana"/>
          <w:sz w:val="20"/>
        </w:rPr>
      </w:pPr>
    </w:p>
    <w:p w:rsidR="00AE2056" w:rsidRPr="00B5025F" w:rsidRDefault="00AE2056" w:rsidP="00AE2056">
      <w:pPr>
        <w:ind w:left="720"/>
        <w:jc w:val="both"/>
        <w:rPr>
          <w:rFonts w:ascii="Verdana" w:hAnsi="Verdana"/>
          <w:sz w:val="20"/>
        </w:rPr>
      </w:pPr>
    </w:p>
    <w:p w:rsidR="00AE2056" w:rsidRPr="00B5025F" w:rsidRDefault="00AE2056" w:rsidP="00AE2056">
      <w:pPr>
        <w:ind w:left="720"/>
        <w:jc w:val="both"/>
        <w:rPr>
          <w:rFonts w:ascii="Verdana" w:hAnsi="Verdana"/>
          <w:sz w:val="20"/>
        </w:rPr>
      </w:pPr>
    </w:p>
    <w:p w:rsidR="00AE2056" w:rsidRPr="00B5025F" w:rsidRDefault="00AE2056" w:rsidP="00AE2056">
      <w:pPr>
        <w:ind w:left="720"/>
        <w:jc w:val="both"/>
        <w:rPr>
          <w:rFonts w:ascii="Verdana" w:hAnsi="Verdana"/>
          <w:sz w:val="20"/>
        </w:rPr>
      </w:pPr>
    </w:p>
    <w:p w:rsidR="00AE2056" w:rsidRPr="00B5025F" w:rsidRDefault="00AE2056" w:rsidP="00AE2056">
      <w:pPr>
        <w:ind w:left="720"/>
        <w:jc w:val="both"/>
        <w:rPr>
          <w:rFonts w:ascii="Verdana" w:hAnsi="Verdana"/>
          <w:sz w:val="20"/>
        </w:rPr>
      </w:pPr>
      <w:r w:rsidRPr="00B5025F">
        <w:rPr>
          <w:rFonts w:ascii="Verdana" w:hAnsi="Verdana"/>
          <w:sz w:val="20"/>
        </w:rPr>
        <w:t>Pablo Saavedra Alessandri</w:t>
      </w:r>
    </w:p>
    <w:p w:rsidR="00AE2056" w:rsidRPr="001A7F5C" w:rsidRDefault="00AE2056" w:rsidP="00AE2056">
      <w:pPr>
        <w:ind w:left="720"/>
        <w:rPr>
          <w:rFonts w:ascii="Verdana" w:hAnsi="Verdana"/>
          <w:sz w:val="20"/>
        </w:rPr>
      </w:pPr>
      <w:r>
        <w:rPr>
          <w:rFonts w:ascii="Verdana" w:hAnsi="Verdana"/>
          <w:sz w:val="20"/>
        </w:rPr>
        <w:tab/>
        <w:t>Secretario</w:t>
      </w:r>
    </w:p>
    <w:p w:rsidR="00AE2056" w:rsidRPr="00B5025F" w:rsidRDefault="00AE2056" w:rsidP="00AE2056">
      <w:pPr>
        <w:jc w:val="center"/>
        <w:rPr>
          <w:rFonts w:ascii="Verdana" w:hAnsi="Verdana"/>
          <w:sz w:val="20"/>
        </w:rPr>
      </w:pPr>
    </w:p>
    <w:p w:rsidR="00AE2056" w:rsidRPr="00B5025F" w:rsidRDefault="00AE2056" w:rsidP="00AE2056">
      <w:pPr>
        <w:jc w:val="both"/>
        <w:rPr>
          <w:rFonts w:ascii="Verdana" w:hAnsi="Verdana"/>
          <w:sz w:val="20"/>
        </w:rPr>
      </w:pPr>
    </w:p>
    <w:p w:rsidR="00AE2056" w:rsidRPr="00B5025F" w:rsidRDefault="00AE2056" w:rsidP="00AE2056">
      <w:pPr>
        <w:jc w:val="both"/>
        <w:rPr>
          <w:rFonts w:ascii="Verdana" w:hAnsi="Verdana"/>
          <w:sz w:val="20"/>
        </w:rPr>
      </w:pPr>
    </w:p>
    <w:p w:rsidR="00AE2056" w:rsidRPr="00B5025F" w:rsidRDefault="00AE2056" w:rsidP="00AE2056">
      <w:pPr>
        <w:jc w:val="both"/>
        <w:rPr>
          <w:rFonts w:ascii="Verdana" w:hAnsi="Verdana"/>
          <w:sz w:val="20"/>
        </w:rPr>
      </w:pPr>
      <w:r w:rsidRPr="00B5025F">
        <w:rPr>
          <w:rFonts w:ascii="Verdana" w:hAnsi="Verdana"/>
          <w:sz w:val="20"/>
        </w:rPr>
        <w:t>Comuníquese y ejecútese,</w:t>
      </w:r>
    </w:p>
    <w:p w:rsidR="00AE2056" w:rsidRPr="00B5025F" w:rsidRDefault="00AE2056" w:rsidP="00AE2056">
      <w:pPr>
        <w:jc w:val="both"/>
        <w:rPr>
          <w:rFonts w:ascii="Verdana" w:hAnsi="Verdana"/>
          <w:sz w:val="20"/>
        </w:rPr>
      </w:pPr>
    </w:p>
    <w:p w:rsidR="00AE2056" w:rsidRPr="00B5025F" w:rsidRDefault="00AE2056" w:rsidP="00AE2056">
      <w:pPr>
        <w:ind w:left="720"/>
        <w:jc w:val="both"/>
        <w:rPr>
          <w:rFonts w:ascii="Verdana" w:hAnsi="Verdana"/>
          <w:sz w:val="20"/>
        </w:rPr>
      </w:pPr>
      <w:r w:rsidRPr="00B5025F">
        <w:rPr>
          <w:rFonts w:ascii="Verdana" w:hAnsi="Verdana"/>
          <w:sz w:val="20"/>
        </w:rPr>
        <w:t xml:space="preserve">                                                                                  </w:t>
      </w:r>
    </w:p>
    <w:p w:rsidR="00AE2056" w:rsidRPr="00B5025F" w:rsidRDefault="00AE2056" w:rsidP="00AE2056">
      <w:pPr>
        <w:ind w:left="720"/>
        <w:jc w:val="center"/>
        <w:rPr>
          <w:rFonts w:ascii="Verdana" w:hAnsi="Verdana"/>
          <w:sz w:val="20"/>
        </w:rPr>
      </w:pPr>
      <w:r w:rsidRPr="00B5025F">
        <w:rPr>
          <w:rFonts w:ascii="Verdana" w:hAnsi="Verdana"/>
          <w:sz w:val="20"/>
        </w:rPr>
        <w:t xml:space="preserve"> </w:t>
      </w:r>
      <w:r w:rsidRPr="00B5025F">
        <w:rPr>
          <w:rFonts w:ascii="Verdana" w:hAnsi="Verdana"/>
          <w:sz w:val="20"/>
        </w:rPr>
        <w:tab/>
      </w:r>
      <w:r w:rsidRPr="00B5025F">
        <w:rPr>
          <w:rFonts w:ascii="Verdana" w:hAnsi="Verdana"/>
          <w:sz w:val="20"/>
        </w:rPr>
        <w:tab/>
      </w:r>
      <w:r w:rsidRPr="00B5025F">
        <w:rPr>
          <w:rFonts w:ascii="Verdana" w:hAnsi="Verdana"/>
          <w:sz w:val="20"/>
        </w:rPr>
        <w:tab/>
      </w:r>
      <w:r w:rsidRPr="00B5025F">
        <w:rPr>
          <w:rFonts w:ascii="Verdana" w:hAnsi="Verdana"/>
          <w:sz w:val="20"/>
        </w:rPr>
        <w:tab/>
      </w:r>
      <w:r w:rsidRPr="00B5025F">
        <w:rPr>
          <w:rFonts w:ascii="Verdana" w:hAnsi="Verdana"/>
          <w:sz w:val="20"/>
        </w:rPr>
        <w:tab/>
      </w:r>
      <w:r w:rsidRPr="00B5025F">
        <w:rPr>
          <w:rFonts w:ascii="Verdana" w:hAnsi="Verdana"/>
          <w:sz w:val="20"/>
        </w:rPr>
        <w:tab/>
      </w:r>
      <w:r w:rsidRPr="00B5025F">
        <w:rPr>
          <w:rFonts w:ascii="Verdana" w:hAnsi="Verdana"/>
          <w:sz w:val="20"/>
        </w:rPr>
        <w:tab/>
        <w:t xml:space="preserve">Cecilia Medina Quiroga </w:t>
      </w:r>
    </w:p>
    <w:p w:rsidR="00AE2056" w:rsidRPr="00B5025F" w:rsidRDefault="00AE2056" w:rsidP="00AE2056">
      <w:pPr>
        <w:tabs>
          <w:tab w:val="left" w:pos="4860"/>
        </w:tabs>
        <w:ind w:left="720"/>
        <w:jc w:val="both"/>
        <w:rPr>
          <w:rFonts w:ascii="Verdana" w:hAnsi="Verdana"/>
          <w:sz w:val="20"/>
        </w:rPr>
      </w:pPr>
      <w:r w:rsidRPr="00B5025F">
        <w:rPr>
          <w:rFonts w:ascii="Verdana" w:hAnsi="Verdana"/>
          <w:sz w:val="20"/>
        </w:rPr>
        <w:t xml:space="preserve">                               </w:t>
      </w:r>
      <w:r w:rsidRPr="00B5025F">
        <w:rPr>
          <w:rFonts w:ascii="Verdana" w:hAnsi="Verdana"/>
          <w:sz w:val="20"/>
        </w:rPr>
        <w:tab/>
      </w:r>
      <w:r w:rsidRPr="00B5025F">
        <w:rPr>
          <w:rFonts w:ascii="Verdana" w:hAnsi="Verdana"/>
          <w:sz w:val="20"/>
        </w:rPr>
        <w:tab/>
      </w:r>
      <w:r w:rsidRPr="00B5025F">
        <w:rPr>
          <w:rFonts w:ascii="Verdana" w:hAnsi="Verdana"/>
          <w:sz w:val="20"/>
        </w:rPr>
        <w:tab/>
      </w:r>
      <w:r w:rsidRPr="00B5025F">
        <w:rPr>
          <w:rFonts w:ascii="Verdana" w:hAnsi="Verdana"/>
          <w:sz w:val="20"/>
        </w:rPr>
        <w:tab/>
        <w:t>Presidenta</w:t>
      </w:r>
    </w:p>
    <w:p w:rsidR="00AE2056" w:rsidRPr="00B5025F" w:rsidRDefault="00AE2056" w:rsidP="00AE2056">
      <w:pPr>
        <w:ind w:left="720"/>
        <w:jc w:val="both"/>
        <w:rPr>
          <w:rFonts w:ascii="Verdana" w:hAnsi="Verdana"/>
          <w:sz w:val="20"/>
        </w:rPr>
      </w:pPr>
    </w:p>
    <w:p w:rsidR="00AE2056" w:rsidRPr="00B5025F" w:rsidRDefault="00AE2056" w:rsidP="00AE2056">
      <w:pPr>
        <w:ind w:left="720"/>
        <w:jc w:val="both"/>
        <w:rPr>
          <w:rFonts w:ascii="Verdana" w:hAnsi="Verdana"/>
          <w:sz w:val="20"/>
        </w:rPr>
      </w:pPr>
    </w:p>
    <w:p w:rsidR="00AE2056" w:rsidRPr="00B5025F" w:rsidRDefault="00AE2056" w:rsidP="00AE2056">
      <w:pPr>
        <w:ind w:left="720"/>
        <w:jc w:val="both"/>
        <w:rPr>
          <w:rFonts w:ascii="Verdana" w:hAnsi="Verdana"/>
          <w:sz w:val="20"/>
        </w:rPr>
      </w:pPr>
    </w:p>
    <w:p w:rsidR="00AE2056" w:rsidRPr="00B5025F" w:rsidRDefault="00AE2056" w:rsidP="00AE2056">
      <w:pPr>
        <w:ind w:left="720"/>
        <w:jc w:val="both"/>
        <w:rPr>
          <w:rFonts w:ascii="Verdana" w:hAnsi="Verdana"/>
          <w:sz w:val="20"/>
        </w:rPr>
      </w:pPr>
      <w:bookmarkStart w:id="0" w:name="_GoBack"/>
      <w:bookmarkEnd w:id="0"/>
      <w:r w:rsidRPr="00B5025F">
        <w:rPr>
          <w:rFonts w:ascii="Verdana" w:hAnsi="Verdana"/>
          <w:sz w:val="20"/>
        </w:rPr>
        <w:t>Pablo Saavedra Alessandri</w:t>
      </w:r>
    </w:p>
    <w:p w:rsidR="00AE2056" w:rsidRPr="001A7F5C" w:rsidRDefault="00AE2056" w:rsidP="00AE2056">
      <w:pPr>
        <w:ind w:left="720"/>
        <w:rPr>
          <w:rFonts w:ascii="Verdana" w:hAnsi="Verdana"/>
          <w:sz w:val="20"/>
        </w:rPr>
      </w:pPr>
      <w:r>
        <w:rPr>
          <w:rFonts w:ascii="Verdana" w:hAnsi="Verdana"/>
          <w:sz w:val="20"/>
        </w:rPr>
        <w:tab/>
        <w:t>Secretario</w:t>
      </w:r>
    </w:p>
    <w:p w:rsidR="00AE2056" w:rsidRPr="003B3296" w:rsidRDefault="00AE2056">
      <w:pPr>
        <w:rPr>
          <w:lang w:val="pt-BR"/>
        </w:rPr>
      </w:pPr>
    </w:p>
    <w:p w:rsidR="00AE2056" w:rsidRDefault="00AE2056" w:rsidP="00AE2056">
      <w:pPr>
        <w:pStyle w:val="Textoindependiente"/>
        <w:spacing w:after="120"/>
      </w:pPr>
    </w:p>
    <w:sectPr w:rsidR="00AE2056" w:rsidSect="00AE2056">
      <w:headerReference w:type="even" r:id="rId7"/>
      <w:headerReference w:type="default" r:id="rId8"/>
      <w:pgSz w:w="12240" w:h="15840"/>
      <w:pgMar w:top="1440" w:right="1800" w:bottom="216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430" w:rsidRDefault="00F07430">
      <w:r>
        <w:separator/>
      </w:r>
    </w:p>
  </w:endnote>
  <w:endnote w:type="continuationSeparator" w:id="0">
    <w:p w:rsidR="00F07430" w:rsidRDefault="00F0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Bold">
    <w:altName w:val="Verdana"/>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430" w:rsidRDefault="00F07430">
      <w:r>
        <w:separator/>
      </w:r>
    </w:p>
  </w:footnote>
  <w:footnote w:type="continuationSeparator" w:id="0">
    <w:p w:rsidR="00F07430" w:rsidRDefault="00F07430">
      <w:r>
        <w:continuationSeparator/>
      </w:r>
    </w:p>
  </w:footnote>
  <w:footnote w:id="1">
    <w:p w:rsidR="00AE2056" w:rsidRPr="00FA5699" w:rsidRDefault="00AE2056" w:rsidP="00AE2056">
      <w:pPr>
        <w:jc w:val="both"/>
        <w:rPr>
          <w:rFonts w:ascii="Verdana" w:hAnsi="Verdana"/>
          <w:b/>
          <w:sz w:val="16"/>
        </w:rPr>
      </w:pPr>
      <w:r w:rsidRPr="00DC12C2">
        <w:rPr>
          <w:rStyle w:val="Refdenotaalpie"/>
          <w:rFonts w:ascii="Verdana" w:hAnsi="Verdana"/>
          <w:sz w:val="16"/>
        </w:rPr>
        <w:footnoteRef/>
      </w:r>
      <w:r w:rsidRPr="00DC12C2">
        <w:rPr>
          <w:rFonts w:ascii="Verdana" w:hAnsi="Verdana"/>
          <w:sz w:val="16"/>
        </w:rPr>
        <w:t xml:space="preserve"> </w:t>
      </w:r>
      <w:r w:rsidRPr="00DC12C2">
        <w:rPr>
          <w:rFonts w:ascii="Verdana" w:hAnsi="Verdana"/>
          <w:sz w:val="16"/>
        </w:rPr>
        <w:tab/>
      </w:r>
      <w:r w:rsidRPr="00DC12C2">
        <w:rPr>
          <w:rFonts w:ascii="Verdana" w:hAnsi="Verdana"/>
          <w:i/>
          <w:sz w:val="16"/>
        </w:rPr>
        <w:t>Cfr.</w:t>
      </w:r>
      <w:r w:rsidRPr="00FA5699">
        <w:rPr>
          <w:rFonts w:ascii="Verdana" w:hAnsi="Verdana"/>
          <w:b/>
          <w:sz w:val="16"/>
        </w:rPr>
        <w:t xml:space="preserve"> </w:t>
      </w:r>
      <w:r w:rsidRPr="00DC12C2">
        <w:rPr>
          <w:rFonts w:ascii="Verdana" w:hAnsi="Verdana"/>
          <w:i/>
          <w:sz w:val="16"/>
        </w:rPr>
        <w:t>Caso de la “Masacre de la Rochela” vs. Colombia</w:t>
      </w:r>
      <w:r w:rsidRPr="00DC12C2">
        <w:rPr>
          <w:rFonts w:ascii="Verdana" w:hAnsi="Verdana"/>
          <w:sz w:val="16"/>
        </w:rPr>
        <w:t xml:space="preserve">. Resolución del Presidente de la Corte Interamericana de Derechos Humanos de 22 de diciembre de 2006, Considerando vigésimo tercero; </w:t>
      </w:r>
      <w:r w:rsidRPr="00DC12C2">
        <w:rPr>
          <w:rFonts w:ascii="Verdana" w:hAnsi="Verdana"/>
          <w:i/>
          <w:sz w:val="16"/>
        </w:rPr>
        <w:t xml:space="preserve">Caso </w:t>
      </w:r>
      <w:proofErr w:type="spellStart"/>
      <w:r w:rsidRPr="00DC12C2">
        <w:rPr>
          <w:rFonts w:ascii="Verdana" w:hAnsi="Verdana"/>
          <w:i/>
          <w:sz w:val="16"/>
        </w:rPr>
        <w:t>Escher</w:t>
      </w:r>
      <w:proofErr w:type="spellEnd"/>
      <w:r w:rsidRPr="00DC12C2">
        <w:rPr>
          <w:rFonts w:ascii="Verdana" w:hAnsi="Verdana"/>
          <w:i/>
          <w:sz w:val="16"/>
        </w:rPr>
        <w:t xml:space="preserve"> y otros vs. Brasil</w:t>
      </w:r>
      <w:r w:rsidRPr="00DC12C2">
        <w:rPr>
          <w:rFonts w:ascii="Verdana" w:hAnsi="Verdana"/>
          <w:sz w:val="16"/>
        </w:rPr>
        <w:t xml:space="preserve">. Resolución de la Presidenta de la Corte Interamericana de Derechos Humanos de 8 de octubre de 2008, Considerando noveno; y </w:t>
      </w:r>
      <w:r w:rsidRPr="00DC12C2">
        <w:rPr>
          <w:rFonts w:ascii="Verdana" w:hAnsi="Verdana"/>
          <w:i/>
          <w:sz w:val="16"/>
        </w:rPr>
        <w:t>Caso Tristán Donoso vs. Panamá</w:t>
      </w:r>
      <w:r w:rsidRPr="00DC12C2">
        <w:rPr>
          <w:rFonts w:ascii="Verdana" w:hAnsi="Verdana"/>
          <w:sz w:val="16"/>
        </w:rPr>
        <w:t xml:space="preserve">. Resolución de la Presidenta de la Corte Interamericana de Derechos Humanos de 9 de junio de 2008, Considerando octavo. </w:t>
      </w:r>
    </w:p>
    <w:p w:rsidR="00AE2056" w:rsidRPr="00FA5699" w:rsidRDefault="00AE2056" w:rsidP="00AE2056">
      <w:pPr>
        <w:jc w:val="both"/>
        <w:rPr>
          <w:rFonts w:ascii="Verdana" w:hAnsi="Verdana"/>
          <w:b/>
          <w:sz w:val="16"/>
        </w:rPr>
      </w:pPr>
    </w:p>
  </w:footnote>
  <w:footnote w:id="2">
    <w:p w:rsidR="00AE2056" w:rsidRPr="00DC12C2" w:rsidRDefault="00AE2056" w:rsidP="00AE2056">
      <w:pPr>
        <w:jc w:val="both"/>
        <w:rPr>
          <w:rFonts w:ascii="Verdana" w:hAnsi="Verdana"/>
          <w:sz w:val="16"/>
        </w:rPr>
      </w:pPr>
      <w:r w:rsidRPr="00DC12C2">
        <w:rPr>
          <w:rStyle w:val="Refdenotaalpie"/>
          <w:sz w:val="16"/>
        </w:rPr>
        <w:footnoteRef/>
      </w:r>
      <w:r w:rsidRPr="00DC12C2">
        <w:rPr>
          <w:rFonts w:ascii="Verdana" w:hAnsi="Verdana"/>
          <w:sz w:val="16"/>
        </w:rPr>
        <w:t xml:space="preserve"> </w:t>
      </w:r>
      <w:r w:rsidRPr="00DC12C2">
        <w:rPr>
          <w:rFonts w:ascii="Verdana" w:hAnsi="Verdana"/>
          <w:sz w:val="16"/>
        </w:rPr>
        <w:tab/>
      </w:r>
      <w:r w:rsidRPr="00DC12C2">
        <w:rPr>
          <w:rFonts w:ascii="Verdana" w:hAnsi="Verdana"/>
          <w:i/>
          <w:sz w:val="16"/>
        </w:rPr>
        <w:t>Cfr.</w:t>
      </w:r>
      <w:r w:rsidRPr="00DC12C2">
        <w:rPr>
          <w:rFonts w:ascii="Verdana" w:hAnsi="Verdana"/>
          <w:sz w:val="16"/>
        </w:rPr>
        <w:t xml:space="preserve"> </w:t>
      </w:r>
      <w:r w:rsidRPr="00DC12C2">
        <w:rPr>
          <w:rFonts w:ascii="Verdana" w:hAnsi="Verdana"/>
          <w:i/>
          <w:sz w:val="16"/>
        </w:rPr>
        <w:t>Caso de la “Masacre de la Rochela”, supra</w:t>
      </w:r>
      <w:r w:rsidRPr="00DC12C2">
        <w:rPr>
          <w:rFonts w:ascii="Verdana" w:hAnsi="Verdana"/>
          <w:sz w:val="16"/>
        </w:rPr>
        <w:t xml:space="preserve"> nota 1, Considerando décimo tercero; </w:t>
      </w:r>
      <w:r w:rsidRPr="00DC12C2">
        <w:rPr>
          <w:rFonts w:ascii="Verdana" w:hAnsi="Verdana"/>
          <w:i/>
          <w:sz w:val="16"/>
        </w:rPr>
        <w:t xml:space="preserve">Caso </w:t>
      </w:r>
      <w:proofErr w:type="spellStart"/>
      <w:r w:rsidRPr="00DC12C2">
        <w:rPr>
          <w:rFonts w:ascii="Verdana" w:hAnsi="Verdana"/>
          <w:i/>
          <w:sz w:val="16"/>
        </w:rPr>
        <w:t>Escher</w:t>
      </w:r>
      <w:proofErr w:type="spellEnd"/>
      <w:r w:rsidRPr="00DC12C2">
        <w:rPr>
          <w:rFonts w:ascii="Verdana" w:hAnsi="Verdana"/>
          <w:i/>
          <w:sz w:val="16"/>
        </w:rPr>
        <w:t xml:space="preserve"> y otros, supra</w:t>
      </w:r>
      <w:r w:rsidRPr="00DC12C2">
        <w:rPr>
          <w:rFonts w:ascii="Verdana" w:hAnsi="Verdana"/>
          <w:sz w:val="16"/>
        </w:rPr>
        <w:t xml:space="preserve"> nota 1, Considerando décimo primero; y </w:t>
      </w:r>
      <w:r w:rsidRPr="00DC12C2">
        <w:rPr>
          <w:rFonts w:ascii="Verdana" w:hAnsi="Verdana"/>
          <w:i/>
          <w:sz w:val="16"/>
        </w:rPr>
        <w:t xml:space="preserve">Caso </w:t>
      </w:r>
      <w:proofErr w:type="spellStart"/>
      <w:r w:rsidRPr="00DC12C2">
        <w:rPr>
          <w:rFonts w:ascii="Verdana" w:hAnsi="Verdana"/>
          <w:i/>
          <w:sz w:val="16"/>
        </w:rPr>
        <w:t>Kawas</w:t>
      </w:r>
      <w:proofErr w:type="spellEnd"/>
      <w:r w:rsidRPr="00DC12C2">
        <w:rPr>
          <w:rFonts w:ascii="Verdana" w:hAnsi="Verdana"/>
          <w:i/>
          <w:sz w:val="16"/>
        </w:rPr>
        <w:t xml:space="preserve"> Fernández vs. Honduras</w:t>
      </w:r>
      <w:r w:rsidRPr="00DC12C2">
        <w:rPr>
          <w:rFonts w:ascii="Verdana" w:hAnsi="Verdana"/>
          <w:sz w:val="16"/>
        </w:rPr>
        <w:t>. Resolución de la Presidenta de la Corte Interamericana de Derechos Humanos de 7 de octubre de 2008, Considerando décimo quinto.</w:t>
      </w:r>
    </w:p>
    <w:p w:rsidR="00AE2056" w:rsidRPr="00DC12C2" w:rsidRDefault="00AE2056">
      <w:pPr>
        <w:pStyle w:val="Textonotapie"/>
        <w:rPr>
          <w:rFonts w:ascii="Verdana" w:hAnsi="Verdana"/>
          <w:sz w:val="16"/>
        </w:rPr>
      </w:pPr>
    </w:p>
  </w:footnote>
  <w:footnote w:id="3">
    <w:p w:rsidR="00AE2056" w:rsidRPr="00DC12C2" w:rsidRDefault="00AE2056" w:rsidP="00AE2056">
      <w:pPr>
        <w:tabs>
          <w:tab w:val="left" w:pos="180"/>
        </w:tabs>
        <w:jc w:val="both"/>
        <w:rPr>
          <w:rFonts w:ascii="Verdana" w:hAnsi="Verdana"/>
          <w:sz w:val="16"/>
        </w:rPr>
      </w:pPr>
      <w:r w:rsidRPr="00DC12C2">
        <w:rPr>
          <w:rStyle w:val="Refdenotaalpie"/>
          <w:sz w:val="16"/>
        </w:rPr>
        <w:footnoteRef/>
      </w:r>
      <w:r w:rsidRPr="00DC12C2">
        <w:rPr>
          <w:rFonts w:ascii="Verdana" w:hAnsi="Verdana"/>
          <w:sz w:val="16"/>
        </w:rPr>
        <w:t xml:space="preserve"> </w:t>
      </w:r>
      <w:r w:rsidRPr="00DC12C2">
        <w:rPr>
          <w:rFonts w:ascii="Verdana" w:hAnsi="Verdana"/>
          <w:sz w:val="16"/>
        </w:rPr>
        <w:tab/>
      </w:r>
      <w:r w:rsidRPr="00DC12C2">
        <w:rPr>
          <w:rFonts w:ascii="Verdana" w:hAnsi="Verdana"/>
          <w:sz w:val="16"/>
        </w:rPr>
        <w:tab/>
      </w:r>
      <w:r w:rsidRPr="00DC12C2">
        <w:rPr>
          <w:rFonts w:ascii="Verdana" w:hAnsi="Verdana"/>
          <w:i/>
          <w:sz w:val="16"/>
        </w:rPr>
        <w:t>Cfr.</w:t>
      </w:r>
      <w:r w:rsidRPr="00DC12C2">
        <w:rPr>
          <w:rFonts w:ascii="Verdana" w:hAnsi="Verdana"/>
          <w:sz w:val="16"/>
        </w:rPr>
        <w:t xml:space="preserve"> </w:t>
      </w:r>
      <w:r w:rsidRPr="00DC12C2">
        <w:rPr>
          <w:rFonts w:ascii="Verdana" w:hAnsi="Verdana"/>
          <w:i/>
          <w:sz w:val="16"/>
        </w:rPr>
        <w:t>Caso Tibi  vs. Ecuador</w:t>
      </w:r>
      <w:r w:rsidRPr="00DC12C2">
        <w:rPr>
          <w:rFonts w:ascii="Verdana" w:hAnsi="Verdana"/>
          <w:sz w:val="16"/>
        </w:rPr>
        <w:t xml:space="preserve">. Resolución del Presidente de la Corte Interamericana de Derechos Humanos de 10 de junio de 2004, Considerandos cuarto y quinto; </w:t>
      </w:r>
      <w:r w:rsidRPr="00DC12C2">
        <w:rPr>
          <w:rFonts w:ascii="Verdana" w:hAnsi="Verdana"/>
          <w:i/>
          <w:sz w:val="16"/>
        </w:rPr>
        <w:t xml:space="preserve">Caso </w:t>
      </w:r>
      <w:proofErr w:type="spellStart"/>
      <w:r w:rsidRPr="00DC12C2">
        <w:rPr>
          <w:rFonts w:ascii="Verdana" w:hAnsi="Verdana"/>
          <w:i/>
          <w:sz w:val="16"/>
        </w:rPr>
        <w:t>Escher</w:t>
      </w:r>
      <w:proofErr w:type="spellEnd"/>
      <w:r w:rsidRPr="00DC12C2">
        <w:rPr>
          <w:rFonts w:ascii="Verdana" w:hAnsi="Verdana"/>
          <w:i/>
          <w:sz w:val="16"/>
        </w:rPr>
        <w:t xml:space="preserve"> y otros, supra</w:t>
      </w:r>
      <w:r w:rsidRPr="00DC12C2">
        <w:rPr>
          <w:rFonts w:ascii="Verdana" w:hAnsi="Verdana"/>
          <w:sz w:val="16"/>
        </w:rPr>
        <w:t xml:space="preserve"> nota 1, Considerando décimo sexto; y </w:t>
      </w:r>
      <w:r w:rsidRPr="00DC12C2">
        <w:rPr>
          <w:rFonts w:ascii="Verdana" w:hAnsi="Verdana"/>
          <w:i/>
          <w:sz w:val="16"/>
        </w:rPr>
        <w:t xml:space="preserve">Caso </w:t>
      </w:r>
      <w:proofErr w:type="spellStart"/>
      <w:r w:rsidRPr="00DC12C2">
        <w:rPr>
          <w:rFonts w:ascii="Verdana" w:hAnsi="Verdana"/>
          <w:i/>
          <w:sz w:val="16"/>
        </w:rPr>
        <w:t>Kawas</w:t>
      </w:r>
      <w:proofErr w:type="spellEnd"/>
      <w:r w:rsidRPr="00DC12C2">
        <w:rPr>
          <w:rFonts w:ascii="Verdana" w:hAnsi="Verdana"/>
          <w:i/>
          <w:sz w:val="16"/>
        </w:rPr>
        <w:t xml:space="preserve"> Fernández, supra </w:t>
      </w:r>
      <w:r w:rsidRPr="00DC12C2">
        <w:rPr>
          <w:rFonts w:ascii="Verdana" w:hAnsi="Verdana"/>
          <w:sz w:val="16"/>
        </w:rPr>
        <w:t xml:space="preserve">nota 2, Considerando séptimo. </w:t>
      </w:r>
    </w:p>
    <w:p w:rsidR="00AE2056" w:rsidRPr="00DC12C2" w:rsidRDefault="00AE2056">
      <w:pPr>
        <w:pStyle w:val="Textonotapie"/>
        <w:rPr>
          <w:rFonts w:ascii="Verdana" w:hAnsi="Verdana"/>
          <w:sz w:val="16"/>
        </w:rPr>
      </w:pPr>
    </w:p>
  </w:footnote>
  <w:footnote w:id="4">
    <w:p w:rsidR="00AE2056" w:rsidRPr="00DC12C2" w:rsidRDefault="00AE2056" w:rsidP="00AE2056">
      <w:pPr>
        <w:jc w:val="both"/>
        <w:rPr>
          <w:rFonts w:ascii="Verdana" w:hAnsi="Verdana"/>
          <w:sz w:val="16"/>
        </w:rPr>
      </w:pPr>
      <w:r w:rsidRPr="00DC12C2">
        <w:rPr>
          <w:rStyle w:val="Refdenotaalpie"/>
          <w:sz w:val="16"/>
        </w:rPr>
        <w:footnoteRef/>
      </w:r>
      <w:r w:rsidRPr="00DC12C2">
        <w:rPr>
          <w:rFonts w:ascii="Verdana" w:hAnsi="Verdana"/>
          <w:sz w:val="16"/>
        </w:rPr>
        <w:t xml:space="preserve"> </w:t>
      </w:r>
      <w:r w:rsidRPr="00DC12C2">
        <w:rPr>
          <w:rFonts w:ascii="Verdana" w:hAnsi="Verdana"/>
          <w:sz w:val="16"/>
        </w:rPr>
        <w:tab/>
      </w:r>
      <w:r w:rsidRPr="00DC12C2">
        <w:rPr>
          <w:rFonts w:ascii="Verdana" w:hAnsi="Verdana"/>
          <w:i/>
          <w:sz w:val="16"/>
        </w:rPr>
        <w:t>Cfr.</w:t>
      </w:r>
      <w:r w:rsidRPr="00DC12C2">
        <w:rPr>
          <w:rFonts w:ascii="Verdana" w:hAnsi="Verdana"/>
          <w:sz w:val="16"/>
        </w:rPr>
        <w:t xml:space="preserve"> </w:t>
      </w:r>
      <w:r w:rsidRPr="00DC12C2">
        <w:rPr>
          <w:rFonts w:ascii="Verdana" w:hAnsi="Verdana"/>
          <w:i/>
          <w:sz w:val="16"/>
        </w:rPr>
        <w:t xml:space="preserve">Caso </w:t>
      </w:r>
      <w:proofErr w:type="spellStart"/>
      <w:r w:rsidRPr="00DC12C2">
        <w:rPr>
          <w:rFonts w:ascii="Verdana" w:hAnsi="Verdana"/>
          <w:i/>
          <w:sz w:val="16"/>
        </w:rPr>
        <w:t>Yatama</w:t>
      </w:r>
      <w:proofErr w:type="spellEnd"/>
      <w:r w:rsidRPr="00DC12C2">
        <w:rPr>
          <w:rFonts w:ascii="Verdana" w:hAnsi="Verdana"/>
          <w:i/>
          <w:sz w:val="16"/>
        </w:rPr>
        <w:t xml:space="preserve"> vs. Nicaragua</w:t>
      </w:r>
      <w:r w:rsidRPr="00DC12C2">
        <w:rPr>
          <w:rFonts w:ascii="Verdana" w:hAnsi="Verdana"/>
          <w:sz w:val="16"/>
        </w:rPr>
        <w:t xml:space="preserve">. Resolución del Presidente de la Corte Interamericana de Derechos Humanos de 29 de enero de 2005, Considerando vigésimo segundo; </w:t>
      </w:r>
      <w:r w:rsidRPr="00DC12C2">
        <w:rPr>
          <w:rFonts w:ascii="Verdana" w:hAnsi="Verdana"/>
          <w:i/>
          <w:sz w:val="16"/>
        </w:rPr>
        <w:t xml:space="preserve">Caso </w:t>
      </w:r>
      <w:proofErr w:type="spellStart"/>
      <w:r w:rsidRPr="00DC12C2">
        <w:rPr>
          <w:rFonts w:ascii="Verdana" w:hAnsi="Verdana"/>
          <w:i/>
          <w:sz w:val="16"/>
        </w:rPr>
        <w:t>Escher</w:t>
      </w:r>
      <w:proofErr w:type="spellEnd"/>
      <w:r w:rsidRPr="00DC12C2">
        <w:rPr>
          <w:rFonts w:ascii="Verdana" w:hAnsi="Verdana"/>
          <w:i/>
          <w:sz w:val="16"/>
        </w:rPr>
        <w:t xml:space="preserve"> y otros, supra</w:t>
      </w:r>
      <w:r w:rsidRPr="00DC12C2">
        <w:rPr>
          <w:rFonts w:ascii="Verdana" w:hAnsi="Verdana"/>
          <w:sz w:val="16"/>
        </w:rPr>
        <w:t xml:space="preserve"> nota 1, Considerando décimo séptimo; y </w:t>
      </w:r>
      <w:r w:rsidRPr="00DC12C2">
        <w:rPr>
          <w:rFonts w:ascii="Verdana" w:hAnsi="Verdana"/>
          <w:i/>
          <w:sz w:val="16"/>
        </w:rPr>
        <w:t xml:space="preserve">Caso </w:t>
      </w:r>
      <w:proofErr w:type="spellStart"/>
      <w:r w:rsidRPr="00DC12C2">
        <w:rPr>
          <w:rFonts w:ascii="Verdana" w:hAnsi="Verdana"/>
          <w:i/>
          <w:sz w:val="16"/>
        </w:rPr>
        <w:t>Kawas</w:t>
      </w:r>
      <w:proofErr w:type="spellEnd"/>
      <w:r w:rsidRPr="00DC12C2">
        <w:rPr>
          <w:rFonts w:ascii="Verdana" w:hAnsi="Verdana"/>
          <w:i/>
          <w:sz w:val="16"/>
        </w:rPr>
        <w:t xml:space="preserve"> Fernández, supra </w:t>
      </w:r>
      <w:r w:rsidRPr="00DC12C2">
        <w:rPr>
          <w:rFonts w:ascii="Verdana" w:hAnsi="Verdana"/>
          <w:sz w:val="16"/>
        </w:rPr>
        <w:t>nota 2, Considerando duodécimo.</w:t>
      </w:r>
    </w:p>
    <w:p w:rsidR="00AE2056" w:rsidRPr="00DC12C2" w:rsidRDefault="00AE2056">
      <w:pPr>
        <w:pStyle w:val="Textonotapie"/>
        <w:rPr>
          <w:rFonts w:ascii="Verdana" w:hAnsi="Verdana"/>
          <w:sz w:val="16"/>
        </w:rPr>
      </w:pPr>
    </w:p>
  </w:footnote>
  <w:footnote w:id="5">
    <w:p w:rsidR="00AE2056" w:rsidRPr="00DC12C2" w:rsidRDefault="00AE2056" w:rsidP="00AE2056">
      <w:pPr>
        <w:jc w:val="both"/>
        <w:rPr>
          <w:rFonts w:ascii="Verdana" w:hAnsi="Verdana"/>
          <w:sz w:val="16"/>
        </w:rPr>
      </w:pPr>
      <w:r w:rsidRPr="00DC12C2">
        <w:rPr>
          <w:rStyle w:val="Refdenotaalpie"/>
          <w:sz w:val="16"/>
        </w:rPr>
        <w:footnoteRef/>
      </w:r>
      <w:r w:rsidRPr="00DC12C2">
        <w:rPr>
          <w:rFonts w:ascii="Verdana" w:hAnsi="Verdana"/>
          <w:sz w:val="16"/>
        </w:rPr>
        <w:t xml:space="preserve"> </w:t>
      </w:r>
      <w:r w:rsidRPr="00DC12C2">
        <w:rPr>
          <w:rFonts w:ascii="Verdana" w:hAnsi="Verdana"/>
          <w:sz w:val="16"/>
        </w:rPr>
        <w:tab/>
      </w:r>
      <w:r w:rsidRPr="00DC12C2">
        <w:rPr>
          <w:rFonts w:ascii="Verdana" w:hAnsi="Verdana"/>
          <w:i/>
          <w:sz w:val="16"/>
        </w:rPr>
        <w:t>Cfr.</w:t>
      </w:r>
      <w:r w:rsidRPr="00DC12C2">
        <w:rPr>
          <w:rFonts w:ascii="Verdana" w:hAnsi="Verdana"/>
          <w:sz w:val="16"/>
        </w:rPr>
        <w:t xml:space="preserve"> </w:t>
      </w:r>
      <w:r w:rsidRPr="00DC12C2">
        <w:rPr>
          <w:rFonts w:ascii="Verdana" w:hAnsi="Verdana"/>
          <w:i/>
          <w:sz w:val="16"/>
        </w:rPr>
        <w:t xml:space="preserve">Caso </w:t>
      </w:r>
      <w:r w:rsidRPr="00DC12C2">
        <w:rPr>
          <w:rFonts w:ascii="Verdana" w:hAnsi="Verdana" w:cs="Verdana-Bold"/>
          <w:bCs/>
          <w:i/>
          <w:sz w:val="16"/>
          <w:szCs w:val="22"/>
          <w:lang w:bidi="en-US"/>
        </w:rPr>
        <w:t xml:space="preserve">de la "Masacre de </w:t>
      </w:r>
      <w:proofErr w:type="spellStart"/>
      <w:r w:rsidRPr="00DC12C2">
        <w:rPr>
          <w:rFonts w:ascii="Verdana" w:hAnsi="Verdana" w:cs="Verdana-Bold"/>
          <w:bCs/>
          <w:i/>
          <w:sz w:val="16"/>
          <w:szCs w:val="22"/>
          <w:lang w:bidi="en-US"/>
        </w:rPr>
        <w:t>Mapiripán</w:t>
      </w:r>
      <w:proofErr w:type="spellEnd"/>
      <w:r w:rsidRPr="00DC12C2">
        <w:rPr>
          <w:rFonts w:ascii="Verdana" w:hAnsi="Verdana" w:cs="Verdana-Bold"/>
          <w:bCs/>
          <w:i/>
          <w:sz w:val="16"/>
          <w:szCs w:val="22"/>
          <w:lang w:bidi="en-US"/>
        </w:rPr>
        <w:t>" vs. Colombia</w:t>
      </w:r>
      <w:r w:rsidRPr="00DC12C2">
        <w:rPr>
          <w:rFonts w:ascii="Verdana" w:hAnsi="Verdana"/>
          <w:i/>
          <w:sz w:val="16"/>
        </w:rPr>
        <w:t xml:space="preserve">. </w:t>
      </w:r>
      <w:r w:rsidRPr="00DC12C2">
        <w:rPr>
          <w:rFonts w:ascii="Verdana" w:hAnsi="Verdana"/>
          <w:sz w:val="16"/>
        </w:rPr>
        <w:t xml:space="preserve">Resolución del Presidente de la Corte Interamericana de Derechos Humanos de 28 de enero de 2005, Considerando décimo cuarto; </w:t>
      </w:r>
      <w:r w:rsidRPr="00DC12C2">
        <w:rPr>
          <w:rFonts w:ascii="Verdana" w:hAnsi="Verdana"/>
          <w:i/>
          <w:sz w:val="16"/>
        </w:rPr>
        <w:t xml:space="preserve">Caso </w:t>
      </w:r>
      <w:proofErr w:type="spellStart"/>
      <w:r w:rsidRPr="00DC12C2">
        <w:rPr>
          <w:rFonts w:ascii="Verdana" w:hAnsi="Verdana"/>
          <w:i/>
          <w:sz w:val="16"/>
        </w:rPr>
        <w:t>Escher</w:t>
      </w:r>
      <w:proofErr w:type="spellEnd"/>
      <w:r w:rsidRPr="00DC12C2">
        <w:rPr>
          <w:rFonts w:ascii="Verdana" w:hAnsi="Verdana"/>
          <w:i/>
          <w:sz w:val="16"/>
        </w:rPr>
        <w:t xml:space="preserve"> y otros, supra</w:t>
      </w:r>
      <w:r w:rsidRPr="00DC12C2">
        <w:rPr>
          <w:rFonts w:ascii="Verdana" w:hAnsi="Verdana"/>
          <w:sz w:val="16"/>
        </w:rPr>
        <w:t xml:space="preserve"> nota 1, Considerando décimo séptimo; y </w:t>
      </w:r>
      <w:r w:rsidRPr="00DC12C2">
        <w:rPr>
          <w:rFonts w:ascii="Verdana" w:hAnsi="Verdana"/>
          <w:i/>
          <w:sz w:val="16"/>
        </w:rPr>
        <w:t xml:space="preserve">Caso </w:t>
      </w:r>
      <w:proofErr w:type="spellStart"/>
      <w:r w:rsidRPr="00DC12C2">
        <w:rPr>
          <w:rFonts w:ascii="Verdana" w:hAnsi="Verdana"/>
          <w:i/>
          <w:sz w:val="16"/>
        </w:rPr>
        <w:t>Kawas</w:t>
      </w:r>
      <w:proofErr w:type="spellEnd"/>
      <w:r w:rsidRPr="00DC12C2">
        <w:rPr>
          <w:rFonts w:ascii="Verdana" w:hAnsi="Verdana"/>
          <w:i/>
          <w:sz w:val="16"/>
        </w:rPr>
        <w:t xml:space="preserve"> Fernández, supra </w:t>
      </w:r>
      <w:r w:rsidRPr="00DC12C2">
        <w:rPr>
          <w:rFonts w:ascii="Verdana" w:hAnsi="Verdana"/>
          <w:sz w:val="16"/>
        </w:rPr>
        <w:t>nota 2, Considerando duodécimo.</w:t>
      </w:r>
    </w:p>
    <w:p w:rsidR="00AE2056" w:rsidRPr="00DC12C2" w:rsidRDefault="00AE2056" w:rsidP="00AE20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56" w:rsidRDefault="00AE2056" w:rsidP="00AE205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E2056" w:rsidRDefault="00AE205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56" w:rsidRDefault="00AE2056" w:rsidP="00AE205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B4720">
      <w:rPr>
        <w:rStyle w:val="Nmerodepgina"/>
        <w:noProof/>
      </w:rPr>
      <w:t>10</w:t>
    </w:r>
    <w:r>
      <w:rPr>
        <w:rStyle w:val="Nmerodepgina"/>
      </w:rPr>
      <w:fldChar w:fldCharType="end"/>
    </w:r>
  </w:p>
  <w:p w:rsidR="00AE2056" w:rsidRDefault="00AE20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71D"/>
    <w:multiLevelType w:val="hybridMultilevel"/>
    <w:tmpl w:val="AB7E9462"/>
    <w:lvl w:ilvl="0" w:tplc="7ABE7180">
      <w:start w:val="1"/>
      <w:numFmt w:val="upperLetter"/>
      <w:lvlText w:val="%1)"/>
      <w:lvlJc w:val="left"/>
      <w:pPr>
        <w:tabs>
          <w:tab w:val="num" w:pos="720"/>
        </w:tabs>
        <w:ind w:left="720" w:hanging="360"/>
      </w:pPr>
      <w:rPr>
        <w:rFonts w:hint="default"/>
      </w:rPr>
    </w:lvl>
    <w:lvl w:ilvl="1" w:tplc="340A0019">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
    <w:nsid w:val="07085C7B"/>
    <w:multiLevelType w:val="hybridMultilevel"/>
    <w:tmpl w:val="0FF44314"/>
    <w:lvl w:ilvl="0" w:tplc="693ED5B0">
      <w:start w:val="1"/>
      <w:numFmt w:val="lowerRoman"/>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
    <w:nsid w:val="08B94CCB"/>
    <w:multiLevelType w:val="hybridMultilevel"/>
    <w:tmpl w:val="76A86586"/>
    <w:lvl w:ilvl="0" w:tplc="51C45806">
      <w:start w:val="1"/>
      <w:numFmt w:val="lowerRoman"/>
      <w:lvlText w:val="%1."/>
      <w:lvlJc w:val="left"/>
      <w:pPr>
        <w:tabs>
          <w:tab w:val="num" w:pos="1080"/>
        </w:tabs>
        <w:ind w:left="1080" w:hanging="720"/>
      </w:pPr>
      <w:rPr>
        <w:rFonts w:ascii="Times New Roman" w:eastAsia="Times New Roman" w:hAnsi="Times New Roman" w:cs="Times New Roman"/>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095E0383"/>
    <w:multiLevelType w:val="hybridMultilevel"/>
    <w:tmpl w:val="A3547FC0"/>
    <w:lvl w:ilvl="0" w:tplc="6A2CAF30">
      <w:start w:val="11"/>
      <w:numFmt w:val="decimal"/>
      <w:lvlText w:val="%1."/>
      <w:lvlJc w:val="left"/>
      <w:pPr>
        <w:tabs>
          <w:tab w:val="num" w:pos="720"/>
        </w:tabs>
        <w:ind w:left="72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0C2B01D4"/>
    <w:multiLevelType w:val="hybridMultilevel"/>
    <w:tmpl w:val="084A4622"/>
    <w:lvl w:ilvl="0" w:tplc="DDDEA080">
      <w:start w:val="2"/>
      <w:numFmt w:val="decimal"/>
      <w:lvlText w:val="%1."/>
      <w:lvlJc w:val="left"/>
      <w:pPr>
        <w:tabs>
          <w:tab w:val="num" w:pos="710"/>
        </w:tabs>
        <w:ind w:left="710" w:hanging="620"/>
      </w:pPr>
      <w:rPr>
        <w:rFonts w:hint="default"/>
        <w:i w:val="0"/>
      </w:rPr>
    </w:lvl>
    <w:lvl w:ilvl="1" w:tplc="00190409" w:tentative="1">
      <w:start w:val="1"/>
      <w:numFmt w:val="lowerLetter"/>
      <w:lvlText w:val="%2."/>
      <w:lvlJc w:val="left"/>
      <w:pPr>
        <w:tabs>
          <w:tab w:val="num" w:pos="1170"/>
        </w:tabs>
        <w:ind w:left="1170" w:hanging="360"/>
      </w:pPr>
    </w:lvl>
    <w:lvl w:ilvl="2" w:tplc="001B0409" w:tentative="1">
      <w:start w:val="1"/>
      <w:numFmt w:val="lowerRoman"/>
      <w:lvlText w:val="%3."/>
      <w:lvlJc w:val="right"/>
      <w:pPr>
        <w:tabs>
          <w:tab w:val="num" w:pos="1890"/>
        </w:tabs>
        <w:ind w:left="1890" w:hanging="180"/>
      </w:pPr>
    </w:lvl>
    <w:lvl w:ilvl="3" w:tplc="000F0409" w:tentative="1">
      <w:start w:val="1"/>
      <w:numFmt w:val="decimal"/>
      <w:lvlText w:val="%4."/>
      <w:lvlJc w:val="left"/>
      <w:pPr>
        <w:tabs>
          <w:tab w:val="num" w:pos="2610"/>
        </w:tabs>
        <w:ind w:left="2610" w:hanging="360"/>
      </w:pPr>
    </w:lvl>
    <w:lvl w:ilvl="4" w:tplc="00190409" w:tentative="1">
      <w:start w:val="1"/>
      <w:numFmt w:val="lowerLetter"/>
      <w:lvlText w:val="%5."/>
      <w:lvlJc w:val="left"/>
      <w:pPr>
        <w:tabs>
          <w:tab w:val="num" w:pos="3330"/>
        </w:tabs>
        <w:ind w:left="3330" w:hanging="360"/>
      </w:pPr>
    </w:lvl>
    <w:lvl w:ilvl="5" w:tplc="001B0409" w:tentative="1">
      <w:start w:val="1"/>
      <w:numFmt w:val="lowerRoman"/>
      <w:lvlText w:val="%6."/>
      <w:lvlJc w:val="right"/>
      <w:pPr>
        <w:tabs>
          <w:tab w:val="num" w:pos="4050"/>
        </w:tabs>
        <w:ind w:left="4050" w:hanging="180"/>
      </w:pPr>
    </w:lvl>
    <w:lvl w:ilvl="6" w:tplc="000F0409" w:tentative="1">
      <w:start w:val="1"/>
      <w:numFmt w:val="decimal"/>
      <w:lvlText w:val="%7."/>
      <w:lvlJc w:val="left"/>
      <w:pPr>
        <w:tabs>
          <w:tab w:val="num" w:pos="4770"/>
        </w:tabs>
        <w:ind w:left="4770" w:hanging="360"/>
      </w:pPr>
    </w:lvl>
    <w:lvl w:ilvl="7" w:tplc="00190409" w:tentative="1">
      <w:start w:val="1"/>
      <w:numFmt w:val="lowerLetter"/>
      <w:lvlText w:val="%8."/>
      <w:lvlJc w:val="left"/>
      <w:pPr>
        <w:tabs>
          <w:tab w:val="num" w:pos="5490"/>
        </w:tabs>
        <w:ind w:left="5490" w:hanging="360"/>
      </w:pPr>
    </w:lvl>
    <w:lvl w:ilvl="8" w:tplc="001B0409" w:tentative="1">
      <w:start w:val="1"/>
      <w:numFmt w:val="lowerRoman"/>
      <w:lvlText w:val="%9."/>
      <w:lvlJc w:val="right"/>
      <w:pPr>
        <w:tabs>
          <w:tab w:val="num" w:pos="6210"/>
        </w:tabs>
        <w:ind w:left="6210" w:hanging="180"/>
      </w:pPr>
    </w:lvl>
  </w:abstractNum>
  <w:abstractNum w:abstractNumId="5">
    <w:nsid w:val="0D356884"/>
    <w:multiLevelType w:val="hybridMultilevel"/>
    <w:tmpl w:val="C1C650DE"/>
    <w:lvl w:ilvl="0" w:tplc="DE7C4650">
      <w:start w:val="1"/>
      <w:numFmt w:val="decimal"/>
      <w:lvlText w:val="%1."/>
      <w:lvlJc w:val="left"/>
      <w:pPr>
        <w:tabs>
          <w:tab w:val="num" w:pos="2160"/>
        </w:tabs>
        <w:ind w:left="2160" w:firstLine="0"/>
      </w:pPr>
      <w:rPr>
        <w:rFonts w:ascii="Verdana" w:hAnsi="Verdana" w:hint="default"/>
        <w:sz w:val="16"/>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6">
    <w:nsid w:val="0DDE1F04"/>
    <w:multiLevelType w:val="multilevel"/>
    <w:tmpl w:val="AC2C9346"/>
    <w:lvl w:ilvl="0">
      <w:start w:val="1"/>
      <w:numFmt w:val="lowerRoman"/>
      <w:lvlText w:val="%1."/>
      <w:lvlJc w:val="left"/>
      <w:pPr>
        <w:tabs>
          <w:tab w:val="num" w:pos="1080"/>
        </w:tabs>
        <w:ind w:left="1080" w:hanging="720"/>
      </w:pPr>
      <w:rPr>
        <w:rFonts w:hint="default"/>
      </w:rPr>
    </w:lvl>
    <w:lvl w:ilvl="1">
      <w:start w:val="1"/>
      <w:numFmt w:val="decimal"/>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EF629E0"/>
    <w:multiLevelType w:val="hybridMultilevel"/>
    <w:tmpl w:val="69B849F4"/>
    <w:lvl w:ilvl="0" w:tplc="A25686D8">
      <w:start w:val="1"/>
      <w:numFmt w:val="lowerRoman"/>
      <w:lvlText w:val="%1."/>
      <w:lvlJc w:val="left"/>
      <w:pPr>
        <w:tabs>
          <w:tab w:val="num" w:pos="1440"/>
        </w:tabs>
        <w:ind w:left="1440" w:hanging="720"/>
      </w:pPr>
      <w:rPr>
        <w:rFonts w:hint="default"/>
        <w:sz w:val="2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14507BB9"/>
    <w:multiLevelType w:val="hybridMultilevel"/>
    <w:tmpl w:val="9726F152"/>
    <w:lvl w:ilvl="0" w:tplc="F8D256EC">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1BA543D8"/>
    <w:multiLevelType w:val="hybridMultilevel"/>
    <w:tmpl w:val="4208BE84"/>
    <w:lvl w:ilvl="0" w:tplc="86E46DAC">
      <w:start w:val="1"/>
      <w:numFmt w:val="decimal"/>
      <w:lvlText w:val="%1."/>
      <w:lvlJc w:val="left"/>
      <w:pPr>
        <w:tabs>
          <w:tab w:val="num" w:pos="735"/>
        </w:tabs>
        <w:ind w:left="735" w:hanging="375"/>
      </w:pPr>
      <w:rPr>
        <w:rFonts w:hint="default"/>
      </w:rPr>
    </w:lvl>
    <w:lvl w:ilvl="1" w:tplc="C5F25F16">
      <w:start w:val="1"/>
      <w:numFmt w:val="decimal"/>
      <w:lvlText w:val="%2."/>
      <w:lvlJc w:val="left"/>
      <w:pPr>
        <w:tabs>
          <w:tab w:val="num" w:pos="1440"/>
        </w:tabs>
        <w:ind w:left="1440" w:hanging="360"/>
      </w:pPr>
      <w:rPr>
        <w:rFonts w:eastAsia="Times New Roman" w:hint="default"/>
      </w:rPr>
    </w:lvl>
    <w:lvl w:ilvl="2" w:tplc="73AE381A">
      <w:start w:val="1"/>
      <w:numFmt w:val="lowerRoman"/>
      <w:lvlText w:val="%3."/>
      <w:lvlJc w:val="left"/>
      <w:pPr>
        <w:tabs>
          <w:tab w:val="num" w:pos="2700"/>
        </w:tabs>
        <w:ind w:left="2700" w:hanging="72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0">
    <w:nsid w:val="1C8E2462"/>
    <w:multiLevelType w:val="hybridMultilevel"/>
    <w:tmpl w:val="6F905340"/>
    <w:lvl w:ilvl="0" w:tplc="C60A4F32">
      <w:start w:val="1"/>
      <w:numFmt w:val="lowerRoman"/>
      <w:lvlText w:val="%1)"/>
      <w:lvlJc w:val="left"/>
      <w:pPr>
        <w:tabs>
          <w:tab w:val="num" w:pos="1080"/>
        </w:tabs>
        <w:ind w:left="1080" w:hanging="720"/>
      </w:pPr>
      <w:rPr>
        <w:rFonts w:ascii="Verdana" w:eastAsia="Times New Roman" w:hAnsi="Verdana" w:cs="Times New Roman"/>
      </w:rPr>
    </w:lvl>
    <w:lvl w:ilvl="1" w:tplc="6D866C9E">
      <w:start w:val="1"/>
      <w:numFmt w:val="decimal"/>
      <w:lvlText w:val="%2."/>
      <w:lvlJc w:val="left"/>
      <w:pPr>
        <w:tabs>
          <w:tab w:val="num" w:pos="1800"/>
        </w:tabs>
        <w:ind w:left="1800" w:hanging="72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20BC0575"/>
    <w:multiLevelType w:val="hybridMultilevel"/>
    <w:tmpl w:val="24705538"/>
    <w:lvl w:ilvl="0" w:tplc="000F0409">
      <w:start w:val="9"/>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2480776F"/>
    <w:multiLevelType w:val="hybridMultilevel"/>
    <w:tmpl w:val="FF7CF372"/>
    <w:lvl w:ilvl="0" w:tplc="2954A772">
      <w:start w:val="1"/>
      <w:numFmt w:val="lowerRoman"/>
      <w:lvlText w:val="%1."/>
      <w:lvlJc w:val="left"/>
      <w:pPr>
        <w:tabs>
          <w:tab w:val="num" w:pos="2160"/>
        </w:tabs>
        <w:ind w:left="2160" w:hanging="720"/>
      </w:pPr>
      <w:rPr>
        <w:rFonts w:hint="default"/>
      </w:rPr>
    </w:lvl>
    <w:lvl w:ilvl="1" w:tplc="00190409" w:tentative="1">
      <w:start w:val="1"/>
      <w:numFmt w:val="lowerLetter"/>
      <w:lvlText w:val="%2."/>
      <w:lvlJc w:val="left"/>
      <w:pPr>
        <w:tabs>
          <w:tab w:val="num" w:pos="2520"/>
        </w:tabs>
        <w:ind w:left="2520" w:hanging="360"/>
      </w:pPr>
    </w:lvl>
    <w:lvl w:ilvl="2" w:tplc="001B0409" w:tentative="1">
      <w:start w:val="1"/>
      <w:numFmt w:val="lowerRoman"/>
      <w:lvlText w:val="%3."/>
      <w:lvlJc w:val="right"/>
      <w:pPr>
        <w:tabs>
          <w:tab w:val="num" w:pos="3240"/>
        </w:tabs>
        <w:ind w:left="3240" w:hanging="180"/>
      </w:pPr>
    </w:lvl>
    <w:lvl w:ilvl="3" w:tplc="000F0409" w:tentative="1">
      <w:start w:val="1"/>
      <w:numFmt w:val="decimal"/>
      <w:lvlText w:val="%4."/>
      <w:lvlJc w:val="left"/>
      <w:pPr>
        <w:tabs>
          <w:tab w:val="num" w:pos="3960"/>
        </w:tabs>
        <w:ind w:left="3960" w:hanging="360"/>
      </w:pPr>
    </w:lvl>
    <w:lvl w:ilvl="4" w:tplc="00190409" w:tentative="1">
      <w:start w:val="1"/>
      <w:numFmt w:val="lowerLetter"/>
      <w:lvlText w:val="%5."/>
      <w:lvlJc w:val="left"/>
      <w:pPr>
        <w:tabs>
          <w:tab w:val="num" w:pos="4680"/>
        </w:tabs>
        <w:ind w:left="4680" w:hanging="360"/>
      </w:pPr>
    </w:lvl>
    <w:lvl w:ilvl="5" w:tplc="001B0409" w:tentative="1">
      <w:start w:val="1"/>
      <w:numFmt w:val="lowerRoman"/>
      <w:lvlText w:val="%6."/>
      <w:lvlJc w:val="right"/>
      <w:pPr>
        <w:tabs>
          <w:tab w:val="num" w:pos="5400"/>
        </w:tabs>
        <w:ind w:left="5400" w:hanging="180"/>
      </w:pPr>
    </w:lvl>
    <w:lvl w:ilvl="6" w:tplc="000F0409" w:tentative="1">
      <w:start w:val="1"/>
      <w:numFmt w:val="decimal"/>
      <w:lvlText w:val="%7."/>
      <w:lvlJc w:val="left"/>
      <w:pPr>
        <w:tabs>
          <w:tab w:val="num" w:pos="6120"/>
        </w:tabs>
        <w:ind w:left="6120" w:hanging="360"/>
      </w:pPr>
    </w:lvl>
    <w:lvl w:ilvl="7" w:tplc="00190409" w:tentative="1">
      <w:start w:val="1"/>
      <w:numFmt w:val="lowerLetter"/>
      <w:lvlText w:val="%8."/>
      <w:lvlJc w:val="left"/>
      <w:pPr>
        <w:tabs>
          <w:tab w:val="num" w:pos="6840"/>
        </w:tabs>
        <w:ind w:left="6840" w:hanging="360"/>
      </w:pPr>
    </w:lvl>
    <w:lvl w:ilvl="8" w:tplc="001B0409" w:tentative="1">
      <w:start w:val="1"/>
      <w:numFmt w:val="lowerRoman"/>
      <w:lvlText w:val="%9."/>
      <w:lvlJc w:val="right"/>
      <w:pPr>
        <w:tabs>
          <w:tab w:val="num" w:pos="7560"/>
        </w:tabs>
        <w:ind w:left="7560" w:hanging="180"/>
      </w:pPr>
    </w:lvl>
  </w:abstractNum>
  <w:abstractNum w:abstractNumId="13">
    <w:nsid w:val="26B94618"/>
    <w:multiLevelType w:val="hybridMultilevel"/>
    <w:tmpl w:val="B01EE1BA"/>
    <w:lvl w:ilvl="0" w:tplc="FA44612A">
      <w:start w:val="1"/>
      <w:numFmt w:val="decimal"/>
      <w:lvlText w:val="%1."/>
      <w:lvlJc w:val="left"/>
      <w:pPr>
        <w:tabs>
          <w:tab w:val="num" w:pos="450"/>
        </w:tabs>
        <w:ind w:left="450" w:hanging="360"/>
      </w:pPr>
      <w:rPr>
        <w:rFonts w:hint="default"/>
      </w:rPr>
    </w:lvl>
    <w:lvl w:ilvl="1" w:tplc="00190409" w:tentative="1">
      <w:start w:val="1"/>
      <w:numFmt w:val="lowerLetter"/>
      <w:lvlText w:val="%2."/>
      <w:lvlJc w:val="left"/>
      <w:pPr>
        <w:tabs>
          <w:tab w:val="num" w:pos="1170"/>
        </w:tabs>
        <w:ind w:left="1170" w:hanging="360"/>
      </w:pPr>
    </w:lvl>
    <w:lvl w:ilvl="2" w:tplc="001B0409" w:tentative="1">
      <w:start w:val="1"/>
      <w:numFmt w:val="lowerRoman"/>
      <w:lvlText w:val="%3."/>
      <w:lvlJc w:val="right"/>
      <w:pPr>
        <w:tabs>
          <w:tab w:val="num" w:pos="1890"/>
        </w:tabs>
        <w:ind w:left="1890" w:hanging="180"/>
      </w:pPr>
    </w:lvl>
    <w:lvl w:ilvl="3" w:tplc="000F0409" w:tentative="1">
      <w:start w:val="1"/>
      <w:numFmt w:val="decimal"/>
      <w:lvlText w:val="%4."/>
      <w:lvlJc w:val="left"/>
      <w:pPr>
        <w:tabs>
          <w:tab w:val="num" w:pos="2610"/>
        </w:tabs>
        <w:ind w:left="2610" w:hanging="360"/>
      </w:pPr>
    </w:lvl>
    <w:lvl w:ilvl="4" w:tplc="00190409" w:tentative="1">
      <w:start w:val="1"/>
      <w:numFmt w:val="lowerLetter"/>
      <w:lvlText w:val="%5."/>
      <w:lvlJc w:val="left"/>
      <w:pPr>
        <w:tabs>
          <w:tab w:val="num" w:pos="3330"/>
        </w:tabs>
        <w:ind w:left="3330" w:hanging="360"/>
      </w:pPr>
    </w:lvl>
    <w:lvl w:ilvl="5" w:tplc="001B0409" w:tentative="1">
      <w:start w:val="1"/>
      <w:numFmt w:val="lowerRoman"/>
      <w:lvlText w:val="%6."/>
      <w:lvlJc w:val="right"/>
      <w:pPr>
        <w:tabs>
          <w:tab w:val="num" w:pos="4050"/>
        </w:tabs>
        <w:ind w:left="4050" w:hanging="180"/>
      </w:pPr>
    </w:lvl>
    <w:lvl w:ilvl="6" w:tplc="000F0409" w:tentative="1">
      <w:start w:val="1"/>
      <w:numFmt w:val="decimal"/>
      <w:lvlText w:val="%7."/>
      <w:lvlJc w:val="left"/>
      <w:pPr>
        <w:tabs>
          <w:tab w:val="num" w:pos="4770"/>
        </w:tabs>
        <w:ind w:left="4770" w:hanging="360"/>
      </w:pPr>
    </w:lvl>
    <w:lvl w:ilvl="7" w:tplc="00190409" w:tentative="1">
      <w:start w:val="1"/>
      <w:numFmt w:val="lowerLetter"/>
      <w:lvlText w:val="%8."/>
      <w:lvlJc w:val="left"/>
      <w:pPr>
        <w:tabs>
          <w:tab w:val="num" w:pos="5490"/>
        </w:tabs>
        <w:ind w:left="5490" w:hanging="360"/>
      </w:pPr>
    </w:lvl>
    <w:lvl w:ilvl="8" w:tplc="001B0409" w:tentative="1">
      <w:start w:val="1"/>
      <w:numFmt w:val="lowerRoman"/>
      <w:lvlText w:val="%9."/>
      <w:lvlJc w:val="right"/>
      <w:pPr>
        <w:tabs>
          <w:tab w:val="num" w:pos="6210"/>
        </w:tabs>
        <w:ind w:left="6210" w:hanging="180"/>
      </w:pPr>
    </w:lvl>
  </w:abstractNum>
  <w:abstractNum w:abstractNumId="14">
    <w:nsid w:val="28271D1C"/>
    <w:multiLevelType w:val="hybridMultilevel"/>
    <w:tmpl w:val="0E088A58"/>
    <w:lvl w:ilvl="0" w:tplc="5B40E448">
      <w:start w:val="1"/>
      <w:numFmt w:val="lowerRoman"/>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5">
    <w:nsid w:val="2C6A0A3B"/>
    <w:multiLevelType w:val="hybridMultilevel"/>
    <w:tmpl w:val="895C22E8"/>
    <w:lvl w:ilvl="0" w:tplc="EF50EFB0">
      <w:start w:val="1"/>
      <w:numFmt w:val="lowerRoman"/>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6">
    <w:nsid w:val="2C975797"/>
    <w:multiLevelType w:val="hybridMultilevel"/>
    <w:tmpl w:val="EB00059E"/>
    <w:lvl w:ilvl="0" w:tplc="340A0011">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7">
    <w:nsid w:val="2CCF4A13"/>
    <w:multiLevelType w:val="hybridMultilevel"/>
    <w:tmpl w:val="8B98AC58"/>
    <w:lvl w:ilvl="0" w:tplc="78CC1170">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3C2467F7"/>
    <w:multiLevelType w:val="hybridMultilevel"/>
    <w:tmpl w:val="110692D0"/>
    <w:lvl w:ilvl="0" w:tplc="17044040">
      <w:start w:val="9"/>
      <w:numFmt w:val="lowerLetter"/>
      <w:lvlText w:val="%1."/>
      <w:lvlJc w:val="left"/>
      <w:pPr>
        <w:tabs>
          <w:tab w:val="num" w:pos="1080"/>
        </w:tabs>
        <w:ind w:left="1080" w:hanging="360"/>
      </w:pPr>
      <w:rPr>
        <w:rFonts w:hint="default"/>
      </w:rPr>
    </w:lvl>
    <w:lvl w:ilvl="1" w:tplc="A5B6C2AE">
      <w:start w:val="1"/>
      <w:numFmt w:val="upperLetter"/>
      <w:lvlText w:val="%2)"/>
      <w:lvlJc w:val="left"/>
      <w:pPr>
        <w:tabs>
          <w:tab w:val="num" w:pos="2160"/>
        </w:tabs>
        <w:ind w:left="2160" w:hanging="720"/>
      </w:pPr>
      <w:rPr>
        <w:rFonts w:hint="default"/>
        <w:i/>
      </w:rPr>
    </w:lvl>
    <w:lvl w:ilvl="2" w:tplc="340A001B">
      <w:start w:val="1"/>
      <w:numFmt w:val="lowerRoman"/>
      <w:lvlText w:val="%3."/>
      <w:lvlJc w:val="right"/>
      <w:pPr>
        <w:tabs>
          <w:tab w:val="num" w:pos="2520"/>
        </w:tabs>
        <w:ind w:left="2520" w:hanging="180"/>
      </w:pPr>
    </w:lvl>
    <w:lvl w:ilvl="3" w:tplc="340A000F" w:tentative="1">
      <w:start w:val="1"/>
      <w:numFmt w:val="decimal"/>
      <w:lvlText w:val="%4."/>
      <w:lvlJc w:val="left"/>
      <w:pPr>
        <w:tabs>
          <w:tab w:val="num" w:pos="3240"/>
        </w:tabs>
        <w:ind w:left="3240" w:hanging="360"/>
      </w:pPr>
    </w:lvl>
    <w:lvl w:ilvl="4" w:tplc="340A0019" w:tentative="1">
      <w:start w:val="1"/>
      <w:numFmt w:val="lowerLetter"/>
      <w:lvlText w:val="%5."/>
      <w:lvlJc w:val="left"/>
      <w:pPr>
        <w:tabs>
          <w:tab w:val="num" w:pos="3960"/>
        </w:tabs>
        <w:ind w:left="3960" w:hanging="360"/>
      </w:pPr>
    </w:lvl>
    <w:lvl w:ilvl="5" w:tplc="340A001B" w:tentative="1">
      <w:start w:val="1"/>
      <w:numFmt w:val="lowerRoman"/>
      <w:lvlText w:val="%6."/>
      <w:lvlJc w:val="right"/>
      <w:pPr>
        <w:tabs>
          <w:tab w:val="num" w:pos="4680"/>
        </w:tabs>
        <w:ind w:left="4680" w:hanging="180"/>
      </w:pPr>
    </w:lvl>
    <w:lvl w:ilvl="6" w:tplc="340A000F" w:tentative="1">
      <w:start w:val="1"/>
      <w:numFmt w:val="decimal"/>
      <w:lvlText w:val="%7."/>
      <w:lvlJc w:val="left"/>
      <w:pPr>
        <w:tabs>
          <w:tab w:val="num" w:pos="5400"/>
        </w:tabs>
        <w:ind w:left="5400" w:hanging="360"/>
      </w:pPr>
    </w:lvl>
    <w:lvl w:ilvl="7" w:tplc="340A0019" w:tentative="1">
      <w:start w:val="1"/>
      <w:numFmt w:val="lowerLetter"/>
      <w:lvlText w:val="%8."/>
      <w:lvlJc w:val="left"/>
      <w:pPr>
        <w:tabs>
          <w:tab w:val="num" w:pos="6120"/>
        </w:tabs>
        <w:ind w:left="6120" w:hanging="360"/>
      </w:pPr>
    </w:lvl>
    <w:lvl w:ilvl="8" w:tplc="340A001B" w:tentative="1">
      <w:start w:val="1"/>
      <w:numFmt w:val="lowerRoman"/>
      <w:lvlText w:val="%9."/>
      <w:lvlJc w:val="right"/>
      <w:pPr>
        <w:tabs>
          <w:tab w:val="num" w:pos="6840"/>
        </w:tabs>
        <w:ind w:left="6840" w:hanging="180"/>
      </w:pPr>
    </w:lvl>
  </w:abstractNum>
  <w:abstractNum w:abstractNumId="19">
    <w:nsid w:val="415E7895"/>
    <w:multiLevelType w:val="hybridMultilevel"/>
    <w:tmpl w:val="1C789308"/>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20">
    <w:nsid w:val="454C499F"/>
    <w:multiLevelType w:val="multilevel"/>
    <w:tmpl w:val="AC2C9346"/>
    <w:lvl w:ilvl="0">
      <w:start w:val="1"/>
      <w:numFmt w:val="lowerRoman"/>
      <w:lvlText w:val="%1."/>
      <w:lvlJc w:val="left"/>
      <w:pPr>
        <w:tabs>
          <w:tab w:val="num" w:pos="1080"/>
        </w:tabs>
        <w:ind w:left="1080" w:hanging="720"/>
      </w:pPr>
      <w:rPr>
        <w:rFonts w:hint="default"/>
      </w:rPr>
    </w:lvl>
    <w:lvl w:ilvl="1">
      <w:start w:val="1"/>
      <w:numFmt w:val="decimal"/>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7E85818"/>
    <w:multiLevelType w:val="hybridMultilevel"/>
    <w:tmpl w:val="A6605B9E"/>
    <w:lvl w:ilvl="0" w:tplc="88B87242">
      <w:start w:val="1"/>
      <w:numFmt w:val="decimal"/>
      <w:lvlText w:val="%1."/>
      <w:lvlJc w:val="left"/>
      <w:pPr>
        <w:tabs>
          <w:tab w:val="num" w:pos="705"/>
        </w:tabs>
        <w:ind w:left="705" w:hanging="705"/>
      </w:pPr>
      <w:rPr>
        <w:rFonts w:hint="default"/>
      </w:rPr>
    </w:lvl>
    <w:lvl w:ilvl="1" w:tplc="340A0019">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2">
    <w:nsid w:val="4EAD1231"/>
    <w:multiLevelType w:val="hybridMultilevel"/>
    <w:tmpl w:val="722A1070"/>
    <w:lvl w:ilvl="0" w:tplc="10CAD41E">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3">
    <w:nsid w:val="4F3610A8"/>
    <w:multiLevelType w:val="hybridMultilevel"/>
    <w:tmpl w:val="7CB8348A"/>
    <w:lvl w:ilvl="0" w:tplc="81D68C8C">
      <w:start w:val="2"/>
      <w:numFmt w:val="decimal"/>
      <w:lvlText w:val="%1."/>
      <w:lvlJc w:val="left"/>
      <w:pPr>
        <w:tabs>
          <w:tab w:val="num" w:pos="1440"/>
        </w:tabs>
        <w:ind w:left="1440" w:hanging="36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24">
    <w:nsid w:val="52472CEC"/>
    <w:multiLevelType w:val="hybridMultilevel"/>
    <w:tmpl w:val="54106980"/>
    <w:lvl w:ilvl="0" w:tplc="F8D256EC">
      <w:start w:val="1"/>
      <w:numFmt w:val="lowerRoman"/>
      <w:lvlText w:val="%1)"/>
      <w:lvlJc w:val="left"/>
      <w:pPr>
        <w:tabs>
          <w:tab w:val="num" w:pos="1800"/>
        </w:tabs>
        <w:ind w:left="1800" w:hanging="72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25">
    <w:nsid w:val="6C666562"/>
    <w:multiLevelType w:val="hybridMultilevel"/>
    <w:tmpl w:val="619AC970"/>
    <w:lvl w:ilvl="0" w:tplc="868690C6">
      <w:start w:val="1"/>
      <w:numFmt w:val="decimal"/>
      <w:lvlText w:val="%1."/>
      <w:lvlJc w:val="left"/>
      <w:pPr>
        <w:tabs>
          <w:tab w:val="num" w:pos="1080"/>
        </w:tabs>
        <w:ind w:left="1080" w:hanging="360"/>
      </w:pPr>
      <w:rPr>
        <w:rFonts w:hint="default"/>
        <w:color w:val="auto"/>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6">
    <w:nsid w:val="6D867C4C"/>
    <w:multiLevelType w:val="hybridMultilevel"/>
    <w:tmpl w:val="5922E5B6"/>
    <w:lvl w:ilvl="0" w:tplc="11DEB154">
      <w:start w:val="2"/>
      <w:numFmt w:val="lowerRoman"/>
      <w:lvlText w:val="%1."/>
      <w:lvlJc w:val="left"/>
      <w:pPr>
        <w:tabs>
          <w:tab w:val="num" w:pos="1800"/>
        </w:tabs>
        <w:ind w:left="1800" w:hanging="720"/>
      </w:pPr>
      <w:rPr>
        <w:rFonts w:hint="default"/>
      </w:rPr>
    </w:lvl>
    <w:lvl w:ilvl="1" w:tplc="340A0019" w:tentative="1">
      <w:start w:val="1"/>
      <w:numFmt w:val="lowerLetter"/>
      <w:lvlText w:val="%2."/>
      <w:lvlJc w:val="left"/>
      <w:pPr>
        <w:tabs>
          <w:tab w:val="num" w:pos="2160"/>
        </w:tabs>
        <w:ind w:left="2160" w:hanging="360"/>
      </w:pPr>
    </w:lvl>
    <w:lvl w:ilvl="2" w:tplc="340A001B" w:tentative="1">
      <w:start w:val="1"/>
      <w:numFmt w:val="lowerRoman"/>
      <w:lvlText w:val="%3."/>
      <w:lvlJc w:val="right"/>
      <w:pPr>
        <w:tabs>
          <w:tab w:val="num" w:pos="2880"/>
        </w:tabs>
        <w:ind w:left="2880" w:hanging="180"/>
      </w:pPr>
    </w:lvl>
    <w:lvl w:ilvl="3" w:tplc="340A000F" w:tentative="1">
      <w:start w:val="1"/>
      <w:numFmt w:val="decimal"/>
      <w:lvlText w:val="%4."/>
      <w:lvlJc w:val="left"/>
      <w:pPr>
        <w:tabs>
          <w:tab w:val="num" w:pos="3600"/>
        </w:tabs>
        <w:ind w:left="3600" w:hanging="360"/>
      </w:pPr>
    </w:lvl>
    <w:lvl w:ilvl="4" w:tplc="340A0019" w:tentative="1">
      <w:start w:val="1"/>
      <w:numFmt w:val="lowerLetter"/>
      <w:lvlText w:val="%5."/>
      <w:lvlJc w:val="left"/>
      <w:pPr>
        <w:tabs>
          <w:tab w:val="num" w:pos="4320"/>
        </w:tabs>
        <w:ind w:left="4320" w:hanging="360"/>
      </w:pPr>
    </w:lvl>
    <w:lvl w:ilvl="5" w:tplc="340A001B" w:tentative="1">
      <w:start w:val="1"/>
      <w:numFmt w:val="lowerRoman"/>
      <w:lvlText w:val="%6."/>
      <w:lvlJc w:val="right"/>
      <w:pPr>
        <w:tabs>
          <w:tab w:val="num" w:pos="5040"/>
        </w:tabs>
        <w:ind w:left="5040" w:hanging="180"/>
      </w:pPr>
    </w:lvl>
    <w:lvl w:ilvl="6" w:tplc="340A000F" w:tentative="1">
      <w:start w:val="1"/>
      <w:numFmt w:val="decimal"/>
      <w:lvlText w:val="%7."/>
      <w:lvlJc w:val="left"/>
      <w:pPr>
        <w:tabs>
          <w:tab w:val="num" w:pos="5760"/>
        </w:tabs>
        <w:ind w:left="5760" w:hanging="360"/>
      </w:pPr>
    </w:lvl>
    <w:lvl w:ilvl="7" w:tplc="340A0019" w:tentative="1">
      <w:start w:val="1"/>
      <w:numFmt w:val="lowerLetter"/>
      <w:lvlText w:val="%8."/>
      <w:lvlJc w:val="left"/>
      <w:pPr>
        <w:tabs>
          <w:tab w:val="num" w:pos="6480"/>
        </w:tabs>
        <w:ind w:left="6480" w:hanging="360"/>
      </w:pPr>
    </w:lvl>
    <w:lvl w:ilvl="8" w:tplc="340A001B" w:tentative="1">
      <w:start w:val="1"/>
      <w:numFmt w:val="lowerRoman"/>
      <w:lvlText w:val="%9."/>
      <w:lvlJc w:val="right"/>
      <w:pPr>
        <w:tabs>
          <w:tab w:val="num" w:pos="7200"/>
        </w:tabs>
        <w:ind w:left="7200" w:hanging="180"/>
      </w:pPr>
    </w:lvl>
  </w:abstractNum>
  <w:abstractNum w:abstractNumId="27">
    <w:nsid w:val="6DCD2453"/>
    <w:multiLevelType w:val="hybridMultilevel"/>
    <w:tmpl w:val="D742AFC2"/>
    <w:lvl w:ilvl="0" w:tplc="DD721608">
      <w:start w:val="1"/>
      <w:numFmt w:val="upperLetter"/>
      <w:lvlText w:val="%1)"/>
      <w:lvlJc w:val="left"/>
      <w:pPr>
        <w:tabs>
          <w:tab w:val="num" w:pos="990"/>
        </w:tabs>
        <w:ind w:left="990" w:hanging="720"/>
      </w:pPr>
      <w:rPr>
        <w:rFonts w:hint="default"/>
        <w:i/>
      </w:rPr>
    </w:lvl>
    <w:lvl w:ilvl="1" w:tplc="340A0019">
      <w:start w:val="1"/>
      <w:numFmt w:val="lowerLetter"/>
      <w:lvlText w:val="%2."/>
      <w:lvlJc w:val="left"/>
      <w:pPr>
        <w:tabs>
          <w:tab w:val="num" w:pos="1440"/>
        </w:tabs>
        <w:ind w:left="1440" w:hanging="360"/>
      </w:pPr>
    </w:lvl>
    <w:lvl w:ilvl="2" w:tplc="45AC245A">
      <w:start w:val="1"/>
      <w:numFmt w:val="decimal"/>
      <w:lvlText w:val="%3."/>
      <w:lvlJc w:val="left"/>
      <w:pPr>
        <w:tabs>
          <w:tab w:val="num" w:pos="2340"/>
        </w:tabs>
        <w:ind w:left="2340" w:hanging="36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8">
    <w:nsid w:val="6F612F84"/>
    <w:multiLevelType w:val="hybridMultilevel"/>
    <w:tmpl w:val="01AEAD86"/>
    <w:lvl w:ilvl="0" w:tplc="BEC64738">
      <w:start w:val="1"/>
      <w:numFmt w:val="decimal"/>
      <w:lvlText w:val="%1)"/>
      <w:lvlJc w:val="left"/>
      <w:pPr>
        <w:tabs>
          <w:tab w:val="num" w:pos="1080"/>
        </w:tabs>
        <w:ind w:left="1080" w:hanging="360"/>
      </w:pPr>
      <w:rPr>
        <w:rFonts w:hint="default"/>
        <w:i/>
      </w:rPr>
    </w:lvl>
    <w:lvl w:ilvl="1" w:tplc="0F946A0E">
      <w:start w:val="1"/>
      <w:numFmt w:val="lowerRoman"/>
      <w:lvlText w:val="%2."/>
      <w:lvlJc w:val="left"/>
      <w:pPr>
        <w:tabs>
          <w:tab w:val="num" w:pos="2160"/>
        </w:tabs>
        <w:ind w:left="2160" w:hanging="720"/>
      </w:pPr>
      <w:rPr>
        <w:rFonts w:hint="default"/>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9">
    <w:nsid w:val="70A66283"/>
    <w:multiLevelType w:val="hybridMultilevel"/>
    <w:tmpl w:val="7AF46DF2"/>
    <w:lvl w:ilvl="0" w:tplc="16509D54">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nsid w:val="72C67052"/>
    <w:multiLevelType w:val="hybridMultilevel"/>
    <w:tmpl w:val="8A3CC35E"/>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31">
    <w:nsid w:val="741B73DA"/>
    <w:multiLevelType w:val="hybridMultilevel"/>
    <w:tmpl w:val="062C112E"/>
    <w:lvl w:ilvl="0" w:tplc="3CAC9C0E">
      <w:start w:val="1"/>
      <w:numFmt w:val="decimal"/>
      <w:lvlText w:val="%1."/>
      <w:lvlJc w:val="left"/>
      <w:pPr>
        <w:tabs>
          <w:tab w:val="num" w:pos="1080"/>
        </w:tabs>
        <w:ind w:left="1080" w:hanging="720"/>
      </w:pPr>
      <w:rPr>
        <w:rFonts w:ascii="Verdana" w:eastAsia="Times New Roman" w:hAnsi="Verdana" w:cs="Times New Roman"/>
      </w:rPr>
    </w:lvl>
    <w:lvl w:ilvl="1" w:tplc="91889682">
      <w:start w:val="1"/>
      <w:numFmt w:val="lowerRoman"/>
      <w:lvlText w:val="%2."/>
      <w:lvlJc w:val="left"/>
      <w:pPr>
        <w:tabs>
          <w:tab w:val="num" w:pos="1800"/>
        </w:tabs>
        <w:ind w:left="1800" w:hanging="72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nsid w:val="76E16A1F"/>
    <w:multiLevelType w:val="hybridMultilevel"/>
    <w:tmpl w:val="0E9022AC"/>
    <w:lvl w:ilvl="0" w:tplc="8834A3F2">
      <w:start w:val="5"/>
      <w:numFmt w:val="decimal"/>
      <w:lvlText w:val="%1."/>
      <w:lvlJc w:val="left"/>
      <w:pPr>
        <w:tabs>
          <w:tab w:val="num" w:pos="1080"/>
        </w:tabs>
        <w:ind w:left="1080" w:hanging="720"/>
      </w:pPr>
      <w:rPr>
        <w:rFonts w:eastAsia="Time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33">
    <w:nsid w:val="77177470"/>
    <w:multiLevelType w:val="hybridMultilevel"/>
    <w:tmpl w:val="035E81C6"/>
    <w:lvl w:ilvl="0" w:tplc="700CEF8C">
      <w:start w:val="1"/>
      <w:numFmt w:val="upperRoman"/>
      <w:lvlText w:val="%1."/>
      <w:lvlJc w:val="left"/>
      <w:pPr>
        <w:tabs>
          <w:tab w:val="num" w:pos="2160"/>
        </w:tabs>
        <w:ind w:left="2160" w:hanging="720"/>
      </w:pPr>
      <w:rPr>
        <w:rFonts w:hint="default"/>
      </w:rPr>
    </w:lvl>
    <w:lvl w:ilvl="1" w:tplc="00190409" w:tentative="1">
      <w:start w:val="1"/>
      <w:numFmt w:val="lowerLetter"/>
      <w:lvlText w:val="%2."/>
      <w:lvlJc w:val="left"/>
      <w:pPr>
        <w:tabs>
          <w:tab w:val="num" w:pos="2520"/>
        </w:tabs>
        <w:ind w:left="2520" w:hanging="360"/>
      </w:pPr>
    </w:lvl>
    <w:lvl w:ilvl="2" w:tplc="001B0409" w:tentative="1">
      <w:start w:val="1"/>
      <w:numFmt w:val="lowerRoman"/>
      <w:lvlText w:val="%3."/>
      <w:lvlJc w:val="right"/>
      <w:pPr>
        <w:tabs>
          <w:tab w:val="num" w:pos="3240"/>
        </w:tabs>
        <w:ind w:left="3240" w:hanging="180"/>
      </w:pPr>
    </w:lvl>
    <w:lvl w:ilvl="3" w:tplc="000F0409" w:tentative="1">
      <w:start w:val="1"/>
      <w:numFmt w:val="decimal"/>
      <w:lvlText w:val="%4."/>
      <w:lvlJc w:val="left"/>
      <w:pPr>
        <w:tabs>
          <w:tab w:val="num" w:pos="3960"/>
        </w:tabs>
        <w:ind w:left="3960" w:hanging="360"/>
      </w:pPr>
    </w:lvl>
    <w:lvl w:ilvl="4" w:tplc="00190409" w:tentative="1">
      <w:start w:val="1"/>
      <w:numFmt w:val="lowerLetter"/>
      <w:lvlText w:val="%5."/>
      <w:lvlJc w:val="left"/>
      <w:pPr>
        <w:tabs>
          <w:tab w:val="num" w:pos="4680"/>
        </w:tabs>
        <w:ind w:left="4680" w:hanging="360"/>
      </w:pPr>
    </w:lvl>
    <w:lvl w:ilvl="5" w:tplc="001B0409" w:tentative="1">
      <w:start w:val="1"/>
      <w:numFmt w:val="lowerRoman"/>
      <w:lvlText w:val="%6."/>
      <w:lvlJc w:val="right"/>
      <w:pPr>
        <w:tabs>
          <w:tab w:val="num" w:pos="5400"/>
        </w:tabs>
        <w:ind w:left="5400" w:hanging="180"/>
      </w:pPr>
    </w:lvl>
    <w:lvl w:ilvl="6" w:tplc="000F0409" w:tentative="1">
      <w:start w:val="1"/>
      <w:numFmt w:val="decimal"/>
      <w:lvlText w:val="%7."/>
      <w:lvlJc w:val="left"/>
      <w:pPr>
        <w:tabs>
          <w:tab w:val="num" w:pos="6120"/>
        </w:tabs>
        <w:ind w:left="6120" w:hanging="360"/>
      </w:pPr>
    </w:lvl>
    <w:lvl w:ilvl="7" w:tplc="00190409" w:tentative="1">
      <w:start w:val="1"/>
      <w:numFmt w:val="lowerLetter"/>
      <w:lvlText w:val="%8."/>
      <w:lvlJc w:val="left"/>
      <w:pPr>
        <w:tabs>
          <w:tab w:val="num" w:pos="6840"/>
        </w:tabs>
        <w:ind w:left="6840" w:hanging="360"/>
      </w:pPr>
    </w:lvl>
    <w:lvl w:ilvl="8" w:tplc="001B0409" w:tentative="1">
      <w:start w:val="1"/>
      <w:numFmt w:val="lowerRoman"/>
      <w:lvlText w:val="%9."/>
      <w:lvlJc w:val="right"/>
      <w:pPr>
        <w:tabs>
          <w:tab w:val="num" w:pos="7560"/>
        </w:tabs>
        <w:ind w:left="7560" w:hanging="180"/>
      </w:pPr>
    </w:lvl>
  </w:abstractNum>
  <w:abstractNum w:abstractNumId="34">
    <w:nsid w:val="7C842259"/>
    <w:multiLevelType w:val="hybridMultilevel"/>
    <w:tmpl w:val="4A8685C8"/>
    <w:lvl w:ilvl="0" w:tplc="F12298CA">
      <w:start w:val="1"/>
      <w:numFmt w:val="lowerRoman"/>
      <w:lvlText w:val="%1."/>
      <w:lvlJc w:val="left"/>
      <w:pPr>
        <w:tabs>
          <w:tab w:val="num" w:pos="2160"/>
        </w:tabs>
        <w:ind w:left="2160" w:hanging="720"/>
      </w:pPr>
      <w:rPr>
        <w:rFonts w:hint="default"/>
        <w:color w:val="auto"/>
      </w:rPr>
    </w:lvl>
    <w:lvl w:ilvl="1" w:tplc="00190409" w:tentative="1">
      <w:start w:val="1"/>
      <w:numFmt w:val="lowerLetter"/>
      <w:lvlText w:val="%2."/>
      <w:lvlJc w:val="left"/>
      <w:pPr>
        <w:tabs>
          <w:tab w:val="num" w:pos="2520"/>
        </w:tabs>
        <w:ind w:left="2520" w:hanging="360"/>
      </w:pPr>
    </w:lvl>
    <w:lvl w:ilvl="2" w:tplc="001B0409" w:tentative="1">
      <w:start w:val="1"/>
      <w:numFmt w:val="lowerRoman"/>
      <w:lvlText w:val="%3."/>
      <w:lvlJc w:val="right"/>
      <w:pPr>
        <w:tabs>
          <w:tab w:val="num" w:pos="3240"/>
        </w:tabs>
        <w:ind w:left="3240" w:hanging="180"/>
      </w:pPr>
    </w:lvl>
    <w:lvl w:ilvl="3" w:tplc="000F0409" w:tentative="1">
      <w:start w:val="1"/>
      <w:numFmt w:val="decimal"/>
      <w:lvlText w:val="%4."/>
      <w:lvlJc w:val="left"/>
      <w:pPr>
        <w:tabs>
          <w:tab w:val="num" w:pos="3960"/>
        </w:tabs>
        <w:ind w:left="3960" w:hanging="360"/>
      </w:pPr>
    </w:lvl>
    <w:lvl w:ilvl="4" w:tplc="00190409" w:tentative="1">
      <w:start w:val="1"/>
      <w:numFmt w:val="lowerLetter"/>
      <w:lvlText w:val="%5."/>
      <w:lvlJc w:val="left"/>
      <w:pPr>
        <w:tabs>
          <w:tab w:val="num" w:pos="4680"/>
        </w:tabs>
        <w:ind w:left="4680" w:hanging="360"/>
      </w:pPr>
    </w:lvl>
    <w:lvl w:ilvl="5" w:tplc="001B0409" w:tentative="1">
      <w:start w:val="1"/>
      <w:numFmt w:val="lowerRoman"/>
      <w:lvlText w:val="%6."/>
      <w:lvlJc w:val="right"/>
      <w:pPr>
        <w:tabs>
          <w:tab w:val="num" w:pos="5400"/>
        </w:tabs>
        <w:ind w:left="5400" w:hanging="180"/>
      </w:pPr>
    </w:lvl>
    <w:lvl w:ilvl="6" w:tplc="000F0409" w:tentative="1">
      <w:start w:val="1"/>
      <w:numFmt w:val="decimal"/>
      <w:lvlText w:val="%7."/>
      <w:lvlJc w:val="left"/>
      <w:pPr>
        <w:tabs>
          <w:tab w:val="num" w:pos="6120"/>
        </w:tabs>
        <w:ind w:left="6120" w:hanging="360"/>
      </w:pPr>
    </w:lvl>
    <w:lvl w:ilvl="7" w:tplc="00190409" w:tentative="1">
      <w:start w:val="1"/>
      <w:numFmt w:val="lowerLetter"/>
      <w:lvlText w:val="%8."/>
      <w:lvlJc w:val="left"/>
      <w:pPr>
        <w:tabs>
          <w:tab w:val="num" w:pos="6840"/>
        </w:tabs>
        <w:ind w:left="6840" w:hanging="360"/>
      </w:pPr>
    </w:lvl>
    <w:lvl w:ilvl="8" w:tplc="001B0409" w:tentative="1">
      <w:start w:val="1"/>
      <w:numFmt w:val="lowerRoman"/>
      <w:lvlText w:val="%9."/>
      <w:lvlJc w:val="right"/>
      <w:pPr>
        <w:tabs>
          <w:tab w:val="num" w:pos="7560"/>
        </w:tabs>
        <w:ind w:left="7560" w:hanging="180"/>
      </w:pPr>
    </w:lvl>
  </w:abstractNum>
  <w:abstractNum w:abstractNumId="35">
    <w:nsid w:val="7D85180C"/>
    <w:multiLevelType w:val="hybridMultilevel"/>
    <w:tmpl w:val="589024AC"/>
    <w:lvl w:ilvl="0" w:tplc="D4127486">
      <w:start w:val="1"/>
      <w:numFmt w:val="lowerRoman"/>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num w:numId="1">
    <w:abstractNumId w:val="21"/>
  </w:num>
  <w:num w:numId="2">
    <w:abstractNumId w:val="16"/>
  </w:num>
  <w:num w:numId="3">
    <w:abstractNumId w:val="32"/>
  </w:num>
  <w:num w:numId="4">
    <w:abstractNumId w:val="9"/>
  </w:num>
  <w:num w:numId="5">
    <w:abstractNumId w:val="27"/>
  </w:num>
  <w:num w:numId="6">
    <w:abstractNumId w:val="0"/>
  </w:num>
  <w:num w:numId="7">
    <w:abstractNumId w:val="18"/>
  </w:num>
  <w:num w:numId="8">
    <w:abstractNumId w:val="26"/>
  </w:num>
  <w:num w:numId="9">
    <w:abstractNumId w:val="22"/>
  </w:num>
  <w:num w:numId="10">
    <w:abstractNumId w:val="23"/>
  </w:num>
  <w:num w:numId="11">
    <w:abstractNumId w:val="33"/>
  </w:num>
  <w:num w:numId="12">
    <w:abstractNumId w:val="10"/>
  </w:num>
  <w:num w:numId="13">
    <w:abstractNumId w:val="14"/>
  </w:num>
  <w:num w:numId="14">
    <w:abstractNumId w:val="34"/>
  </w:num>
  <w:num w:numId="15">
    <w:abstractNumId w:val="13"/>
  </w:num>
  <w:num w:numId="16">
    <w:abstractNumId w:val="4"/>
  </w:num>
  <w:num w:numId="17">
    <w:abstractNumId w:val="31"/>
  </w:num>
  <w:num w:numId="18">
    <w:abstractNumId w:val="3"/>
  </w:num>
  <w:num w:numId="19">
    <w:abstractNumId w:val="2"/>
  </w:num>
  <w:num w:numId="20">
    <w:abstractNumId w:val="15"/>
  </w:num>
  <w:num w:numId="21">
    <w:abstractNumId w:val="1"/>
  </w:num>
  <w:num w:numId="22">
    <w:abstractNumId w:val="11"/>
  </w:num>
  <w:num w:numId="23">
    <w:abstractNumId w:val="24"/>
  </w:num>
  <w:num w:numId="24">
    <w:abstractNumId w:val="29"/>
  </w:num>
  <w:num w:numId="25">
    <w:abstractNumId w:val="6"/>
  </w:num>
  <w:num w:numId="26">
    <w:abstractNumId w:val="20"/>
  </w:num>
  <w:num w:numId="27">
    <w:abstractNumId w:val="8"/>
  </w:num>
  <w:num w:numId="28">
    <w:abstractNumId w:val="17"/>
  </w:num>
  <w:num w:numId="29">
    <w:abstractNumId w:val="19"/>
  </w:num>
  <w:num w:numId="30">
    <w:abstractNumId w:val="5"/>
  </w:num>
  <w:num w:numId="31">
    <w:abstractNumId w:val="25"/>
  </w:num>
  <w:num w:numId="32">
    <w:abstractNumId w:val="30"/>
  </w:num>
  <w:num w:numId="33">
    <w:abstractNumId w:val="12"/>
  </w:num>
  <w:num w:numId="34">
    <w:abstractNumId w:val="28"/>
  </w:num>
  <w:num w:numId="35">
    <w:abstractNumId w:val="7"/>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4ED"/>
    <w:rsid w:val="004B4720"/>
    <w:rsid w:val="00AE2056"/>
    <w:rsid w:val="00D33B6A"/>
    <w:rsid w:val="00F07430"/>
    <w:rsid w:val="00F460B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E80"/>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2">
    <w:name w:val="Body Text 2"/>
    <w:basedOn w:val="Normal"/>
    <w:rsid w:val="00113E80"/>
    <w:pPr>
      <w:jc w:val="both"/>
    </w:pPr>
    <w:rPr>
      <w:rFonts w:ascii="Garamond" w:eastAsia="Times" w:hAnsi="Garamond"/>
      <w:szCs w:val="20"/>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
    <w:basedOn w:val="Normal"/>
    <w:rsid w:val="00113E80"/>
    <w:pPr>
      <w:widowControl w:val="0"/>
    </w:pPr>
    <w:rPr>
      <w:rFonts w:ascii="Garamond" w:hAnsi="Garamond"/>
      <w:sz w:val="20"/>
      <w:szCs w:val="20"/>
      <w:lang w:val="es-ES_tradnl"/>
    </w:rPr>
  </w:style>
  <w:style w:type="paragraph" w:styleId="Puesto">
    <w:name w:val="Puesto"/>
    <w:basedOn w:val="Normal"/>
    <w:qFormat/>
    <w:rsid w:val="00113E80"/>
    <w:pPr>
      <w:jc w:val="center"/>
    </w:pPr>
    <w:rPr>
      <w:b/>
      <w:szCs w:val="20"/>
      <w:lang w:val="es-ES_tradnl"/>
    </w:rPr>
  </w:style>
  <w:style w:type="paragraph" w:styleId="Subttulo">
    <w:name w:val="Subtitle"/>
    <w:basedOn w:val="Normal"/>
    <w:qFormat/>
    <w:rsid w:val="00113E80"/>
    <w:pPr>
      <w:spacing w:after="60"/>
      <w:ind w:right="746"/>
      <w:jc w:val="center"/>
    </w:pPr>
    <w:rPr>
      <w:rFonts w:ascii="Garamond" w:eastAsia="Times" w:hAnsi="Garamond"/>
      <w:b/>
      <w:smallCaps/>
      <w:szCs w:val="20"/>
      <w:lang w:val="es-ES_tradnl"/>
    </w:rPr>
  </w:style>
  <w:style w:type="character" w:styleId="Refdenotaalpie">
    <w:name w:val="footnote reference"/>
    <w:aliases w:val="Texto de nota al pie"/>
    <w:rsid w:val="00113E80"/>
    <w:rPr>
      <w:vertAlign w:val="superscript"/>
    </w:rPr>
  </w:style>
  <w:style w:type="paragraph" w:styleId="Textoindependiente">
    <w:name w:val="Body Text"/>
    <w:aliases w:val="Body Text Char,Body Text Char Car Car Car Car Car Car Car Car Car Car Car Car Car,Body Text Char Car Car Car Car Car Car Car Car Car Car Car Car"/>
    <w:basedOn w:val="Normal"/>
    <w:rsid w:val="00113E80"/>
    <w:pPr>
      <w:widowControl w:val="0"/>
      <w:ind w:right="40"/>
      <w:jc w:val="both"/>
    </w:pPr>
    <w:rPr>
      <w:rFonts w:ascii="Garamond" w:hAnsi="Garamond"/>
      <w:szCs w:val="20"/>
      <w:lang w:val="es-ES_tradnl"/>
    </w:rPr>
  </w:style>
  <w:style w:type="paragraph" w:styleId="Textoindependiente3">
    <w:name w:val="Body Text 3"/>
    <w:basedOn w:val="Normal"/>
    <w:rsid w:val="00113E80"/>
    <w:pPr>
      <w:jc w:val="both"/>
    </w:pPr>
    <w:rPr>
      <w:rFonts w:ascii="Verdana" w:eastAsia="Times" w:hAnsi="Verdana"/>
      <w:sz w:val="22"/>
      <w:szCs w:val="20"/>
      <w:lang w:val="es-ES_tradnl"/>
    </w:rPr>
  </w:style>
  <w:style w:type="paragraph" w:styleId="Encabezado">
    <w:name w:val="header"/>
    <w:basedOn w:val="Normal"/>
    <w:rsid w:val="00113E80"/>
    <w:pPr>
      <w:tabs>
        <w:tab w:val="center" w:pos="4320"/>
        <w:tab w:val="right" w:pos="8640"/>
      </w:tabs>
    </w:pPr>
  </w:style>
  <w:style w:type="character" w:styleId="Nmerodepgina">
    <w:name w:val="page number"/>
    <w:basedOn w:val="Fuentedeprrafopredeter"/>
    <w:rsid w:val="00113E80"/>
  </w:style>
  <w:style w:type="paragraph" w:customStyle="1" w:styleId="Init1">
    <w:name w:val="Init 1"/>
    <w:basedOn w:val="Normal"/>
    <w:rsid w:val="00113E80"/>
    <w:pPr>
      <w:tabs>
        <w:tab w:val="left" w:pos="600"/>
        <w:tab w:val="left" w:pos="1200"/>
        <w:tab w:val="left" w:pos="1800"/>
        <w:tab w:val="left" w:pos="4320"/>
        <w:tab w:val="left" w:pos="6240"/>
        <w:tab w:val="right" w:pos="8760"/>
      </w:tabs>
      <w:spacing w:line="240" w:lineRule="atLeast"/>
      <w:jc w:val="both"/>
    </w:pPr>
    <w:rPr>
      <w:rFonts w:ascii="Courier" w:hAnsi="Courier"/>
      <w:szCs w:val="20"/>
      <w:lang w:val="es-ES_tradnl" w:eastAsia="en-US"/>
    </w:rPr>
  </w:style>
  <w:style w:type="paragraph" w:styleId="Sangra2detindependiente">
    <w:name w:val="Body Text Indent 2"/>
    <w:basedOn w:val="Normal"/>
    <w:rsid w:val="00113E80"/>
    <w:pPr>
      <w:spacing w:after="120" w:line="480" w:lineRule="auto"/>
      <w:ind w:left="360"/>
    </w:pPr>
    <w:rPr>
      <w:rFonts w:ascii="Times" w:eastAsia="Times" w:hAnsi="Times"/>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3598</Words>
  <Characters>19790</Characters>
  <Application>Microsoft Office Word</Application>
  <DocSecurity>0</DocSecurity>
  <Lines>164</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 PRESIDENTA DE LA</vt:lpstr>
      <vt:lpstr>RESOLUCIÓN DE LA PRESIDENTA DE LA</vt:lpstr>
    </vt:vector>
  </TitlesOfParts>
  <Company>獫票楧栮捯洀鉭曮㞱Û뜰⠲쎔딁烊皭〼፥ᙼ䕸忤઱</Company>
  <LinksUpToDate>false</LinksUpToDate>
  <CharactersWithSpaces>23342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 PRESIDENTA DE LA</dc:title>
  <dc:creator>cla</dc:creator>
  <cp:lastModifiedBy>Liliana Tojo</cp:lastModifiedBy>
  <cp:revision>3</cp:revision>
  <cp:lastPrinted>2017-08-09T16:10:00Z</cp:lastPrinted>
  <dcterms:created xsi:type="dcterms:W3CDTF">2017-08-09T16:10:00Z</dcterms:created>
  <dcterms:modified xsi:type="dcterms:W3CDTF">2017-08-09T16:10:00Z</dcterms:modified>
</cp:coreProperties>
</file>