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5C" w:rsidRP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n-US"/>
        </w:rPr>
      </w:pPr>
      <w:bookmarkStart w:id="0" w:name="_GoBack"/>
      <w:bookmarkEnd w:id="0"/>
    </w:p>
    <w:p w:rsidR="00F6485C" w:rsidRP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n-US"/>
        </w:rPr>
      </w:pPr>
    </w:p>
    <w:p w:rsidR="00F6485C" w:rsidRP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n-US"/>
        </w:rPr>
      </w:pPr>
    </w:p>
    <w:p w:rsidR="00F6485C" w:rsidRP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n-US"/>
        </w:rPr>
      </w:pPr>
    </w:p>
    <w:p w:rsidR="00F6485C" w:rsidRP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n-US"/>
        </w:rPr>
      </w:pPr>
    </w:p>
    <w:p w:rsidR="00F6485C" w:rsidRDefault="002F1DA8">
      <w:pPr>
        <w:suppressAutoHyphens/>
        <w:spacing w:line="240" w:lineRule="atLeast"/>
        <w:jc w:val="center"/>
        <w:rPr>
          <w:rFonts w:ascii="Verdana" w:hAnsi="Verdana"/>
          <w:spacing w:val="-3"/>
          <w:sz w:val="20"/>
        </w:rPr>
      </w:pPr>
      <w:r>
        <w:rPr>
          <w:rFonts w:ascii="Verdana" w:hAnsi="Verdana"/>
          <w:b/>
          <w:bCs/>
          <w:spacing w:val="-3"/>
          <w:sz w:val="20"/>
        </w:rPr>
        <w:t>VOTO CONCORDANTE DO JUIZ A.A. CANÇADO TRINDADE</w:t>
      </w: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</w:rPr>
        <w:t>1.</w:t>
      </w:r>
      <w:r>
        <w:rPr>
          <w:rFonts w:ascii="Verdana" w:hAnsi="Verdana"/>
          <w:spacing w:val="-3"/>
          <w:sz w:val="20"/>
        </w:rPr>
        <w:tab/>
        <w:t xml:space="preserve">Coincido plenamente com a presente Sentença da Corte Interamericana sobre exceção preliminar, que reflete sua </w:t>
      </w:r>
      <w:r>
        <w:rPr>
          <w:rFonts w:ascii="Verdana" w:hAnsi="Verdana"/>
          <w:i/>
          <w:iCs/>
          <w:spacing w:val="-3"/>
          <w:sz w:val="20"/>
        </w:rPr>
        <w:t>jurisprudence constante</w:t>
      </w:r>
      <w:r>
        <w:rPr>
          <w:rFonts w:ascii="Verdana" w:hAnsi="Verdana"/>
          <w:spacing w:val="-3"/>
          <w:sz w:val="20"/>
        </w:rPr>
        <w:t>, e a tese que venho sustentando há mais de duas décadas</w:t>
      </w:r>
      <w:r w:rsidRPr="00F6485C">
        <w:rPr>
          <w:rStyle w:val="Refdenotaalpie"/>
          <w:rFonts w:ascii="Courier New" w:hAnsi="Courier New" w:cs="Courier New"/>
          <w:spacing w:val="-3"/>
          <w:sz w:val="20"/>
        </w:rPr>
        <w:footnoteReference w:id="1"/>
      </w:r>
      <w:r>
        <w:rPr>
          <w:rFonts w:ascii="Verdana" w:hAnsi="Verdana"/>
          <w:spacing w:val="-3"/>
          <w:sz w:val="20"/>
        </w:rPr>
        <w:t>, a saber</w:t>
      </w:r>
      <w:r>
        <w:rPr>
          <w:rFonts w:ascii="Verdana" w:hAnsi="Verdana"/>
          <w:spacing w:val="-3"/>
          <w:sz w:val="20"/>
        </w:rPr>
        <w:t xml:space="preserve">, que, no âmbito do Direito Internacional dos Direitos Humanos, a exceção preliminar de não-esgotamento de recursos internos é de pura </w:t>
      </w:r>
      <w:r>
        <w:rPr>
          <w:rFonts w:ascii="Verdana" w:hAnsi="Verdana"/>
          <w:i/>
          <w:iCs/>
          <w:spacing w:val="-3"/>
          <w:sz w:val="20"/>
        </w:rPr>
        <w:t>admissibilidade</w:t>
      </w:r>
      <w:r>
        <w:rPr>
          <w:rFonts w:ascii="Verdana" w:hAnsi="Verdana"/>
          <w:spacing w:val="-3"/>
          <w:sz w:val="20"/>
        </w:rPr>
        <w:t xml:space="preserve">, a ser interposta pelo Estado demandado </w:t>
      </w:r>
      <w:r>
        <w:rPr>
          <w:rFonts w:ascii="Verdana" w:hAnsi="Verdana"/>
          <w:i/>
          <w:iCs/>
          <w:spacing w:val="-3"/>
          <w:sz w:val="20"/>
        </w:rPr>
        <w:t>in limite litis</w:t>
      </w:r>
      <w:r>
        <w:rPr>
          <w:rFonts w:ascii="Verdana" w:hAnsi="Verdana"/>
          <w:spacing w:val="-3"/>
          <w:sz w:val="20"/>
        </w:rPr>
        <w:t xml:space="preserve">, sem o que se presume sua </w:t>
      </w:r>
      <w:r>
        <w:rPr>
          <w:rFonts w:ascii="Verdana" w:hAnsi="Verdana"/>
          <w:i/>
          <w:iCs/>
          <w:spacing w:val="-3"/>
          <w:sz w:val="20"/>
        </w:rPr>
        <w:t>renúncia tácita</w:t>
      </w:r>
      <w:r>
        <w:rPr>
          <w:rFonts w:ascii="Verdana" w:hAnsi="Verdana"/>
          <w:spacing w:val="-3"/>
          <w:sz w:val="20"/>
        </w:rPr>
        <w:t xml:space="preserve"> por par</w:t>
      </w:r>
      <w:r>
        <w:rPr>
          <w:rFonts w:ascii="Verdana" w:hAnsi="Verdana"/>
          <w:spacing w:val="-3"/>
          <w:sz w:val="20"/>
        </w:rPr>
        <w:t>te do Estado demandado.</w:t>
      </w: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</w:rPr>
        <w:t>2.</w:t>
      </w:r>
      <w:r>
        <w:rPr>
          <w:rFonts w:ascii="Verdana" w:hAnsi="Verdana"/>
          <w:spacing w:val="-3"/>
          <w:sz w:val="20"/>
        </w:rPr>
        <w:tab/>
        <w:t>Deixo registro neste Voto, que escrevo, como de costume, sob a pressão impiedosa do tempo, do que venho de expressar na frutuosa audiência pública sobre exceção preliminar realizada perante a Corte há tão somente dez minutos: mi</w:t>
      </w:r>
      <w:r>
        <w:rPr>
          <w:rFonts w:ascii="Verdana" w:hAnsi="Verdana"/>
          <w:spacing w:val="-3"/>
          <w:sz w:val="20"/>
        </w:rPr>
        <w:t xml:space="preserve">nha real satisfação com as manifestações dos intervenientes (o Estado que interpôs a exceção - </w:t>
      </w:r>
      <w:r>
        <w:rPr>
          <w:rFonts w:ascii="Verdana" w:hAnsi="Verdana"/>
          <w:i/>
          <w:iCs/>
          <w:spacing w:val="-3"/>
          <w:sz w:val="20"/>
        </w:rPr>
        <w:t>reus in excipiendo fit actor</w:t>
      </w:r>
      <w:r>
        <w:rPr>
          <w:rFonts w:ascii="Verdana" w:hAnsi="Verdana"/>
          <w:spacing w:val="-3"/>
          <w:sz w:val="20"/>
        </w:rPr>
        <w:t>, - a Comissão Interamericana de Direitos Humanos, e os Representantes dos peticionários), no sentido da necessidade de maior reflexã</w:t>
      </w:r>
      <w:r>
        <w:rPr>
          <w:rFonts w:ascii="Verdana" w:hAnsi="Verdana"/>
          <w:spacing w:val="-3"/>
          <w:sz w:val="20"/>
        </w:rPr>
        <w:t>o quanto ao aperfeiçoamento dos procedimentos sob a Convenção Americana sobre Direitos Humanos, e de melhor esclarecimento do papel reservado à Comissão sob a Convenção.</w:t>
      </w: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</w:rPr>
        <w:t>3.</w:t>
      </w:r>
      <w:r>
        <w:rPr>
          <w:rFonts w:ascii="Verdana" w:hAnsi="Verdana"/>
          <w:spacing w:val="-3"/>
          <w:sz w:val="20"/>
        </w:rPr>
        <w:tab/>
        <w:t xml:space="preserve">Minha posição a respeito é claríssima, registrada que se encontra no </w:t>
      </w:r>
      <w:r>
        <w:rPr>
          <w:rFonts w:ascii="Verdana" w:hAnsi="Verdana"/>
          <w:i/>
          <w:iCs/>
          <w:spacing w:val="-3"/>
          <w:sz w:val="20"/>
        </w:rPr>
        <w:t>Projeto de Pr</w:t>
      </w:r>
      <w:r>
        <w:rPr>
          <w:rFonts w:ascii="Verdana" w:hAnsi="Verdana"/>
          <w:i/>
          <w:iCs/>
          <w:spacing w:val="-3"/>
          <w:sz w:val="20"/>
        </w:rPr>
        <w:t>otocolo à Convenção Americana sobre Direitos Humanos</w:t>
      </w:r>
      <w:r>
        <w:rPr>
          <w:rFonts w:ascii="Verdana" w:hAnsi="Verdana"/>
          <w:spacing w:val="-3"/>
          <w:sz w:val="20"/>
        </w:rPr>
        <w:t>, que me permiti apresentar, em nome da Corte Interamericana, aos órgãos competentes da Organização dos Estados Americanos (OEA) em 2001</w:t>
      </w:r>
      <w:r w:rsidRPr="00F6485C">
        <w:rPr>
          <w:rStyle w:val="Refdenotaalpie"/>
          <w:rFonts w:ascii="Verdana" w:hAnsi="Verdana" w:cs="Courier New"/>
          <w:spacing w:val="-3"/>
          <w:sz w:val="20"/>
        </w:rPr>
        <w:footnoteReference w:id="2"/>
      </w:r>
      <w:r>
        <w:rPr>
          <w:rFonts w:ascii="Verdana" w:hAnsi="Verdana"/>
          <w:spacing w:val="-3"/>
          <w:sz w:val="20"/>
        </w:rPr>
        <w:t>, que consagra o acesso direto da pessoa humana à justiça internaci</w:t>
      </w:r>
      <w:r>
        <w:rPr>
          <w:rFonts w:ascii="Verdana" w:hAnsi="Verdana"/>
          <w:spacing w:val="-3"/>
          <w:sz w:val="20"/>
        </w:rPr>
        <w:t>onal, a jurisdição automaticamente obrigatória da Corte Interamericana, a jurisdicionalização do sistema interamericano de proteção, e a retenção, no âmbito deste último, na atualidade, do papel de fiscal da Comissão Interamericana.</w:t>
      </w:r>
      <w:r>
        <w:rPr>
          <w:rFonts w:ascii="Verdana" w:hAnsi="Verdana"/>
          <w:spacing w:val="-3"/>
          <w:sz w:val="20"/>
        </w:rPr>
        <w:tab/>
      </w: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right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</w:rPr>
        <w:t>Antônio Augusto Can</w:t>
      </w:r>
      <w:r>
        <w:rPr>
          <w:rFonts w:ascii="Verdana" w:hAnsi="Verdana"/>
          <w:spacing w:val="-3"/>
          <w:sz w:val="20"/>
        </w:rPr>
        <w:t>çado Trindade</w:t>
      </w:r>
    </w:p>
    <w:p w:rsidR="00F6485C" w:rsidRDefault="002F1DA8">
      <w:pPr>
        <w:suppressAutoHyphens/>
        <w:spacing w:line="240" w:lineRule="atLeast"/>
        <w:ind w:right="1800"/>
        <w:jc w:val="right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</w:rPr>
        <w:t>Juiz</w:t>
      </w: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</w:p>
    <w:p w:rsidR="00F6485C" w:rsidRDefault="002F1DA8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</w:rPr>
        <w:t>Pablo Saavedra Alessandri</w:t>
      </w:r>
    </w:p>
    <w:p w:rsidR="00F6485C" w:rsidRPr="00F6485C" w:rsidRDefault="002F1DA8">
      <w:pPr>
        <w:suppressAutoHyphens/>
        <w:spacing w:line="240" w:lineRule="atLeast"/>
        <w:ind w:firstLine="720"/>
        <w:jc w:val="both"/>
        <w:rPr>
          <w:rFonts w:ascii="Verdana" w:hAnsi="Verdana"/>
          <w:spacing w:val="-3"/>
          <w:sz w:val="20"/>
          <w:lang w:val="en-US"/>
        </w:rPr>
      </w:pPr>
      <w:r>
        <w:rPr>
          <w:rFonts w:ascii="Verdana" w:hAnsi="Verdana"/>
          <w:spacing w:val="-3"/>
          <w:sz w:val="20"/>
        </w:rPr>
        <w:t xml:space="preserve">  </w:t>
      </w:r>
      <w:r w:rsidRPr="00F6485C">
        <w:rPr>
          <w:rFonts w:ascii="Verdana" w:hAnsi="Verdana"/>
          <w:spacing w:val="-3"/>
          <w:sz w:val="20"/>
          <w:lang w:val="en-US"/>
        </w:rPr>
        <w:t>Secretario</w:t>
      </w:r>
    </w:p>
    <w:sectPr w:rsidR="00F6485C" w:rsidRPr="00F6485C"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DA8" w:rsidRDefault="002F1DA8">
      <w:pPr>
        <w:spacing w:line="20" w:lineRule="exact"/>
        <w:rPr>
          <w:rFonts w:cs="Times New Roman"/>
        </w:rPr>
      </w:pPr>
    </w:p>
  </w:endnote>
  <w:endnote w:type="continuationSeparator" w:id="0">
    <w:p w:rsidR="002F1DA8" w:rsidRDefault="002F1DA8">
      <w:r>
        <w:rPr>
          <w:rFonts w:cs="Times New Roman"/>
        </w:rPr>
        <w:t xml:space="preserve"> </w:t>
      </w:r>
    </w:p>
  </w:endnote>
  <w:endnote w:type="continuationNotice" w:id="1">
    <w:p w:rsidR="002F1DA8" w:rsidRDefault="002F1DA8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DA8" w:rsidRDefault="002F1DA8">
      <w:r>
        <w:rPr>
          <w:rFonts w:cs="Times New Roman"/>
        </w:rPr>
        <w:separator/>
      </w:r>
    </w:p>
  </w:footnote>
  <w:footnote w:type="continuationSeparator" w:id="0">
    <w:p w:rsidR="002F1DA8" w:rsidRDefault="002F1DA8">
      <w:r>
        <w:continuationSeparator/>
      </w:r>
    </w:p>
  </w:footnote>
  <w:footnote w:id="1">
    <w:p w:rsidR="00F6485C" w:rsidRPr="00F6485C" w:rsidRDefault="002F1DA8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8"/>
          <w:lang w:val="en-US"/>
        </w:rPr>
      </w:pPr>
      <w:r w:rsidRPr="00F6485C">
        <w:rPr>
          <w:rStyle w:val="Refdenotaalpie"/>
          <w:rFonts w:ascii="Courier New" w:hAnsi="Courier New" w:cs="Courier New"/>
          <w:spacing w:val="-3"/>
          <w:sz w:val="18"/>
        </w:rPr>
        <w:footnoteRef/>
      </w:r>
      <w:r w:rsidRPr="00F6485C">
        <w:rPr>
          <w:rFonts w:ascii="Verdana" w:hAnsi="Verdana" w:cs="Courier New"/>
          <w:spacing w:val="-3"/>
          <w:sz w:val="18"/>
          <w:lang w:val="en-US"/>
        </w:rPr>
        <w:t xml:space="preserve">. </w:t>
      </w:r>
      <w:r w:rsidRPr="00F6485C">
        <w:rPr>
          <w:rFonts w:ascii="Verdana" w:hAnsi="Verdana" w:cs="Courier New"/>
          <w:spacing w:val="-3"/>
          <w:sz w:val="18"/>
          <w:lang w:val="en-US"/>
        </w:rPr>
        <w:tab/>
        <w:t xml:space="preserve">A.A. Cançado Trindade, </w:t>
      </w:r>
      <w:r w:rsidRPr="00F6485C">
        <w:rPr>
          <w:rFonts w:ascii="Verdana" w:hAnsi="Verdana" w:cs="Courier New"/>
          <w:i/>
          <w:iCs/>
          <w:spacing w:val="-3"/>
          <w:sz w:val="18"/>
          <w:lang w:val="en-US"/>
        </w:rPr>
        <w:t>The Application of the Rule of Exhaustion of Local Remedies in International Law</w:t>
      </w:r>
      <w:r w:rsidRPr="00F6485C">
        <w:rPr>
          <w:rFonts w:ascii="Verdana" w:hAnsi="Verdana" w:cs="Courier New"/>
          <w:spacing w:val="-3"/>
          <w:sz w:val="18"/>
          <w:lang w:val="en-US"/>
        </w:rPr>
        <w:t xml:space="preserve">, Cambridge, Cambridge University Press, 1983; A.A. Cançado Trindade, </w:t>
      </w:r>
      <w:r w:rsidRPr="00F6485C">
        <w:rPr>
          <w:rFonts w:ascii="Verdana" w:hAnsi="Verdana" w:cs="Courier New"/>
          <w:i/>
          <w:iCs/>
          <w:spacing w:val="-3"/>
          <w:sz w:val="18"/>
          <w:lang w:val="en-US"/>
        </w:rPr>
        <w:t>O Esgotamento de Rec</w:t>
      </w:r>
      <w:r w:rsidRPr="00F6485C">
        <w:rPr>
          <w:rFonts w:ascii="Verdana" w:hAnsi="Verdana" w:cs="Courier New"/>
          <w:i/>
          <w:iCs/>
          <w:spacing w:val="-3"/>
          <w:sz w:val="18"/>
          <w:lang w:val="en-US"/>
        </w:rPr>
        <w:t>ursos Internos no Direito Internacional</w:t>
      </w:r>
      <w:r w:rsidRPr="00F6485C">
        <w:rPr>
          <w:rFonts w:ascii="Verdana" w:hAnsi="Verdana" w:cs="Courier New"/>
          <w:spacing w:val="-3"/>
          <w:sz w:val="18"/>
          <w:lang w:val="en-US"/>
        </w:rPr>
        <w:t xml:space="preserve">, 2a. </w:t>
      </w:r>
      <w:proofErr w:type="gramStart"/>
      <w:r w:rsidRPr="00F6485C">
        <w:rPr>
          <w:rFonts w:ascii="Verdana" w:hAnsi="Verdana" w:cs="Courier New"/>
          <w:spacing w:val="-3"/>
          <w:sz w:val="18"/>
          <w:lang w:val="en-US"/>
        </w:rPr>
        <w:t>ed., Brasília, Editora Universidade de Brasília, 1997.</w:t>
      </w:r>
      <w:proofErr w:type="gramEnd"/>
    </w:p>
    <w:p w:rsidR="00F6485C" w:rsidRPr="00F6485C" w:rsidRDefault="002F1DA8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8"/>
          <w:lang w:val="en-US"/>
        </w:rPr>
      </w:pPr>
    </w:p>
  </w:footnote>
  <w:footnote w:id="2">
    <w:p w:rsidR="00F6485C" w:rsidRDefault="002F1DA8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 w:cs="Courier New"/>
          <w:spacing w:val="-3"/>
          <w:sz w:val="18"/>
        </w:rPr>
      </w:pPr>
      <w:r w:rsidRPr="00F6485C">
        <w:rPr>
          <w:rStyle w:val="Refdenotaalpie"/>
          <w:rFonts w:ascii="Courier New" w:hAnsi="Courier New" w:cs="Courier New"/>
          <w:spacing w:val="-3"/>
          <w:sz w:val="18"/>
        </w:rPr>
        <w:footnoteRef/>
      </w:r>
      <w:r>
        <w:rPr>
          <w:rFonts w:ascii="Verdana" w:hAnsi="Verdana" w:cs="Courier New"/>
          <w:spacing w:val="-3"/>
          <w:sz w:val="18"/>
        </w:rPr>
        <w:t xml:space="preserve">. </w:t>
      </w:r>
      <w:r>
        <w:rPr>
          <w:rFonts w:ascii="Verdana" w:hAnsi="Verdana" w:cs="Courier New"/>
          <w:spacing w:val="-3"/>
          <w:sz w:val="18"/>
        </w:rPr>
        <w:tab/>
        <w:t xml:space="preserve">A.A. Cançado Trindade, </w:t>
      </w:r>
      <w:r>
        <w:rPr>
          <w:rFonts w:ascii="Verdana" w:hAnsi="Verdana" w:cs="Courier New"/>
          <w:i/>
          <w:iCs/>
          <w:spacing w:val="-3"/>
          <w:sz w:val="18"/>
        </w:rPr>
        <w:t>Bases para un Proyecto de Protocolo a la Convención Americana sobre Derechos Humanos, para Fortalecer Su Mecanismo de Protección</w:t>
      </w:r>
      <w:r>
        <w:rPr>
          <w:rFonts w:ascii="Verdana" w:hAnsi="Verdana" w:cs="Courier New"/>
          <w:spacing w:val="-3"/>
          <w:sz w:val="18"/>
        </w:rPr>
        <w:t>, vol. II, 2a. ed., San José de Costa Rica, Corte Interamericana de Derechos Humanos, 2003, pp. 1-1015.</w:t>
      </w:r>
    </w:p>
    <w:p w:rsidR="00F6485C" w:rsidRDefault="002F1DA8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cs="Courier New"/>
          <w:spacing w:val="-3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2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  <w:endnote w:id="1"/>
  </w:endnotePr>
  <w:compat>
    <w:noTabHangInd/>
    <w:noColumnBalance/>
    <w:suppressTopSpacingWP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40EF"/>
    <w:rsid w:val="000040EF"/>
    <w:rsid w:val="002F1DA8"/>
    <w:rsid w:val="00EC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keepLines/>
      <w:tabs>
        <w:tab w:val="left" w:pos="-720"/>
      </w:tabs>
      <w:suppressAutoHyphens/>
      <w:spacing w:line="240" w:lineRule="atLeast"/>
      <w:outlineLvl w:val="0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keepLines/>
      <w:tabs>
        <w:tab w:val="left" w:pos="-720"/>
      </w:tabs>
      <w:suppressAutoHyphens/>
      <w:spacing w:line="240" w:lineRule="atLeast"/>
      <w:jc w:val="center"/>
      <w:outlineLvl w:val="1"/>
    </w:pPr>
    <w:rPr>
      <w:rFonts w:ascii="Bauhaus 93" w:hAnsi="Bauhaus 93" w:cs="Bauhaus 93"/>
      <w:b/>
      <w:bCs/>
      <w:lang w:val="en-US"/>
    </w:rPr>
  </w:style>
  <w:style w:type="paragraph" w:styleId="Ttulo3">
    <w:name w:val="heading 3"/>
    <w:basedOn w:val="Normal"/>
    <w:next w:val="Normal"/>
    <w:qFormat/>
    <w:pPr>
      <w:keepNext/>
      <w:keepLines/>
      <w:tabs>
        <w:tab w:val="left" w:pos="-720"/>
      </w:tabs>
      <w:suppressAutoHyphens/>
      <w:spacing w:line="240" w:lineRule="atLeast"/>
      <w:jc w:val="center"/>
      <w:outlineLvl w:val="2"/>
    </w:pPr>
    <w:rPr>
      <w:rFonts w:ascii="Bauhaus 93" w:hAnsi="Bauhaus 93" w:cs="Bauhaus 93"/>
      <w:b/>
      <w:bCs/>
      <w:lang w:val="es-ES_tradnl"/>
    </w:rPr>
  </w:style>
  <w:style w:type="paragraph" w:styleId="Ttulo4">
    <w:name w:val="heading 4"/>
    <w:basedOn w:val="Normal"/>
    <w:next w:val="Normal"/>
    <w:qFormat/>
    <w:pPr>
      <w:tabs>
        <w:tab w:val="left" w:pos="-720"/>
      </w:tabs>
      <w:suppressAutoHyphens/>
      <w:spacing w:line="240" w:lineRule="atLeast"/>
      <w:outlineLvl w:val="3"/>
    </w:pPr>
    <w:rPr>
      <w:rFonts w:ascii="Times New Roman" w:hAnsi="Times New Roman" w:cs="Times New Roman"/>
      <w:shadow/>
      <w:u w:val="single"/>
    </w:rPr>
  </w:style>
  <w:style w:type="paragraph" w:styleId="Ttulo5">
    <w:name w:val="heading 5"/>
    <w:basedOn w:val="Normal"/>
    <w:next w:val="Normal"/>
    <w:qFormat/>
    <w:pPr>
      <w:tabs>
        <w:tab w:val="left" w:pos="-720"/>
      </w:tabs>
      <w:suppressAutoHyphens/>
      <w:spacing w:line="240" w:lineRule="atLeast"/>
      <w:outlineLvl w:val="4"/>
    </w:pPr>
    <w:rPr>
      <w:b/>
      <w:bCs/>
      <w:shadow/>
    </w:rPr>
  </w:style>
  <w:style w:type="paragraph" w:styleId="Ttulo6">
    <w:name w:val="heading 6"/>
    <w:basedOn w:val="Normal"/>
    <w:next w:val="Normal"/>
    <w:qFormat/>
    <w:pPr>
      <w:tabs>
        <w:tab w:val="left" w:pos="-720"/>
      </w:tabs>
      <w:suppressAutoHyphens/>
      <w:spacing w:line="240" w:lineRule="atLeast"/>
      <w:outlineLvl w:val="5"/>
    </w:pPr>
    <w:rPr>
      <w:shadow/>
      <w:u w:val="single"/>
    </w:rPr>
  </w:style>
  <w:style w:type="paragraph" w:styleId="Ttulo7">
    <w:name w:val="heading 7"/>
    <w:basedOn w:val="Normal"/>
    <w:next w:val="Normal"/>
    <w:qFormat/>
    <w:pPr>
      <w:tabs>
        <w:tab w:val="left" w:pos="-720"/>
      </w:tabs>
      <w:suppressAutoHyphens/>
      <w:spacing w:line="240" w:lineRule="atLeast"/>
      <w:outlineLvl w:val="6"/>
    </w:pPr>
    <w:rPr>
      <w:i/>
      <w:iCs/>
      <w:shadow/>
    </w:rPr>
  </w:style>
  <w:style w:type="paragraph" w:styleId="Ttulo8">
    <w:name w:val="heading 8"/>
    <w:basedOn w:val="Normal"/>
    <w:next w:val="Normal"/>
    <w:qFormat/>
    <w:pPr>
      <w:tabs>
        <w:tab w:val="left" w:pos="-720"/>
      </w:tabs>
      <w:suppressAutoHyphens/>
      <w:spacing w:line="240" w:lineRule="atLeast"/>
      <w:outlineLvl w:val="7"/>
    </w:pPr>
    <w:rPr>
      <w:i/>
      <w:iCs/>
      <w:shadow/>
    </w:rPr>
  </w:style>
  <w:style w:type="paragraph" w:styleId="Ttulo9">
    <w:name w:val="heading 9"/>
    <w:basedOn w:val="Normal"/>
    <w:next w:val="Normal"/>
    <w:qFormat/>
    <w:pPr>
      <w:tabs>
        <w:tab w:val="left" w:pos="-720"/>
      </w:tabs>
      <w:suppressAutoHyphens/>
      <w:spacing w:line="240" w:lineRule="atLeast"/>
      <w:outlineLvl w:val="8"/>
    </w:pPr>
    <w:rPr>
      <w:i/>
      <w:iCs/>
      <w:shadow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rFonts w:cs="Times New Roman"/>
    </w:rPr>
  </w:style>
  <w:style w:type="character" w:styleId="Refdenotaalfinal">
    <w:name w:val="endnote reference"/>
    <w:semiHidden/>
    <w:rPr>
      <w:rFonts w:ascii="Times New Roman" w:hAnsi="Times New Roman" w:cs="Times New Roman"/>
      <w:sz w:val="24"/>
      <w:szCs w:val="24"/>
      <w:vertAlign w:val="superscript"/>
      <w:lang w:val="en-US"/>
    </w:rPr>
  </w:style>
  <w:style w:type="paragraph" w:customStyle="1" w:styleId="Textodenotaalpie">
    <w:name w:val="Texto de nota al pie"/>
    <w:basedOn w:val="Normal"/>
    <w:rPr>
      <w:rFonts w:cs="Times New Roman"/>
    </w:rPr>
  </w:style>
  <w:style w:type="character" w:styleId="Refdenotaalpie">
    <w:name w:val="footnote reference"/>
    <w:semiHidden/>
    <w:rPr>
      <w:rFonts w:ascii="Times New Roman" w:hAnsi="Times New Roman" w:cs="Times New Roman"/>
      <w:sz w:val="24"/>
      <w:szCs w:val="24"/>
      <w:vertAlign w:val="superscript"/>
      <w:lang w:val="en-US"/>
    </w:rPr>
  </w:style>
  <w:style w:type="character" w:customStyle="1" w:styleId="Document8">
    <w:name w:val="Document 8"/>
    <w:basedOn w:val="Fuentedeprrafopredeter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Fuentedeprrafopredeter"/>
  </w:style>
  <w:style w:type="character" w:customStyle="1" w:styleId="Document5">
    <w:name w:val="Document 5"/>
    <w:basedOn w:val="Fuentedeprrafopredeter"/>
  </w:style>
  <w:style w:type="character" w:customStyle="1" w:styleId="Document2">
    <w:name w:val="Document 2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basedOn w:val="Fuentedeprrafopredeter"/>
  </w:style>
  <w:style w:type="character" w:customStyle="1" w:styleId="Bibliogrphy">
    <w:name w:val="Bibliogrphy"/>
    <w:basedOn w:val="Fuentedeprrafopredeter"/>
  </w:style>
  <w:style w:type="character" w:customStyle="1" w:styleId="RightPar1">
    <w:name w:val="Right Par 1"/>
    <w:basedOn w:val="Fuentedeprrafopredeter"/>
  </w:style>
  <w:style w:type="character" w:customStyle="1" w:styleId="RightPar2">
    <w:name w:val="Right Par 2"/>
    <w:basedOn w:val="Fuentedeprrafopredeter"/>
  </w:style>
  <w:style w:type="character" w:customStyle="1" w:styleId="Document3">
    <w:name w:val="Document 3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basedOn w:val="Fuentedeprrafopredeter"/>
  </w:style>
  <w:style w:type="character" w:customStyle="1" w:styleId="RightPar4">
    <w:name w:val="Right Par 4"/>
    <w:basedOn w:val="Fuentedeprrafopredeter"/>
  </w:style>
  <w:style w:type="character" w:customStyle="1" w:styleId="RightPar5">
    <w:name w:val="Right Par 5"/>
    <w:basedOn w:val="Fuentedeprrafopredeter"/>
  </w:style>
  <w:style w:type="character" w:customStyle="1" w:styleId="RightPar6">
    <w:name w:val="Right Par 6"/>
    <w:basedOn w:val="Fuentedeprrafopredeter"/>
  </w:style>
  <w:style w:type="character" w:customStyle="1" w:styleId="RightPar7">
    <w:name w:val="Right Par 7"/>
    <w:basedOn w:val="Fuentedeprrafopredeter"/>
  </w:style>
  <w:style w:type="character" w:customStyle="1" w:styleId="RightPar8">
    <w:name w:val="Right Par 8"/>
    <w:basedOn w:val="Fuentedeprrafopredeter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character" w:customStyle="1" w:styleId="DocInit">
    <w:name w:val="Doc Init"/>
    <w:basedOn w:val="Fuentedeprrafopredeter"/>
  </w:style>
  <w:style w:type="character" w:customStyle="1" w:styleId="TechInit">
    <w:name w:val="Tech Init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basedOn w:val="Fuentedeprrafopredeter"/>
  </w:style>
  <w:style w:type="character" w:customStyle="1" w:styleId="Technical6">
    <w:name w:val="Technical 6"/>
    <w:basedOn w:val="Fuentedeprrafopredeter"/>
  </w:style>
  <w:style w:type="character" w:customStyle="1" w:styleId="Technical2">
    <w:name w:val="Technical 2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basedOn w:val="Fuentedeprrafopredeter"/>
  </w:style>
  <w:style w:type="character" w:customStyle="1" w:styleId="Technical1">
    <w:name w:val="Technical 1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basedOn w:val="Fuentedeprrafopredeter"/>
  </w:style>
  <w:style w:type="character" w:customStyle="1" w:styleId="Technical8">
    <w:name w:val="Technical 8"/>
    <w:basedOn w:val="Fuentedeprrafopredeter"/>
  </w:style>
  <w:style w:type="character" w:customStyle="1" w:styleId="DefaultParagraphFo">
    <w:name w:val="Default Paragraph Fo"/>
    <w:basedOn w:val="Fuentedeprrafopredeter"/>
  </w:style>
  <w:style w:type="paragraph" w:styleId="Textonotapie">
    <w:name w:val="footnote text"/>
    <w:basedOn w:val="Normal"/>
    <w:semiHidden/>
    <w:pPr>
      <w:tabs>
        <w:tab w:val="left" w:pos="-720"/>
      </w:tabs>
      <w:suppressAutoHyphens/>
      <w:spacing w:line="240" w:lineRule="atLeast"/>
    </w:pPr>
    <w:rPr>
      <w:lang w:val="es-ES_tradnl"/>
    </w:rPr>
  </w:style>
  <w:style w:type="paragraph" w:styleId="Piedepgina">
    <w:name w:val="footer"/>
    <w:basedOn w:val="Normal"/>
    <w:pPr>
      <w:tabs>
        <w:tab w:val="left" w:pos="0"/>
        <w:tab w:val="center" w:pos="4251"/>
        <w:tab w:val="right" w:pos="8503"/>
        <w:tab w:val="left" w:pos="8640"/>
      </w:tabs>
      <w:suppressAutoHyphens/>
      <w:spacing w:line="240" w:lineRule="atLeast"/>
    </w:pPr>
    <w:rPr>
      <w:shadow/>
    </w:rPr>
  </w:style>
  <w:style w:type="paragraph" w:styleId="Encabezado">
    <w:name w:val="header"/>
    <w:basedOn w:val="Normal"/>
    <w:pPr>
      <w:tabs>
        <w:tab w:val="left" w:pos="0"/>
        <w:tab w:val="center" w:pos="4251"/>
        <w:tab w:val="right" w:pos="8503"/>
        <w:tab w:val="left" w:pos="8640"/>
      </w:tabs>
      <w:suppressAutoHyphens/>
      <w:spacing w:line="240" w:lineRule="atLeast"/>
    </w:pPr>
    <w:rPr>
      <w:shadow/>
    </w:rPr>
  </w:style>
  <w:style w:type="character" w:customStyle="1" w:styleId="footnotetex">
    <w:name w:val="footnote tex"/>
    <w:rPr>
      <w:rFonts w:ascii="Times New Roman" w:hAnsi="Times New Roman" w:cs="Times New Roman"/>
      <w:sz w:val="20"/>
      <w:szCs w:val="20"/>
      <w:lang w:val="en-US"/>
    </w:rPr>
  </w:style>
  <w:style w:type="paragraph" w:styleId="TDC8">
    <w:name w:val="toc 8"/>
    <w:basedOn w:val="Normal"/>
    <w:next w:val="Normal"/>
    <w:autoRedefine/>
    <w:semiHidden/>
    <w:pPr>
      <w:tabs>
        <w:tab w:val="left" w:pos="0"/>
        <w:tab w:val="left" w:pos="360"/>
        <w:tab w:val="left" w:pos="8640"/>
      </w:tabs>
      <w:suppressAutoHyphens/>
      <w:spacing w:line="240" w:lineRule="atLeast"/>
    </w:pPr>
    <w:rPr>
      <w:lang w:val="en-US"/>
    </w:rPr>
  </w:style>
  <w:style w:type="paragraph" w:styleId="TDC7">
    <w:name w:val="toc 7"/>
    <w:basedOn w:val="Normal"/>
    <w:next w:val="Normal"/>
    <w:autoRedefine/>
    <w:semiHidden/>
    <w:pPr>
      <w:tabs>
        <w:tab w:val="left" w:pos="-720"/>
      </w:tabs>
      <w:suppressAutoHyphens/>
      <w:spacing w:line="240" w:lineRule="atLeast"/>
    </w:pPr>
    <w:rPr>
      <w:lang w:val="en-US"/>
    </w:rPr>
  </w:style>
  <w:style w:type="paragraph" w:styleId="TDC6">
    <w:name w:val="toc 6"/>
    <w:basedOn w:val="Normal"/>
    <w:next w:val="Normal"/>
    <w:autoRedefine/>
    <w:semiHidden/>
    <w:pPr>
      <w:tabs>
        <w:tab w:val="left" w:pos="0"/>
        <w:tab w:val="left" w:pos="360"/>
        <w:tab w:val="left" w:pos="8640"/>
      </w:tabs>
      <w:suppressAutoHyphens/>
      <w:spacing w:line="240" w:lineRule="atLeast"/>
    </w:pPr>
    <w:rPr>
      <w:lang w:val="en-US"/>
    </w:rPr>
  </w:style>
  <w:style w:type="paragraph" w:styleId="TDC5">
    <w:name w:val="toc 5"/>
    <w:basedOn w:val="Normal"/>
    <w:next w:val="Normal"/>
    <w:autoRedefine/>
    <w:semiHidden/>
    <w:pPr>
      <w:tabs>
        <w:tab w:val="left" w:pos="0"/>
        <w:tab w:val="left" w:pos="360"/>
        <w:tab w:val="left" w:pos="2520"/>
        <w:tab w:val="left" w:pos="3240"/>
        <w:tab w:val="left" w:leader="dot" w:pos="8640"/>
      </w:tabs>
      <w:suppressAutoHyphens/>
      <w:spacing w:line="240" w:lineRule="atLeast"/>
    </w:pPr>
    <w:rPr>
      <w:lang w:val="en-US"/>
    </w:rPr>
  </w:style>
  <w:style w:type="paragraph" w:styleId="TDC4">
    <w:name w:val="toc 4"/>
    <w:basedOn w:val="Normal"/>
    <w:next w:val="Normal"/>
    <w:autoRedefine/>
    <w:semiHidden/>
    <w:pPr>
      <w:tabs>
        <w:tab w:val="left" w:pos="0"/>
        <w:tab w:val="left" w:pos="360"/>
        <w:tab w:val="left" w:pos="1800"/>
        <w:tab w:val="left" w:pos="2520"/>
        <w:tab w:val="left" w:leader="dot" w:pos="8640"/>
      </w:tabs>
      <w:suppressAutoHyphens/>
      <w:spacing w:line="240" w:lineRule="atLeast"/>
    </w:pPr>
    <w:rPr>
      <w:lang w:val="en-US"/>
    </w:rPr>
  </w:style>
  <w:style w:type="paragraph" w:styleId="TDC3">
    <w:name w:val="toc 3"/>
    <w:basedOn w:val="Normal"/>
    <w:next w:val="Normal"/>
    <w:autoRedefine/>
    <w:semiHidden/>
    <w:pPr>
      <w:tabs>
        <w:tab w:val="left" w:pos="0"/>
        <w:tab w:val="left" w:pos="360"/>
        <w:tab w:val="left" w:pos="1080"/>
        <w:tab w:val="left" w:pos="1800"/>
        <w:tab w:val="left" w:leader="dot" w:pos="8640"/>
      </w:tabs>
      <w:suppressAutoHyphens/>
      <w:spacing w:line="240" w:lineRule="atLeast"/>
    </w:pPr>
    <w:rPr>
      <w:lang w:val="en-US"/>
    </w:rPr>
  </w:style>
  <w:style w:type="paragraph" w:styleId="TDC2">
    <w:name w:val="toc 2"/>
    <w:basedOn w:val="Normal"/>
    <w:next w:val="Normal"/>
    <w:autoRedefine/>
    <w:semiHidden/>
    <w:pPr>
      <w:tabs>
        <w:tab w:val="left" w:pos="0"/>
        <w:tab w:val="left" w:pos="360"/>
        <w:tab w:val="left" w:pos="1080"/>
        <w:tab w:val="left" w:leader="dot" w:pos="8640"/>
      </w:tabs>
      <w:suppressAutoHyphens/>
      <w:spacing w:line="240" w:lineRule="atLeast"/>
    </w:pPr>
    <w:rPr>
      <w:lang w:val="en-US"/>
    </w:rPr>
  </w:style>
  <w:style w:type="paragraph" w:styleId="TDC1">
    <w:name w:val="toc 1"/>
    <w:basedOn w:val="Normal"/>
    <w:next w:val="Normal"/>
    <w:autoRedefine/>
    <w:semiHidden/>
    <w:pPr>
      <w:tabs>
        <w:tab w:val="left" w:pos="0"/>
        <w:tab w:val="left" w:pos="360"/>
        <w:tab w:val="left" w:leader="dot" w:pos="8640"/>
      </w:tabs>
      <w:suppressAutoHyphens/>
      <w:spacing w:line="240" w:lineRule="atLeast"/>
    </w:pPr>
    <w:rPr>
      <w:lang w:val="en-US"/>
    </w:rPr>
  </w:style>
  <w:style w:type="paragraph" w:styleId="TDC9">
    <w:name w:val="toc 9"/>
    <w:basedOn w:val="Normal"/>
    <w:next w:val="Normal"/>
    <w:autoRedefine/>
    <w:semiHidden/>
    <w:pPr>
      <w:tabs>
        <w:tab w:val="left" w:pos="0"/>
        <w:tab w:val="left" w:pos="360"/>
        <w:tab w:val="left" w:leader="dot" w:pos="8640"/>
      </w:tabs>
      <w:suppressAutoHyphens/>
      <w:spacing w:line="240" w:lineRule="atLeast"/>
    </w:pPr>
    <w:rPr>
      <w:lang w:val="en-US"/>
    </w:rPr>
  </w:style>
  <w:style w:type="character" w:styleId="Nmerodepgina">
    <w:name w:val="page number"/>
    <w:basedOn w:val="Fuentedeprrafopredeter"/>
  </w:style>
  <w:style w:type="paragraph" w:customStyle="1" w:styleId="Document">
    <w:name w:val="Docum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center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">
    <w:name w:val="Right Par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">
    <w:name w:val="Technical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PPENDIX">
    <w:name w:val="APPENDIX"/>
    <w:pPr>
      <w:widowControl w:val="0"/>
      <w:tabs>
        <w:tab w:val="left" w:pos="0"/>
        <w:tab w:val="left" w:pos="720"/>
        <w:tab w:val="left" w:pos="1200"/>
        <w:tab w:val="left" w:pos="1680"/>
        <w:tab w:val="right" w:pos="2280"/>
        <w:tab w:val="left" w:pos="252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PROPOSAL">
    <w:name w:val="PROPOSAL"/>
    <w:pPr>
      <w:widowControl w:val="0"/>
      <w:tabs>
        <w:tab w:val="left" w:pos="0"/>
        <w:tab w:val="left" w:pos="720"/>
        <w:tab w:val="left" w:pos="1200"/>
        <w:tab w:val="left" w:pos="1680"/>
        <w:tab w:val="right" w:pos="2280"/>
        <w:tab w:val="left" w:pos="25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MASTER">
    <w:name w:val="MASTER"/>
    <w:pPr>
      <w:widowControl w:val="0"/>
      <w:tabs>
        <w:tab w:val="left" w:pos="0"/>
        <w:tab w:val="left" w:pos="720"/>
        <w:tab w:val="left" w:pos="1200"/>
        <w:tab w:val="left" w:pos="1680"/>
        <w:tab w:val="right" w:pos="2280"/>
        <w:tab w:val="left" w:pos="252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REGTABLE">
    <w:name w:val="REGTABLE"/>
    <w:pPr>
      <w:widowControl w:val="0"/>
      <w:tabs>
        <w:tab w:val="left" w:pos="0"/>
        <w:tab w:val="left" w:pos="1200"/>
        <w:tab w:val="left" w:pos="1320"/>
        <w:tab w:val="left" w:pos="1680"/>
        <w:tab w:val="left" w:pos="1800"/>
        <w:tab w:val="left" w:pos="2160"/>
        <w:tab w:val="left" w:pos="2280"/>
        <w:tab w:val="left" w:pos="288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LIST">
    <w:name w:val="LIST"/>
    <w:pPr>
      <w:widowControl w:val="0"/>
      <w:tabs>
        <w:tab w:val="left" w:pos="1200"/>
        <w:tab w:val="left" w:pos="180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center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ESET">
    <w:name w:val="RESET"/>
    <w:pPr>
      <w:widowControl w:val="0"/>
      <w:tabs>
        <w:tab w:val="left" w:pos="0"/>
        <w:tab w:val="left" w:pos="720"/>
        <w:tab w:val="left" w:pos="1200"/>
        <w:tab w:val="left" w:pos="1680"/>
        <w:tab w:val="right" w:pos="2280"/>
        <w:tab w:val="left" w:pos="252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CONTENTS">
    <w:name w:val="CONTENTS"/>
    <w:pPr>
      <w:widowControl w:val="0"/>
      <w:tabs>
        <w:tab w:val="left" w:pos="0"/>
        <w:tab w:val="left" w:pos="720"/>
        <w:tab w:val="left" w:pos="1200"/>
        <w:tab w:val="left" w:pos="168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DUAL">
    <w:name w:val="DUAL"/>
    <w:pPr>
      <w:widowControl w:val="0"/>
      <w:tabs>
        <w:tab w:val="left" w:pos="0"/>
        <w:tab w:val="left" w:pos="1320"/>
        <w:tab w:val="left" w:pos="5640"/>
        <w:tab w:val="left" w:pos="57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LONGTABLE">
    <w:name w:val="LONGTABLE"/>
    <w:pPr>
      <w:widowControl w:val="0"/>
      <w:tabs>
        <w:tab w:val="left" w:pos="0"/>
        <w:tab w:val="left" w:pos="480"/>
        <w:tab w:val="left" w:pos="96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OMAN">
    <w:name w:val="ROMAN"/>
    <w:pPr>
      <w:widowControl w:val="0"/>
      <w:tabs>
        <w:tab w:val="left" w:pos="0"/>
        <w:tab w:val="left" w:pos="1668"/>
        <w:tab w:val="right" w:pos="1920"/>
        <w:tab w:val="left" w:pos="2160"/>
        <w:tab w:val="left" w:pos="2628"/>
        <w:tab w:val="left" w:pos="3108"/>
        <w:tab w:val="left" w:pos="360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DRAFT">
    <w:name w:val="DRAFT"/>
    <w:pPr>
      <w:widowControl w:val="0"/>
      <w:tabs>
        <w:tab w:val="left" w:pos="0"/>
        <w:tab w:val="left" w:pos="720"/>
        <w:tab w:val="left" w:pos="1200"/>
        <w:tab w:val="left" w:pos="1680"/>
        <w:tab w:val="right" w:pos="2280"/>
        <w:tab w:val="left" w:pos="25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ANNEX">
    <w:name w:val="ANNEX"/>
    <w:pPr>
      <w:widowControl w:val="0"/>
      <w:tabs>
        <w:tab w:val="left" w:pos="0"/>
        <w:tab w:val="left" w:pos="720"/>
        <w:tab w:val="left" w:pos="1200"/>
        <w:tab w:val="left" w:pos="1680"/>
        <w:tab w:val="right" w:pos="2280"/>
        <w:tab w:val="left" w:pos="25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TABLE">
    <w:name w:val="TABLE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center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ITLE">
    <w:name w:val="TITLE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EXSUMMARY">
    <w:name w:val="EX SUMMARY"/>
    <w:pPr>
      <w:widowControl w:val="0"/>
      <w:tabs>
        <w:tab w:val="left" w:pos="0"/>
        <w:tab w:val="left" w:pos="1194"/>
        <w:tab w:val="left" w:pos="2880"/>
        <w:tab w:val="left" w:pos="3360"/>
        <w:tab w:val="left" w:pos="588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PORTADA">
    <w:name w:val="PORTADA"/>
    <w:pPr>
      <w:widowControl w:val="0"/>
      <w:tabs>
        <w:tab w:val="left" w:pos="0"/>
        <w:tab w:val="left" w:pos="600"/>
        <w:tab w:val="left" w:pos="720"/>
        <w:tab w:val="left" w:pos="1200"/>
        <w:tab w:val="left" w:pos="1680"/>
        <w:tab w:val="left" w:pos="1800"/>
        <w:tab w:val="left" w:pos="228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Init1">
    <w:name w:val="Init 1"/>
    <w:pPr>
      <w:widowControl w:val="0"/>
      <w:tabs>
        <w:tab w:val="left" w:pos="0"/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Init2">
    <w:name w:val="Init 2"/>
    <w:pPr>
      <w:widowControl w:val="0"/>
      <w:tabs>
        <w:tab w:val="left" w:pos="0"/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Init3">
    <w:name w:val="Init 3"/>
    <w:pPr>
      <w:widowControl w:val="0"/>
      <w:tabs>
        <w:tab w:val="left" w:pos="0"/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Init4">
    <w:name w:val="Init 4"/>
    <w:pPr>
      <w:widowControl w:val="0"/>
      <w:tabs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righ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Init5">
    <w:name w:val="Init 5"/>
    <w:pPr>
      <w:widowControl w:val="0"/>
      <w:tabs>
        <w:tab w:val="left" w:pos="0"/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Init6">
    <w:name w:val="Init 6"/>
    <w:pPr>
      <w:widowControl w:val="0"/>
      <w:tabs>
        <w:tab w:val="left" w:pos="0"/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Init7">
    <w:name w:val="Init 7"/>
    <w:pPr>
      <w:widowControl w:val="0"/>
      <w:tabs>
        <w:tab w:val="left" w:pos="600"/>
        <w:tab w:val="left" w:pos="1200"/>
        <w:tab w:val="left" w:pos="1800"/>
        <w:tab w:val="left" w:pos="4320"/>
        <w:tab w:val="left" w:pos="6240"/>
        <w:tab w:val="right" w:pos="8760"/>
        <w:tab w:val="left" w:pos="9360"/>
      </w:tabs>
      <w:suppressAutoHyphens/>
      <w:autoSpaceDE w:val="0"/>
      <w:autoSpaceDN w:val="0"/>
      <w:adjustRightInd w:val="0"/>
      <w:spacing w:line="240" w:lineRule="atLeast"/>
      <w:jc w:val="righ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negritamayuscula">
    <w:name w:val="negrita mayuscula"/>
    <w:pPr>
      <w:widowControl w:val="0"/>
      <w:tabs>
        <w:tab w:val="left" w:pos="0"/>
        <w:tab w:val="left" w:pos="1119"/>
        <w:tab w:val="left" w:pos="144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US" w:eastAsia="es-ES"/>
    </w:rPr>
  </w:style>
  <w:style w:type="paragraph" w:customStyle="1" w:styleId="1">
    <w:name w:val="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styleId="Encabezadodelista">
    <w:name w:val="toa heading"/>
    <w:basedOn w:val="Normal"/>
    <w:next w:val="Normal"/>
    <w:semiHidden/>
    <w:pPr>
      <w:tabs>
        <w:tab w:val="left" w:pos="0"/>
        <w:tab w:val="left" w:pos="360"/>
        <w:tab w:val="left" w:pos="8640"/>
        <w:tab w:val="right" w:pos="9000"/>
        <w:tab w:val="left" w:pos="9360"/>
      </w:tabs>
      <w:suppressAutoHyphens/>
      <w:spacing w:line="240" w:lineRule="atLeast"/>
    </w:pPr>
    <w:rPr>
      <w:lang w:val="en-US"/>
    </w:rPr>
  </w:style>
  <w:style w:type="paragraph" w:styleId="Epgrafe">
    <w:name w:val="caption"/>
    <w:basedOn w:val="Normal"/>
    <w:next w:val="Normal"/>
    <w:qFormat/>
    <w:pPr>
      <w:tabs>
        <w:tab w:val="left" w:pos="-720"/>
      </w:tabs>
      <w:suppressAutoHyphens/>
      <w:spacing w:line="240" w:lineRule="atLeast"/>
    </w:pPr>
    <w:rPr>
      <w:lang w:val="en-US"/>
    </w:rPr>
  </w:style>
  <w:style w:type="paragraph" w:customStyle="1" w:styleId="EquationCaption">
    <w:name w:val="_Equation Cap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efaultParagraphF">
    <w:name w:val="Default Paragraph F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8a">
    <w:name w:val="Document 8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4a">
    <w:name w:val="Document 4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6a">
    <w:name w:val="Document 6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5a">
    <w:name w:val="Document 5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2a">
    <w:name w:val="Document 2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7a">
    <w:name w:val="Document 7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1a">
    <w:name w:val="Right Par 1a"/>
    <w:pPr>
      <w:widowControl w:val="0"/>
      <w:tabs>
        <w:tab w:val="left" w:pos="72"/>
        <w:tab w:val="decimal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2a">
    <w:name w:val="Right Par 2a"/>
    <w:pPr>
      <w:widowControl w:val="0"/>
      <w:tabs>
        <w:tab w:val="left" w:pos="0"/>
        <w:tab w:val="left" w:pos="360"/>
        <w:tab w:val="left" w:pos="648"/>
        <w:tab w:val="decimal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3a">
    <w:name w:val="Document 3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3a">
    <w:name w:val="Right Par 3a"/>
    <w:pPr>
      <w:widowControl w:val="0"/>
      <w:tabs>
        <w:tab w:val="left" w:pos="0"/>
        <w:tab w:val="left" w:pos="360"/>
        <w:tab w:val="left" w:pos="1080"/>
        <w:tab w:val="left" w:pos="1368"/>
        <w:tab w:val="decimal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4a">
    <w:name w:val="Right Par 4a"/>
    <w:pPr>
      <w:widowControl w:val="0"/>
      <w:tabs>
        <w:tab w:val="left" w:pos="0"/>
        <w:tab w:val="left" w:pos="360"/>
        <w:tab w:val="left" w:pos="1080"/>
        <w:tab w:val="left" w:pos="1800"/>
        <w:tab w:val="left" w:pos="2088"/>
        <w:tab w:val="decimal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5a">
    <w:name w:val="Right Par 5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2664"/>
        <w:tab w:val="decimal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6a">
    <w:name w:val="Right Par 6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384"/>
        <w:tab w:val="decimal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7a">
    <w:name w:val="Right Par 7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248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8a">
    <w:name w:val="Right Par 8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4968"/>
        <w:tab w:val="decimal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1a">
    <w:name w:val="Document 1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5a">
    <w:name w:val="Technical 5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6a">
    <w:name w:val="Technical 6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2a">
    <w:name w:val="Technical 2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3a">
    <w:name w:val="Technical 3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4a">
    <w:name w:val="Technical 4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1a">
    <w:name w:val="Technical 1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7a">
    <w:name w:val="Technical 7a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6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JOBSTYLE">
    <w:name w:val="JOBSTYLE"/>
    <w:pPr>
      <w:widowControl w:val="0"/>
      <w:tabs>
        <w:tab w:val="left" w:pos="0"/>
        <w:tab w:val="left" w:pos="566"/>
        <w:tab w:val="left" w:pos="1134"/>
        <w:tab w:val="left" w:pos="6236"/>
        <w:tab w:val="left" w:pos="6797"/>
        <w:tab w:val="left" w:pos="7363"/>
        <w:tab w:val="left" w:pos="7929"/>
        <w:tab w:val="left" w:pos="8496"/>
        <w:tab w:val="left" w:pos="9062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en-GB" w:eastAsia="es-ES"/>
    </w:rPr>
  </w:style>
  <w:style w:type="paragraph" w:customStyle="1" w:styleId="analtico1">
    <w:name w:val="analítico 1"/>
    <w:pPr>
      <w:widowControl w:val="0"/>
      <w:tabs>
        <w:tab w:val="left" w:pos="0"/>
        <w:tab w:val="left" w:pos="72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2">
    <w:name w:val="analítico 2"/>
    <w:pPr>
      <w:widowControl w:val="0"/>
      <w:tabs>
        <w:tab w:val="left" w:pos="720"/>
        <w:tab w:val="left" w:pos="144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3">
    <w:name w:val="analítico 3"/>
    <w:pPr>
      <w:widowControl w:val="0"/>
      <w:tabs>
        <w:tab w:val="left" w:pos="720"/>
        <w:tab w:val="left" w:pos="1440"/>
        <w:tab w:val="left" w:pos="216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4">
    <w:name w:val="analítico 4"/>
    <w:pPr>
      <w:widowControl w:val="0"/>
      <w:tabs>
        <w:tab w:val="left" w:pos="720"/>
        <w:tab w:val="left" w:pos="2160"/>
        <w:tab w:val="left" w:pos="288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5">
    <w:name w:val="analítico 5"/>
    <w:pPr>
      <w:widowControl w:val="0"/>
      <w:tabs>
        <w:tab w:val="left" w:pos="720"/>
        <w:tab w:val="left" w:pos="2880"/>
        <w:tab w:val="left" w:pos="360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6">
    <w:name w:val="analítico 6"/>
    <w:pPr>
      <w:widowControl w:val="0"/>
      <w:tabs>
        <w:tab w:val="left" w:pos="0"/>
        <w:tab w:val="left" w:pos="720"/>
        <w:tab w:val="lef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7">
    <w:name w:val="analítico 7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8">
    <w:name w:val="analítico 8"/>
    <w:pPr>
      <w:widowControl w:val="0"/>
      <w:tabs>
        <w:tab w:val="left" w:pos="0"/>
        <w:tab w:val="left" w:pos="720"/>
        <w:tab w:val="lef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analtico9">
    <w:name w:val="analítico 9"/>
    <w:pPr>
      <w:widowControl w:val="0"/>
      <w:tabs>
        <w:tab w:val="left" w:pos="0"/>
        <w:tab w:val="left" w:pos="72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emissivo1">
    <w:name w:val="remissivo 1"/>
    <w:pPr>
      <w:widowControl w:val="0"/>
      <w:tabs>
        <w:tab w:val="left" w:pos="0"/>
        <w:tab w:val="left" w:pos="720"/>
        <w:tab w:val="left" w:pos="144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emissivo2">
    <w:name w:val="remissivo 2"/>
    <w:pPr>
      <w:widowControl w:val="0"/>
      <w:tabs>
        <w:tab w:val="left" w:pos="720"/>
        <w:tab w:val="left" w:pos="1440"/>
        <w:tab w:val="lef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eservado3">
    <w:name w:val="reservado3"/>
    <w:pPr>
      <w:widowControl w:val="0"/>
      <w:tabs>
        <w:tab w:val="left" w:pos="0"/>
        <w:tab w:val="left" w:pos="900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legenda">
    <w:name w:val="legend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pt-BR" w:eastAsia="es-ES"/>
    </w:rPr>
  </w:style>
  <w:style w:type="paragraph" w:styleId="Textonotaalfinal">
    <w:name w:val="endnote text"/>
    <w:basedOn w:val="Normal"/>
    <w:semiHidden/>
    <w:pPr>
      <w:tabs>
        <w:tab w:val="left" w:pos="-720"/>
      </w:tabs>
      <w:suppressAutoHyphens/>
      <w:spacing w:line="240" w:lineRule="atLeast"/>
    </w:pPr>
    <w:rPr>
      <w:sz w:val="20"/>
      <w:szCs w:val="20"/>
      <w:lang w:val="pt-BR"/>
    </w:rPr>
  </w:style>
  <w:style w:type="paragraph" w:customStyle="1" w:styleId="Textodenotaalfin">
    <w:name w:val="Texto de nota al fi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sz w:val="24"/>
      <w:szCs w:val="24"/>
      <w:lang w:val="es-ES" w:eastAsia="es-ES"/>
    </w:r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240" w:lineRule="atLeast"/>
      <w:jc w:val="center"/>
    </w:pPr>
    <w:rPr>
      <w:rFonts w:ascii="Times New Roman" w:hAnsi="Times New Roman" w:cs="Times New Roman"/>
      <w:b/>
      <w:bCs/>
      <w:lang w:val="en-US"/>
    </w:rPr>
  </w:style>
  <w:style w:type="paragraph" w:styleId="Textoindependiente2">
    <w:name w:val="Body Text 2"/>
    <w:basedOn w:val="Normal"/>
    <w:pPr>
      <w:tabs>
        <w:tab w:val="left" w:pos="-720"/>
      </w:tabs>
      <w:suppressAutoHyphens/>
      <w:spacing w:line="240" w:lineRule="atLeast"/>
      <w:jc w:val="both"/>
    </w:pPr>
    <w:rPr>
      <w:rFonts w:ascii="Times New Roman" w:hAnsi="Times New Roman" w:cs="Times New Roman"/>
      <w:spacing w:val="-3"/>
      <w:lang w:val="en-US"/>
    </w:rPr>
  </w:style>
  <w:style w:type="paragraph" w:styleId="Sangra2detindependiente">
    <w:name w:val="Body Text Indent 2"/>
    <w:basedOn w:val="Normal"/>
    <w:pPr>
      <w:tabs>
        <w:tab w:val="left" w:pos="-720"/>
      </w:tabs>
      <w:suppressAutoHyphens/>
      <w:spacing w:line="240" w:lineRule="atLeast"/>
      <w:jc w:val="both"/>
    </w:pPr>
    <w:rPr>
      <w:rFonts w:ascii="Times New Roman" w:hAnsi="Times New Roman" w:cs="Times New Roman"/>
      <w:b/>
      <w:bCs/>
      <w:spacing w:val="-3"/>
      <w:lang w:val="es-ES_tradnl"/>
    </w:rPr>
  </w:style>
  <w:style w:type="paragraph" w:styleId="Sangranormal">
    <w:name w:val="Normal Indent"/>
    <w:basedOn w:val="Normal"/>
    <w:pPr>
      <w:tabs>
        <w:tab w:val="left" w:pos="-720"/>
      </w:tabs>
      <w:suppressAutoHyphens/>
      <w:spacing w:line="240" w:lineRule="atLeast"/>
      <w:jc w:val="center"/>
    </w:pPr>
    <w:rPr>
      <w:b/>
      <w:bCs/>
      <w:lang w:val="en-US"/>
    </w:rPr>
  </w:style>
  <w:style w:type="paragraph" w:styleId="Subttulo">
    <w:name w:val="Subtitle"/>
    <w:basedOn w:val="Normal"/>
    <w:qFormat/>
    <w:pPr>
      <w:tabs>
        <w:tab w:val="left" w:pos="-720"/>
      </w:tabs>
      <w:suppressAutoHyphens/>
      <w:spacing w:line="240" w:lineRule="atLeast"/>
      <w:jc w:val="center"/>
    </w:pPr>
    <w:rPr>
      <w:rFonts w:ascii="Garamond" w:hAnsi="Garamond" w:cs="Garamond"/>
      <w:b/>
      <w:bCs/>
      <w:smallCaps/>
      <w:sz w:val="28"/>
      <w:szCs w:val="28"/>
      <w:lang w:val="es-ES_tradnl"/>
    </w:rPr>
  </w:style>
  <w:style w:type="paragraph" w:styleId="Textodebloque">
    <w:name w:val="Block Text"/>
    <w:basedOn w:val="Normal"/>
    <w:pPr>
      <w:tabs>
        <w:tab w:val="left" w:pos="-720"/>
      </w:tabs>
      <w:suppressAutoHyphens/>
      <w:spacing w:line="240" w:lineRule="atLeast"/>
      <w:jc w:val="both"/>
    </w:pPr>
    <w:rPr>
      <w:rFonts w:ascii="Times New Roman" w:hAnsi="Times New Roman" w:cs="Times New Roman"/>
      <w:b/>
      <w:bCs/>
      <w:smallCaps/>
      <w:spacing w:val="-2"/>
      <w:sz w:val="20"/>
      <w:szCs w:val="20"/>
      <w:lang w:val="en-US"/>
    </w:rPr>
  </w:style>
  <w:style w:type="paragraph" w:styleId="Sangra3detindependiente">
    <w:name w:val="Body Text Indent 3"/>
    <w:basedOn w:val="Normal"/>
    <w:pPr>
      <w:tabs>
        <w:tab w:val="left" w:pos="-720"/>
      </w:tabs>
      <w:suppressAutoHyphens/>
      <w:spacing w:line="240" w:lineRule="atLeast"/>
      <w:jc w:val="both"/>
    </w:pPr>
    <w:rPr>
      <w:spacing w:val="-3"/>
      <w:lang w:val="en-US"/>
    </w:rPr>
  </w:style>
  <w:style w:type="paragraph" w:styleId="Mapadeldocumento">
    <w:name w:val="Document Map"/>
    <w:basedOn w:val="Normal"/>
    <w:semiHidden/>
    <w:pPr>
      <w:tabs>
        <w:tab w:val="left" w:pos="-720"/>
      </w:tabs>
      <w:suppressAutoHyphens/>
      <w:spacing w:line="240" w:lineRule="atLeast"/>
    </w:pPr>
    <w:rPr>
      <w:rFonts w:ascii="Arial" w:hAnsi="Arial" w:cs="Arial"/>
      <w:lang w:val="en-US"/>
    </w:rPr>
  </w:style>
  <w:style w:type="paragraph" w:customStyle="1" w:styleId="BodyText1">
    <w:name w:val="Body Text 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Bauhaus 93" w:hAnsi="Bauhaus 93" w:cs="Bauhaus 93"/>
      <w:b/>
      <w:bCs/>
      <w:smallCaps/>
      <w:spacing w:val="-3"/>
      <w:sz w:val="24"/>
      <w:szCs w:val="24"/>
      <w:lang w:val="es-ES_tradnl" w:eastAsia="es-ES"/>
    </w:rPr>
  </w:style>
  <w:style w:type="paragraph" w:styleId="Textoindependiente3">
    <w:name w:val="Body Text 3"/>
    <w:basedOn w:val="Normal"/>
    <w:pPr>
      <w:tabs>
        <w:tab w:val="left" w:pos="-720"/>
      </w:tabs>
      <w:suppressAutoHyphens/>
      <w:spacing w:line="240" w:lineRule="atLeast"/>
    </w:pPr>
    <w:rPr>
      <w:b/>
      <w:bCs/>
      <w:smallCaps/>
      <w:lang w:val="en-US"/>
    </w:rPr>
  </w:style>
  <w:style w:type="paragraph" w:styleId="Textosinformato">
    <w:name w:val="Plain Text"/>
    <w:basedOn w:val="Normal"/>
    <w:pPr>
      <w:tabs>
        <w:tab w:val="left" w:pos="-720"/>
      </w:tabs>
      <w:suppressAutoHyphens/>
      <w:spacing w:line="240" w:lineRule="atLeast"/>
    </w:pPr>
    <w:rPr>
      <w:sz w:val="20"/>
      <w:szCs w:val="20"/>
      <w:lang w:val="pt-BR"/>
    </w:rPr>
  </w:style>
  <w:style w:type="character" w:styleId="Refdecomentario">
    <w:name w:val="annotation reference"/>
    <w:basedOn w:val="Fuentedeprrafopredeter"/>
    <w:semiHidden/>
  </w:style>
  <w:style w:type="paragraph" w:styleId="Textocomentario">
    <w:name w:val="annotation text"/>
    <w:basedOn w:val="Normal"/>
    <w:semiHidden/>
    <w:pPr>
      <w:tabs>
        <w:tab w:val="left" w:pos="-720"/>
      </w:tabs>
      <w:suppressAutoHyphens/>
      <w:spacing w:line="240" w:lineRule="atLeast"/>
    </w:pPr>
    <w:rPr>
      <w:sz w:val="20"/>
      <w:szCs w:val="20"/>
      <w:lang w:val="en-US"/>
    </w:rPr>
  </w:style>
  <w:style w:type="paragraph" w:customStyle="1" w:styleId="Technical8a">
    <w:name w:val="Technical 8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  <w:lang w:val="en-US" w:eastAsia="es-ES"/>
    </w:rPr>
  </w:style>
  <w:style w:type="paragraph" w:customStyle="1" w:styleId="a1">
    <w:name w:val="a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8aa">
    <w:name w:val="Document 8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4aa">
    <w:name w:val="Document 4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6aa">
    <w:name w:val="Document 6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5aa">
    <w:name w:val="Document 5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2aa">
    <w:name w:val="Document 2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7aa">
    <w:name w:val="Document 7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1aa">
    <w:name w:val="Right Par 1aa"/>
    <w:pPr>
      <w:widowControl w:val="0"/>
      <w:tabs>
        <w:tab w:val="left" w:pos="48"/>
        <w:tab w:val="decimal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2aa">
    <w:name w:val="Right Par 2aa"/>
    <w:pPr>
      <w:widowControl w:val="0"/>
      <w:tabs>
        <w:tab w:val="left" w:pos="-23"/>
        <w:tab w:val="left" w:pos="336"/>
        <w:tab w:val="left" w:pos="624"/>
        <w:tab w:val="decimal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3aa">
    <w:name w:val="Document 3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3aa">
    <w:name w:val="Right Par 3aa"/>
    <w:pPr>
      <w:widowControl w:val="0"/>
      <w:tabs>
        <w:tab w:val="left" w:pos="-23"/>
        <w:tab w:val="left" w:pos="336"/>
        <w:tab w:val="left" w:pos="1056"/>
        <w:tab w:val="left" w:pos="1344"/>
        <w:tab w:val="decimal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4aa">
    <w:name w:val="Right Par 4aa"/>
    <w:pPr>
      <w:widowControl w:val="0"/>
      <w:tabs>
        <w:tab w:val="left" w:pos="-23"/>
        <w:tab w:val="left" w:pos="336"/>
        <w:tab w:val="left" w:pos="1056"/>
        <w:tab w:val="left" w:pos="1776"/>
        <w:tab w:val="left" w:pos="2064"/>
        <w:tab w:val="decimal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5aa">
    <w:name w:val="Right Par 5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2640"/>
        <w:tab w:val="decimal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6aa">
    <w:name w:val="Right Par 6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360"/>
        <w:tab w:val="decimal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7aa">
    <w:name w:val="Right Par 7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224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RightPar8aa">
    <w:name w:val="Right Par 8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4944"/>
        <w:tab w:val="decimal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Document1aa">
    <w:name w:val="Document 1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5aa">
    <w:name w:val="Technical 5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6aa">
    <w:name w:val="Technical 6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2aa">
    <w:name w:val="Technical 2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3aa">
    <w:name w:val="Technical 3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4aa">
    <w:name w:val="Technical 4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1aa">
    <w:name w:val="Technical 1a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paragraph" w:customStyle="1" w:styleId="Technical7aa">
    <w:name w:val="Technical 7aa"/>
    <w:pPr>
      <w:widowControl w:val="0"/>
      <w:tabs>
        <w:tab w:val="left" w:pos="-23"/>
        <w:tab w:val="left" w:pos="336"/>
        <w:tab w:val="left" w:pos="1056"/>
        <w:tab w:val="left" w:pos="1776"/>
        <w:tab w:val="left" w:pos="2496"/>
        <w:tab w:val="left" w:pos="3216"/>
        <w:tab w:val="left" w:pos="3936"/>
        <w:tab w:val="left" w:pos="4656"/>
        <w:tab w:val="left" w:pos="5376"/>
        <w:tab w:val="left" w:pos="6096"/>
        <w:tab w:val="left" w:pos="6816"/>
        <w:tab w:val="left" w:pos="7536"/>
        <w:tab w:val="left" w:pos="8256"/>
        <w:tab w:val="left" w:pos="8616"/>
        <w:tab w:val="left" w:pos="9336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s-ES"/>
    </w:rPr>
  </w:style>
  <w:style w:type="character" w:customStyle="1" w:styleId="EquationCaption1">
    <w:name w:val="_Equation Caption1"/>
    <w:basedOn w:val="Fuentedeprrafopredeter"/>
  </w:style>
  <w:style w:type="character" w:customStyle="1" w:styleId="Refernciadenotad">
    <w:name w:val="Referência de nota d"/>
    <w:rPr>
      <w:rFonts w:ascii="Courier New" w:hAnsi="Courier New" w:cs="Courier New"/>
      <w:sz w:val="24"/>
      <w:szCs w:val="24"/>
      <w:vertAlign w:val="superscript"/>
    </w:rPr>
  </w:style>
  <w:style w:type="paragraph" w:customStyle="1" w:styleId="FR1">
    <w:name w:val="FR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sz w:val="40"/>
      <w:szCs w:val="40"/>
      <w:lang w:val="fr-FR" w:eastAsia="es-ES"/>
    </w:rPr>
  </w:style>
  <w:style w:type="paragraph" w:customStyle="1" w:styleId="FR2">
    <w:name w:val="FR2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sz w:val="22"/>
      <w:szCs w:val="22"/>
      <w:lang w:val="fr-FR" w:eastAsia="es-ES"/>
    </w:rPr>
  </w:style>
  <w:style w:type="character" w:customStyle="1" w:styleId="Fontepargpadro">
    <w:name w:val="Fonte parág. padrão"/>
    <w:basedOn w:val="Fuentedeprrafopredeter"/>
  </w:style>
  <w:style w:type="paragraph" w:customStyle="1" w:styleId="Corpodetexto">
    <w:name w:val="Corpo de texto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3"/>
      <w:sz w:val="24"/>
      <w:szCs w:val="24"/>
      <w:lang w:val="pt-BR" w:eastAsia="es-ES"/>
    </w:rPr>
  </w:style>
  <w:style w:type="character" w:styleId="Hipervnculo">
    <w:name w:val="Hyperlink"/>
    <w:rPr>
      <w:sz w:val="24"/>
      <w:szCs w:val="24"/>
      <w:u w:val="single"/>
    </w:rPr>
  </w:style>
  <w:style w:type="character" w:styleId="Hipervnculovisitado">
    <w:name w:val="FollowedHyperlink"/>
    <w:rPr>
      <w:sz w:val="24"/>
      <w:szCs w:val="24"/>
      <w:u w:val="single"/>
    </w:rPr>
  </w:style>
  <w:style w:type="paragraph" w:customStyle="1" w:styleId="Lneadereferencia">
    <w:name w:val="Línea de referenci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Garamond" w:hAnsi="Garamond" w:cs="Garamond"/>
      <w:spacing w:val="-3"/>
      <w:sz w:val="24"/>
      <w:szCs w:val="24"/>
      <w:lang w:val="es-ES_tradnl" w:eastAsia="es-ES"/>
    </w:rPr>
  </w:style>
  <w:style w:type="paragraph" w:customStyle="1" w:styleId="Tdc10">
    <w:name w:val="Tdc 1"/>
    <w:basedOn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0">
    <w:name w:val="Tdc 2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Tdc30">
    <w:name w:val="Tdc 3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Tdc40">
    <w:name w:val="Tdc 4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Tdc50">
    <w:name w:val="Tdc 5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Tdc60">
    <w:name w:val="Tdc 6"/>
    <w:basedOn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0">
    <w:name w:val="Tdc 7"/>
    <w:basedOn w:val="Normal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0">
    <w:name w:val="Tdc 8"/>
    <w:basedOn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0">
    <w:name w:val="Tdc 9"/>
    <w:basedOn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Pr>
      <w:rFonts w:cs="Times New Roman"/>
    </w:rPr>
  </w:style>
  <w:style w:type="character" w:customStyle="1" w:styleId="EquationCaption2">
    <w:name w:val="_Equation Caption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Caso Ximenes Lopes (2005)</vt:lpstr>
      <vt:lpstr>Caso Ximenes Lopes (2005)</vt:lpstr>
    </vt:vector>
  </TitlesOfParts>
  <Company>Corte IDH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Caso Ximenes Lopes (2005)</dc:title>
  <dc:creator>cla</dc:creator>
  <cp:lastModifiedBy>Liliana Tojo</cp:lastModifiedBy>
  <cp:revision>3</cp:revision>
  <cp:lastPrinted>2017-08-09T18:01:00Z</cp:lastPrinted>
  <dcterms:created xsi:type="dcterms:W3CDTF">2017-08-09T18:01:00Z</dcterms:created>
  <dcterms:modified xsi:type="dcterms:W3CDTF">2017-08-09T18:01:00Z</dcterms:modified>
</cp:coreProperties>
</file>