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79D" w:rsidRDefault="001E779D" w:rsidP="001E779D">
      <w:pPr>
        <w:jc w:val="both"/>
        <w:rPr>
          <w:rFonts w:ascii="Verdana" w:hAnsi="Verdana"/>
          <w:b/>
          <w:sz w:val="20"/>
        </w:rPr>
      </w:pPr>
    </w:p>
    <w:p w:rsidR="001E779D" w:rsidRPr="000F4741" w:rsidRDefault="002C4FA6" w:rsidP="001E779D">
      <w:pPr>
        <w:jc w:val="center"/>
        <w:rPr>
          <w:rFonts w:ascii="Verdana" w:hAnsi="Verdana"/>
          <w:b/>
          <w:sz w:val="20"/>
        </w:rPr>
      </w:pPr>
      <w:r>
        <w:rPr>
          <w:rFonts w:ascii="Verdana" w:hAnsi="Verdana"/>
          <w:b/>
          <w:sz w:val="20"/>
        </w:rPr>
        <w:t>R</w:t>
      </w:r>
      <w:r w:rsidR="001E779D" w:rsidRPr="000F4741">
        <w:rPr>
          <w:rFonts w:ascii="Verdana" w:hAnsi="Verdana"/>
          <w:b/>
          <w:sz w:val="20"/>
        </w:rPr>
        <w:t>ESOLUCIÓN DE LA</w:t>
      </w:r>
    </w:p>
    <w:p w:rsidR="001E779D" w:rsidRPr="000F4741" w:rsidRDefault="001E779D" w:rsidP="001E779D">
      <w:pPr>
        <w:jc w:val="center"/>
        <w:rPr>
          <w:rFonts w:ascii="Verdana" w:hAnsi="Verdana"/>
          <w:b/>
          <w:sz w:val="20"/>
        </w:rPr>
      </w:pPr>
    </w:p>
    <w:p w:rsidR="001E779D" w:rsidRPr="000F4741" w:rsidRDefault="001E779D" w:rsidP="001E779D">
      <w:pPr>
        <w:jc w:val="center"/>
        <w:rPr>
          <w:rFonts w:ascii="Verdana" w:hAnsi="Verdana"/>
          <w:b/>
          <w:sz w:val="20"/>
        </w:rPr>
      </w:pPr>
      <w:r w:rsidRPr="000F4741">
        <w:rPr>
          <w:rFonts w:ascii="Verdana" w:hAnsi="Verdana"/>
          <w:b/>
          <w:sz w:val="20"/>
        </w:rPr>
        <w:t>CORTE INTERAMERICANA DE DERECHOS HUMANOS</w:t>
      </w:r>
    </w:p>
    <w:p w:rsidR="001E779D" w:rsidRPr="000F4741" w:rsidRDefault="001E779D" w:rsidP="001E779D">
      <w:pPr>
        <w:jc w:val="center"/>
        <w:rPr>
          <w:rFonts w:ascii="Verdana" w:hAnsi="Verdana"/>
          <w:sz w:val="20"/>
        </w:rPr>
      </w:pPr>
    </w:p>
    <w:p w:rsidR="001E779D" w:rsidRPr="000F4741" w:rsidRDefault="001E779D" w:rsidP="001E779D">
      <w:pPr>
        <w:jc w:val="center"/>
        <w:rPr>
          <w:rFonts w:ascii="Verdana" w:hAnsi="Verdana"/>
          <w:sz w:val="20"/>
        </w:rPr>
      </w:pPr>
    </w:p>
    <w:p w:rsidR="001E779D" w:rsidRPr="000F4741" w:rsidRDefault="001E779D" w:rsidP="001E779D">
      <w:pPr>
        <w:jc w:val="center"/>
        <w:rPr>
          <w:rFonts w:ascii="Verdana" w:hAnsi="Verdana"/>
          <w:b/>
          <w:sz w:val="20"/>
        </w:rPr>
      </w:pPr>
      <w:r w:rsidRPr="000F4741">
        <w:rPr>
          <w:rFonts w:ascii="Verdana" w:hAnsi="Verdana"/>
          <w:b/>
          <w:sz w:val="20"/>
        </w:rPr>
        <w:t xml:space="preserve">DE </w:t>
      </w:r>
      <w:r w:rsidR="005A728D">
        <w:rPr>
          <w:rFonts w:ascii="Verdana" w:hAnsi="Verdana"/>
          <w:b/>
          <w:sz w:val="20"/>
        </w:rPr>
        <w:t>9</w:t>
      </w:r>
      <w:r w:rsidRPr="000F4741">
        <w:rPr>
          <w:rFonts w:ascii="Verdana" w:hAnsi="Verdana"/>
          <w:b/>
          <w:sz w:val="20"/>
        </w:rPr>
        <w:t xml:space="preserve"> DE </w:t>
      </w:r>
      <w:r w:rsidR="00CE5F22">
        <w:rPr>
          <w:rFonts w:ascii="Verdana" w:hAnsi="Verdana"/>
          <w:b/>
          <w:sz w:val="20"/>
        </w:rPr>
        <w:t>FEBRERO</w:t>
      </w:r>
      <w:r>
        <w:rPr>
          <w:rFonts w:ascii="Verdana" w:hAnsi="Verdana"/>
          <w:b/>
          <w:sz w:val="20"/>
        </w:rPr>
        <w:t xml:space="preserve"> DE 2017</w:t>
      </w:r>
    </w:p>
    <w:p w:rsidR="001E779D" w:rsidRPr="000F4741" w:rsidRDefault="001E779D" w:rsidP="001E779D">
      <w:pPr>
        <w:jc w:val="center"/>
        <w:rPr>
          <w:rFonts w:ascii="Verdana" w:hAnsi="Verdana"/>
          <w:b/>
          <w:sz w:val="20"/>
        </w:rPr>
      </w:pPr>
    </w:p>
    <w:p w:rsidR="001E779D" w:rsidRPr="000F4741" w:rsidRDefault="001E779D" w:rsidP="001E779D">
      <w:pPr>
        <w:jc w:val="center"/>
        <w:rPr>
          <w:rFonts w:ascii="Verdana" w:hAnsi="Verdana"/>
          <w:b/>
          <w:sz w:val="20"/>
        </w:rPr>
      </w:pPr>
    </w:p>
    <w:p w:rsidR="001E779D" w:rsidRPr="000F4741" w:rsidRDefault="001E779D" w:rsidP="001E779D">
      <w:pPr>
        <w:jc w:val="center"/>
        <w:rPr>
          <w:rFonts w:ascii="Verdana" w:hAnsi="Verdana"/>
          <w:b/>
          <w:sz w:val="20"/>
        </w:rPr>
      </w:pPr>
      <w:r w:rsidRPr="000F4741">
        <w:rPr>
          <w:rFonts w:ascii="Verdana" w:hAnsi="Verdana"/>
          <w:b/>
          <w:sz w:val="20"/>
        </w:rPr>
        <w:t xml:space="preserve">CASO </w:t>
      </w:r>
      <w:r>
        <w:rPr>
          <w:rFonts w:ascii="Verdana" w:hAnsi="Verdana"/>
          <w:b/>
          <w:sz w:val="20"/>
        </w:rPr>
        <w:t xml:space="preserve">ROCHAC HERNÁNDEZ </w:t>
      </w:r>
      <w:r w:rsidRPr="000F4741">
        <w:rPr>
          <w:rFonts w:ascii="Verdana" w:hAnsi="Verdana"/>
          <w:b/>
          <w:sz w:val="20"/>
        </w:rPr>
        <w:t>Y OTROS VS. EL SALVADOR</w:t>
      </w:r>
    </w:p>
    <w:p w:rsidR="001E779D" w:rsidRPr="000F4741" w:rsidRDefault="001E779D" w:rsidP="001E779D">
      <w:pPr>
        <w:jc w:val="center"/>
        <w:rPr>
          <w:rFonts w:ascii="Verdana" w:hAnsi="Verdana"/>
          <w:b/>
          <w:sz w:val="20"/>
        </w:rPr>
      </w:pPr>
    </w:p>
    <w:p w:rsidR="001E779D" w:rsidRPr="000F4741" w:rsidRDefault="001E779D" w:rsidP="001E779D">
      <w:pPr>
        <w:jc w:val="center"/>
        <w:rPr>
          <w:rFonts w:ascii="Verdana" w:hAnsi="Verdana"/>
          <w:b/>
          <w:sz w:val="20"/>
        </w:rPr>
      </w:pPr>
      <w:r w:rsidRPr="000F4741">
        <w:rPr>
          <w:rFonts w:ascii="Verdana" w:hAnsi="Verdana"/>
          <w:b/>
          <w:sz w:val="20"/>
        </w:rPr>
        <w:t>SUPERVISIÓN DE CUMPLIMIENTO DE SENTENCIA</w:t>
      </w:r>
    </w:p>
    <w:p w:rsidR="001E779D" w:rsidRPr="000F4741" w:rsidRDefault="001E779D" w:rsidP="001E779D">
      <w:pPr>
        <w:jc w:val="both"/>
        <w:rPr>
          <w:rFonts w:ascii="Verdana" w:hAnsi="Verdana"/>
          <w:sz w:val="20"/>
        </w:rPr>
      </w:pPr>
    </w:p>
    <w:p w:rsidR="001E779D" w:rsidRPr="000F4741" w:rsidRDefault="001E779D" w:rsidP="001E779D">
      <w:pPr>
        <w:jc w:val="both"/>
        <w:rPr>
          <w:rFonts w:ascii="Verdana" w:hAnsi="Verdana"/>
          <w:b/>
          <w:sz w:val="20"/>
        </w:rPr>
      </w:pPr>
      <w:r w:rsidRPr="000F4741">
        <w:rPr>
          <w:rFonts w:ascii="Verdana" w:hAnsi="Verdana"/>
          <w:b/>
          <w:sz w:val="20"/>
        </w:rPr>
        <w:t>VISTO:</w:t>
      </w:r>
    </w:p>
    <w:p w:rsidR="001E779D" w:rsidRPr="000F4741" w:rsidRDefault="001E779D" w:rsidP="001E779D">
      <w:pPr>
        <w:rPr>
          <w:rFonts w:ascii="Verdana" w:hAnsi="Verdana"/>
          <w:sz w:val="20"/>
        </w:rPr>
      </w:pPr>
    </w:p>
    <w:p w:rsidR="001E779D" w:rsidRPr="000F4741" w:rsidRDefault="001E779D" w:rsidP="001E779D">
      <w:pPr>
        <w:numPr>
          <w:ilvl w:val="0"/>
          <w:numId w:val="1"/>
        </w:numPr>
        <w:ind w:left="0" w:firstLine="0"/>
        <w:jc w:val="both"/>
        <w:rPr>
          <w:rFonts w:ascii="Verdana" w:hAnsi="Verdana"/>
          <w:sz w:val="20"/>
        </w:rPr>
      </w:pPr>
      <w:r w:rsidRPr="000F4741">
        <w:rPr>
          <w:rFonts w:ascii="Verdana" w:eastAsia="Times New Roman" w:hAnsi="Verdana" w:cs="TTE3F96A70t00"/>
          <w:sz w:val="20"/>
          <w:lang w:eastAsia="es-ES"/>
        </w:rPr>
        <w:t>La Sentencia de fondo, rep</w:t>
      </w:r>
      <w:r>
        <w:rPr>
          <w:rFonts w:ascii="Verdana" w:eastAsia="Times New Roman" w:hAnsi="Verdana" w:cs="TTE3F96A70t00"/>
          <w:sz w:val="20"/>
          <w:lang w:eastAsia="es-ES"/>
        </w:rPr>
        <w:t>araciones y costas emitida el 14</w:t>
      </w:r>
      <w:r w:rsidRPr="000F4741">
        <w:rPr>
          <w:rFonts w:ascii="Verdana" w:eastAsia="Times New Roman" w:hAnsi="Verdana" w:cs="TTE3F96A70t00"/>
          <w:sz w:val="20"/>
          <w:lang w:eastAsia="es-ES"/>
        </w:rPr>
        <w:t xml:space="preserve"> de </w:t>
      </w:r>
      <w:r>
        <w:rPr>
          <w:rFonts w:ascii="Verdana" w:eastAsia="Times New Roman" w:hAnsi="Verdana" w:cs="TTE3F96A70t00"/>
          <w:sz w:val="20"/>
          <w:lang w:eastAsia="es-ES"/>
        </w:rPr>
        <w:t>octubre de 2014</w:t>
      </w:r>
      <w:r w:rsidRPr="000F4741">
        <w:rPr>
          <w:rFonts w:ascii="Verdana" w:eastAsia="Times New Roman" w:hAnsi="Verdana" w:cs="TTE3F96A70t00"/>
          <w:sz w:val="20"/>
          <w:lang w:eastAsia="es-ES"/>
        </w:rPr>
        <w:t xml:space="preserve"> (en adelante “la Sentencia”) por la Corte Interamericana de Derechos Humanos (en </w:t>
      </w:r>
      <w:r w:rsidRPr="000F4741">
        <w:rPr>
          <w:rFonts w:ascii="Verdana" w:hAnsi="Verdana"/>
          <w:sz w:val="20"/>
        </w:rPr>
        <w:t>adelante</w:t>
      </w:r>
      <w:r w:rsidRPr="000F4741">
        <w:rPr>
          <w:rFonts w:ascii="Verdana" w:eastAsia="Times New Roman" w:hAnsi="Verdana" w:cs="TTE3F96A70t00"/>
          <w:sz w:val="20"/>
          <w:lang w:eastAsia="es-ES"/>
        </w:rPr>
        <w:t xml:space="preserve"> “la Corte Interamericana”, “la Corte” o “el Tribunal</w:t>
      </w:r>
      <w:r w:rsidRPr="00FF6B00">
        <w:rPr>
          <w:rFonts w:ascii="Verdana" w:eastAsia="Times New Roman" w:hAnsi="Verdana" w:cs="TTE3F96A70t00"/>
          <w:sz w:val="20"/>
          <w:lang w:eastAsia="es-ES"/>
        </w:rPr>
        <w:t>”)</w:t>
      </w:r>
      <w:r w:rsidRPr="00FF6B00">
        <w:rPr>
          <w:rStyle w:val="Refdenotaalpie"/>
          <w:rFonts w:ascii="Verdana" w:eastAsia="Times New Roman" w:hAnsi="Verdana" w:cs="TTE3F96A70t00"/>
          <w:sz w:val="20"/>
          <w:lang w:eastAsia="es-ES"/>
        </w:rPr>
        <w:footnoteReference w:id="1"/>
      </w:r>
      <w:r w:rsidRPr="00FF6B00">
        <w:rPr>
          <w:rFonts w:ascii="Verdana" w:eastAsia="Times New Roman" w:hAnsi="Verdana" w:cs="TTE3F96A70t00"/>
          <w:sz w:val="20"/>
          <w:lang w:eastAsia="es-ES"/>
        </w:rPr>
        <w:t>.</w:t>
      </w:r>
      <w:r w:rsidRPr="00FF6B00">
        <w:rPr>
          <w:rFonts w:ascii="Verdana" w:hAnsi="Verdana"/>
          <w:sz w:val="20"/>
        </w:rPr>
        <w:t xml:space="preserve"> </w:t>
      </w:r>
      <w:r w:rsidRPr="00FF6B00">
        <w:rPr>
          <w:rFonts w:ascii="Verdana" w:hAnsi="Verdana"/>
          <w:sz w:val="20"/>
          <w:lang w:val="es-ES"/>
        </w:rPr>
        <w:t>En dicho fallo</w:t>
      </w:r>
      <w:r w:rsidR="00CE5F22">
        <w:rPr>
          <w:rFonts w:ascii="Verdana" w:hAnsi="Verdana"/>
          <w:sz w:val="20"/>
          <w:lang w:val="es-ES"/>
        </w:rPr>
        <w:t>,</w:t>
      </w:r>
      <w:r w:rsidRPr="00FF6B00">
        <w:rPr>
          <w:rFonts w:ascii="Verdana" w:hAnsi="Verdana"/>
          <w:sz w:val="20"/>
          <w:lang w:val="es-ES"/>
        </w:rPr>
        <w:t xml:space="preserve"> la Corte</w:t>
      </w:r>
      <w:r w:rsidR="00CE5F22">
        <w:rPr>
          <w:rFonts w:ascii="Verdana" w:hAnsi="Verdana"/>
          <w:sz w:val="20"/>
          <w:lang w:val="es-ES"/>
        </w:rPr>
        <w:t>,</w:t>
      </w:r>
      <w:r w:rsidRPr="00FF6B00">
        <w:rPr>
          <w:rFonts w:ascii="Verdana" w:hAnsi="Verdana"/>
          <w:sz w:val="20"/>
          <w:lang w:val="es-ES"/>
        </w:rPr>
        <w:t xml:space="preserve"> </w:t>
      </w:r>
      <w:r w:rsidR="00CE5F22">
        <w:rPr>
          <w:rFonts w:ascii="Verdana" w:hAnsi="Verdana"/>
          <w:sz w:val="20"/>
          <w:lang w:val="es-ES"/>
        </w:rPr>
        <w:t xml:space="preserve">tomando </w:t>
      </w:r>
      <w:r w:rsidRPr="00FF6B00">
        <w:rPr>
          <w:rFonts w:ascii="Verdana" w:hAnsi="Verdana"/>
          <w:sz w:val="20"/>
          <w:lang w:val="es-ES"/>
        </w:rPr>
        <w:t xml:space="preserve">en cuenta la aceptación total de los hechos y el </w:t>
      </w:r>
      <w:r w:rsidRPr="00FF6B00">
        <w:rPr>
          <w:rFonts w:ascii="Verdana" w:hAnsi="Verdana" w:cs="Arial"/>
          <w:sz w:val="20"/>
          <w:lang w:val="es-MX"/>
        </w:rPr>
        <w:t xml:space="preserve">reconocimiento de responsabilidad parcial efectuado por </w:t>
      </w:r>
      <w:r w:rsidRPr="00FF6B00">
        <w:rPr>
          <w:rFonts w:ascii="Verdana" w:hAnsi="Verdana"/>
          <w:sz w:val="20"/>
        </w:rPr>
        <w:t>la República de El Salvador (en adelante “</w:t>
      </w:r>
      <w:r w:rsidRPr="00FF6B00">
        <w:rPr>
          <w:rFonts w:ascii="Verdana" w:eastAsia="Times New Roman" w:hAnsi="Verdana" w:cs="TTE3F96A70t00"/>
          <w:sz w:val="20"/>
          <w:lang w:eastAsia="es-ES"/>
        </w:rPr>
        <w:t>el Estado” o “El Salvador”)</w:t>
      </w:r>
      <w:r w:rsidR="00CE5F22">
        <w:rPr>
          <w:rFonts w:ascii="Verdana" w:eastAsia="Times New Roman" w:hAnsi="Verdana" w:cs="TTE3F96A70t00"/>
          <w:sz w:val="20"/>
          <w:lang w:eastAsia="es-ES"/>
        </w:rPr>
        <w:t>,</w:t>
      </w:r>
      <w:r>
        <w:rPr>
          <w:rFonts w:ascii="Verdana" w:eastAsia="Times New Roman" w:hAnsi="Verdana" w:cs="TTE3F96A70t00"/>
          <w:sz w:val="20"/>
          <w:lang w:eastAsia="es-ES"/>
        </w:rPr>
        <w:t xml:space="preserve"> </w:t>
      </w:r>
      <w:r w:rsidRPr="00FF6B00">
        <w:rPr>
          <w:rFonts w:ascii="Verdana" w:hAnsi="Verdana"/>
          <w:sz w:val="20"/>
        </w:rPr>
        <w:t>declaró a éste</w:t>
      </w:r>
      <w:r w:rsidRPr="000F4741">
        <w:rPr>
          <w:rFonts w:ascii="Verdana" w:hAnsi="Verdana"/>
          <w:sz w:val="20"/>
        </w:rPr>
        <w:t xml:space="preserve"> responsable internacionalmente por</w:t>
      </w:r>
      <w:r w:rsidRPr="000F4741">
        <w:rPr>
          <w:rFonts w:ascii="Verdana" w:eastAsia="Calibri" w:hAnsi="Verdana" w:cs="Verdana"/>
          <w:sz w:val="20"/>
        </w:rPr>
        <w:t xml:space="preserve"> las desapariciones</w:t>
      </w:r>
      <w:r w:rsidRPr="000F4741">
        <w:rPr>
          <w:rFonts w:ascii="Verdana" w:hAnsi="Verdana"/>
          <w:sz w:val="20"/>
        </w:rPr>
        <w:t xml:space="preserve"> </w:t>
      </w:r>
      <w:r w:rsidRPr="000F4741">
        <w:rPr>
          <w:rFonts w:ascii="Verdana" w:eastAsia="Calibri" w:hAnsi="Verdana" w:cs="Verdana"/>
          <w:sz w:val="20"/>
        </w:rPr>
        <w:t>forzadas de</w:t>
      </w:r>
      <w:r>
        <w:rPr>
          <w:rFonts w:ascii="Verdana" w:eastAsia="Calibri" w:hAnsi="Verdana" w:cs="Verdana"/>
          <w:sz w:val="20"/>
        </w:rPr>
        <w:t xml:space="preserve"> José Adrián </w:t>
      </w:r>
      <w:proofErr w:type="spellStart"/>
      <w:r>
        <w:rPr>
          <w:rFonts w:ascii="Verdana" w:eastAsia="Calibri" w:hAnsi="Verdana" w:cs="Verdana"/>
          <w:sz w:val="20"/>
        </w:rPr>
        <w:t>Rochac</w:t>
      </w:r>
      <w:proofErr w:type="spellEnd"/>
      <w:r>
        <w:rPr>
          <w:rFonts w:ascii="Verdana" w:eastAsia="Calibri" w:hAnsi="Verdana" w:cs="Verdana"/>
          <w:sz w:val="20"/>
        </w:rPr>
        <w:t xml:space="preserve"> Hernández, Santos Ernesto Salinas, </w:t>
      </w:r>
      <w:proofErr w:type="spellStart"/>
      <w:r>
        <w:rPr>
          <w:rFonts w:ascii="Verdana" w:eastAsia="Calibri" w:hAnsi="Verdana" w:cs="Verdana"/>
          <w:sz w:val="20"/>
        </w:rPr>
        <w:t>Emelinda</w:t>
      </w:r>
      <w:proofErr w:type="spellEnd"/>
      <w:r>
        <w:rPr>
          <w:rFonts w:ascii="Verdana" w:eastAsia="Calibri" w:hAnsi="Verdana" w:cs="Verdana"/>
          <w:sz w:val="20"/>
        </w:rPr>
        <w:t xml:space="preserve"> Lorena Hernández, Manuel Antonio Bonilla y Ricardo Abarca Ayala</w:t>
      </w:r>
      <w:r w:rsidRPr="000F4741">
        <w:rPr>
          <w:rFonts w:ascii="Verdana" w:eastAsia="Calibri" w:hAnsi="Verdana" w:cs="Verdana"/>
          <w:sz w:val="20"/>
        </w:rPr>
        <w:t>. Las desapariciones fueron</w:t>
      </w:r>
      <w:r w:rsidRPr="000F4741">
        <w:rPr>
          <w:rFonts w:ascii="Verdana" w:hAnsi="Verdana"/>
          <w:sz w:val="20"/>
        </w:rPr>
        <w:t xml:space="preserve"> </w:t>
      </w:r>
      <w:r w:rsidRPr="000F4741">
        <w:rPr>
          <w:rFonts w:ascii="Verdana" w:eastAsia="Calibri" w:hAnsi="Verdana" w:cs="Verdana"/>
          <w:sz w:val="20"/>
        </w:rPr>
        <w:t>perpetradas por miembros de las F</w:t>
      </w:r>
      <w:r w:rsidR="00675CB8">
        <w:rPr>
          <w:rFonts w:ascii="Verdana" w:eastAsia="Calibri" w:hAnsi="Verdana" w:cs="Verdana"/>
          <w:sz w:val="20"/>
        </w:rPr>
        <w:t xml:space="preserve">uerzas Armadas entre 1980 y 1982 </w:t>
      </w:r>
      <w:r w:rsidRPr="000F4741">
        <w:rPr>
          <w:rFonts w:ascii="Verdana" w:eastAsia="Calibri" w:hAnsi="Verdana" w:cs="Verdana"/>
          <w:sz w:val="20"/>
        </w:rPr>
        <w:t>y se insertaron</w:t>
      </w:r>
      <w:r w:rsidRPr="000F4741">
        <w:rPr>
          <w:rFonts w:ascii="Verdana" w:hAnsi="Verdana"/>
          <w:sz w:val="20"/>
        </w:rPr>
        <w:t xml:space="preserve"> </w:t>
      </w:r>
      <w:r w:rsidRPr="000F4741">
        <w:rPr>
          <w:rFonts w:ascii="Verdana" w:eastAsia="Calibri" w:hAnsi="Verdana" w:cs="Verdana"/>
          <w:sz w:val="20"/>
        </w:rPr>
        <w:t xml:space="preserve">en el patrón sistemático de desapariciones </w:t>
      </w:r>
      <w:r w:rsidRPr="000F4741">
        <w:rPr>
          <w:rFonts w:ascii="Verdana" w:hAnsi="Verdana"/>
          <w:sz w:val="20"/>
        </w:rPr>
        <w:t>forzadas</w:t>
      </w:r>
      <w:r w:rsidRPr="000F4741">
        <w:rPr>
          <w:rFonts w:ascii="Verdana" w:eastAsia="Calibri" w:hAnsi="Verdana" w:cs="Verdana"/>
          <w:sz w:val="20"/>
        </w:rPr>
        <w:t xml:space="preserve"> de niños y niñas</w:t>
      </w:r>
      <w:r w:rsidR="00531717">
        <w:rPr>
          <w:rFonts w:ascii="Verdana" w:eastAsia="Calibri" w:hAnsi="Verdana" w:cs="Verdana"/>
          <w:sz w:val="20"/>
        </w:rPr>
        <w:t xml:space="preserve"> durante el conflicto armado interno</w:t>
      </w:r>
      <w:r w:rsidRPr="000F4741">
        <w:rPr>
          <w:rFonts w:ascii="Verdana" w:eastAsia="Calibri" w:hAnsi="Verdana" w:cs="Verdana"/>
          <w:sz w:val="20"/>
        </w:rPr>
        <w:t>, quienes eran</w:t>
      </w:r>
      <w:r w:rsidRPr="000F4741">
        <w:rPr>
          <w:rFonts w:ascii="Verdana" w:hAnsi="Verdana"/>
          <w:sz w:val="20"/>
        </w:rPr>
        <w:t xml:space="preserve"> </w:t>
      </w:r>
      <w:r w:rsidRPr="000F4741">
        <w:rPr>
          <w:rFonts w:ascii="Verdana" w:eastAsia="Calibri" w:hAnsi="Verdana" w:cs="Verdana"/>
          <w:sz w:val="20"/>
        </w:rPr>
        <w:t>sustraídos y retenidos ilegalmente por miembros de las Fuerzas Armadas en el contexto de</w:t>
      </w:r>
      <w:r w:rsidRPr="000F4741">
        <w:rPr>
          <w:rFonts w:ascii="Verdana" w:hAnsi="Verdana"/>
          <w:sz w:val="20"/>
        </w:rPr>
        <w:t xml:space="preserve"> </w:t>
      </w:r>
      <w:r w:rsidRPr="000F4741">
        <w:rPr>
          <w:rFonts w:ascii="Verdana" w:eastAsia="Calibri" w:hAnsi="Verdana" w:cs="Verdana"/>
          <w:sz w:val="20"/>
        </w:rPr>
        <w:t>los operativos de contrainsurgencia, práctica que implicó, en muchos casos, la apropiación</w:t>
      </w:r>
      <w:r w:rsidRPr="000F4741">
        <w:rPr>
          <w:rFonts w:ascii="Verdana" w:hAnsi="Verdana"/>
          <w:sz w:val="20"/>
        </w:rPr>
        <w:t xml:space="preserve"> </w:t>
      </w:r>
      <w:r w:rsidRPr="000F4741">
        <w:rPr>
          <w:rFonts w:ascii="Verdana" w:eastAsia="Calibri" w:hAnsi="Verdana" w:cs="Verdana"/>
          <w:sz w:val="20"/>
        </w:rPr>
        <w:t>de los niños y niñas e inscripción con otro nombre o bajo datos falsos.</w:t>
      </w:r>
      <w:r>
        <w:rPr>
          <w:rFonts w:ascii="Verdana" w:eastAsia="Calibri" w:hAnsi="Verdana" w:cs="Verdana"/>
          <w:sz w:val="20"/>
        </w:rPr>
        <w:t xml:space="preserve"> </w:t>
      </w:r>
      <w:r w:rsidRPr="000F4741">
        <w:rPr>
          <w:rFonts w:ascii="Verdana" w:eastAsia="Calibri" w:hAnsi="Verdana" w:cs="Verdana"/>
          <w:sz w:val="20"/>
        </w:rPr>
        <w:t>A</w:t>
      </w:r>
      <w:r>
        <w:rPr>
          <w:rFonts w:ascii="Verdana" w:eastAsia="Calibri" w:hAnsi="Verdana" w:cs="Verdana"/>
          <w:sz w:val="20"/>
        </w:rPr>
        <w:t>simismo, la Corte determinó que el Estado era responsable por la violación de los derechos a las garantías judiciales y a la protección judicial en virtud de que a la fecha de la Sentencia</w:t>
      </w:r>
      <w:r w:rsidRPr="000F4741">
        <w:rPr>
          <w:rFonts w:ascii="Verdana" w:eastAsia="Calibri" w:hAnsi="Verdana" w:cs="Verdana"/>
          <w:sz w:val="20"/>
        </w:rPr>
        <w:t xml:space="preserve"> habían transcurrido</w:t>
      </w:r>
      <w:r w:rsidRPr="000F4741">
        <w:rPr>
          <w:rFonts w:ascii="Verdana" w:hAnsi="Verdana"/>
          <w:sz w:val="20"/>
        </w:rPr>
        <w:t xml:space="preserve"> </w:t>
      </w:r>
      <w:r w:rsidRPr="000F4741">
        <w:rPr>
          <w:rFonts w:ascii="Verdana" w:eastAsia="Calibri" w:hAnsi="Verdana" w:cs="Verdana"/>
          <w:sz w:val="20"/>
        </w:rPr>
        <w:t>aproximadamente 30 años desde el inicio de dichas desapariciones forzadas, sin que ninguno de sus</w:t>
      </w:r>
      <w:r w:rsidRPr="000F4741">
        <w:rPr>
          <w:rFonts w:ascii="Verdana" w:hAnsi="Verdana"/>
          <w:sz w:val="20"/>
        </w:rPr>
        <w:t xml:space="preserve"> </w:t>
      </w:r>
      <w:r w:rsidRPr="000F4741">
        <w:rPr>
          <w:rFonts w:ascii="Verdana" w:eastAsia="Calibri" w:hAnsi="Verdana" w:cs="Verdana"/>
          <w:sz w:val="20"/>
        </w:rPr>
        <w:t>autores materiales o intelectuales hubiere sido identificado y procesado,</w:t>
      </w:r>
      <w:r>
        <w:rPr>
          <w:rFonts w:ascii="Verdana" w:eastAsia="Calibri" w:hAnsi="Verdana" w:cs="Verdana"/>
          <w:sz w:val="20"/>
        </w:rPr>
        <w:t xml:space="preserve"> y</w:t>
      </w:r>
      <w:r w:rsidRPr="000F4741">
        <w:rPr>
          <w:rFonts w:ascii="Verdana" w:eastAsia="Calibri" w:hAnsi="Verdana" w:cs="Verdana"/>
          <w:sz w:val="20"/>
        </w:rPr>
        <w:t xml:space="preserve"> sin que se conociera</w:t>
      </w:r>
      <w:r w:rsidRPr="000F4741">
        <w:rPr>
          <w:rFonts w:ascii="Verdana" w:hAnsi="Verdana"/>
          <w:sz w:val="20"/>
        </w:rPr>
        <w:t xml:space="preserve"> </w:t>
      </w:r>
      <w:r w:rsidRPr="000F4741">
        <w:rPr>
          <w:rFonts w:ascii="Verdana" w:eastAsia="Calibri" w:hAnsi="Verdana" w:cs="Verdana"/>
          <w:sz w:val="20"/>
        </w:rPr>
        <w:t>toda la verdad sobre los hechos,</w:t>
      </w:r>
      <w:r>
        <w:rPr>
          <w:rFonts w:ascii="Verdana" w:eastAsia="Calibri" w:hAnsi="Verdana" w:cs="Verdana"/>
          <w:sz w:val="20"/>
        </w:rPr>
        <w:t xml:space="preserve"> ni sus paraderos. Además</w:t>
      </w:r>
      <w:r w:rsidRPr="000F4741">
        <w:rPr>
          <w:rFonts w:ascii="Verdana" w:eastAsia="Calibri" w:hAnsi="Verdana" w:cs="Verdana"/>
          <w:sz w:val="20"/>
        </w:rPr>
        <w:t xml:space="preserve">, </w:t>
      </w:r>
      <w:r>
        <w:rPr>
          <w:rFonts w:ascii="Verdana" w:eastAsia="Calibri" w:hAnsi="Verdana" w:cs="Verdana"/>
          <w:sz w:val="20"/>
        </w:rPr>
        <w:t xml:space="preserve">la Corte declaró que el Estado violó el derecho a la integridad personal de los familiares de las víctimas al constatar el sufrimiento que padecieron por las </w:t>
      </w:r>
      <w:r w:rsidRPr="000F4741">
        <w:rPr>
          <w:rFonts w:ascii="Verdana" w:eastAsia="Calibri" w:hAnsi="Verdana" w:cs="Verdana"/>
          <w:sz w:val="20"/>
        </w:rPr>
        <w:t xml:space="preserve">desapariciones de </w:t>
      </w:r>
      <w:r>
        <w:rPr>
          <w:rFonts w:ascii="Verdana" w:eastAsia="Calibri" w:hAnsi="Verdana" w:cs="Verdana"/>
          <w:sz w:val="20"/>
        </w:rPr>
        <w:t xml:space="preserve">sus hijos e hija, el cual se vio </w:t>
      </w:r>
      <w:r w:rsidRPr="000F4741">
        <w:rPr>
          <w:rFonts w:ascii="Verdana" w:eastAsia="Calibri" w:hAnsi="Verdana" w:cs="Verdana"/>
          <w:sz w:val="20"/>
        </w:rPr>
        <w:t>agravado por la privación de la verdad tanto respecto de lo sucedido como del</w:t>
      </w:r>
      <w:r w:rsidRPr="000F4741">
        <w:rPr>
          <w:rFonts w:ascii="Verdana" w:hAnsi="Verdana"/>
          <w:sz w:val="20"/>
        </w:rPr>
        <w:t xml:space="preserve"> </w:t>
      </w:r>
      <w:r>
        <w:rPr>
          <w:rFonts w:ascii="Verdana" w:eastAsia="Calibri" w:hAnsi="Verdana" w:cs="Verdana"/>
          <w:sz w:val="20"/>
        </w:rPr>
        <w:t>paradero de las víctimas, así como</w:t>
      </w:r>
      <w:r w:rsidRPr="000F4741">
        <w:rPr>
          <w:rFonts w:ascii="Verdana" w:eastAsia="Calibri" w:hAnsi="Verdana" w:cs="Verdana"/>
          <w:sz w:val="20"/>
        </w:rPr>
        <w:t xml:space="preserve"> por la falta de colaboración de las autoridades estatales a fin de</w:t>
      </w:r>
      <w:r w:rsidRPr="000F4741">
        <w:rPr>
          <w:rFonts w:ascii="Verdana" w:hAnsi="Verdana"/>
          <w:sz w:val="20"/>
        </w:rPr>
        <w:t xml:space="preserve"> </w:t>
      </w:r>
      <w:r w:rsidRPr="000F4741">
        <w:rPr>
          <w:rFonts w:ascii="Verdana" w:eastAsia="Calibri" w:hAnsi="Verdana" w:cs="Verdana"/>
          <w:sz w:val="20"/>
        </w:rPr>
        <w:t>establecer dicha verdad</w:t>
      </w:r>
      <w:r w:rsidRPr="000F4741">
        <w:rPr>
          <w:rFonts w:ascii="Verdana" w:hAnsi="Verdana"/>
          <w:sz w:val="20"/>
        </w:rPr>
        <w:t>.</w:t>
      </w:r>
      <w:r>
        <w:rPr>
          <w:rFonts w:ascii="Verdana" w:hAnsi="Verdana"/>
          <w:sz w:val="20"/>
        </w:rPr>
        <w:t xml:space="preserve"> </w:t>
      </w:r>
      <w:r w:rsidRPr="000F4741">
        <w:rPr>
          <w:rFonts w:ascii="Verdana" w:hAnsi="Verdana"/>
          <w:sz w:val="20"/>
        </w:rPr>
        <w:t xml:space="preserve">La Corte estableció que su Sentencia constituye </w:t>
      </w:r>
      <w:r w:rsidR="00CE5F22">
        <w:rPr>
          <w:rFonts w:ascii="Verdana" w:hAnsi="Verdana"/>
          <w:sz w:val="20"/>
        </w:rPr>
        <w:t>por sí misma</w:t>
      </w:r>
      <w:r w:rsidRPr="000F4741">
        <w:rPr>
          <w:rFonts w:ascii="Verdana" w:hAnsi="Verdana"/>
          <w:sz w:val="20"/>
        </w:rPr>
        <w:t xml:space="preserve"> una forma de reparación y, adicionalmente, ordenó al Estado determinadas medidas de reparación (</w:t>
      </w:r>
      <w:r w:rsidRPr="000F4741">
        <w:rPr>
          <w:rFonts w:ascii="Verdana" w:hAnsi="Verdana"/>
          <w:i/>
          <w:sz w:val="20"/>
        </w:rPr>
        <w:t>infra</w:t>
      </w:r>
      <w:r w:rsidRPr="000F4741">
        <w:rPr>
          <w:rFonts w:ascii="Verdana" w:hAnsi="Verdana"/>
          <w:sz w:val="20"/>
        </w:rPr>
        <w:t xml:space="preserve"> Considerando </w:t>
      </w:r>
      <w:r w:rsidR="00EB2618">
        <w:rPr>
          <w:rFonts w:ascii="Verdana" w:hAnsi="Verdana"/>
          <w:sz w:val="20"/>
        </w:rPr>
        <w:fldChar w:fldCharType="begin"/>
      </w:r>
      <w:r w:rsidR="00EB2618">
        <w:rPr>
          <w:rFonts w:ascii="Verdana" w:hAnsi="Verdana"/>
          <w:sz w:val="20"/>
        </w:rPr>
        <w:instrText xml:space="preserve"> REF _Ref475347244 \r \h </w:instrText>
      </w:r>
      <w:r w:rsidR="00EB2618">
        <w:rPr>
          <w:rFonts w:ascii="Verdana" w:hAnsi="Verdana"/>
          <w:sz w:val="20"/>
        </w:rPr>
      </w:r>
      <w:r w:rsidR="00EB2618">
        <w:rPr>
          <w:rFonts w:ascii="Verdana" w:hAnsi="Verdana"/>
          <w:sz w:val="20"/>
        </w:rPr>
        <w:fldChar w:fldCharType="separate"/>
      </w:r>
      <w:r w:rsidR="00107924">
        <w:rPr>
          <w:rFonts w:ascii="Verdana" w:hAnsi="Verdana"/>
          <w:sz w:val="20"/>
        </w:rPr>
        <w:t>2</w:t>
      </w:r>
      <w:r w:rsidR="00EB2618">
        <w:rPr>
          <w:rFonts w:ascii="Verdana" w:hAnsi="Verdana"/>
          <w:sz w:val="20"/>
        </w:rPr>
        <w:fldChar w:fldCharType="end"/>
      </w:r>
      <w:r w:rsidRPr="000F4741">
        <w:rPr>
          <w:rFonts w:ascii="Verdana" w:hAnsi="Verdana"/>
          <w:sz w:val="20"/>
        </w:rPr>
        <w:t xml:space="preserve">).  </w:t>
      </w:r>
    </w:p>
    <w:p w:rsidR="001E779D" w:rsidRPr="005F11DD" w:rsidRDefault="001E779D" w:rsidP="001E779D">
      <w:pPr>
        <w:rPr>
          <w:rFonts w:ascii="Verdana" w:eastAsia="Calibri" w:hAnsi="Verdana"/>
          <w:sz w:val="20"/>
          <w:lang w:val="es-CR" w:eastAsia="es-CR"/>
        </w:rPr>
      </w:pPr>
    </w:p>
    <w:p w:rsidR="001E779D" w:rsidRPr="005F11DD" w:rsidRDefault="001E779D" w:rsidP="00675CB8">
      <w:pPr>
        <w:numPr>
          <w:ilvl w:val="0"/>
          <w:numId w:val="1"/>
        </w:numPr>
        <w:ind w:left="0" w:firstLine="0"/>
        <w:jc w:val="both"/>
        <w:rPr>
          <w:rFonts w:ascii="Verdana" w:eastAsia="Calibri" w:hAnsi="Verdana"/>
          <w:sz w:val="20"/>
          <w:lang w:val="es-CR" w:eastAsia="es-CR"/>
        </w:rPr>
      </w:pPr>
      <w:r>
        <w:rPr>
          <w:rFonts w:ascii="Verdana" w:hAnsi="Verdana"/>
          <w:sz w:val="20"/>
          <w:lang w:val="es-CR"/>
        </w:rPr>
        <w:t>El</w:t>
      </w:r>
      <w:r>
        <w:rPr>
          <w:rFonts w:ascii="Verdana" w:hAnsi="Verdana"/>
          <w:sz w:val="20"/>
        </w:rPr>
        <w:t xml:space="preserve"> informe presentado por el</w:t>
      </w:r>
      <w:r w:rsidRPr="000F4741">
        <w:rPr>
          <w:rFonts w:ascii="Verdana" w:hAnsi="Verdana"/>
          <w:sz w:val="20"/>
        </w:rPr>
        <w:t xml:space="preserve"> Estado </w:t>
      </w:r>
      <w:r>
        <w:rPr>
          <w:rFonts w:ascii="Verdana" w:hAnsi="Verdana"/>
          <w:sz w:val="20"/>
        </w:rPr>
        <w:t>el</w:t>
      </w:r>
      <w:r w:rsidRPr="000F4741">
        <w:rPr>
          <w:rFonts w:ascii="Verdana" w:hAnsi="Verdana"/>
          <w:sz w:val="20"/>
        </w:rPr>
        <w:t xml:space="preserve"> 4 de</w:t>
      </w:r>
      <w:r>
        <w:rPr>
          <w:rFonts w:ascii="Verdana" w:hAnsi="Verdana"/>
          <w:sz w:val="20"/>
        </w:rPr>
        <w:t xml:space="preserve"> mayo de 2016</w:t>
      </w:r>
      <w:r w:rsidR="00675CB8">
        <w:rPr>
          <w:rFonts w:ascii="Verdana" w:hAnsi="Verdana"/>
          <w:sz w:val="20"/>
        </w:rPr>
        <w:t>.</w:t>
      </w:r>
      <w:r w:rsidRPr="000F4741">
        <w:rPr>
          <w:rFonts w:ascii="Verdana" w:hAnsi="Verdana"/>
          <w:sz w:val="20"/>
        </w:rPr>
        <w:t xml:space="preserve"> </w:t>
      </w:r>
    </w:p>
    <w:p w:rsidR="00531717" w:rsidRPr="005F11DD" w:rsidRDefault="00531717" w:rsidP="00531717">
      <w:pPr>
        <w:jc w:val="both"/>
        <w:rPr>
          <w:rFonts w:ascii="Verdana" w:eastAsia="Calibri" w:hAnsi="Verdana"/>
          <w:sz w:val="20"/>
          <w:lang w:val="es-CR" w:eastAsia="es-CR"/>
        </w:rPr>
      </w:pPr>
    </w:p>
    <w:p w:rsidR="00531717" w:rsidRPr="006934E2" w:rsidRDefault="00531717" w:rsidP="00531717">
      <w:pPr>
        <w:numPr>
          <w:ilvl w:val="0"/>
          <w:numId w:val="1"/>
        </w:numPr>
        <w:ind w:left="0" w:firstLine="0"/>
        <w:jc w:val="both"/>
        <w:rPr>
          <w:rFonts w:ascii="Verdana" w:hAnsi="Verdana"/>
          <w:sz w:val="20"/>
        </w:rPr>
      </w:pPr>
      <w:r w:rsidRPr="006934E2">
        <w:rPr>
          <w:rFonts w:ascii="Verdana" w:hAnsi="Verdana"/>
          <w:sz w:val="20"/>
        </w:rPr>
        <w:t xml:space="preserve">El escrito de observaciones al informe estatal presentado por la Comisión Interamericana de Derechos Humanos (en adelante la “Comisión Interamericana” o la “Comisión”) el 19 de julio de 2016. </w:t>
      </w:r>
    </w:p>
    <w:p w:rsidR="005A728D" w:rsidRPr="005F11DD" w:rsidRDefault="005A728D" w:rsidP="005A728D">
      <w:pPr>
        <w:jc w:val="both"/>
        <w:rPr>
          <w:rFonts w:ascii="Verdana" w:eastAsia="Calibri" w:hAnsi="Verdana"/>
          <w:sz w:val="20"/>
          <w:lang w:eastAsia="es-CR"/>
        </w:rPr>
      </w:pPr>
    </w:p>
    <w:p w:rsidR="001E779D" w:rsidRPr="000F4741" w:rsidRDefault="001E779D" w:rsidP="001E779D">
      <w:pPr>
        <w:numPr>
          <w:ilvl w:val="0"/>
          <w:numId w:val="1"/>
        </w:numPr>
        <w:ind w:left="0" w:firstLine="0"/>
        <w:jc w:val="both"/>
        <w:rPr>
          <w:rFonts w:ascii="Verdana" w:hAnsi="Verdana"/>
          <w:sz w:val="20"/>
        </w:rPr>
      </w:pPr>
      <w:r>
        <w:rPr>
          <w:rFonts w:ascii="Verdana" w:hAnsi="Verdana"/>
          <w:sz w:val="20"/>
        </w:rPr>
        <w:lastRenderedPageBreak/>
        <w:t xml:space="preserve">El escrito </w:t>
      </w:r>
      <w:r w:rsidRPr="000F4741">
        <w:rPr>
          <w:rFonts w:ascii="Verdana" w:hAnsi="Verdana"/>
          <w:sz w:val="20"/>
        </w:rPr>
        <w:t>de observaciones a</w:t>
      </w:r>
      <w:r>
        <w:rPr>
          <w:rFonts w:ascii="Verdana" w:hAnsi="Verdana"/>
          <w:sz w:val="20"/>
        </w:rPr>
        <w:t>l</w:t>
      </w:r>
      <w:r w:rsidRPr="000F4741">
        <w:rPr>
          <w:rFonts w:ascii="Verdana" w:hAnsi="Verdana"/>
          <w:sz w:val="20"/>
        </w:rPr>
        <w:t xml:space="preserve"> </w:t>
      </w:r>
      <w:r>
        <w:rPr>
          <w:rFonts w:ascii="Verdana" w:hAnsi="Verdana"/>
          <w:sz w:val="20"/>
        </w:rPr>
        <w:t>informe estatal presentado por lo</w:t>
      </w:r>
      <w:r w:rsidRPr="000F4741">
        <w:rPr>
          <w:rFonts w:ascii="Verdana" w:hAnsi="Verdana"/>
          <w:sz w:val="20"/>
        </w:rPr>
        <w:t>s representantes de las víctimas</w:t>
      </w:r>
      <w:r>
        <w:rPr>
          <w:rFonts w:ascii="Verdana" w:hAnsi="Verdana"/>
          <w:sz w:val="20"/>
        </w:rPr>
        <w:t xml:space="preserve"> </w:t>
      </w:r>
      <w:r w:rsidRPr="00BA66A6">
        <w:rPr>
          <w:rFonts w:ascii="Verdana" w:hAnsi="Verdana" w:cs="Arial"/>
          <w:sz w:val="20"/>
          <w:lang w:val="es-ES"/>
        </w:rPr>
        <w:t>(en adelante “los representantes”)</w:t>
      </w:r>
      <w:r w:rsidRPr="000F4741">
        <w:rPr>
          <w:rStyle w:val="Refdenotaalpie"/>
          <w:rFonts w:ascii="Verdana" w:hAnsi="Verdana"/>
          <w:sz w:val="20"/>
        </w:rPr>
        <w:footnoteReference w:id="2"/>
      </w:r>
      <w:r>
        <w:rPr>
          <w:rFonts w:ascii="Verdana" w:hAnsi="Verdana"/>
          <w:sz w:val="20"/>
        </w:rPr>
        <w:t xml:space="preserve"> el 3 de octubre de 2016</w:t>
      </w:r>
      <w:r w:rsidR="00675CB8">
        <w:rPr>
          <w:rFonts w:ascii="Verdana" w:hAnsi="Verdana"/>
          <w:sz w:val="20"/>
        </w:rPr>
        <w:t>.</w:t>
      </w:r>
      <w:r>
        <w:rPr>
          <w:rFonts w:ascii="Verdana" w:hAnsi="Verdana"/>
          <w:sz w:val="20"/>
        </w:rPr>
        <w:t xml:space="preserve"> </w:t>
      </w:r>
    </w:p>
    <w:p w:rsidR="001E779D" w:rsidRPr="000F4741" w:rsidRDefault="001E779D" w:rsidP="001E779D">
      <w:pPr>
        <w:pStyle w:val="Prrafodelista"/>
        <w:rPr>
          <w:rFonts w:ascii="Verdana" w:hAnsi="Verdana"/>
          <w:sz w:val="20"/>
        </w:rPr>
      </w:pPr>
    </w:p>
    <w:p w:rsidR="001E779D" w:rsidRPr="00987BEB" w:rsidRDefault="00CE5F22" w:rsidP="001E779D">
      <w:pPr>
        <w:pStyle w:val="Textonotapie"/>
        <w:numPr>
          <w:ilvl w:val="0"/>
          <w:numId w:val="1"/>
        </w:numPr>
        <w:spacing w:before="120" w:after="120"/>
        <w:ind w:left="0" w:firstLine="0"/>
        <w:jc w:val="both"/>
        <w:rPr>
          <w:rFonts w:ascii="Verdana" w:hAnsi="Verdana"/>
          <w:sz w:val="16"/>
          <w:szCs w:val="16"/>
        </w:rPr>
      </w:pPr>
      <w:r w:rsidRPr="00987BEB">
        <w:rPr>
          <w:rFonts w:ascii="Verdana" w:hAnsi="Verdana" w:cs="Arial"/>
          <w:sz w:val="20"/>
        </w:rPr>
        <w:t>Los</w:t>
      </w:r>
      <w:r w:rsidR="002369B4" w:rsidRPr="00987BEB">
        <w:rPr>
          <w:rFonts w:ascii="Verdana" w:hAnsi="Verdana" w:cs="Arial"/>
          <w:sz w:val="20"/>
        </w:rPr>
        <w:t xml:space="preserve"> escrito</w:t>
      </w:r>
      <w:r w:rsidRPr="00987BEB">
        <w:rPr>
          <w:rFonts w:ascii="Verdana" w:hAnsi="Verdana" w:cs="Arial"/>
          <w:sz w:val="20"/>
        </w:rPr>
        <w:t>s</w:t>
      </w:r>
      <w:r w:rsidR="002369B4" w:rsidRPr="00987BEB">
        <w:rPr>
          <w:rFonts w:ascii="Verdana" w:hAnsi="Verdana" w:cs="Arial"/>
          <w:sz w:val="20"/>
        </w:rPr>
        <w:t xml:space="preserve"> presentado</w:t>
      </w:r>
      <w:r w:rsidRPr="00987BEB">
        <w:rPr>
          <w:rFonts w:ascii="Verdana" w:hAnsi="Verdana" w:cs="Arial"/>
          <w:sz w:val="20"/>
        </w:rPr>
        <w:t>s</w:t>
      </w:r>
      <w:r w:rsidR="002369B4" w:rsidRPr="00987BEB">
        <w:rPr>
          <w:rFonts w:ascii="Verdana" w:hAnsi="Verdana" w:cs="Arial"/>
          <w:sz w:val="20"/>
        </w:rPr>
        <w:t xml:space="preserve"> por el </w:t>
      </w:r>
      <w:r w:rsidR="001E779D" w:rsidRPr="00987BEB">
        <w:rPr>
          <w:rFonts w:ascii="Verdana" w:hAnsi="Verdana" w:cs="Arial"/>
          <w:sz w:val="20"/>
        </w:rPr>
        <w:t>Estado</w:t>
      </w:r>
      <w:r w:rsidRPr="00987BEB">
        <w:rPr>
          <w:rFonts w:ascii="Verdana" w:hAnsi="Verdana" w:cs="Arial"/>
          <w:sz w:val="20"/>
        </w:rPr>
        <w:t xml:space="preserve"> y los representantes de las víctimas</w:t>
      </w:r>
      <w:r w:rsidR="001E779D" w:rsidRPr="00987BEB">
        <w:rPr>
          <w:rFonts w:ascii="Verdana" w:hAnsi="Verdana" w:cs="Arial"/>
          <w:sz w:val="20"/>
        </w:rPr>
        <w:t xml:space="preserve"> el</w:t>
      </w:r>
      <w:r w:rsidR="001E779D" w:rsidRPr="00987BEB">
        <w:rPr>
          <w:rFonts w:ascii="Verdana" w:hAnsi="Verdana" w:cs="Arial"/>
        </w:rPr>
        <w:t xml:space="preserve"> </w:t>
      </w:r>
      <w:r w:rsidR="001E779D" w:rsidRPr="00987BEB">
        <w:rPr>
          <w:rFonts w:ascii="Verdana" w:hAnsi="Verdana"/>
          <w:sz w:val="20"/>
        </w:rPr>
        <w:t>21</w:t>
      </w:r>
      <w:r w:rsidRPr="00987BEB">
        <w:rPr>
          <w:rFonts w:ascii="Verdana" w:hAnsi="Verdana"/>
          <w:sz w:val="20"/>
        </w:rPr>
        <w:t xml:space="preserve"> y 23</w:t>
      </w:r>
      <w:r w:rsidR="001E779D" w:rsidRPr="00987BEB">
        <w:rPr>
          <w:rFonts w:ascii="Verdana" w:hAnsi="Verdana"/>
          <w:sz w:val="20"/>
        </w:rPr>
        <w:t xml:space="preserve"> de </w:t>
      </w:r>
      <w:r w:rsidRPr="00987BEB">
        <w:rPr>
          <w:rFonts w:ascii="Verdana" w:hAnsi="Verdana"/>
          <w:sz w:val="20"/>
        </w:rPr>
        <w:t>noviembre</w:t>
      </w:r>
      <w:r w:rsidR="001E779D" w:rsidRPr="00987BEB">
        <w:rPr>
          <w:rFonts w:ascii="Verdana" w:hAnsi="Verdana"/>
          <w:sz w:val="20"/>
        </w:rPr>
        <w:t xml:space="preserve"> de 2016</w:t>
      </w:r>
      <w:r w:rsidRPr="00987BEB">
        <w:rPr>
          <w:rFonts w:ascii="Verdana" w:hAnsi="Verdana"/>
          <w:sz w:val="20"/>
        </w:rPr>
        <w:t>, respectivamente</w:t>
      </w:r>
      <w:r w:rsidR="001E779D" w:rsidRPr="00987BEB">
        <w:rPr>
          <w:rFonts w:ascii="Verdana" w:hAnsi="Verdana" w:cs="Arial"/>
          <w:sz w:val="20"/>
        </w:rPr>
        <w:t xml:space="preserve">, en respuesta a </w:t>
      </w:r>
      <w:r w:rsidR="002369B4" w:rsidRPr="00987BEB">
        <w:rPr>
          <w:rFonts w:ascii="Verdana" w:hAnsi="Verdana" w:cs="Arial"/>
          <w:sz w:val="20"/>
        </w:rPr>
        <w:t xml:space="preserve">la </w:t>
      </w:r>
      <w:r w:rsidR="001E779D" w:rsidRPr="00987BEB">
        <w:rPr>
          <w:rFonts w:ascii="Verdana" w:hAnsi="Verdana" w:cs="Arial"/>
          <w:sz w:val="20"/>
        </w:rPr>
        <w:t>solicitud efectuada por el Presidente del Tribunal, a través de nota</w:t>
      </w:r>
      <w:r w:rsidR="00A734AC">
        <w:rPr>
          <w:rFonts w:ascii="Verdana" w:hAnsi="Verdana" w:cs="Arial"/>
          <w:sz w:val="20"/>
        </w:rPr>
        <w:t>s</w:t>
      </w:r>
      <w:r w:rsidR="001E779D" w:rsidRPr="00987BEB">
        <w:rPr>
          <w:rFonts w:ascii="Verdana" w:hAnsi="Verdana" w:cs="Arial"/>
          <w:sz w:val="20"/>
        </w:rPr>
        <w:t xml:space="preserve"> de la Secretaría de 9 de noviembre de 2016, en relación con su posición respecto al </w:t>
      </w:r>
      <w:r w:rsidR="001E779D" w:rsidRPr="00987BEB">
        <w:rPr>
          <w:rFonts w:ascii="Verdana" w:hAnsi="Verdana"/>
          <w:sz w:val="20"/>
        </w:rPr>
        <w:t>posible cumplimiento de la medida de reparación relativa a la búsqueda del paradero de la víctima Santos Ernesto Salinas</w:t>
      </w:r>
      <w:r w:rsidR="006934E2">
        <w:rPr>
          <w:rFonts w:ascii="Verdana" w:hAnsi="Verdana"/>
          <w:sz w:val="20"/>
        </w:rPr>
        <w:t xml:space="preserve"> (</w:t>
      </w:r>
      <w:r w:rsidR="006934E2">
        <w:rPr>
          <w:rFonts w:ascii="Verdana" w:hAnsi="Verdana"/>
          <w:i/>
          <w:sz w:val="20"/>
        </w:rPr>
        <w:t>infra</w:t>
      </w:r>
      <w:r w:rsidR="006934E2">
        <w:rPr>
          <w:rFonts w:ascii="Verdana" w:hAnsi="Verdana"/>
          <w:sz w:val="20"/>
        </w:rPr>
        <w:t xml:space="preserve"> Considerando </w:t>
      </w:r>
      <w:r w:rsidR="006934E2">
        <w:rPr>
          <w:rFonts w:ascii="Verdana" w:hAnsi="Verdana"/>
          <w:sz w:val="20"/>
        </w:rPr>
        <w:fldChar w:fldCharType="begin"/>
      </w:r>
      <w:r w:rsidR="006934E2">
        <w:rPr>
          <w:rFonts w:ascii="Verdana" w:hAnsi="Verdana"/>
          <w:sz w:val="20"/>
        </w:rPr>
        <w:instrText xml:space="preserve"> REF _Ref475106956 \r \h </w:instrText>
      </w:r>
      <w:r w:rsidR="006934E2">
        <w:rPr>
          <w:rFonts w:ascii="Verdana" w:hAnsi="Verdana"/>
          <w:sz w:val="20"/>
        </w:rPr>
      </w:r>
      <w:r w:rsidR="006934E2">
        <w:rPr>
          <w:rFonts w:ascii="Verdana" w:hAnsi="Verdana"/>
          <w:sz w:val="20"/>
        </w:rPr>
        <w:fldChar w:fldCharType="separate"/>
      </w:r>
      <w:r w:rsidR="00107924">
        <w:rPr>
          <w:rFonts w:ascii="Verdana" w:hAnsi="Verdana"/>
          <w:sz w:val="20"/>
        </w:rPr>
        <w:t>4</w:t>
      </w:r>
      <w:r w:rsidR="006934E2">
        <w:rPr>
          <w:rFonts w:ascii="Verdana" w:hAnsi="Verdana"/>
          <w:sz w:val="20"/>
        </w:rPr>
        <w:fldChar w:fldCharType="end"/>
      </w:r>
      <w:r w:rsidR="006934E2">
        <w:rPr>
          <w:rFonts w:ascii="Verdana" w:hAnsi="Verdana"/>
          <w:sz w:val="20"/>
        </w:rPr>
        <w:t>)</w:t>
      </w:r>
      <w:r w:rsidR="001E779D" w:rsidRPr="00987BEB">
        <w:rPr>
          <w:rFonts w:ascii="Verdana" w:hAnsi="Verdana"/>
          <w:sz w:val="20"/>
        </w:rPr>
        <w:t>.</w:t>
      </w:r>
    </w:p>
    <w:p w:rsidR="001E779D" w:rsidRPr="00987BEB" w:rsidRDefault="001E779D" w:rsidP="001E779D">
      <w:pPr>
        <w:rPr>
          <w:rFonts w:ascii="Verdana" w:hAnsi="Verdana"/>
          <w:sz w:val="20"/>
        </w:rPr>
      </w:pPr>
    </w:p>
    <w:p w:rsidR="001E779D" w:rsidRPr="00987BEB" w:rsidRDefault="001E779D" w:rsidP="001E779D">
      <w:pPr>
        <w:jc w:val="both"/>
        <w:rPr>
          <w:rFonts w:ascii="Verdana" w:hAnsi="Verdana"/>
          <w:b/>
          <w:sz w:val="20"/>
        </w:rPr>
      </w:pPr>
      <w:r w:rsidRPr="00987BEB">
        <w:rPr>
          <w:rFonts w:ascii="Verdana" w:hAnsi="Verdana"/>
          <w:b/>
          <w:sz w:val="20"/>
        </w:rPr>
        <w:t xml:space="preserve">CONSIDERANDO QUE: </w:t>
      </w:r>
    </w:p>
    <w:p w:rsidR="001E779D" w:rsidRPr="00987BEB" w:rsidRDefault="001E779D" w:rsidP="001E779D">
      <w:pPr>
        <w:tabs>
          <w:tab w:val="left" w:pos="2225"/>
        </w:tabs>
        <w:rPr>
          <w:rFonts w:ascii="Verdana" w:hAnsi="Verdana"/>
          <w:sz w:val="20"/>
        </w:rPr>
      </w:pPr>
      <w:r w:rsidRPr="00987BEB">
        <w:rPr>
          <w:rFonts w:ascii="Verdana" w:hAnsi="Verdana"/>
          <w:sz w:val="20"/>
        </w:rPr>
        <w:tab/>
      </w:r>
    </w:p>
    <w:p w:rsidR="001E779D" w:rsidRPr="00987BEB" w:rsidRDefault="001E779D" w:rsidP="001E779D">
      <w:pPr>
        <w:numPr>
          <w:ilvl w:val="0"/>
          <w:numId w:val="2"/>
        </w:numPr>
        <w:ind w:left="0" w:firstLine="0"/>
        <w:jc w:val="both"/>
        <w:rPr>
          <w:rFonts w:ascii="Verdana" w:hAnsi="Verdana"/>
          <w:sz w:val="20"/>
        </w:rPr>
      </w:pPr>
      <w:bookmarkStart w:id="0" w:name="_Ref440036199"/>
      <w:r w:rsidRPr="00987BEB">
        <w:rPr>
          <w:rFonts w:ascii="Verdana" w:hAnsi="Verdana"/>
          <w:sz w:val="20"/>
        </w:rPr>
        <w:t>En el ejercicio de su función jurisdiccional de supervisar el cumplimiento de sus decisiones</w:t>
      </w:r>
      <w:r w:rsidRPr="00987BEB">
        <w:rPr>
          <w:rStyle w:val="Refdenotaalpie"/>
          <w:rFonts w:ascii="Verdana" w:hAnsi="Verdana"/>
          <w:sz w:val="20"/>
        </w:rPr>
        <w:footnoteReference w:id="3"/>
      </w:r>
      <w:r w:rsidRPr="00987BEB">
        <w:rPr>
          <w:rFonts w:ascii="Verdana" w:hAnsi="Verdana"/>
          <w:sz w:val="20"/>
        </w:rPr>
        <w:t>, la Corte ha venido supervisando la ejecución de la Sentencia emitida en el presente caso desde</w:t>
      </w:r>
      <w:r w:rsidRPr="00987BEB">
        <w:rPr>
          <w:rFonts w:ascii="Verdana" w:hAnsi="Verdana"/>
          <w:i/>
          <w:sz w:val="20"/>
        </w:rPr>
        <w:t xml:space="preserve"> </w:t>
      </w:r>
      <w:r w:rsidRPr="00987BEB">
        <w:rPr>
          <w:rFonts w:ascii="Verdana" w:hAnsi="Verdana"/>
          <w:sz w:val="20"/>
        </w:rPr>
        <w:t>octubre de 2014 (</w:t>
      </w:r>
      <w:r w:rsidRPr="00987BEB">
        <w:rPr>
          <w:rFonts w:ascii="Verdana" w:hAnsi="Verdana"/>
          <w:i/>
          <w:sz w:val="20"/>
        </w:rPr>
        <w:t>supra</w:t>
      </w:r>
      <w:r w:rsidRPr="00987BEB">
        <w:rPr>
          <w:rFonts w:ascii="Verdana" w:hAnsi="Verdana"/>
          <w:sz w:val="20"/>
        </w:rPr>
        <w:t xml:space="preserve"> Visto 1). </w:t>
      </w:r>
      <w:bookmarkEnd w:id="0"/>
      <w:r w:rsidRPr="00987BEB">
        <w:rPr>
          <w:rFonts w:ascii="Verdana" w:hAnsi="Verdana"/>
          <w:sz w:val="20"/>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por ésta, lo cual es fundamental para evaluar el estado de cumplimiento de la Sentencia en su conjunto.</w:t>
      </w:r>
      <w:r w:rsidR="00CE5F22" w:rsidRPr="00987BEB">
        <w:rPr>
          <w:rFonts w:ascii="Verdana" w:hAnsi="Verdana"/>
          <w:sz w:val="20"/>
        </w:rPr>
        <w:t xml:space="preserve"> </w:t>
      </w:r>
      <w:r w:rsidRPr="00987BEB">
        <w:rPr>
          <w:rFonts w:ascii="Verdana" w:hAnsi="Verdana"/>
          <w:sz w:val="20"/>
        </w:rPr>
        <w:t>Los Estados Parte en la Convención deben garantizar el cumplimiento de las disposiciones convencionales y sus efectos propios en el plano de sus respectivos derechos internos. Estas obligaciones deben ser interpretadas y aplicadas de manera que la garantía protegida sea verdaderamente práctica y eficaz, teniendo presente la naturaleza especial de los tratados de derechos humanos</w:t>
      </w:r>
      <w:r w:rsidRPr="00987BEB">
        <w:rPr>
          <w:rStyle w:val="Refdenotaalpie"/>
          <w:rFonts w:ascii="Verdana" w:hAnsi="Verdana"/>
          <w:sz w:val="20"/>
        </w:rPr>
        <w:footnoteReference w:id="4"/>
      </w:r>
      <w:r w:rsidRPr="00987BEB">
        <w:rPr>
          <w:rFonts w:ascii="Verdana" w:hAnsi="Verdana"/>
          <w:sz w:val="20"/>
        </w:rPr>
        <w:t>.</w:t>
      </w:r>
    </w:p>
    <w:p w:rsidR="001E779D" w:rsidRPr="00987BEB" w:rsidRDefault="001E779D" w:rsidP="001E779D">
      <w:pPr>
        <w:pStyle w:val="Prrafodelista"/>
        <w:rPr>
          <w:rFonts w:ascii="Verdana" w:hAnsi="Verdana"/>
          <w:sz w:val="20"/>
        </w:rPr>
      </w:pPr>
    </w:p>
    <w:p w:rsidR="001E779D" w:rsidRPr="00987BEB" w:rsidRDefault="001E779D" w:rsidP="001E779D">
      <w:pPr>
        <w:numPr>
          <w:ilvl w:val="0"/>
          <w:numId w:val="2"/>
        </w:numPr>
        <w:ind w:left="0" w:firstLine="0"/>
        <w:jc w:val="both"/>
        <w:rPr>
          <w:rFonts w:ascii="Verdana" w:hAnsi="Verdana"/>
          <w:sz w:val="20"/>
        </w:rPr>
      </w:pPr>
      <w:bookmarkStart w:id="1" w:name="_Ref475106753"/>
      <w:bookmarkStart w:id="2" w:name="_Ref475347244"/>
      <w:r w:rsidRPr="00987BEB">
        <w:rPr>
          <w:rFonts w:ascii="Verdana" w:hAnsi="Verdana"/>
          <w:sz w:val="20"/>
        </w:rPr>
        <w:t>En la presente Resolución, este Tribunal se pronunciará sobre cinco medidas de reparación respecto de las cuales estima que las partes han aportado información suficiente para realizar una valoración acerca de su cumplimiento. Adicionalmente, la Corte realizará una solicitud de información sobre el resto de las medidas de reparación ordenadas en la Sentencia pendientes de cumplimiento</w:t>
      </w:r>
      <w:r w:rsidRPr="00987BEB">
        <w:rPr>
          <w:rStyle w:val="Refdenotaalpie"/>
          <w:rFonts w:ascii="Verdana" w:hAnsi="Verdana"/>
          <w:sz w:val="20"/>
        </w:rPr>
        <w:footnoteReference w:id="5"/>
      </w:r>
      <w:r w:rsidRPr="00987BEB">
        <w:rPr>
          <w:rFonts w:ascii="Verdana" w:hAnsi="Verdana"/>
          <w:sz w:val="20"/>
        </w:rPr>
        <w:t xml:space="preserve">, a efecto de estar en posibilidad de pronunciarse sobre las mismas en una posterior resolución. </w:t>
      </w:r>
      <w:r w:rsidRPr="00987BEB">
        <w:rPr>
          <w:rFonts w:ascii="Verdana" w:hAnsi="Verdana"/>
          <w:sz w:val="20"/>
          <w:lang w:val="es-ES"/>
        </w:rPr>
        <w:t>La Corte estructurará sus consideraciones en el siguiente orden</w:t>
      </w:r>
      <w:bookmarkEnd w:id="1"/>
      <w:r w:rsidR="00312A2F">
        <w:rPr>
          <w:rFonts w:ascii="Verdana" w:hAnsi="Verdana"/>
          <w:sz w:val="20"/>
          <w:lang w:val="es-ES"/>
        </w:rPr>
        <w:t>:</w:t>
      </w:r>
      <w:bookmarkEnd w:id="2"/>
    </w:p>
    <w:p w:rsidR="001E779D" w:rsidRPr="00312A2F" w:rsidRDefault="001E779D" w:rsidP="00312A2F">
      <w:pPr>
        <w:pStyle w:val="TtulodeTDC"/>
        <w:ind w:left="567" w:right="900"/>
        <w:rPr>
          <w:sz w:val="16"/>
          <w:szCs w:val="16"/>
        </w:rPr>
      </w:pPr>
    </w:p>
    <w:p w:rsidR="00CE5F22" w:rsidRPr="005F11DD" w:rsidRDefault="001E779D" w:rsidP="00312A2F">
      <w:pPr>
        <w:pStyle w:val="TDC1"/>
        <w:rPr>
          <w:rFonts w:ascii="Calibri" w:eastAsia="Times New Roman" w:hAnsi="Calibri"/>
          <w:sz w:val="16"/>
          <w:szCs w:val="16"/>
          <w:lang w:val="es-CR" w:eastAsia="es-CR"/>
        </w:rPr>
      </w:pPr>
      <w:r w:rsidRPr="00312A2F">
        <w:rPr>
          <w:sz w:val="16"/>
          <w:szCs w:val="16"/>
        </w:rPr>
        <w:fldChar w:fldCharType="begin"/>
      </w:r>
      <w:r w:rsidRPr="00312A2F">
        <w:rPr>
          <w:sz w:val="16"/>
          <w:szCs w:val="16"/>
        </w:rPr>
        <w:instrText xml:space="preserve"> TOC \o "1-3" \h \z \u </w:instrText>
      </w:r>
      <w:r w:rsidRPr="00312A2F">
        <w:rPr>
          <w:sz w:val="16"/>
          <w:szCs w:val="16"/>
        </w:rPr>
        <w:fldChar w:fldCharType="separate"/>
      </w:r>
      <w:hyperlink w:anchor="_Toc469305969" w:history="1">
        <w:r w:rsidR="00CE5F22" w:rsidRPr="00312A2F">
          <w:rPr>
            <w:rStyle w:val="Hipervnculo"/>
            <w:sz w:val="16"/>
            <w:szCs w:val="16"/>
          </w:rPr>
          <w:t>A.Efectuar una búsqueda ser</w:t>
        </w:r>
        <w:r w:rsidR="00E15C77" w:rsidRPr="00312A2F">
          <w:rPr>
            <w:rStyle w:val="Hipervnculo"/>
            <w:sz w:val="16"/>
            <w:szCs w:val="16"/>
          </w:rPr>
          <w:t>i</w:t>
        </w:r>
        <w:r w:rsidR="00CE5F22" w:rsidRPr="00312A2F">
          <w:rPr>
            <w:rStyle w:val="Hipervnculo"/>
            <w:sz w:val="16"/>
            <w:szCs w:val="16"/>
          </w:rPr>
          <w:t>a en la cual realice todos los esfuerzos para determinar el paradero de Santos Ernesto Salinas</w:t>
        </w:r>
        <w:r w:rsidR="00CE5F22" w:rsidRPr="00312A2F">
          <w:rPr>
            <w:webHidden/>
            <w:sz w:val="16"/>
            <w:szCs w:val="16"/>
          </w:rPr>
          <w:tab/>
        </w:r>
        <w:r w:rsidR="00CE5F22" w:rsidRPr="00312A2F">
          <w:rPr>
            <w:webHidden/>
            <w:sz w:val="16"/>
            <w:szCs w:val="16"/>
          </w:rPr>
          <w:fldChar w:fldCharType="begin"/>
        </w:r>
        <w:r w:rsidR="00CE5F22" w:rsidRPr="00312A2F">
          <w:rPr>
            <w:webHidden/>
            <w:sz w:val="16"/>
            <w:szCs w:val="16"/>
          </w:rPr>
          <w:instrText xml:space="preserve"> PAGEREF _Toc469305969 \h </w:instrText>
        </w:r>
        <w:r w:rsidR="00CE5F22" w:rsidRPr="00312A2F">
          <w:rPr>
            <w:webHidden/>
            <w:sz w:val="16"/>
            <w:szCs w:val="16"/>
          </w:rPr>
        </w:r>
        <w:r w:rsidR="00CE5F22" w:rsidRPr="00312A2F">
          <w:rPr>
            <w:webHidden/>
            <w:sz w:val="16"/>
            <w:szCs w:val="16"/>
          </w:rPr>
          <w:fldChar w:fldCharType="separate"/>
        </w:r>
        <w:r w:rsidR="00107924">
          <w:rPr>
            <w:webHidden/>
            <w:sz w:val="16"/>
            <w:szCs w:val="16"/>
          </w:rPr>
          <w:t>3</w:t>
        </w:r>
        <w:r w:rsidR="00CE5F22" w:rsidRPr="00312A2F">
          <w:rPr>
            <w:webHidden/>
            <w:sz w:val="16"/>
            <w:szCs w:val="16"/>
          </w:rPr>
          <w:fldChar w:fldCharType="end"/>
        </w:r>
      </w:hyperlink>
    </w:p>
    <w:p w:rsidR="00CE5F22" w:rsidRPr="005F11DD" w:rsidRDefault="005A3213" w:rsidP="00312A2F">
      <w:pPr>
        <w:pStyle w:val="TDC1"/>
        <w:rPr>
          <w:rFonts w:ascii="Calibri" w:eastAsia="Times New Roman" w:hAnsi="Calibri"/>
          <w:sz w:val="16"/>
          <w:szCs w:val="16"/>
          <w:lang w:val="es-CR" w:eastAsia="es-CR"/>
        </w:rPr>
      </w:pPr>
      <w:hyperlink w:anchor="_Toc469305970" w:history="1">
        <w:r w:rsidR="00CE5F22" w:rsidRPr="00312A2F">
          <w:rPr>
            <w:rStyle w:val="Hipervnculo"/>
            <w:sz w:val="16"/>
            <w:szCs w:val="16"/>
          </w:rPr>
          <w:t>B.Tratamiento médico, psicológico y/o psiquiátrico</w:t>
        </w:r>
        <w:r w:rsidR="00CE5F22" w:rsidRPr="00312A2F">
          <w:rPr>
            <w:webHidden/>
            <w:sz w:val="16"/>
            <w:szCs w:val="16"/>
          </w:rPr>
          <w:tab/>
        </w:r>
        <w:r w:rsidR="00CE5F22" w:rsidRPr="00312A2F">
          <w:rPr>
            <w:webHidden/>
            <w:sz w:val="16"/>
            <w:szCs w:val="16"/>
          </w:rPr>
          <w:fldChar w:fldCharType="begin"/>
        </w:r>
        <w:r w:rsidR="00CE5F22" w:rsidRPr="00312A2F">
          <w:rPr>
            <w:webHidden/>
            <w:sz w:val="16"/>
            <w:szCs w:val="16"/>
          </w:rPr>
          <w:instrText xml:space="preserve"> PAGEREF _Toc469305970 \h </w:instrText>
        </w:r>
        <w:r w:rsidR="00CE5F22" w:rsidRPr="00312A2F">
          <w:rPr>
            <w:webHidden/>
            <w:sz w:val="16"/>
            <w:szCs w:val="16"/>
          </w:rPr>
        </w:r>
        <w:r w:rsidR="00CE5F22" w:rsidRPr="00312A2F">
          <w:rPr>
            <w:webHidden/>
            <w:sz w:val="16"/>
            <w:szCs w:val="16"/>
          </w:rPr>
          <w:fldChar w:fldCharType="separate"/>
        </w:r>
        <w:r w:rsidR="00107924">
          <w:rPr>
            <w:webHidden/>
            <w:sz w:val="16"/>
            <w:szCs w:val="16"/>
          </w:rPr>
          <w:t>4</w:t>
        </w:r>
        <w:r w:rsidR="00CE5F22" w:rsidRPr="00312A2F">
          <w:rPr>
            <w:webHidden/>
            <w:sz w:val="16"/>
            <w:szCs w:val="16"/>
          </w:rPr>
          <w:fldChar w:fldCharType="end"/>
        </w:r>
      </w:hyperlink>
    </w:p>
    <w:p w:rsidR="00CE5F22" w:rsidRPr="005F11DD" w:rsidRDefault="005A3213" w:rsidP="00312A2F">
      <w:pPr>
        <w:pStyle w:val="TDC1"/>
        <w:rPr>
          <w:rFonts w:ascii="Calibri" w:eastAsia="Times New Roman" w:hAnsi="Calibri"/>
          <w:sz w:val="16"/>
          <w:szCs w:val="16"/>
          <w:lang w:val="es-CR" w:eastAsia="es-CR"/>
        </w:rPr>
      </w:pPr>
      <w:hyperlink w:anchor="_Toc469305971" w:history="1">
        <w:r w:rsidR="00CE5F22" w:rsidRPr="00312A2F">
          <w:rPr>
            <w:rStyle w:val="Hipervnculo"/>
            <w:sz w:val="16"/>
            <w:szCs w:val="16"/>
          </w:rPr>
          <w:t>C.Acto público de reconocimiento de responsabilidad internacional</w:t>
        </w:r>
        <w:r w:rsidR="00CE5F22" w:rsidRPr="00312A2F">
          <w:rPr>
            <w:webHidden/>
            <w:sz w:val="16"/>
            <w:szCs w:val="16"/>
          </w:rPr>
          <w:tab/>
        </w:r>
        <w:r w:rsidR="00CE5F22" w:rsidRPr="00312A2F">
          <w:rPr>
            <w:webHidden/>
            <w:sz w:val="16"/>
            <w:szCs w:val="16"/>
          </w:rPr>
          <w:fldChar w:fldCharType="begin"/>
        </w:r>
        <w:r w:rsidR="00CE5F22" w:rsidRPr="00312A2F">
          <w:rPr>
            <w:webHidden/>
            <w:sz w:val="16"/>
            <w:szCs w:val="16"/>
          </w:rPr>
          <w:instrText xml:space="preserve"> PAGEREF _Toc469305971 \h </w:instrText>
        </w:r>
        <w:r w:rsidR="00CE5F22" w:rsidRPr="00312A2F">
          <w:rPr>
            <w:webHidden/>
            <w:sz w:val="16"/>
            <w:szCs w:val="16"/>
          </w:rPr>
        </w:r>
        <w:r w:rsidR="00CE5F22" w:rsidRPr="00312A2F">
          <w:rPr>
            <w:webHidden/>
            <w:sz w:val="16"/>
            <w:szCs w:val="16"/>
          </w:rPr>
          <w:fldChar w:fldCharType="separate"/>
        </w:r>
        <w:r w:rsidR="00107924">
          <w:rPr>
            <w:webHidden/>
            <w:sz w:val="16"/>
            <w:szCs w:val="16"/>
          </w:rPr>
          <w:t>6</w:t>
        </w:r>
        <w:r w:rsidR="00CE5F22" w:rsidRPr="00312A2F">
          <w:rPr>
            <w:webHidden/>
            <w:sz w:val="16"/>
            <w:szCs w:val="16"/>
          </w:rPr>
          <w:fldChar w:fldCharType="end"/>
        </w:r>
      </w:hyperlink>
    </w:p>
    <w:p w:rsidR="00CE5F22" w:rsidRPr="005F11DD" w:rsidRDefault="005A3213" w:rsidP="00312A2F">
      <w:pPr>
        <w:pStyle w:val="TDC1"/>
        <w:rPr>
          <w:rFonts w:ascii="Calibri" w:eastAsia="Times New Roman" w:hAnsi="Calibri"/>
          <w:sz w:val="16"/>
          <w:szCs w:val="16"/>
          <w:lang w:val="es-CR" w:eastAsia="es-CR"/>
        </w:rPr>
      </w:pPr>
      <w:hyperlink w:anchor="_Toc469305972" w:history="1">
        <w:r w:rsidR="00CE5F22" w:rsidRPr="00312A2F">
          <w:rPr>
            <w:rStyle w:val="Hipervnculo"/>
            <w:sz w:val="16"/>
            <w:szCs w:val="16"/>
          </w:rPr>
          <w:t>D.Publicaciones de la Sentencia</w:t>
        </w:r>
        <w:r w:rsidR="00CE5F22" w:rsidRPr="00312A2F">
          <w:rPr>
            <w:webHidden/>
            <w:sz w:val="16"/>
            <w:szCs w:val="16"/>
          </w:rPr>
          <w:tab/>
        </w:r>
        <w:r w:rsidR="00CE5F22" w:rsidRPr="00312A2F">
          <w:rPr>
            <w:webHidden/>
            <w:sz w:val="16"/>
            <w:szCs w:val="16"/>
          </w:rPr>
          <w:fldChar w:fldCharType="begin"/>
        </w:r>
        <w:r w:rsidR="00CE5F22" w:rsidRPr="00312A2F">
          <w:rPr>
            <w:webHidden/>
            <w:sz w:val="16"/>
            <w:szCs w:val="16"/>
          </w:rPr>
          <w:instrText xml:space="preserve"> PAGEREF _Toc469305972 \h </w:instrText>
        </w:r>
        <w:r w:rsidR="00CE5F22" w:rsidRPr="00312A2F">
          <w:rPr>
            <w:webHidden/>
            <w:sz w:val="16"/>
            <w:szCs w:val="16"/>
          </w:rPr>
        </w:r>
        <w:r w:rsidR="00CE5F22" w:rsidRPr="00312A2F">
          <w:rPr>
            <w:webHidden/>
            <w:sz w:val="16"/>
            <w:szCs w:val="16"/>
          </w:rPr>
          <w:fldChar w:fldCharType="separate"/>
        </w:r>
        <w:r w:rsidR="00107924">
          <w:rPr>
            <w:webHidden/>
            <w:sz w:val="16"/>
            <w:szCs w:val="16"/>
          </w:rPr>
          <w:t>7</w:t>
        </w:r>
        <w:r w:rsidR="00CE5F22" w:rsidRPr="00312A2F">
          <w:rPr>
            <w:webHidden/>
            <w:sz w:val="16"/>
            <w:szCs w:val="16"/>
          </w:rPr>
          <w:fldChar w:fldCharType="end"/>
        </w:r>
      </w:hyperlink>
    </w:p>
    <w:p w:rsidR="00CE5F22" w:rsidRPr="005F11DD" w:rsidRDefault="005A3213" w:rsidP="00312A2F">
      <w:pPr>
        <w:pStyle w:val="TDC1"/>
        <w:rPr>
          <w:rFonts w:ascii="Calibri" w:eastAsia="Times New Roman" w:hAnsi="Calibri"/>
          <w:sz w:val="16"/>
          <w:szCs w:val="16"/>
          <w:lang w:val="es-CR" w:eastAsia="es-CR"/>
        </w:rPr>
      </w:pPr>
      <w:hyperlink w:anchor="_Toc469305973" w:history="1">
        <w:r w:rsidR="00CE5F22" w:rsidRPr="00312A2F">
          <w:rPr>
            <w:rStyle w:val="Hipervnculo"/>
            <w:sz w:val="16"/>
            <w:szCs w:val="16"/>
          </w:rPr>
          <w:t>E.Pagar la cantidad fijada por concepto de reintegro de costas y gastos</w:t>
        </w:r>
        <w:r w:rsidR="00CE5F22" w:rsidRPr="00312A2F">
          <w:rPr>
            <w:webHidden/>
            <w:sz w:val="16"/>
            <w:szCs w:val="16"/>
          </w:rPr>
          <w:tab/>
        </w:r>
        <w:r w:rsidR="00CE5F22" w:rsidRPr="00312A2F">
          <w:rPr>
            <w:webHidden/>
            <w:sz w:val="16"/>
            <w:szCs w:val="16"/>
          </w:rPr>
          <w:fldChar w:fldCharType="begin"/>
        </w:r>
        <w:r w:rsidR="00CE5F22" w:rsidRPr="00312A2F">
          <w:rPr>
            <w:webHidden/>
            <w:sz w:val="16"/>
            <w:szCs w:val="16"/>
          </w:rPr>
          <w:instrText xml:space="preserve"> PAGEREF _Toc469305973 \h </w:instrText>
        </w:r>
        <w:r w:rsidR="00CE5F22" w:rsidRPr="00312A2F">
          <w:rPr>
            <w:webHidden/>
            <w:sz w:val="16"/>
            <w:szCs w:val="16"/>
          </w:rPr>
        </w:r>
        <w:r w:rsidR="00CE5F22" w:rsidRPr="00312A2F">
          <w:rPr>
            <w:webHidden/>
            <w:sz w:val="16"/>
            <w:szCs w:val="16"/>
          </w:rPr>
          <w:fldChar w:fldCharType="separate"/>
        </w:r>
        <w:r w:rsidR="00107924">
          <w:rPr>
            <w:webHidden/>
            <w:sz w:val="16"/>
            <w:szCs w:val="16"/>
          </w:rPr>
          <w:t>7</w:t>
        </w:r>
        <w:r w:rsidR="00CE5F22" w:rsidRPr="00312A2F">
          <w:rPr>
            <w:webHidden/>
            <w:sz w:val="16"/>
            <w:szCs w:val="16"/>
          </w:rPr>
          <w:fldChar w:fldCharType="end"/>
        </w:r>
      </w:hyperlink>
    </w:p>
    <w:p w:rsidR="00CE5F22" w:rsidRPr="005F11DD" w:rsidRDefault="005A3213" w:rsidP="00312A2F">
      <w:pPr>
        <w:pStyle w:val="TDC1"/>
        <w:rPr>
          <w:rFonts w:ascii="Calibri" w:eastAsia="Times New Roman" w:hAnsi="Calibri"/>
          <w:sz w:val="16"/>
          <w:szCs w:val="16"/>
          <w:lang w:val="es-CR" w:eastAsia="es-CR"/>
        </w:rPr>
      </w:pPr>
      <w:hyperlink w:anchor="_Toc469305974" w:history="1">
        <w:r w:rsidR="00CE5F22" w:rsidRPr="00312A2F">
          <w:rPr>
            <w:rStyle w:val="Hipervnculo"/>
            <w:sz w:val="16"/>
            <w:szCs w:val="16"/>
          </w:rPr>
          <w:t>F.Solicitud de información sobre reparaciones pendientes de cumplimiento</w:t>
        </w:r>
        <w:r w:rsidR="00CE5F22" w:rsidRPr="00312A2F">
          <w:rPr>
            <w:webHidden/>
            <w:sz w:val="16"/>
            <w:szCs w:val="16"/>
          </w:rPr>
          <w:tab/>
        </w:r>
        <w:r w:rsidR="00CE5F22" w:rsidRPr="00312A2F">
          <w:rPr>
            <w:webHidden/>
            <w:sz w:val="16"/>
            <w:szCs w:val="16"/>
          </w:rPr>
          <w:fldChar w:fldCharType="begin"/>
        </w:r>
        <w:r w:rsidR="00CE5F22" w:rsidRPr="00312A2F">
          <w:rPr>
            <w:webHidden/>
            <w:sz w:val="16"/>
            <w:szCs w:val="16"/>
          </w:rPr>
          <w:instrText xml:space="preserve"> PAGEREF _Toc469305974 \h </w:instrText>
        </w:r>
        <w:r w:rsidR="00CE5F22" w:rsidRPr="00312A2F">
          <w:rPr>
            <w:webHidden/>
            <w:sz w:val="16"/>
            <w:szCs w:val="16"/>
          </w:rPr>
        </w:r>
        <w:r w:rsidR="00CE5F22" w:rsidRPr="00312A2F">
          <w:rPr>
            <w:webHidden/>
            <w:sz w:val="16"/>
            <w:szCs w:val="16"/>
          </w:rPr>
          <w:fldChar w:fldCharType="separate"/>
        </w:r>
        <w:r w:rsidR="00107924">
          <w:rPr>
            <w:webHidden/>
            <w:sz w:val="16"/>
            <w:szCs w:val="16"/>
          </w:rPr>
          <w:t>8</w:t>
        </w:r>
        <w:r w:rsidR="00CE5F22" w:rsidRPr="00312A2F">
          <w:rPr>
            <w:webHidden/>
            <w:sz w:val="16"/>
            <w:szCs w:val="16"/>
          </w:rPr>
          <w:fldChar w:fldCharType="end"/>
        </w:r>
      </w:hyperlink>
    </w:p>
    <w:p w:rsidR="001E779D" w:rsidRPr="00987BEB" w:rsidRDefault="001E779D" w:rsidP="00312A2F">
      <w:pPr>
        <w:ind w:left="567" w:right="900"/>
      </w:pPr>
      <w:r w:rsidRPr="00312A2F">
        <w:rPr>
          <w:rFonts w:ascii="Verdana" w:hAnsi="Verdana"/>
          <w:bCs/>
          <w:noProof/>
          <w:sz w:val="16"/>
          <w:szCs w:val="16"/>
        </w:rPr>
        <w:fldChar w:fldCharType="end"/>
      </w:r>
    </w:p>
    <w:p w:rsidR="001E779D" w:rsidRPr="00987BEB" w:rsidRDefault="001E779D" w:rsidP="001E779D">
      <w:pPr>
        <w:pStyle w:val="Prrafodelista"/>
        <w:numPr>
          <w:ilvl w:val="0"/>
          <w:numId w:val="3"/>
        </w:numPr>
        <w:jc w:val="both"/>
        <w:outlineLvl w:val="0"/>
        <w:rPr>
          <w:rFonts w:ascii="Verdana" w:hAnsi="Verdana"/>
          <w:b/>
          <w:sz w:val="20"/>
        </w:rPr>
      </w:pPr>
      <w:bookmarkStart w:id="3" w:name="_Toc469305969"/>
      <w:r w:rsidRPr="00987BEB">
        <w:rPr>
          <w:rFonts w:ascii="Verdana" w:hAnsi="Verdana"/>
          <w:b/>
          <w:sz w:val="20"/>
        </w:rPr>
        <w:t>Efectuar una búsqueda ser</w:t>
      </w:r>
      <w:r w:rsidR="00E15C77">
        <w:rPr>
          <w:rFonts w:ascii="Verdana" w:hAnsi="Verdana"/>
          <w:b/>
          <w:sz w:val="20"/>
        </w:rPr>
        <w:t>i</w:t>
      </w:r>
      <w:r w:rsidRPr="00987BEB">
        <w:rPr>
          <w:rFonts w:ascii="Verdana" w:hAnsi="Verdana"/>
          <w:b/>
          <w:sz w:val="20"/>
        </w:rPr>
        <w:t>a en la cual realice todos los esfuerzos para determinar el paradero de Santos Ernesto Salinas</w:t>
      </w:r>
      <w:bookmarkEnd w:id="3"/>
      <w:r w:rsidRPr="00987BEB">
        <w:rPr>
          <w:rFonts w:ascii="Verdana" w:hAnsi="Verdana"/>
          <w:b/>
          <w:sz w:val="20"/>
        </w:rPr>
        <w:t xml:space="preserve"> </w:t>
      </w:r>
    </w:p>
    <w:p w:rsidR="001E779D" w:rsidRDefault="001E779D" w:rsidP="001E779D">
      <w:pPr>
        <w:jc w:val="both"/>
        <w:outlineLvl w:val="0"/>
        <w:rPr>
          <w:rFonts w:ascii="Verdana" w:hAnsi="Verdana"/>
          <w:b/>
          <w:sz w:val="20"/>
        </w:rPr>
      </w:pPr>
    </w:p>
    <w:p w:rsidR="007041C4" w:rsidRPr="00987BEB" w:rsidRDefault="007041C4" w:rsidP="001E779D">
      <w:pPr>
        <w:jc w:val="both"/>
        <w:outlineLvl w:val="0"/>
        <w:rPr>
          <w:rFonts w:ascii="Verdana" w:hAnsi="Verdana"/>
          <w:b/>
          <w:sz w:val="20"/>
        </w:rPr>
      </w:pPr>
    </w:p>
    <w:p w:rsidR="001E779D" w:rsidRPr="00987BEB" w:rsidRDefault="001E779D" w:rsidP="004924FD">
      <w:pPr>
        <w:ind w:left="1440" w:hanging="720"/>
        <w:jc w:val="both"/>
        <w:rPr>
          <w:rFonts w:ascii="Verdana" w:hAnsi="Verdana"/>
          <w:b/>
          <w:i/>
          <w:sz w:val="20"/>
        </w:rPr>
      </w:pPr>
      <w:bookmarkStart w:id="4" w:name="_Toc455738216"/>
      <w:bookmarkStart w:id="5" w:name="_Toc457916129"/>
      <w:bookmarkStart w:id="6" w:name="_Toc458159799"/>
      <w:r w:rsidRPr="00987BEB">
        <w:rPr>
          <w:rFonts w:ascii="Verdana" w:hAnsi="Verdana"/>
          <w:b/>
          <w:i/>
          <w:sz w:val="20"/>
        </w:rPr>
        <w:t xml:space="preserve">A.1 </w:t>
      </w:r>
      <w:r w:rsidRPr="00987BEB">
        <w:rPr>
          <w:rFonts w:ascii="Verdana" w:hAnsi="Verdana"/>
          <w:b/>
          <w:i/>
          <w:sz w:val="20"/>
        </w:rPr>
        <w:tab/>
        <w:t xml:space="preserve">Medidas ordenadas por la Corte </w:t>
      </w:r>
      <w:bookmarkEnd w:id="4"/>
      <w:bookmarkEnd w:id="5"/>
      <w:bookmarkEnd w:id="6"/>
    </w:p>
    <w:p w:rsidR="001E779D" w:rsidRDefault="001E779D" w:rsidP="001E779D">
      <w:pPr>
        <w:ind w:left="1416" w:hanging="696"/>
        <w:jc w:val="both"/>
        <w:outlineLvl w:val="0"/>
        <w:rPr>
          <w:rFonts w:ascii="Verdana" w:hAnsi="Verdana"/>
          <w:b/>
          <w:i/>
          <w:sz w:val="20"/>
        </w:rPr>
      </w:pPr>
    </w:p>
    <w:p w:rsidR="007041C4" w:rsidRPr="00987BEB" w:rsidRDefault="007041C4" w:rsidP="001E779D">
      <w:pPr>
        <w:ind w:left="1416" w:hanging="696"/>
        <w:jc w:val="both"/>
        <w:outlineLvl w:val="0"/>
        <w:rPr>
          <w:rFonts w:ascii="Verdana" w:hAnsi="Verdana"/>
          <w:b/>
          <w:i/>
          <w:sz w:val="20"/>
        </w:rPr>
      </w:pPr>
    </w:p>
    <w:p w:rsidR="001E779D" w:rsidRPr="00987BEB" w:rsidRDefault="001E779D" w:rsidP="001E779D">
      <w:pPr>
        <w:numPr>
          <w:ilvl w:val="0"/>
          <w:numId w:val="2"/>
        </w:numPr>
        <w:ind w:left="0" w:firstLine="0"/>
        <w:jc w:val="both"/>
        <w:rPr>
          <w:rFonts w:ascii="Verdana" w:hAnsi="Verdana"/>
          <w:b/>
          <w:sz w:val="20"/>
        </w:rPr>
      </w:pPr>
      <w:r w:rsidRPr="00987BEB">
        <w:rPr>
          <w:rFonts w:ascii="Verdana" w:hAnsi="Verdana"/>
          <w:sz w:val="20"/>
        </w:rPr>
        <w:t xml:space="preserve">En el punto dispositivo noveno y en </w:t>
      </w:r>
      <w:r w:rsidR="004F6426" w:rsidRPr="00987BEB">
        <w:rPr>
          <w:rFonts w:ascii="Verdana" w:hAnsi="Verdana"/>
          <w:sz w:val="20"/>
        </w:rPr>
        <w:t>el párrafo</w:t>
      </w:r>
      <w:r w:rsidRPr="00987BEB">
        <w:rPr>
          <w:rFonts w:ascii="Verdana" w:hAnsi="Verdana"/>
          <w:sz w:val="20"/>
        </w:rPr>
        <w:t xml:space="preserve"> 197 de la Sentencia, la Corte ordenó </w:t>
      </w:r>
      <w:r w:rsidRPr="00987BEB">
        <w:rPr>
          <w:rFonts w:ascii="Verdana" w:hAnsi="Verdana"/>
          <w:sz w:val="20"/>
          <w:lang w:val="es-CR"/>
        </w:rPr>
        <w:t xml:space="preserve">que: </w:t>
      </w:r>
      <w:r w:rsidRPr="00987BEB">
        <w:rPr>
          <w:rFonts w:ascii="Verdana" w:hAnsi="Verdana"/>
          <w:sz w:val="20"/>
        </w:rPr>
        <w:t>“</w:t>
      </w:r>
      <w:r w:rsidRPr="00987BEB">
        <w:rPr>
          <w:rFonts w:ascii="Verdana" w:hAnsi="Verdana"/>
          <w:sz w:val="20"/>
          <w:lang w:val="es-CR"/>
        </w:rPr>
        <w:t xml:space="preserve">el Estado efectué, a la mayor brevedad, una búsqueda seria, en la cual realice todos los esfuerzos para determinar el paradero de José Adrián </w:t>
      </w:r>
      <w:proofErr w:type="spellStart"/>
      <w:r w:rsidRPr="00987BEB">
        <w:rPr>
          <w:rFonts w:ascii="Verdana" w:hAnsi="Verdana"/>
          <w:sz w:val="20"/>
          <w:lang w:val="es-CR"/>
        </w:rPr>
        <w:t>Rochac</w:t>
      </w:r>
      <w:proofErr w:type="spellEnd"/>
      <w:r w:rsidRPr="00987BEB">
        <w:rPr>
          <w:rFonts w:ascii="Verdana" w:hAnsi="Verdana"/>
          <w:sz w:val="20"/>
          <w:lang w:val="es-CR"/>
        </w:rPr>
        <w:t xml:space="preserve"> Hernández, Santos Ernesto Salinas, </w:t>
      </w:r>
      <w:proofErr w:type="spellStart"/>
      <w:r w:rsidRPr="00987BEB">
        <w:rPr>
          <w:rFonts w:ascii="Verdana" w:hAnsi="Verdana"/>
          <w:sz w:val="20"/>
          <w:lang w:val="es-CR"/>
        </w:rPr>
        <w:t>Emelinda</w:t>
      </w:r>
      <w:proofErr w:type="spellEnd"/>
      <w:r w:rsidRPr="00987BEB">
        <w:rPr>
          <w:rFonts w:ascii="Verdana" w:hAnsi="Verdana"/>
          <w:sz w:val="20"/>
          <w:lang w:val="es-CR"/>
        </w:rPr>
        <w:t xml:space="preserve"> Lorena Hernández, Manuel Antonio Bonilla y Ricardo Abarca Ayala”. </w:t>
      </w:r>
      <w:r w:rsidRPr="00987BEB">
        <w:rPr>
          <w:rFonts w:ascii="Verdana" w:hAnsi="Verdana"/>
          <w:sz w:val="20"/>
        </w:rPr>
        <w:t>Al respecto, la Sentencia dispuso que dicha búsqueda “deberá realizarse de manera sistemática y rigurosa, contar con los recursos humanos, técnicos y científicos adecuados e idóneos y, en caso de ser necesario, deberá solicitarse la cooperación de otros Estados y organizaciones internacionales”.</w:t>
      </w:r>
      <w:r w:rsidR="009D0EAB">
        <w:rPr>
          <w:rFonts w:ascii="Verdana" w:hAnsi="Verdana"/>
          <w:sz w:val="20"/>
        </w:rPr>
        <w:t xml:space="preserve"> En esta Resolución, se valorará únicamente la información con respecto a la víctima Santos Ernesto Salinas. </w:t>
      </w:r>
    </w:p>
    <w:p w:rsidR="001E779D" w:rsidRPr="00987BEB" w:rsidRDefault="001E779D" w:rsidP="001E779D">
      <w:pPr>
        <w:pStyle w:val="Prrafodelista"/>
        <w:ind w:left="0"/>
        <w:jc w:val="both"/>
        <w:outlineLvl w:val="0"/>
        <w:rPr>
          <w:rFonts w:ascii="Verdana" w:hAnsi="Verdana"/>
          <w:b/>
          <w:sz w:val="20"/>
        </w:rPr>
      </w:pPr>
    </w:p>
    <w:p w:rsidR="001E779D" w:rsidRDefault="00171E36" w:rsidP="004924FD">
      <w:pPr>
        <w:ind w:firstLine="720"/>
        <w:rPr>
          <w:rFonts w:ascii="Verdana" w:hAnsi="Verdana"/>
          <w:b/>
          <w:i/>
          <w:sz w:val="20"/>
        </w:rPr>
      </w:pPr>
      <w:r w:rsidRPr="00987BEB">
        <w:rPr>
          <w:rFonts w:ascii="Verdana" w:hAnsi="Verdana"/>
          <w:b/>
          <w:i/>
          <w:sz w:val="20"/>
        </w:rPr>
        <w:t>A.2</w:t>
      </w:r>
      <w:r w:rsidR="001E779D" w:rsidRPr="00987BEB">
        <w:rPr>
          <w:rFonts w:ascii="Verdana" w:hAnsi="Verdana"/>
          <w:b/>
          <w:i/>
          <w:sz w:val="20"/>
        </w:rPr>
        <w:t xml:space="preserve"> </w:t>
      </w:r>
      <w:r w:rsidR="001E779D" w:rsidRPr="00987BEB">
        <w:rPr>
          <w:rFonts w:ascii="Verdana" w:hAnsi="Verdana"/>
          <w:b/>
          <w:i/>
          <w:sz w:val="20"/>
        </w:rPr>
        <w:tab/>
        <w:t>Consideraciones</w:t>
      </w:r>
      <w:r w:rsidR="001E779D" w:rsidRPr="00987BEB">
        <w:rPr>
          <w:rFonts w:ascii="Verdana" w:hAnsi="Verdana"/>
          <w:b/>
          <w:sz w:val="20"/>
        </w:rPr>
        <w:t xml:space="preserve"> </w:t>
      </w:r>
      <w:r w:rsidR="001E779D" w:rsidRPr="00E17C52">
        <w:rPr>
          <w:rFonts w:ascii="Verdana" w:hAnsi="Verdana"/>
          <w:b/>
          <w:i/>
          <w:sz w:val="20"/>
        </w:rPr>
        <w:t>de la Corte</w:t>
      </w:r>
      <w:r w:rsidR="001E779D" w:rsidRPr="00987BEB">
        <w:rPr>
          <w:rFonts w:ascii="Verdana" w:hAnsi="Verdana"/>
          <w:b/>
          <w:i/>
          <w:sz w:val="20"/>
        </w:rPr>
        <w:t xml:space="preserve"> </w:t>
      </w:r>
    </w:p>
    <w:p w:rsidR="007041C4" w:rsidRPr="00987BEB" w:rsidRDefault="007041C4" w:rsidP="004924FD">
      <w:pPr>
        <w:ind w:firstLine="720"/>
        <w:rPr>
          <w:rFonts w:ascii="Verdana" w:hAnsi="Verdana"/>
          <w:b/>
          <w:i/>
          <w:sz w:val="20"/>
        </w:rPr>
      </w:pPr>
    </w:p>
    <w:p w:rsidR="001E779D" w:rsidRPr="00987BEB" w:rsidRDefault="001E779D" w:rsidP="004924FD">
      <w:pPr>
        <w:pStyle w:val="Prrafodelista"/>
        <w:ind w:left="0"/>
        <w:jc w:val="both"/>
        <w:rPr>
          <w:rFonts w:ascii="Verdana" w:hAnsi="Verdana"/>
          <w:b/>
          <w:sz w:val="20"/>
        </w:rPr>
      </w:pPr>
    </w:p>
    <w:p w:rsidR="00171E36" w:rsidRPr="00987BEB" w:rsidRDefault="00171E36" w:rsidP="00171E36">
      <w:pPr>
        <w:pStyle w:val="Prrafodelista"/>
        <w:numPr>
          <w:ilvl w:val="0"/>
          <w:numId w:val="2"/>
        </w:numPr>
        <w:ind w:left="0" w:firstLine="0"/>
        <w:jc w:val="both"/>
        <w:rPr>
          <w:rFonts w:ascii="Verdana" w:hAnsi="Verdana"/>
          <w:sz w:val="20"/>
        </w:rPr>
      </w:pPr>
      <w:bookmarkStart w:id="7" w:name="_Ref475106956"/>
      <w:r w:rsidRPr="00987BEB">
        <w:rPr>
          <w:rFonts w:ascii="Verdana" w:hAnsi="Verdana"/>
          <w:sz w:val="20"/>
        </w:rPr>
        <w:t xml:space="preserve">Esta Corte observa que </w:t>
      </w:r>
      <w:r w:rsidR="00CE5F22" w:rsidRPr="00987BEB">
        <w:rPr>
          <w:rFonts w:ascii="Verdana" w:hAnsi="Verdana"/>
          <w:sz w:val="20"/>
        </w:rPr>
        <w:t>las</w:t>
      </w:r>
      <w:r w:rsidRPr="00987BEB">
        <w:rPr>
          <w:rFonts w:ascii="Verdana" w:hAnsi="Verdana"/>
          <w:sz w:val="20"/>
        </w:rPr>
        <w:t xml:space="preserve"> partes coinciden en que la medida relativa a la búsqueda del paradero del niño Santos Ernesto Salinas se encuentra cumplida</w:t>
      </w:r>
      <w:r w:rsidR="00CE5F22" w:rsidRPr="00987BEB">
        <w:rPr>
          <w:rStyle w:val="Refdenotaalpie"/>
          <w:rFonts w:ascii="Verdana" w:hAnsi="Verdana"/>
          <w:sz w:val="20"/>
        </w:rPr>
        <w:footnoteReference w:id="6"/>
      </w:r>
      <w:r w:rsidRPr="00987BEB">
        <w:rPr>
          <w:rFonts w:ascii="Verdana" w:hAnsi="Verdana"/>
          <w:sz w:val="20"/>
        </w:rPr>
        <w:t xml:space="preserve"> debido a que de la investigación realizada por la Comisión Nacional de Búsqueda</w:t>
      </w:r>
      <w:r w:rsidRPr="00987BEB">
        <w:rPr>
          <w:rStyle w:val="Refdenotaalpie"/>
          <w:rFonts w:ascii="Verdana" w:hAnsi="Verdana"/>
          <w:sz w:val="20"/>
        </w:rPr>
        <w:footnoteReference w:id="7"/>
      </w:r>
      <w:r w:rsidRPr="00987BEB">
        <w:rPr>
          <w:rFonts w:ascii="Verdana" w:hAnsi="Verdana"/>
          <w:sz w:val="20"/>
        </w:rPr>
        <w:t xml:space="preserve"> y los indicios obtenidos por la Asociación Pro-Búsqueda  se desprende que Santos Ernesto Salinas fue ejecutado el mismo día de su desaparición y que su cuerpo cayó a las aguas del río Lempa, haciendo imposible la recuperación de sus restos</w:t>
      </w:r>
      <w:r w:rsidR="00CE5F22" w:rsidRPr="00987BEB">
        <w:rPr>
          <w:rStyle w:val="Refdenotaalpie"/>
          <w:rFonts w:ascii="Verdana" w:hAnsi="Verdana"/>
          <w:sz w:val="20"/>
        </w:rPr>
        <w:footnoteReference w:id="8"/>
      </w:r>
      <w:r w:rsidRPr="00987BEB">
        <w:rPr>
          <w:rFonts w:ascii="Verdana" w:hAnsi="Verdana"/>
          <w:sz w:val="20"/>
        </w:rPr>
        <w:t xml:space="preserve">. Por lo anterior, el Estado comunicó que </w:t>
      </w:r>
      <w:r w:rsidR="00941F40">
        <w:rPr>
          <w:rFonts w:ascii="Verdana" w:hAnsi="Verdana"/>
          <w:sz w:val="20"/>
        </w:rPr>
        <w:t>“</w:t>
      </w:r>
      <w:r w:rsidRPr="00987BEB">
        <w:rPr>
          <w:rFonts w:ascii="Verdana" w:hAnsi="Verdana"/>
          <w:sz w:val="20"/>
        </w:rPr>
        <w:t xml:space="preserve">el caso se dio por finalizado en su fase investigativa con la conclusión de </w:t>
      </w:r>
      <w:r w:rsidR="00CE5F22" w:rsidRPr="00987BEB">
        <w:rPr>
          <w:rFonts w:ascii="Verdana" w:hAnsi="Verdana"/>
          <w:sz w:val="20"/>
        </w:rPr>
        <w:t>‘</w:t>
      </w:r>
      <w:r w:rsidRPr="00987BEB">
        <w:rPr>
          <w:rFonts w:ascii="Verdana" w:hAnsi="Verdana"/>
          <w:sz w:val="20"/>
        </w:rPr>
        <w:t>localizado fallecido</w:t>
      </w:r>
      <w:r w:rsidR="00CE5F22" w:rsidRPr="00987BEB">
        <w:rPr>
          <w:rFonts w:ascii="Verdana" w:hAnsi="Verdana"/>
          <w:sz w:val="20"/>
        </w:rPr>
        <w:t>’”</w:t>
      </w:r>
      <w:r w:rsidRPr="00987BEB">
        <w:rPr>
          <w:rFonts w:ascii="Verdana" w:hAnsi="Verdana"/>
          <w:sz w:val="20"/>
        </w:rPr>
        <w:t xml:space="preserve"> y</w:t>
      </w:r>
      <w:r w:rsidR="00CE5F22" w:rsidRPr="00987BEB">
        <w:rPr>
          <w:rFonts w:ascii="Verdana" w:hAnsi="Verdana"/>
          <w:sz w:val="20"/>
        </w:rPr>
        <w:t xml:space="preserve"> que</w:t>
      </w:r>
      <w:r w:rsidRPr="00987BEB">
        <w:rPr>
          <w:rFonts w:ascii="Verdana" w:hAnsi="Verdana"/>
          <w:sz w:val="20"/>
        </w:rPr>
        <w:t xml:space="preserve"> fue remitido al área psicosocial de la Comisión Nacional </w:t>
      </w:r>
      <w:r w:rsidRPr="00987BEB">
        <w:rPr>
          <w:rFonts w:ascii="Verdana" w:hAnsi="Verdana"/>
          <w:sz w:val="20"/>
        </w:rPr>
        <w:lastRenderedPageBreak/>
        <w:t>de Búsqueda</w:t>
      </w:r>
      <w:r w:rsidR="00CE5F22" w:rsidRPr="00987BEB">
        <w:rPr>
          <w:rFonts w:ascii="Verdana" w:hAnsi="Verdana"/>
          <w:sz w:val="20"/>
        </w:rPr>
        <w:t xml:space="preserve"> </w:t>
      </w:r>
      <w:r w:rsidRPr="00987BEB">
        <w:rPr>
          <w:rFonts w:ascii="Verdana" w:hAnsi="Verdana"/>
          <w:sz w:val="20"/>
        </w:rPr>
        <w:t>“para informar a la familia sobre la conclusión de la investigación e iniciar el acompañamiento para el proceso de duelo”</w:t>
      </w:r>
      <w:r w:rsidR="00CE5F22" w:rsidRPr="00987BEB">
        <w:rPr>
          <w:rStyle w:val="Refdenotaalpie"/>
          <w:rFonts w:ascii="Verdana" w:hAnsi="Verdana"/>
          <w:sz w:val="20"/>
        </w:rPr>
        <w:footnoteReference w:id="9"/>
      </w:r>
      <w:r w:rsidRPr="00987BEB">
        <w:rPr>
          <w:rFonts w:ascii="Verdana" w:hAnsi="Verdana"/>
          <w:sz w:val="20"/>
        </w:rPr>
        <w:t xml:space="preserve">. Por último, el Estado informó que la familia fue notificada el 2 de octubre de 2014 “con acompañamiento del área psicosocial” y señaló que “desde entonces el psicólogo de </w:t>
      </w:r>
      <w:r w:rsidR="00E17C52">
        <w:rPr>
          <w:rFonts w:ascii="Verdana" w:hAnsi="Verdana"/>
          <w:sz w:val="20"/>
        </w:rPr>
        <w:t>[la referida Comisión]</w:t>
      </w:r>
      <w:r w:rsidRPr="00987BEB">
        <w:rPr>
          <w:rFonts w:ascii="Verdana" w:hAnsi="Verdana"/>
          <w:sz w:val="20"/>
        </w:rPr>
        <w:t xml:space="preserve"> continua dicho proceso con miembros de la familia Salinas </w:t>
      </w:r>
      <w:proofErr w:type="spellStart"/>
      <w:r w:rsidRPr="00987BEB">
        <w:rPr>
          <w:rFonts w:ascii="Verdana" w:hAnsi="Verdana"/>
          <w:sz w:val="20"/>
        </w:rPr>
        <w:t>Iraheta</w:t>
      </w:r>
      <w:proofErr w:type="spellEnd"/>
      <w:r w:rsidRPr="00987BEB">
        <w:rPr>
          <w:rFonts w:ascii="Verdana" w:hAnsi="Verdana"/>
          <w:sz w:val="20"/>
        </w:rPr>
        <w:t xml:space="preserve">”. </w:t>
      </w:r>
      <w:r w:rsidR="00CE5F22" w:rsidRPr="00987BEB">
        <w:rPr>
          <w:rFonts w:ascii="Verdana" w:hAnsi="Verdana"/>
          <w:sz w:val="20"/>
        </w:rPr>
        <w:t>Esta información no fue controvertida por los representantes de las víctimas</w:t>
      </w:r>
      <w:r w:rsidR="001E569E" w:rsidRPr="00987BEB">
        <w:rPr>
          <w:rFonts w:ascii="Verdana" w:hAnsi="Verdana"/>
          <w:sz w:val="20"/>
        </w:rPr>
        <w:t>, quienes a su vez reconocieron que “</w:t>
      </w:r>
      <w:proofErr w:type="gramStart"/>
      <w:r w:rsidR="001E569E" w:rsidRPr="00987BEB">
        <w:rPr>
          <w:rFonts w:ascii="Verdana" w:hAnsi="Verdana"/>
          <w:sz w:val="20"/>
        </w:rPr>
        <w:t>considera[</w:t>
      </w:r>
      <w:proofErr w:type="spellStart"/>
      <w:proofErr w:type="gramEnd"/>
      <w:r w:rsidR="001E569E" w:rsidRPr="00987BEB">
        <w:rPr>
          <w:rFonts w:ascii="Verdana" w:hAnsi="Verdana"/>
          <w:sz w:val="20"/>
        </w:rPr>
        <w:t>ban</w:t>
      </w:r>
      <w:proofErr w:type="spellEnd"/>
      <w:r w:rsidR="00E17C52">
        <w:rPr>
          <w:rFonts w:ascii="Verdana" w:hAnsi="Verdana"/>
          <w:sz w:val="20"/>
        </w:rPr>
        <w:t>…</w:t>
      </w:r>
      <w:r w:rsidR="001E569E" w:rsidRPr="00987BEB">
        <w:rPr>
          <w:rFonts w:ascii="Verdana" w:hAnsi="Verdana"/>
          <w:sz w:val="20"/>
        </w:rPr>
        <w:t>] cumplida la medida resuelta por la honorable Corte Interamericana de Derechos Humanos para el caso en mención”</w:t>
      </w:r>
      <w:r w:rsidR="00CE5F22" w:rsidRPr="00987BEB">
        <w:rPr>
          <w:rStyle w:val="Refdenotaalpie"/>
          <w:rFonts w:ascii="Verdana" w:hAnsi="Verdana"/>
          <w:sz w:val="20"/>
        </w:rPr>
        <w:footnoteReference w:id="10"/>
      </w:r>
      <w:r w:rsidR="00CE5F22" w:rsidRPr="00987BEB">
        <w:rPr>
          <w:rFonts w:ascii="Verdana" w:hAnsi="Verdana"/>
          <w:sz w:val="20"/>
        </w:rPr>
        <w:t>.</w:t>
      </w:r>
      <w:bookmarkEnd w:id="7"/>
    </w:p>
    <w:p w:rsidR="00171E36" w:rsidRPr="00987BEB" w:rsidRDefault="00171E36" w:rsidP="00171E36">
      <w:pPr>
        <w:pStyle w:val="Prrafodelista"/>
        <w:ind w:left="0"/>
        <w:jc w:val="both"/>
        <w:rPr>
          <w:rFonts w:ascii="Verdana" w:hAnsi="Verdana"/>
          <w:sz w:val="20"/>
        </w:rPr>
      </w:pPr>
    </w:p>
    <w:p w:rsidR="00171E36" w:rsidRPr="00987BEB" w:rsidRDefault="00171E36" w:rsidP="00171E36">
      <w:pPr>
        <w:pStyle w:val="Prrafodelista"/>
        <w:numPr>
          <w:ilvl w:val="0"/>
          <w:numId w:val="2"/>
        </w:numPr>
        <w:ind w:left="0" w:firstLine="0"/>
        <w:jc w:val="both"/>
        <w:rPr>
          <w:rFonts w:ascii="Verdana" w:hAnsi="Verdana"/>
          <w:sz w:val="20"/>
        </w:rPr>
      </w:pPr>
      <w:bookmarkStart w:id="8" w:name="_Ref475350767"/>
      <w:r w:rsidRPr="00987BEB">
        <w:rPr>
          <w:rFonts w:ascii="Verdana" w:hAnsi="Verdana"/>
          <w:sz w:val="20"/>
        </w:rPr>
        <w:t xml:space="preserve">Por lo anterior, este Tribunal declara que el Estado ha cumplido en su totalidad con la reparación relativa a determinar el paradero de </w:t>
      </w:r>
      <w:r w:rsidR="001E569E" w:rsidRPr="00987BEB">
        <w:rPr>
          <w:rFonts w:ascii="Verdana" w:hAnsi="Verdana"/>
          <w:sz w:val="20"/>
        </w:rPr>
        <w:t xml:space="preserve">Santos </w:t>
      </w:r>
      <w:r w:rsidRPr="00987BEB">
        <w:rPr>
          <w:rFonts w:ascii="Verdana" w:hAnsi="Verdana"/>
          <w:sz w:val="20"/>
        </w:rPr>
        <w:t>Ernesto Salinas, quedando pendiente la determinación del paradero del resto de las víctimas</w:t>
      </w:r>
      <w:r w:rsidR="00CE5F22" w:rsidRPr="00987BEB">
        <w:rPr>
          <w:rFonts w:ascii="Verdana" w:hAnsi="Verdana"/>
          <w:sz w:val="20"/>
        </w:rPr>
        <w:t>.</w:t>
      </w:r>
      <w:bookmarkEnd w:id="8"/>
    </w:p>
    <w:p w:rsidR="001E779D" w:rsidRPr="00987BEB" w:rsidRDefault="001E779D" w:rsidP="001E779D">
      <w:pPr>
        <w:pStyle w:val="Prrafodelista"/>
        <w:ind w:left="0"/>
        <w:jc w:val="both"/>
        <w:outlineLvl w:val="0"/>
        <w:rPr>
          <w:rFonts w:ascii="Verdana" w:hAnsi="Verdana"/>
          <w:b/>
          <w:sz w:val="20"/>
        </w:rPr>
      </w:pPr>
    </w:p>
    <w:p w:rsidR="001E779D" w:rsidRDefault="001E779D" w:rsidP="001E779D">
      <w:pPr>
        <w:pStyle w:val="Prrafodelista"/>
        <w:numPr>
          <w:ilvl w:val="0"/>
          <w:numId w:val="3"/>
        </w:numPr>
        <w:jc w:val="both"/>
        <w:outlineLvl w:val="0"/>
        <w:rPr>
          <w:rFonts w:ascii="Verdana" w:hAnsi="Verdana"/>
          <w:b/>
          <w:sz w:val="20"/>
        </w:rPr>
      </w:pPr>
      <w:bookmarkStart w:id="9" w:name="_Toc469305970"/>
      <w:r w:rsidRPr="00987BEB">
        <w:rPr>
          <w:rFonts w:ascii="Verdana" w:hAnsi="Verdana"/>
          <w:b/>
          <w:sz w:val="20"/>
        </w:rPr>
        <w:t>Tratamiento médico, psicológico y/o psiquiátrico</w:t>
      </w:r>
      <w:bookmarkEnd w:id="9"/>
    </w:p>
    <w:p w:rsidR="007041C4" w:rsidRPr="00987BEB" w:rsidRDefault="007041C4" w:rsidP="007041C4">
      <w:pPr>
        <w:pStyle w:val="Prrafodelista"/>
        <w:ind w:left="1068"/>
        <w:jc w:val="both"/>
        <w:outlineLvl w:val="0"/>
        <w:rPr>
          <w:rFonts w:ascii="Verdana" w:hAnsi="Verdana"/>
          <w:b/>
          <w:sz w:val="20"/>
        </w:rPr>
      </w:pPr>
    </w:p>
    <w:p w:rsidR="001E779D" w:rsidRPr="00987BEB" w:rsidRDefault="001E779D" w:rsidP="001E779D">
      <w:pPr>
        <w:pStyle w:val="Prrafodelista"/>
        <w:ind w:left="1068"/>
        <w:jc w:val="both"/>
        <w:outlineLvl w:val="0"/>
        <w:rPr>
          <w:rFonts w:ascii="Verdana" w:hAnsi="Verdana"/>
          <w:b/>
          <w:sz w:val="20"/>
        </w:rPr>
      </w:pPr>
    </w:p>
    <w:p w:rsidR="001E779D" w:rsidRDefault="001E779D" w:rsidP="00B765D8">
      <w:pPr>
        <w:ind w:left="1440" w:hanging="720"/>
        <w:jc w:val="both"/>
        <w:rPr>
          <w:rFonts w:ascii="Verdana" w:hAnsi="Verdana"/>
          <w:b/>
          <w:i/>
          <w:sz w:val="20"/>
        </w:rPr>
      </w:pPr>
      <w:bookmarkStart w:id="10" w:name="_Toc455738219"/>
      <w:bookmarkStart w:id="11" w:name="_Toc457916133"/>
      <w:bookmarkStart w:id="12" w:name="_Toc458159803"/>
      <w:r w:rsidRPr="00987BEB">
        <w:rPr>
          <w:rFonts w:ascii="Verdana" w:hAnsi="Verdana"/>
          <w:b/>
          <w:i/>
          <w:sz w:val="20"/>
        </w:rPr>
        <w:t xml:space="preserve">B.1 </w:t>
      </w:r>
      <w:r w:rsidRPr="00987BEB">
        <w:rPr>
          <w:rFonts w:ascii="Verdana" w:hAnsi="Verdana"/>
          <w:b/>
          <w:i/>
          <w:sz w:val="20"/>
        </w:rPr>
        <w:tab/>
        <w:t xml:space="preserve"> Medida ordenada por la Corte </w:t>
      </w:r>
      <w:bookmarkEnd w:id="10"/>
      <w:bookmarkEnd w:id="11"/>
      <w:bookmarkEnd w:id="12"/>
    </w:p>
    <w:p w:rsidR="007041C4" w:rsidRPr="00987BEB" w:rsidRDefault="007041C4" w:rsidP="00B765D8">
      <w:pPr>
        <w:ind w:left="1440" w:hanging="720"/>
        <w:jc w:val="both"/>
        <w:rPr>
          <w:rFonts w:ascii="Verdana" w:hAnsi="Verdana"/>
          <w:b/>
          <w:i/>
          <w:sz w:val="20"/>
        </w:rPr>
      </w:pPr>
    </w:p>
    <w:p w:rsidR="001E779D" w:rsidRPr="00987BEB" w:rsidRDefault="001E779D" w:rsidP="001E779D">
      <w:pPr>
        <w:ind w:left="1416" w:hanging="696"/>
        <w:jc w:val="both"/>
        <w:outlineLvl w:val="0"/>
        <w:rPr>
          <w:rFonts w:ascii="Verdana" w:hAnsi="Verdana"/>
          <w:b/>
          <w:i/>
          <w:sz w:val="20"/>
        </w:rPr>
      </w:pPr>
    </w:p>
    <w:p w:rsidR="001E779D" w:rsidRPr="00987BEB" w:rsidRDefault="001E779D" w:rsidP="004924FD">
      <w:pPr>
        <w:pStyle w:val="Prrafodelista"/>
        <w:numPr>
          <w:ilvl w:val="0"/>
          <w:numId w:val="2"/>
        </w:numPr>
        <w:ind w:left="0" w:firstLine="0"/>
        <w:jc w:val="both"/>
        <w:rPr>
          <w:rFonts w:ascii="Verdana" w:hAnsi="Verdana"/>
          <w:sz w:val="20"/>
        </w:rPr>
      </w:pPr>
      <w:r w:rsidRPr="00987BEB">
        <w:rPr>
          <w:rFonts w:ascii="Verdana" w:hAnsi="Verdana"/>
          <w:sz w:val="20"/>
        </w:rPr>
        <w:t>En el punto dispositivo décimo primero y los párrafos 220 a 223 de la Sentencia, la Corte ordenó “brindar gratuitamente, a través de sus instituciones de salud especializadas, y de forma inmediata, adecuada y efectiva, el tratamiento médico, psicológico y/o psiquiátrico, a las víctimas que así lo soliciten, incluyendo el suministro gratuito de los medicamentos que eventualmente se requieran, tomando en consideración los padecimientos de cada uno de ellos”. Por otra parte, respecto de los familiares que no residen en El Salvador, en el supuesto de que lo soliciten, la Corte ordenó al Estado “otorgarles,</w:t>
      </w:r>
      <w:r w:rsidR="009E044B" w:rsidRPr="00987BEB">
        <w:rPr>
          <w:rFonts w:ascii="Verdana" w:hAnsi="Verdana"/>
          <w:sz w:val="20"/>
        </w:rPr>
        <w:t xml:space="preserve"> por </w:t>
      </w:r>
      <w:r w:rsidR="00C91185">
        <w:rPr>
          <w:rFonts w:ascii="Verdana" w:hAnsi="Verdana"/>
          <w:sz w:val="20"/>
        </w:rPr>
        <w:t xml:space="preserve">una </w:t>
      </w:r>
      <w:r w:rsidR="009E044B" w:rsidRPr="00987BEB">
        <w:rPr>
          <w:rFonts w:ascii="Verdana" w:hAnsi="Verdana"/>
          <w:sz w:val="20"/>
        </w:rPr>
        <w:t>única vez, la suma de US $</w:t>
      </w:r>
      <w:r w:rsidRPr="00987BEB">
        <w:rPr>
          <w:rFonts w:ascii="Verdana" w:hAnsi="Verdana"/>
          <w:sz w:val="20"/>
        </w:rPr>
        <w:t xml:space="preserve">7.500,00 (siete mil quinientos dólares de los Estados Unidos de América) por concepto de gastos por tratamiento médico, psicológico y/o psiquiátrico, así como por medicamentos y otros gastos conexos, para que puedan recibir dicha atención en el lugar donde residan”. Por último, la Corte ordenó que “si al establecerse el paradero de </w:t>
      </w:r>
      <w:r w:rsidRPr="00987BEB">
        <w:rPr>
          <w:rFonts w:ascii="Verdana" w:hAnsi="Verdana"/>
          <w:sz w:val="20"/>
          <w:lang w:val="es-CR"/>
        </w:rPr>
        <w:t xml:space="preserve">José Adrián </w:t>
      </w:r>
      <w:proofErr w:type="spellStart"/>
      <w:r w:rsidRPr="00987BEB">
        <w:rPr>
          <w:rFonts w:ascii="Verdana" w:hAnsi="Verdana"/>
          <w:sz w:val="20"/>
          <w:lang w:val="es-CR"/>
        </w:rPr>
        <w:t>Rochac</w:t>
      </w:r>
      <w:proofErr w:type="spellEnd"/>
      <w:r w:rsidRPr="00987BEB">
        <w:rPr>
          <w:rFonts w:ascii="Verdana" w:hAnsi="Verdana"/>
          <w:sz w:val="20"/>
          <w:lang w:val="es-CR"/>
        </w:rPr>
        <w:t xml:space="preserve"> Her</w:t>
      </w:r>
      <w:r w:rsidR="009E044B" w:rsidRPr="00987BEB">
        <w:rPr>
          <w:rFonts w:ascii="Verdana" w:hAnsi="Verdana"/>
          <w:sz w:val="20"/>
          <w:lang w:val="es-CR"/>
        </w:rPr>
        <w:t xml:space="preserve">nández, Santos Ernesto Salinas, </w:t>
      </w:r>
      <w:proofErr w:type="spellStart"/>
      <w:r w:rsidRPr="00987BEB">
        <w:rPr>
          <w:rFonts w:ascii="Verdana" w:hAnsi="Verdana"/>
          <w:sz w:val="20"/>
          <w:lang w:val="es-CR"/>
        </w:rPr>
        <w:t>Emelinda</w:t>
      </w:r>
      <w:proofErr w:type="spellEnd"/>
      <w:r w:rsidRPr="00987BEB">
        <w:rPr>
          <w:rFonts w:ascii="Verdana" w:hAnsi="Verdana"/>
          <w:sz w:val="20"/>
          <w:lang w:val="es-CR"/>
        </w:rPr>
        <w:t xml:space="preserve"> Lorena Hernández, Manuel Antonio Bonilla y Ricardo Abarca Ayala, se determina que alguno de ellos vive en el extranjero y su decisión es no regresar al país” entonces el Estado debía “otorgarle por una sola vez, en un plazo de seis meses contado a partir de que el beneficiario o la beneficiaria comunique su voluntad de no regresar a El Salvador, la suma de </w:t>
      </w:r>
      <w:r w:rsidR="00E40128" w:rsidRPr="00987BEB">
        <w:rPr>
          <w:rFonts w:ascii="Verdana" w:hAnsi="Verdana"/>
          <w:sz w:val="20"/>
        </w:rPr>
        <w:t>US $</w:t>
      </w:r>
      <w:r w:rsidRPr="00987BEB">
        <w:rPr>
          <w:rFonts w:ascii="Verdana" w:hAnsi="Verdana"/>
          <w:sz w:val="20"/>
        </w:rPr>
        <w:t>7.500,00 (siete mil quinientos dólares de los Estados Unidos de América) por concepto de tratamiento médico, psicológico y/o psiquiátrico, así como por medicamentos y otros gastos conexos”.</w:t>
      </w:r>
    </w:p>
    <w:p w:rsidR="001E569E" w:rsidRPr="00987BEB" w:rsidRDefault="001E569E" w:rsidP="005E017C">
      <w:pPr>
        <w:jc w:val="both"/>
        <w:outlineLvl w:val="0"/>
        <w:rPr>
          <w:rFonts w:ascii="Verdana" w:hAnsi="Verdana"/>
          <w:b/>
          <w:i/>
          <w:sz w:val="20"/>
        </w:rPr>
      </w:pPr>
      <w:bookmarkStart w:id="13" w:name="_Toc455738220"/>
      <w:bookmarkStart w:id="14" w:name="_Toc457916134"/>
      <w:bookmarkStart w:id="15" w:name="_Toc458159804"/>
    </w:p>
    <w:p w:rsidR="001E779D" w:rsidRPr="00987BEB" w:rsidRDefault="005E017C" w:rsidP="004924FD">
      <w:pPr>
        <w:ind w:firstLine="720"/>
        <w:rPr>
          <w:rFonts w:ascii="Verdana" w:hAnsi="Verdana"/>
          <w:b/>
          <w:i/>
          <w:sz w:val="20"/>
        </w:rPr>
      </w:pPr>
      <w:r w:rsidRPr="00987BEB">
        <w:rPr>
          <w:rFonts w:ascii="Verdana" w:hAnsi="Verdana"/>
          <w:b/>
          <w:i/>
          <w:sz w:val="20"/>
        </w:rPr>
        <w:t>B.2</w:t>
      </w:r>
      <w:r w:rsidR="001E779D" w:rsidRPr="00987BEB">
        <w:rPr>
          <w:rFonts w:ascii="Verdana" w:hAnsi="Verdana"/>
          <w:b/>
          <w:i/>
          <w:sz w:val="20"/>
        </w:rPr>
        <w:t xml:space="preserve"> </w:t>
      </w:r>
      <w:r w:rsidR="001A3C9A" w:rsidRPr="00987BEB">
        <w:rPr>
          <w:rFonts w:ascii="Verdana" w:hAnsi="Verdana"/>
          <w:b/>
          <w:i/>
          <w:sz w:val="20"/>
        </w:rPr>
        <w:tab/>
      </w:r>
      <w:r w:rsidR="001E779D" w:rsidRPr="00987BEB">
        <w:rPr>
          <w:rFonts w:ascii="Verdana" w:hAnsi="Verdana"/>
          <w:b/>
          <w:i/>
          <w:sz w:val="20"/>
        </w:rPr>
        <w:t>Consideraciones de la Corte</w:t>
      </w:r>
      <w:bookmarkEnd w:id="13"/>
      <w:bookmarkEnd w:id="14"/>
      <w:bookmarkEnd w:id="15"/>
    </w:p>
    <w:p w:rsidR="001E779D" w:rsidRDefault="001E779D" w:rsidP="001E779D">
      <w:pPr>
        <w:tabs>
          <w:tab w:val="left" w:pos="2760"/>
        </w:tabs>
        <w:jc w:val="both"/>
        <w:outlineLvl w:val="0"/>
        <w:rPr>
          <w:rFonts w:ascii="Verdana" w:hAnsi="Verdana"/>
          <w:b/>
          <w:sz w:val="20"/>
        </w:rPr>
      </w:pPr>
    </w:p>
    <w:p w:rsidR="007D6CBC" w:rsidRPr="00987BEB" w:rsidRDefault="007D6CBC" w:rsidP="001E779D">
      <w:pPr>
        <w:tabs>
          <w:tab w:val="left" w:pos="2760"/>
        </w:tabs>
        <w:jc w:val="both"/>
        <w:outlineLvl w:val="0"/>
        <w:rPr>
          <w:rFonts w:ascii="Verdana" w:hAnsi="Verdana"/>
          <w:b/>
          <w:sz w:val="20"/>
        </w:rPr>
      </w:pPr>
    </w:p>
    <w:p w:rsidR="001E569E" w:rsidRPr="00987BEB" w:rsidRDefault="001E779D" w:rsidP="004924FD">
      <w:pPr>
        <w:pStyle w:val="Prrafodelista"/>
        <w:numPr>
          <w:ilvl w:val="0"/>
          <w:numId w:val="2"/>
        </w:numPr>
        <w:ind w:left="0" w:firstLine="0"/>
        <w:jc w:val="both"/>
        <w:rPr>
          <w:rFonts w:ascii="Verdana" w:hAnsi="Verdana"/>
          <w:b/>
          <w:sz w:val="20"/>
        </w:rPr>
      </w:pPr>
      <w:r w:rsidRPr="00987BEB">
        <w:rPr>
          <w:rFonts w:ascii="Verdana" w:hAnsi="Verdana"/>
          <w:sz w:val="20"/>
        </w:rPr>
        <w:lastRenderedPageBreak/>
        <w:t>De acuerdo con la información proporcionada por el Estado</w:t>
      </w:r>
      <w:r w:rsidR="001E569E" w:rsidRPr="00987BEB">
        <w:rPr>
          <w:rStyle w:val="Refdenotaalpie"/>
          <w:rFonts w:ascii="Verdana" w:hAnsi="Verdana"/>
          <w:sz w:val="20"/>
        </w:rPr>
        <w:footnoteReference w:id="11"/>
      </w:r>
      <w:r w:rsidRPr="00987BEB">
        <w:rPr>
          <w:rFonts w:ascii="Verdana" w:hAnsi="Verdana"/>
          <w:sz w:val="20"/>
        </w:rPr>
        <w:t xml:space="preserve"> y no objetada por los representantes, el Estado ha brindado la atención médica, psicológica y psiquiátrica a las víctimas</w:t>
      </w:r>
      <w:r w:rsidR="00827DAB">
        <w:rPr>
          <w:rFonts w:ascii="Verdana" w:hAnsi="Verdana"/>
          <w:sz w:val="20"/>
        </w:rPr>
        <w:t>. Aunado a ello, los representantes, en sus observaciones de octubre de 2016, manifestaron que</w:t>
      </w:r>
      <w:r w:rsidRPr="00987BEB">
        <w:rPr>
          <w:rFonts w:ascii="Verdana" w:hAnsi="Verdana"/>
          <w:sz w:val="20"/>
        </w:rPr>
        <w:t xml:space="preserve"> hasta el momento</w:t>
      </w:r>
      <w:r w:rsidR="00827DAB">
        <w:rPr>
          <w:rFonts w:ascii="Verdana" w:hAnsi="Verdana"/>
          <w:sz w:val="20"/>
        </w:rPr>
        <w:t xml:space="preserve"> existe</w:t>
      </w:r>
      <w:r w:rsidRPr="00987BEB">
        <w:rPr>
          <w:rFonts w:ascii="Verdana" w:hAnsi="Verdana"/>
          <w:sz w:val="20"/>
        </w:rPr>
        <w:t xml:space="preserve"> “una conformidad en relación a la atención recibida y al mecanismo establecido para la coordinación correspondiente, a través de un enlace específico del Ministerio de Salud”. </w:t>
      </w:r>
    </w:p>
    <w:p w:rsidR="001E569E" w:rsidRPr="00987BEB" w:rsidRDefault="001E569E" w:rsidP="001E569E">
      <w:pPr>
        <w:pStyle w:val="Prrafodelista"/>
        <w:ind w:left="0"/>
        <w:jc w:val="both"/>
        <w:rPr>
          <w:rFonts w:ascii="Verdana" w:hAnsi="Verdana"/>
          <w:b/>
          <w:sz w:val="20"/>
        </w:rPr>
      </w:pPr>
    </w:p>
    <w:p w:rsidR="001E779D" w:rsidRPr="00987BEB" w:rsidRDefault="001E779D" w:rsidP="004924FD">
      <w:pPr>
        <w:pStyle w:val="Prrafodelista"/>
        <w:numPr>
          <w:ilvl w:val="0"/>
          <w:numId w:val="2"/>
        </w:numPr>
        <w:ind w:left="0" w:firstLine="0"/>
        <w:jc w:val="both"/>
        <w:rPr>
          <w:rFonts w:ascii="Verdana" w:hAnsi="Verdana"/>
          <w:b/>
          <w:sz w:val="20"/>
        </w:rPr>
      </w:pPr>
      <w:r w:rsidRPr="00F45EF5">
        <w:rPr>
          <w:rFonts w:ascii="Verdana" w:hAnsi="Verdana"/>
          <w:sz w:val="20"/>
        </w:rPr>
        <w:t>Asimismo</w:t>
      </w:r>
      <w:r w:rsidRPr="00987BEB">
        <w:rPr>
          <w:rFonts w:ascii="Verdana" w:hAnsi="Verdana"/>
          <w:sz w:val="20"/>
        </w:rPr>
        <w:t>, la Corte valora la información proporcionada por el Estado mediante el informe elaborado por el Ministerio de Salud</w:t>
      </w:r>
      <w:r w:rsidRPr="00987BEB">
        <w:rPr>
          <w:rStyle w:val="Refdenotaalpie"/>
          <w:rFonts w:ascii="Verdana" w:hAnsi="Verdana"/>
          <w:sz w:val="20"/>
        </w:rPr>
        <w:footnoteReference w:id="12"/>
      </w:r>
      <w:r w:rsidRPr="00987BEB">
        <w:rPr>
          <w:rFonts w:ascii="Verdana" w:hAnsi="Verdana"/>
          <w:sz w:val="20"/>
        </w:rPr>
        <w:t xml:space="preserve"> del que se desprende una lista de atenciones específicas que se </w:t>
      </w:r>
      <w:r w:rsidR="00E13F42" w:rsidRPr="00987BEB">
        <w:rPr>
          <w:rFonts w:ascii="Verdana" w:hAnsi="Verdana"/>
          <w:sz w:val="20"/>
        </w:rPr>
        <w:t xml:space="preserve">realizaron </w:t>
      </w:r>
      <w:r w:rsidRPr="00987BEB">
        <w:rPr>
          <w:rFonts w:ascii="Verdana" w:hAnsi="Verdana"/>
          <w:sz w:val="20"/>
        </w:rPr>
        <w:t>entre enero y diciembre de 2015</w:t>
      </w:r>
      <w:r w:rsidRPr="00987BEB">
        <w:rPr>
          <w:rFonts w:ascii="Verdana" w:hAnsi="Verdana"/>
          <w:sz w:val="20"/>
          <w:lang w:val="es-CO"/>
        </w:rPr>
        <w:t xml:space="preserve">, </w:t>
      </w:r>
      <w:r w:rsidRPr="00987BEB">
        <w:rPr>
          <w:rFonts w:ascii="Verdana" w:hAnsi="Verdana"/>
          <w:sz w:val="20"/>
        </w:rPr>
        <w:t xml:space="preserve">en relación con cada uno de los beneficiarios de la medida que han requerido </w:t>
      </w:r>
      <w:r w:rsidR="00E40128" w:rsidRPr="00987BEB">
        <w:rPr>
          <w:rFonts w:ascii="Verdana" w:hAnsi="Verdana"/>
          <w:sz w:val="20"/>
        </w:rPr>
        <w:t xml:space="preserve">de dicha </w:t>
      </w:r>
      <w:r w:rsidRPr="00987BEB">
        <w:rPr>
          <w:rFonts w:ascii="Verdana" w:hAnsi="Verdana"/>
          <w:sz w:val="20"/>
        </w:rPr>
        <w:t xml:space="preserve">atención. Dentro de la información </w:t>
      </w:r>
      <w:r w:rsidR="00E13F42" w:rsidRPr="00987BEB">
        <w:rPr>
          <w:rFonts w:ascii="Verdana" w:hAnsi="Verdana"/>
          <w:sz w:val="20"/>
        </w:rPr>
        <w:t xml:space="preserve">presentada en </w:t>
      </w:r>
      <w:r w:rsidRPr="00987BEB">
        <w:rPr>
          <w:rFonts w:ascii="Verdana" w:hAnsi="Verdana"/>
          <w:sz w:val="20"/>
        </w:rPr>
        <w:t>el referido informe, la Corte observa que la atención brindada a las víctimas fue dividida en tres regiones</w:t>
      </w:r>
      <w:r w:rsidR="001E569E" w:rsidRPr="00987BEB">
        <w:rPr>
          <w:rFonts w:ascii="Verdana" w:hAnsi="Verdana"/>
          <w:sz w:val="20"/>
        </w:rPr>
        <w:t xml:space="preserve"> distintas</w:t>
      </w:r>
      <w:r w:rsidRPr="00987BEB">
        <w:rPr>
          <w:rFonts w:ascii="Verdana" w:hAnsi="Verdana"/>
          <w:sz w:val="20"/>
        </w:rPr>
        <w:t xml:space="preserve">: “Región Central de Salud”, “Región </w:t>
      </w:r>
      <w:r w:rsidR="00594071">
        <w:rPr>
          <w:rFonts w:ascii="Verdana" w:hAnsi="Verdana"/>
          <w:sz w:val="20"/>
        </w:rPr>
        <w:t>P</w:t>
      </w:r>
      <w:r w:rsidRPr="00987BEB">
        <w:rPr>
          <w:rFonts w:ascii="Verdana" w:hAnsi="Verdana"/>
          <w:sz w:val="20"/>
        </w:rPr>
        <w:t xml:space="preserve">aracentral de </w:t>
      </w:r>
      <w:r w:rsidR="00594071">
        <w:rPr>
          <w:rFonts w:ascii="Verdana" w:hAnsi="Verdana"/>
          <w:sz w:val="20"/>
        </w:rPr>
        <w:t>S</w:t>
      </w:r>
      <w:r w:rsidRPr="00987BEB">
        <w:rPr>
          <w:rFonts w:ascii="Verdana" w:hAnsi="Verdana"/>
          <w:sz w:val="20"/>
        </w:rPr>
        <w:t>alud” y “Región Metropolitana de Salud”</w:t>
      </w:r>
      <w:r w:rsidRPr="00494496">
        <w:rPr>
          <w:rFonts w:ascii="Verdana" w:hAnsi="Verdana"/>
          <w:sz w:val="20"/>
        </w:rPr>
        <w:t>.</w:t>
      </w:r>
      <w:r w:rsidRPr="00987BEB">
        <w:rPr>
          <w:rFonts w:ascii="Verdana" w:hAnsi="Verdana"/>
          <w:b/>
          <w:sz w:val="20"/>
        </w:rPr>
        <w:t xml:space="preserve"> </w:t>
      </w:r>
      <w:r w:rsidRPr="00987BEB">
        <w:rPr>
          <w:rFonts w:ascii="Verdana" w:hAnsi="Verdana"/>
          <w:sz w:val="20"/>
        </w:rPr>
        <w:t>Dentro de</w:t>
      </w:r>
      <w:r w:rsidR="001E569E" w:rsidRPr="00987BEB">
        <w:rPr>
          <w:rFonts w:ascii="Verdana" w:hAnsi="Verdana"/>
          <w:sz w:val="20"/>
        </w:rPr>
        <w:t>l acápite correspondiente a</w:t>
      </w:r>
      <w:r w:rsidRPr="00987BEB">
        <w:rPr>
          <w:rFonts w:ascii="Verdana" w:hAnsi="Verdana"/>
          <w:sz w:val="20"/>
        </w:rPr>
        <w:t xml:space="preserve"> cada Región, la Corte observa </w:t>
      </w:r>
      <w:r w:rsidR="001E569E" w:rsidRPr="00987BEB">
        <w:rPr>
          <w:rFonts w:ascii="Verdana" w:hAnsi="Verdana"/>
          <w:sz w:val="20"/>
        </w:rPr>
        <w:t>que se identifican cada una de las atenciones que las víctimas habrían recibido por parte de establecimientos de salud del Estado durante el 2015. Dicho informe además concluye señal</w:t>
      </w:r>
      <w:r w:rsidR="00827DAB">
        <w:rPr>
          <w:rFonts w:ascii="Verdana" w:hAnsi="Verdana"/>
          <w:sz w:val="20"/>
        </w:rPr>
        <w:t>a</w:t>
      </w:r>
      <w:r w:rsidR="001E569E" w:rsidRPr="00987BEB">
        <w:rPr>
          <w:rFonts w:ascii="Verdana" w:hAnsi="Verdana"/>
          <w:sz w:val="20"/>
        </w:rPr>
        <w:t>ndo que</w:t>
      </w:r>
      <w:r w:rsidR="00827DAB">
        <w:rPr>
          <w:rFonts w:ascii="Verdana" w:hAnsi="Verdana"/>
          <w:sz w:val="20"/>
        </w:rPr>
        <w:t>:</w:t>
      </w:r>
      <w:r w:rsidR="001E569E" w:rsidRPr="00987BEB">
        <w:rPr>
          <w:rFonts w:ascii="Verdana" w:hAnsi="Verdana"/>
          <w:sz w:val="20"/>
        </w:rPr>
        <w:t xml:space="preserve"> (i) han “realizado durante todo el año 2015, todos los esfuerzos posibles para brindar la asistencia médica necesaria, tanto al momento que los familiares han visitado los diferentes establecimientos de salud, demandando atención; como también a través de las visitas in situ que </w:t>
      </w:r>
      <w:r w:rsidR="00827DAB">
        <w:rPr>
          <w:rFonts w:ascii="Verdana" w:hAnsi="Verdana"/>
          <w:sz w:val="20"/>
        </w:rPr>
        <w:t>[</w:t>
      </w:r>
      <w:r w:rsidR="001E569E" w:rsidRPr="00987BEB">
        <w:rPr>
          <w:rFonts w:ascii="Verdana" w:hAnsi="Verdana"/>
          <w:sz w:val="20"/>
        </w:rPr>
        <w:t>ha</w:t>
      </w:r>
      <w:r w:rsidR="00827DAB">
        <w:rPr>
          <w:rFonts w:ascii="Verdana" w:hAnsi="Verdana"/>
          <w:sz w:val="20"/>
        </w:rPr>
        <w:t>]</w:t>
      </w:r>
      <w:r w:rsidR="001E569E" w:rsidRPr="00987BEB">
        <w:rPr>
          <w:rFonts w:ascii="Verdana" w:hAnsi="Verdana"/>
          <w:sz w:val="20"/>
        </w:rPr>
        <w:t xml:space="preserve"> realizado el personal de salud que labora en los lugares donde viven dichos familiares a lo largo y ancho del territorio nacional”; (ii) “se ha girado instrucciones a los Directores Regionales de Salud, para que orienten a los Directores de las Unidades Comunitarias de Salud Familiar, Unidades Comunitarias de Salud Especializada, y a los Directores de los Hospitales de la red Pública, para que prioricen la atención a todos los casos de familiares de las víctimas”, y (iii) </w:t>
      </w:r>
      <w:r w:rsidR="00827DAB">
        <w:rPr>
          <w:rFonts w:ascii="Verdana" w:hAnsi="Verdana"/>
          <w:sz w:val="20"/>
        </w:rPr>
        <w:t>ratifica</w:t>
      </w:r>
      <w:r w:rsidR="001E569E" w:rsidRPr="00987BEB">
        <w:rPr>
          <w:rFonts w:ascii="Verdana" w:hAnsi="Verdana"/>
          <w:sz w:val="20"/>
        </w:rPr>
        <w:t xml:space="preserve"> su </w:t>
      </w:r>
      <w:r w:rsidR="00F45EF5">
        <w:rPr>
          <w:rFonts w:ascii="Verdana" w:hAnsi="Verdana"/>
          <w:sz w:val="20"/>
        </w:rPr>
        <w:t>“</w:t>
      </w:r>
      <w:r w:rsidR="001E569E" w:rsidRPr="00987BEB">
        <w:rPr>
          <w:rFonts w:ascii="Verdana" w:hAnsi="Verdana"/>
          <w:sz w:val="20"/>
        </w:rPr>
        <w:t>compromiso de continuar apoyando a los familiares de las víctimas</w:t>
      </w:r>
      <w:r w:rsidR="00F45EF5">
        <w:rPr>
          <w:rFonts w:ascii="Verdana" w:hAnsi="Verdana"/>
          <w:sz w:val="20"/>
        </w:rPr>
        <w:t xml:space="preserve"> con atención de salud con calidad y calidez humana</w:t>
      </w:r>
      <w:r w:rsidR="001E569E" w:rsidRPr="00987BEB">
        <w:rPr>
          <w:rFonts w:ascii="Verdana" w:hAnsi="Verdana"/>
          <w:sz w:val="20"/>
        </w:rPr>
        <w:t xml:space="preserve">”. </w:t>
      </w:r>
    </w:p>
    <w:p w:rsidR="001E779D" w:rsidRPr="00987BEB" w:rsidRDefault="001E779D" w:rsidP="001E779D">
      <w:pPr>
        <w:pStyle w:val="Prrafodelista"/>
        <w:tabs>
          <w:tab w:val="left" w:pos="720"/>
        </w:tabs>
        <w:ind w:left="0"/>
        <w:jc w:val="both"/>
        <w:outlineLvl w:val="0"/>
        <w:rPr>
          <w:rFonts w:ascii="Verdana" w:hAnsi="Verdana"/>
          <w:b/>
          <w:sz w:val="20"/>
        </w:rPr>
      </w:pPr>
    </w:p>
    <w:p w:rsidR="001E779D" w:rsidRPr="00987BEB" w:rsidRDefault="001E569E" w:rsidP="004924FD">
      <w:pPr>
        <w:pStyle w:val="Prrafodelista"/>
        <w:numPr>
          <w:ilvl w:val="0"/>
          <w:numId w:val="2"/>
        </w:numPr>
        <w:ind w:left="0" w:firstLine="0"/>
        <w:jc w:val="both"/>
        <w:rPr>
          <w:rFonts w:ascii="Verdana" w:hAnsi="Verdana"/>
          <w:sz w:val="20"/>
        </w:rPr>
      </w:pPr>
      <w:r w:rsidRPr="00987BEB">
        <w:rPr>
          <w:rFonts w:ascii="Verdana" w:hAnsi="Verdana"/>
          <w:sz w:val="20"/>
        </w:rPr>
        <w:t>Para valorar dicha información, l</w:t>
      </w:r>
      <w:r w:rsidR="001E779D" w:rsidRPr="00987BEB">
        <w:rPr>
          <w:rFonts w:ascii="Verdana" w:hAnsi="Verdana"/>
          <w:sz w:val="20"/>
        </w:rPr>
        <w:t>a Corte toma particularmente en cuenta que ni los representantes ni la Comisión presentaron objeciones con r</w:t>
      </w:r>
      <w:r w:rsidR="00E40128" w:rsidRPr="00987BEB">
        <w:rPr>
          <w:rFonts w:ascii="Verdana" w:hAnsi="Verdana"/>
          <w:sz w:val="20"/>
        </w:rPr>
        <w:t xml:space="preserve">elación al tratamiento médico, </w:t>
      </w:r>
      <w:r w:rsidR="001E779D" w:rsidRPr="00987BEB">
        <w:rPr>
          <w:rFonts w:ascii="Verdana" w:hAnsi="Verdana"/>
          <w:sz w:val="20"/>
        </w:rPr>
        <w:t>psicológico</w:t>
      </w:r>
      <w:r w:rsidR="00E40128" w:rsidRPr="00987BEB">
        <w:rPr>
          <w:rFonts w:ascii="Verdana" w:hAnsi="Verdana"/>
          <w:sz w:val="20"/>
        </w:rPr>
        <w:t xml:space="preserve"> y/o psiquiátrico</w:t>
      </w:r>
      <w:r w:rsidR="001E779D" w:rsidRPr="00987BEB">
        <w:rPr>
          <w:rFonts w:ascii="Verdana" w:hAnsi="Verdana"/>
          <w:sz w:val="20"/>
        </w:rPr>
        <w:t xml:space="preserve"> que estarían recibiendo las víctimas. En el escrito de observaciones </w:t>
      </w:r>
      <w:r w:rsidR="00E13F42" w:rsidRPr="00987BEB">
        <w:rPr>
          <w:rFonts w:ascii="Verdana" w:hAnsi="Verdana"/>
          <w:sz w:val="20"/>
        </w:rPr>
        <w:t>de octubre de 2016</w:t>
      </w:r>
      <w:r w:rsidR="001E779D" w:rsidRPr="00987BEB">
        <w:rPr>
          <w:rFonts w:ascii="Verdana" w:hAnsi="Verdana"/>
          <w:sz w:val="20"/>
        </w:rPr>
        <w:t xml:space="preserve">, los representantes destacaron que </w:t>
      </w:r>
      <w:r w:rsidRPr="00987BEB">
        <w:rPr>
          <w:rFonts w:ascii="Verdana" w:hAnsi="Verdana"/>
          <w:sz w:val="20"/>
        </w:rPr>
        <w:t xml:space="preserve">“se mantiene </w:t>
      </w:r>
      <w:r w:rsidR="001E779D" w:rsidRPr="00987BEB">
        <w:rPr>
          <w:rFonts w:ascii="Verdana" w:hAnsi="Verdana"/>
          <w:sz w:val="20"/>
        </w:rPr>
        <w:t>la percepción en cuanto al mecanismo de coordinación, y en cuanto a los esfuerzos realizados por el Estado por brindar adecuadamente los servicios de tratamiento a las víctimas”, resaltando únicamente que “falta</w:t>
      </w:r>
      <w:r w:rsidR="00F45EF5">
        <w:rPr>
          <w:rFonts w:ascii="Verdana" w:hAnsi="Verdana"/>
          <w:sz w:val="20"/>
        </w:rPr>
        <w:t xml:space="preserve"> por</w:t>
      </w:r>
      <w:r w:rsidR="001E779D" w:rsidRPr="00987BEB">
        <w:rPr>
          <w:rFonts w:ascii="Verdana" w:hAnsi="Verdana"/>
          <w:sz w:val="20"/>
        </w:rPr>
        <w:t xml:space="preserve"> solventar la tardanza en la en</w:t>
      </w:r>
      <w:r w:rsidR="00F45EF5">
        <w:rPr>
          <w:rFonts w:ascii="Verdana" w:hAnsi="Verdana"/>
          <w:sz w:val="20"/>
        </w:rPr>
        <w:t>trega de algunos medicamentos”.</w:t>
      </w:r>
    </w:p>
    <w:p w:rsidR="001E779D" w:rsidRPr="00A4771D" w:rsidRDefault="001E779D" w:rsidP="001E779D">
      <w:pPr>
        <w:pStyle w:val="Prrafodelista"/>
        <w:tabs>
          <w:tab w:val="left" w:pos="720"/>
        </w:tabs>
        <w:ind w:left="0"/>
        <w:jc w:val="both"/>
        <w:outlineLvl w:val="0"/>
        <w:rPr>
          <w:rFonts w:ascii="Verdana" w:hAnsi="Verdana"/>
          <w:b/>
          <w:sz w:val="20"/>
        </w:rPr>
      </w:pPr>
    </w:p>
    <w:p w:rsidR="00827DAB" w:rsidRPr="00827DAB" w:rsidRDefault="001E569E" w:rsidP="004924FD">
      <w:pPr>
        <w:pStyle w:val="Prrafodelista"/>
        <w:numPr>
          <w:ilvl w:val="0"/>
          <w:numId w:val="2"/>
        </w:numPr>
        <w:ind w:left="0" w:firstLine="0"/>
        <w:jc w:val="both"/>
        <w:rPr>
          <w:rFonts w:ascii="Verdana" w:hAnsi="Verdana"/>
          <w:b/>
          <w:sz w:val="20"/>
        </w:rPr>
      </w:pPr>
      <w:bookmarkStart w:id="16" w:name="_Ref475350828"/>
      <w:r w:rsidRPr="001E569E">
        <w:rPr>
          <w:rFonts w:ascii="Verdana" w:hAnsi="Verdana"/>
          <w:sz w:val="20"/>
        </w:rPr>
        <w:t>En consecuencia</w:t>
      </w:r>
      <w:r w:rsidR="001E779D" w:rsidRPr="001E569E">
        <w:rPr>
          <w:rFonts w:ascii="Verdana" w:hAnsi="Verdana"/>
          <w:sz w:val="20"/>
        </w:rPr>
        <w:t xml:space="preserve">, la Corte considera que el Estado ha venido dando cumplimiento a su </w:t>
      </w:r>
      <w:r w:rsidR="001E779D" w:rsidRPr="001E569E">
        <w:rPr>
          <w:rFonts w:ascii="Verdana" w:hAnsi="Verdana"/>
          <w:sz w:val="20"/>
          <w:lang w:val="es-CO"/>
        </w:rPr>
        <w:t>deber</w:t>
      </w:r>
      <w:r w:rsidR="001E779D" w:rsidRPr="001E569E">
        <w:rPr>
          <w:rFonts w:ascii="Verdana" w:hAnsi="Verdana"/>
          <w:sz w:val="20"/>
        </w:rPr>
        <w:t xml:space="preserve"> </w:t>
      </w:r>
      <w:r w:rsidR="00E40128" w:rsidRPr="001E569E">
        <w:rPr>
          <w:rFonts w:ascii="Verdana" w:hAnsi="Verdana"/>
          <w:sz w:val="20"/>
        </w:rPr>
        <w:t xml:space="preserve">de brindar tratamiento médico, </w:t>
      </w:r>
      <w:r w:rsidR="001E779D" w:rsidRPr="001E569E">
        <w:rPr>
          <w:rFonts w:ascii="Verdana" w:hAnsi="Verdana"/>
          <w:sz w:val="20"/>
        </w:rPr>
        <w:t>psicológico</w:t>
      </w:r>
      <w:r w:rsidR="00E40128" w:rsidRPr="001E569E">
        <w:rPr>
          <w:rFonts w:ascii="Verdana" w:hAnsi="Verdana"/>
          <w:sz w:val="20"/>
        </w:rPr>
        <w:t xml:space="preserve"> y/o psiquiátrico</w:t>
      </w:r>
      <w:r w:rsidR="001E779D" w:rsidRPr="001E569E">
        <w:rPr>
          <w:rFonts w:ascii="Verdana" w:hAnsi="Verdana"/>
          <w:sz w:val="20"/>
        </w:rPr>
        <w:t xml:space="preserve"> a favor de las víctimas.</w:t>
      </w:r>
      <w:r w:rsidR="00E40128" w:rsidRPr="001E569E">
        <w:rPr>
          <w:rFonts w:ascii="Verdana" w:hAnsi="Verdana"/>
          <w:sz w:val="20"/>
        </w:rPr>
        <w:t xml:space="preserve"> </w:t>
      </w:r>
      <w:r w:rsidR="001E779D" w:rsidRPr="001E569E">
        <w:rPr>
          <w:rFonts w:ascii="Verdana" w:hAnsi="Verdana"/>
          <w:sz w:val="20"/>
        </w:rPr>
        <w:t xml:space="preserve">Sin embargo, </w:t>
      </w:r>
      <w:r w:rsidR="00C71204">
        <w:rPr>
          <w:rFonts w:ascii="Verdana" w:hAnsi="Verdana"/>
          <w:sz w:val="20"/>
        </w:rPr>
        <w:t>para que la Corte pueda considerar concluir la supervisión de esta medida</w:t>
      </w:r>
      <w:r w:rsidR="001E779D" w:rsidRPr="001E569E">
        <w:rPr>
          <w:rFonts w:ascii="Verdana" w:hAnsi="Verdana"/>
          <w:sz w:val="20"/>
        </w:rPr>
        <w:t>, la Corte requiere</w:t>
      </w:r>
      <w:r w:rsidR="00C71204">
        <w:rPr>
          <w:rFonts w:ascii="Verdana" w:hAnsi="Verdana"/>
          <w:sz w:val="20"/>
        </w:rPr>
        <w:t xml:space="preserve"> </w:t>
      </w:r>
      <w:r w:rsidR="00827DAB">
        <w:rPr>
          <w:rFonts w:ascii="Verdana" w:hAnsi="Verdana"/>
          <w:sz w:val="20"/>
        </w:rPr>
        <w:t xml:space="preserve">que el Estado indique: </w:t>
      </w:r>
      <w:r w:rsidR="00827DAB" w:rsidRPr="001E569E">
        <w:rPr>
          <w:rFonts w:ascii="Verdana" w:hAnsi="Verdana"/>
          <w:sz w:val="20"/>
        </w:rPr>
        <w:t xml:space="preserve">(i) cuáles autoridades específicas estarían encargadas de atender a las víctimas o sus representantes en caso de alguna objeción o problema con relación a la atención </w:t>
      </w:r>
      <w:r w:rsidR="00827DAB" w:rsidRPr="001E569E">
        <w:rPr>
          <w:rFonts w:ascii="Verdana" w:hAnsi="Verdana"/>
          <w:sz w:val="20"/>
        </w:rPr>
        <w:lastRenderedPageBreak/>
        <w:t>médica, psicológica y/o psiquiátrica</w:t>
      </w:r>
      <w:r w:rsidR="00827DAB">
        <w:rPr>
          <w:rStyle w:val="Refdenotaalpie"/>
          <w:rFonts w:ascii="Verdana" w:hAnsi="Verdana"/>
          <w:sz w:val="20"/>
        </w:rPr>
        <w:footnoteReference w:id="13"/>
      </w:r>
      <w:r w:rsidR="00827DAB" w:rsidRPr="001E569E">
        <w:rPr>
          <w:rFonts w:ascii="Verdana" w:hAnsi="Verdana"/>
          <w:sz w:val="20"/>
        </w:rPr>
        <w:t xml:space="preserve">, (ii) cómo garantizará en el futuro la continuidad de la atención médica, psicológica y/o psiquiátrica que se encuentra brindando, con un tratamiento diferenciado por su carácter de víctimas, (iii) </w:t>
      </w:r>
      <w:r w:rsidR="00827DAB">
        <w:rPr>
          <w:rFonts w:ascii="Verdana" w:hAnsi="Verdana"/>
          <w:sz w:val="20"/>
        </w:rPr>
        <w:t xml:space="preserve">cuáles son </w:t>
      </w:r>
      <w:r w:rsidR="00827DAB" w:rsidRPr="001E569E">
        <w:rPr>
          <w:rFonts w:ascii="Verdana" w:hAnsi="Verdana"/>
          <w:sz w:val="20"/>
        </w:rPr>
        <w:t xml:space="preserve">los mecanismos mediante los cuales asegurará que las garantías del tratamiento indicado se hagan extensivas a las víctimas cuyo paradero continúa desconocido o, de ser el caso, para garantizar el pago de US $7.500,00 (siete mil quinientos dólares de los Estados Unidos de América), de ser solicitado por esas víctimas y en el supuesto de encontrarse en el extranjero, en los términos dispuestos por la </w:t>
      </w:r>
      <w:r w:rsidR="00827DAB">
        <w:rPr>
          <w:rFonts w:ascii="Verdana" w:hAnsi="Verdana"/>
          <w:sz w:val="20"/>
        </w:rPr>
        <w:t>Sentencia</w:t>
      </w:r>
      <w:r w:rsidR="00827DAB" w:rsidRPr="001E569E">
        <w:rPr>
          <w:rFonts w:ascii="Verdana" w:hAnsi="Verdana"/>
          <w:sz w:val="20"/>
        </w:rPr>
        <w:t>; y (iv) las acciones que está tomando para hacer frente al retraso “en la entrega de algunos medicamentos tratamiento para enfermedades crónicas de los familiares”, lo cual fue señalado por los representantes.</w:t>
      </w:r>
    </w:p>
    <w:bookmarkEnd w:id="16"/>
    <w:p w:rsidR="001E779D" w:rsidRPr="00827DAB" w:rsidRDefault="001E779D" w:rsidP="00827DAB">
      <w:pPr>
        <w:tabs>
          <w:tab w:val="left" w:pos="2760"/>
        </w:tabs>
        <w:jc w:val="both"/>
        <w:outlineLvl w:val="0"/>
        <w:rPr>
          <w:rFonts w:ascii="Verdana" w:hAnsi="Verdana"/>
          <w:b/>
          <w:sz w:val="20"/>
        </w:rPr>
      </w:pPr>
      <w:r w:rsidRPr="00827DAB">
        <w:rPr>
          <w:rFonts w:ascii="Verdana" w:hAnsi="Verdana"/>
          <w:b/>
          <w:sz w:val="20"/>
        </w:rPr>
        <w:tab/>
      </w:r>
    </w:p>
    <w:p w:rsidR="00FF7AA6" w:rsidRPr="000F4741" w:rsidRDefault="00FF7AA6" w:rsidP="001E779D">
      <w:pPr>
        <w:pStyle w:val="Prrafodelista"/>
        <w:tabs>
          <w:tab w:val="left" w:pos="2760"/>
        </w:tabs>
        <w:jc w:val="both"/>
        <w:outlineLvl w:val="0"/>
        <w:rPr>
          <w:rFonts w:ascii="Verdana" w:hAnsi="Verdana"/>
          <w:b/>
          <w:sz w:val="20"/>
        </w:rPr>
      </w:pPr>
    </w:p>
    <w:p w:rsidR="001E779D" w:rsidRPr="000F4741" w:rsidRDefault="001E779D" w:rsidP="001E779D">
      <w:pPr>
        <w:pStyle w:val="Prrafodelista"/>
        <w:numPr>
          <w:ilvl w:val="0"/>
          <w:numId w:val="3"/>
        </w:numPr>
        <w:jc w:val="both"/>
        <w:outlineLvl w:val="0"/>
        <w:rPr>
          <w:rFonts w:ascii="Verdana" w:hAnsi="Verdana"/>
          <w:b/>
          <w:sz w:val="20"/>
        </w:rPr>
      </w:pPr>
      <w:bookmarkStart w:id="17" w:name="_Toc469305971"/>
      <w:r w:rsidRPr="006C1BA1">
        <w:rPr>
          <w:rFonts w:ascii="Verdana" w:hAnsi="Verdana"/>
          <w:b/>
          <w:sz w:val="20"/>
        </w:rPr>
        <w:t>Acto público de reconocimiento de responsabilidad internacional</w:t>
      </w:r>
      <w:bookmarkEnd w:id="17"/>
    </w:p>
    <w:p w:rsidR="001E779D" w:rsidRPr="000F4741" w:rsidRDefault="001E779D" w:rsidP="001E779D">
      <w:pPr>
        <w:ind w:left="360"/>
        <w:jc w:val="both"/>
        <w:outlineLvl w:val="0"/>
        <w:rPr>
          <w:rFonts w:ascii="Verdana" w:hAnsi="Verdana"/>
          <w:b/>
          <w:sz w:val="20"/>
        </w:rPr>
      </w:pPr>
    </w:p>
    <w:p w:rsidR="001E779D" w:rsidRPr="000F4741" w:rsidRDefault="001E779D" w:rsidP="005479B5">
      <w:pPr>
        <w:tabs>
          <w:tab w:val="left" w:pos="1440"/>
        </w:tabs>
        <w:ind w:left="1440" w:hanging="720"/>
        <w:jc w:val="both"/>
        <w:rPr>
          <w:rFonts w:ascii="Verdana" w:hAnsi="Verdana"/>
          <w:b/>
          <w:i/>
          <w:sz w:val="20"/>
        </w:rPr>
      </w:pPr>
      <w:bookmarkStart w:id="18" w:name="_Toc455738222"/>
      <w:bookmarkStart w:id="19" w:name="_Toc457916136"/>
      <w:bookmarkStart w:id="20" w:name="_Toc458159806"/>
      <w:r w:rsidRPr="000F4741">
        <w:rPr>
          <w:rFonts w:ascii="Verdana" w:hAnsi="Verdana"/>
          <w:b/>
          <w:sz w:val="20"/>
        </w:rPr>
        <w:t>C.1</w:t>
      </w:r>
      <w:r w:rsidR="005479B5">
        <w:rPr>
          <w:rFonts w:ascii="Verdana" w:hAnsi="Verdana"/>
          <w:b/>
          <w:i/>
          <w:sz w:val="20"/>
        </w:rPr>
        <w:t xml:space="preserve"> </w:t>
      </w:r>
      <w:r w:rsidR="005479B5">
        <w:rPr>
          <w:rFonts w:ascii="Verdana" w:hAnsi="Verdana"/>
          <w:b/>
          <w:i/>
          <w:sz w:val="20"/>
        </w:rPr>
        <w:tab/>
      </w:r>
      <w:r w:rsidRPr="000F4741">
        <w:rPr>
          <w:rFonts w:ascii="Verdana" w:hAnsi="Verdana"/>
          <w:b/>
          <w:i/>
          <w:sz w:val="20"/>
        </w:rPr>
        <w:t xml:space="preserve">Medida ordenada por la Corte </w:t>
      </w:r>
      <w:bookmarkEnd w:id="18"/>
      <w:bookmarkEnd w:id="19"/>
      <w:bookmarkEnd w:id="20"/>
    </w:p>
    <w:p w:rsidR="001E779D" w:rsidRDefault="001E779D" w:rsidP="001E779D">
      <w:pPr>
        <w:ind w:left="1416" w:hanging="696"/>
        <w:jc w:val="both"/>
        <w:outlineLvl w:val="0"/>
        <w:rPr>
          <w:rFonts w:ascii="Verdana" w:hAnsi="Verdana"/>
          <w:b/>
          <w:i/>
          <w:sz w:val="20"/>
        </w:rPr>
      </w:pPr>
    </w:p>
    <w:p w:rsidR="007D6CBC" w:rsidRPr="000F4741" w:rsidRDefault="007D6CBC" w:rsidP="001E779D">
      <w:pPr>
        <w:ind w:left="1416" w:hanging="696"/>
        <w:jc w:val="both"/>
        <w:outlineLvl w:val="0"/>
        <w:rPr>
          <w:rFonts w:ascii="Verdana" w:hAnsi="Verdana"/>
          <w:b/>
          <w:i/>
          <w:sz w:val="20"/>
        </w:rPr>
      </w:pPr>
    </w:p>
    <w:p w:rsidR="001E779D" w:rsidRPr="000F4741" w:rsidRDefault="001E779D" w:rsidP="004924FD">
      <w:pPr>
        <w:pStyle w:val="Prrafodelista"/>
        <w:numPr>
          <w:ilvl w:val="0"/>
          <w:numId w:val="2"/>
        </w:numPr>
        <w:ind w:left="0" w:firstLine="0"/>
        <w:jc w:val="both"/>
        <w:rPr>
          <w:rFonts w:ascii="Verdana" w:hAnsi="Verdana"/>
          <w:b/>
          <w:i/>
          <w:sz w:val="20"/>
        </w:rPr>
      </w:pPr>
      <w:r>
        <w:rPr>
          <w:rFonts w:ascii="Verdana" w:hAnsi="Verdana"/>
          <w:sz w:val="20"/>
        </w:rPr>
        <w:t xml:space="preserve">En el punto dispositivo </w:t>
      </w:r>
      <w:r w:rsidRPr="00DC5136">
        <w:rPr>
          <w:rFonts w:ascii="Verdana" w:hAnsi="Verdana"/>
          <w:sz w:val="20"/>
        </w:rPr>
        <w:t>décimo segundo y en el párrafo 225 de la Sentencia, la Corte ordenó al Estado</w:t>
      </w:r>
      <w:r w:rsidRPr="000F4741">
        <w:rPr>
          <w:rFonts w:ascii="Verdana" w:hAnsi="Verdana"/>
          <w:sz w:val="20"/>
        </w:rPr>
        <w:t xml:space="preserve"> </w:t>
      </w:r>
      <w:r>
        <w:rPr>
          <w:rFonts w:ascii="Verdana" w:hAnsi="Verdana"/>
          <w:sz w:val="20"/>
        </w:rPr>
        <w:t xml:space="preserve">realizar “un acto público de reconocimiento de responsabilidad internacional </w:t>
      </w:r>
      <w:r w:rsidR="00F45EF5">
        <w:rPr>
          <w:rFonts w:ascii="Verdana" w:hAnsi="Verdana"/>
          <w:sz w:val="20"/>
        </w:rPr>
        <w:t>en relación con</w:t>
      </w:r>
      <w:r>
        <w:rPr>
          <w:rFonts w:ascii="Verdana" w:hAnsi="Verdana"/>
          <w:sz w:val="20"/>
        </w:rPr>
        <w:t xml:space="preserve"> los hechos del presente caso” en el que se refiriera a las violaciones determinadas en la Sentencia. Asimismo, la Corte dispuso que dicho acto debía “llevarse a cabo mediante una ceremonia pública con la presencia de altos funcionarios del Estado y las víctimas”, así como que el Estado debía “acordar con las víctimas o sus representantes la modalidad de cumplimiento del acto público de reconocimiento, así como las particularidades que se requieran, tales como el lugar y la fecha para su realización”. Por último, la Corte dispuso que el Estado debía “cubrir los costos de traslado de las víctimas y difundir dicho acto a través de los medios de comunicación”.</w:t>
      </w:r>
    </w:p>
    <w:p w:rsidR="000E15CF" w:rsidRDefault="000E15CF" w:rsidP="00590F50">
      <w:pPr>
        <w:tabs>
          <w:tab w:val="left" w:pos="720"/>
        </w:tabs>
        <w:jc w:val="both"/>
        <w:outlineLvl w:val="0"/>
        <w:rPr>
          <w:rFonts w:ascii="Verdana" w:hAnsi="Verdana"/>
          <w:b/>
          <w:sz w:val="20"/>
        </w:rPr>
      </w:pPr>
      <w:bookmarkStart w:id="21" w:name="_Toc455738224"/>
      <w:bookmarkStart w:id="22" w:name="_Toc457916137"/>
      <w:bookmarkStart w:id="23" w:name="_Toc458159807"/>
    </w:p>
    <w:p w:rsidR="001E779D" w:rsidRDefault="001E779D" w:rsidP="00590F50">
      <w:pPr>
        <w:ind w:firstLine="720"/>
        <w:rPr>
          <w:rFonts w:ascii="Verdana" w:hAnsi="Verdana"/>
          <w:b/>
          <w:i/>
          <w:sz w:val="20"/>
        </w:rPr>
      </w:pPr>
      <w:r w:rsidRPr="000F4741">
        <w:rPr>
          <w:rFonts w:ascii="Verdana" w:hAnsi="Verdana"/>
          <w:b/>
          <w:sz w:val="20"/>
        </w:rPr>
        <w:t>C.</w:t>
      </w:r>
      <w:r w:rsidR="00590F50">
        <w:rPr>
          <w:rFonts w:ascii="Verdana" w:hAnsi="Verdana"/>
          <w:b/>
          <w:sz w:val="20"/>
        </w:rPr>
        <w:t>2</w:t>
      </w:r>
      <w:r w:rsidRPr="000F4741">
        <w:rPr>
          <w:rFonts w:ascii="Verdana" w:hAnsi="Verdana"/>
          <w:b/>
          <w:i/>
          <w:sz w:val="20"/>
        </w:rPr>
        <w:t xml:space="preserve"> </w:t>
      </w:r>
      <w:r w:rsidRPr="000F4741">
        <w:rPr>
          <w:rFonts w:ascii="Verdana" w:hAnsi="Verdana"/>
          <w:b/>
          <w:i/>
          <w:sz w:val="20"/>
        </w:rPr>
        <w:tab/>
        <w:t>Consideraciones de la Corte</w:t>
      </w:r>
      <w:bookmarkEnd w:id="21"/>
      <w:bookmarkEnd w:id="22"/>
      <w:bookmarkEnd w:id="23"/>
    </w:p>
    <w:p w:rsidR="000E15CF" w:rsidRDefault="000E15CF" w:rsidP="000E15CF">
      <w:pPr>
        <w:rPr>
          <w:rFonts w:ascii="Verdana" w:hAnsi="Verdana"/>
          <w:b/>
          <w:i/>
          <w:sz w:val="20"/>
        </w:rPr>
      </w:pPr>
    </w:p>
    <w:p w:rsidR="007D6CBC" w:rsidRPr="00590F50" w:rsidRDefault="007D6CBC" w:rsidP="000E15CF">
      <w:pPr>
        <w:rPr>
          <w:rFonts w:ascii="Verdana" w:hAnsi="Verdana"/>
          <w:b/>
          <w:i/>
          <w:sz w:val="20"/>
        </w:rPr>
      </w:pPr>
    </w:p>
    <w:p w:rsidR="001E779D" w:rsidRPr="00950466" w:rsidRDefault="001E779D" w:rsidP="004924FD">
      <w:pPr>
        <w:pStyle w:val="Prrafodelista"/>
        <w:numPr>
          <w:ilvl w:val="0"/>
          <w:numId w:val="2"/>
        </w:numPr>
        <w:ind w:left="0" w:firstLine="0"/>
        <w:jc w:val="both"/>
        <w:rPr>
          <w:rFonts w:ascii="Verdana" w:hAnsi="Verdana" w:cs="Arial"/>
          <w:sz w:val="20"/>
        </w:rPr>
      </w:pPr>
      <w:bookmarkStart w:id="24" w:name="_Ref475350793"/>
      <w:r w:rsidRPr="00C76528">
        <w:rPr>
          <w:rFonts w:ascii="Verdana" w:hAnsi="Verdana"/>
          <w:sz w:val="20"/>
        </w:rPr>
        <w:t>Con base en la documentación y prueba aportada por el Estado</w:t>
      </w:r>
      <w:r w:rsidR="006338D5">
        <w:rPr>
          <w:rStyle w:val="Refdenotaalpie"/>
          <w:rFonts w:ascii="Verdana" w:hAnsi="Verdana"/>
          <w:sz w:val="20"/>
        </w:rPr>
        <w:footnoteReference w:id="14"/>
      </w:r>
      <w:r w:rsidRPr="00C76528">
        <w:rPr>
          <w:rFonts w:ascii="Verdana" w:hAnsi="Verdana"/>
          <w:sz w:val="20"/>
        </w:rPr>
        <w:t xml:space="preserve"> y lo manifestado por los representantes, la Corte constata que el 28 de marzo de 2015 se </w:t>
      </w:r>
      <w:r w:rsidR="00307323">
        <w:rPr>
          <w:rFonts w:ascii="Verdana" w:hAnsi="Verdana"/>
          <w:sz w:val="20"/>
        </w:rPr>
        <w:t>efectuó</w:t>
      </w:r>
      <w:r w:rsidRPr="00C76528">
        <w:rPr>
          <w:rFonts w:ascii="Verdana" w:hAnsi="Verdana"/>
          <w:sz w:val="20"/>
        </w:rPr>
        <w:t xml:space="preserve"> el acto público de reconocimiento de responsabilidad internacional, en </w:t>
      </w:r>
      <w:r w:rsidR="00B324B6">
        <w:rPr>
          <w:rFonts w:ascii="Verdana" w:hAnsi="Verdana"/>
          <w:sz w:val="20"/>
        </w:rPr>
        <w:t>el cual</w:t>
      </w:r>
      <w:r w:rsidRPr="00C76528">
        <w:rPr>
          <w:rFonts w:ascii="Verdana" w:hAnsi="Verdana"/>
          <w:sz w:val="20"/>
        </w:rPr>
        <w:t xml:space="preserve"> se cumplió con lo ordenando en la Sentencia. </w:t>
      </w:r>
      <w:r w:rsidR="00307323">
        <w:rPr>
          <w:rFonts w:ascii="Verdana" w:hAnsi="Verdana"/>
          <w:sz w:val="20"/>
        </w:rPr>
        <w:t>S</w:t>
      </w:r>
      <w:r w:rsidRPr="00C76528">
        <w:rPr>
          <w:rFonts w:ascii="Verdana" w:hAnsi="Verdana"/>
          <w:sz w:val="20"/>
        </w:rPr>
        <w:t>e realizó en estrecha comunicación y coordinación con las víctimas y sus representantes, quienes informaron su satisfacción con el cumplimiento de la medida y solicitaron se dé por cumplida</w:t>
      </w:r>
      <w:r w:rsidR="000E15CF">
        <w:rPr>
          <w:rStyle w:val="Refdenotaalpie"/>
          <w:rFonts w:ascii="Verdana" w:hAnsi="Verdana"/>
          <w:sz w:val="20"/>
        </w:rPr>
        <w:footnoteReference w:id="15"/>
      </w:r>
      <w:r w:rsidRPr="00C76528">
        <w:rPr>
          <w:rFonts w:ascii="Verdana" w:hAnsi="Verdana"/>
          <w:sz w:val="20"/>
        </w:rPr>
        <w:t>.</w:t>
      </w:r>
      <w:r w:rsidR="00F45EF5">
        <w:rPr>
          <w:rFonts w:ascii="Verdana" w:hAnsi="Verdana"/>
          <w:sz w:val="20"/>
        </w:rPr>
        <w:t xml:space="preserve"> </w:t>
      </w:r>
      <w:r w:rsidRPr="00950466">
        <w:rPr>
          <w:rFonts w:ascii="Verdana" w:hAnsi="Verdana"/>
          <w:sz w:val="20"/>
        </w:rPr>
        <w:t xml:space="preserve">Con base en lo </w:t>
      </w:r>
      <w:r w:rsidRPr="00950466">
        <w:rPr>
          <w:rFonts w:ascii="Verdana" w:hAnsi="Verdana"/>
          <w:sz w:val="20"/>
        </w:rPr>
        <w:lastRenderedPageBreak/>
        <w:t>anterior, la Corte declara que el Estado ha dado cumplimiento total a la obligación de realizar un acto público de reconocimiento de responsabilidad internacional</w:t>
      </w:r>
      <w:r w:rsidR="00F06C4C">
        <w:rPr>
          <w:rFonts w:ascii="Verdana" w:hAnsi="Verdana"/>
          <w:sz w:val="20"/>
        </w:rPr>
        <w:t xml:space="preserve"> ordenada en el punto resolutivo décimo segundo de la Sentencia</w:t>
      </w:r>
      <w:r w:rsidR="001E776E">
        <w:rPr>
          <w:rFonts w:ascii="Verdana" w:hAnsi="Verdana"/>
          <w:i/>
          <w:sz w:val="20"/>
        </w:rPr>
        <w:t>.</w:t>
      </w:r>
      <w:bookmarkEnd w:id="24"/>
    </w:p>
    <w:p w:rsidR="001E779D" w:rsidRDefault="001E779D" w:rsidP="001E779D">
      <w:pPr>
        <w:rPr>
          <w:rFonts w:ascii="Verdana" w:hAnsi="Verdana"/>
          <w:sz w:val="20"/>
        </w:rPr>
      </w:pPr>
    </w:p>
    <w:p w:rsidR="00FF7AA6" w:rsidRDefault="00FF7AA6" w:rsidP="001E779D">
      <w:pPr>
        <w:rPr>
          <w:rFonts w:ascii="Verdana" w:hAnsi="Verdana"/>
          <w:sz w:val="20"/>
        </w:rPr>
      </w:pPr>
    </w:p>
    <w:p w:rsidR="007D6CBC" w:rsidRDefault="007D6CBC" w:rsidP="001E779D">
      <w:pPr>
        <w:rPr>
          <w:rFonts w:ascii="Verdana" w:hAnsi="Verdana"/>
          <w:sz w:val="20"/>
        </w:rPr>
      </w:pPr>
    </w:p>
    <w:p w:rsidR="007D6CBC" w:rsidRPr="00987D5B" w:rsidRDefault="007D6CBC" w:rsidP="001E779D">
      <w:pPr>
        <w:rPr>
          <w:rFonts w:ascii="Verdana" w:hAnsi="Verdana"/>
          <w:sz w:val="20"/>
        </w:rPr>
      </w:pPr>
    </w:p>
    <w:p w:rsidR="001E779D" w:rsidRDefault="001E779D" w:rsidP="001E779D">
      <w:pPr>
        <w:pStyle w:val="Prrafodelista"/>
        <w:numPr>
          <w:ilvl w:val="0"/>
          <w:numId w:val="3"/>
        </w:numPr>
        <w:jc w:val="both"/>
        <w:outlineLvl w:val="0"/>
        <w:rPr>
          <w:rFonts w:ascii="Verdana" w:hAnsi="Verdana"/>
          <w:b/>
          <w:sz w:val="20"/>
        </w:rPr>
      </w:pPr>
      <w:bookmarkStart w:id="25" w:name="_Toc469305972"/>
      <w:r w:rsidRPr="000F4741">
        <w:rPr>
          <w:rFonts w:ascii="Verdana" w:hAnsi="Verdana"/>
          <w:b/>
          <w:sz w:val="20"/>
        </w:rPr>
        <w:t>Publicaci</w:t>
      </w:r>
      <w:r>
        <w:rPr>
          <w:rFonts w:ascii="Verdana" w:hAnsi="Verdana"/>
          <w:b/>
          <w:sz w:val="20"/>
        </w:rPr>
        <w:t xml:space="preserve">ones </w:t>
      </w:r>
      <w:r w:rsidRPr="000F4741">
        <w:rPr>
          <w:rFonts w:ascii="Verdana" w:hAnsi="Verdana"/>
          <w:b/>
          <w:sz w:val="20"/>
        </w:rPr>
        <w:t>de la Sentencia</w:t>
      </w:r>
      <w:bookmarkEnd w:id="25"/>
    </w:p>
    <w:p w:rsidR="007041C4" w:rsidRPr="000F4741" w:rsidRDefault="007041C4" w:rsidP="007041C4">
      <w:pPr>
        <w:pStyle w:val="Prrafodelista"/>
        <w:ind w:left="1068"/>
        <w:jc w:val="both"/>
        <w:outlineLvl w:val="0"/>
        <w:rPr>
          <w:rFonts w:ascii="Verdana" w:hAnsi="Verdana"/>
          <w:b/>
          <w:sz w:val="20"/>
        </w:rPr>
      </w:pPr>
    </w:p>
    <w:p w:rsidR="001E779D" w:rsidRPr="000F4741" w:rsidRDefault="001E779D" w:rsidP="001E779D">
      <w:pPr>
        <w:jc w:val="both"/>
        <w:outlineLvl w:val="0"/>
        <w:rPr>
          <w:rFonts w:ascii="Verdana" w:hAnsi="Verdana"/>
          <w:b/>
          <w:sz w:val="20"/>
        </w:rPr>
      </w:pPr>
    </w:p>
    <w:p w:rsidR="001E779D" w:rsidRPr="000F4741" w:rsidRDefault="001E779D" w:rsidP="005479B5">
      <w:pPr>
        <w:ind w:left="1440" w:hanging="720"/>
        <w:jc w:val="both"/>
        <w:rPr>
          <w:rFonts w:ascii="Verdana" w:hAnsi="Verdana"/>
          <w:b/>
          <w:i/>
          <w:sz w:val="20"/>
        </w:rPr>
      </w:pPr>
      <w:bookmarkStart w:id="26" w:name="_Toc455738226"/>
      <w:bookmarkStart w:id="27" w:name="_Toc457916139"/>
      <w:bookmarkStart w:id="28" w:name="_Toc458159809"/>
      <w:r w:rsidRPr="000F4741">
        <w:rPr>
          <w:rFonts w:ascii="Verdana" w:hAnsi="Verdana"/>
          <w:b/>
          <w:i/>
          <w:sz w:val="20"/>
        </w:rPr>
        <w:t xml:space="preserve">D.1 </w:t>
      </w:r>
      <w:r w:rsidRPr="000F4741">
        <w:rPr>
          <w:rFonts w:ascii="Verdana" w:hAnsi="Verdana"/>
          <w:b/>
          <w:i/>
          <w:sz w:val="20"/>
        </w:rPr>
        <w:tab/>
        <w:t>Medida</w:t>
      </w:r>
      <w:r w:rsidR="00F06C4C">
        <w:rPr>
          <w:rFonts w:ascii="Verdana" w:hAnsi="Verdana"/>
          <w:b/>
          <w:i/>
          <w:sz w:val="20"/>
        </w:rPr>
        <w:t>s</w:t>
      </w:r>
      <w:r w:rsidRPr="000F4741">
        <w:rPr>
          <w:rFonts w:ascii="Verdana" w:hAnsi="Verdana"/>
          <w:b/>
          <w:i/>
          <w:sz w:val="20"/>
        </w:rPr>
        <w:t xml:space="preserve"> ordenada</w:t>
      </w:r>
      <w:r w:rsidR="00F06C4C">
        <w:rPr>
          <w:rFonts w:ascii="Verdana" w:hAnsi="Verdana"/>
          <w:b/>
          <w:i/>
          <w:sz w:val="20"/>
        </w:rPr>
        <w:t>s</w:t>
      </w:r>
      <w:r w:rsidRPr="000F4741">
        <w:rPr>
          <w:rFonts w:ascii="Verdana" w:hAnsi="Verdana"/>
          <w:b/>
          <w:i/>
          <w:sz w:val="20"/>
        </w:rPr>
        <w:t xml:space="preserve"> por la Corte </w:t>
      </w:r>
      <w:bookmarkEnd w:id="26"/>
      <w:bookmarkEnd w:id="27"/>
      <w:bookmarkEnd w:id="28"/>
    </w:p>
    <w:p w:rsidR="001E779D" w:rsidRPr="000F4741" w:rsidRDefault="001E779D" w:rsidP="001E779D">
      <w:pPr>
        <w:jc w:val="both"/>
        <w:outlineLvl w:val="0"/>
        <w:rPr>
          <w:rFonts w:ascii="Verdana" w:hAnsi="Verdana"/>
          <w:b/>
          <w:i/>
          <w:sz w:val="20"/>
        </w:rPr>
      </w:pPr>
    </w:p>
    <w:p w:rsidR="001E779D" w:rsidRDefault="001E779D" w:rsidP="001E779D">
      <w:pPr>
        <w:pStyle w:val="Prrafodelista"/>
        <w:numPr>
          <w:ilvl w:val="0"/>
          <w:numId w:val="2"/>
        </w:numPr>
        <w:ind w:left="0" w:firstLine="0"/>
        <w:jc w:val="both"/>
        <w:rPr>
          <w:rFonts w:ascii="Verdana" w:hAnsi="Verdana"/>
          <w:sz w:val="20"/>
        </w:rPr>
      </w:pPr>
      <w:r w:rsidRPr="007841E6">
        <w:rPr>
          <w:rFonts w:ascii="Verdana" w:hAnsi="Verdana"/>
          <w:sz w:val="20"/>
        </w:rPr>
        <w:t xml:space="preserve">En el punto </w:t>
      </w:r>
      <w:r>
        <w:rPr>
          <w:rFonts w:ascii="Verdana" w:hAnsi="Verdana"/>
          <w:sz w:val="20"/>
        </w:rPr>
        <w:t xml:space="preserve">dispositivo </w:t>
      </w:r>
      <w:r w:rsidRPr="007841E6">
        <w:rPr>
          <w:rFonts w:ascii="Verdana" w:hAnsi="Verdana"/>
          <w:sz w:val="20"/>
        </w:rPr>
        <w:t xml:space="preserve">décimo </w:t>
      </w:r>
      <w:r>
        <w:rPr>
          <w:rFonts w:ascii="Verdana" w:hAnsi="Verdana"/>
          <w:sz w:val="20"/>
        </w:rPr>
        <w:t>tercero</w:t>
      </w:r>
      <w:r w:rsidRPr="007841E6">
        <w:rPr>
          <w:rFonts w:ascii="Verdana" w:hAnsi="Verdana"/>
          <w:sz w:val="20"/>
        </w:rPr>
        <w:t xml:space="preserve"> y en el párrafo </w:t>
      </w:r>
      <w:r>
        <w:rPr>
          <w:rFonts w:ascii="Verdana" w:hAnsi="Verdana"/>
          <w:sz w:val="20"/>
        </w:rPr>
        <w:t>227</w:t>
      </w:r>
      <w:r w:rsidRPr="007841E6">
        <w:rPr>
          <w:rFonts w:ascii="Verdana" w:hAnsi="Verdana"/>
          <w:sz w:val="20"/>
        </w:rPr>
        <w:t xml:space="preserve"> de la Sentencia</w:t>
      </w:r>
      <w:r>
        <w:rPr>
          <w:rFonts w:ascii="Verdana" w:hAnsi="Verdana"/>
          <w:sz w:val="20"/>
        </w:rPr>
        <w:t>, la Corte ordenó al Estado “</w:t>
      </w:r>
      <w:proofErr w:type="spellStart"/>
      <w:r w:rsidRPr="007C1E93">
        <w:rPr>
          <w:rFonts w:ascii="Verdana" w:hAnsi="Verdana"/>
          <w:sz w:val="20"/>
        </w:rPr>
        <w:t>publi</w:t>
      </w:r>
      <w:proofErr w:type="spellEnd"/>
      <w:r>
        <w:rPr>
          <w:rFonts w:ascii="Verdana" w:hAnsi="Verdana"/>
          <w:sz w:val="20"/>
        </w:rPr>
        <w:t>[car]</w:t>
      </w:r>
      <w:r w:rsidRPr="007C1E93">
        <w:rPr>
          <w:rFonts w:ascii="Verdana" w:hAnsi="Verdana"/>
          <w:sz w:val="20"/>
        </w:rPr>
        <w:t>, en el plazo de seis meses, contado a partir de la notificación de la presente sentencia:</w:t>
      </w:r>
      <w:r>
        <w:rPr>
          <w:rFonts w:ascii="Verdana" w:hAnsi="Verdana"/>
          <w:sz w:val="20"/>
        </w:rPr>
        <w:t xml:space="preserve"> </w:t>
      </w:r>
      <w:r w:rsidRPr="007C1E93">
        <w:rPr>
          <w:rFonts w:ascii="Verdana" w:hAnsi="Verdana"/>
          <w:sz w:val="20"/>
        </w:rPr>
        <w:t>a) el resumen oficial de la presente sentencia elaborado por la Corte, por una sola vez, en el Diario Oficial; b) el resumen oficial de la presente sentencia elaborado por la Corte, por una sola vez, en un (1) diario de amplia circulación nacional</w:t>
      </w:r>
      <w:r>
        <w:rPr>
          <w:rFonts w:ascii="Verdana" w:hAnsi="Verdana"/>
          <w:sz w:val="20"/>
        </w:rPr>
        <w:t>;</w:t>
      </w:r>
      <w:r w:rsidRPr="007C1E93">
        <w:rPr>
          <w:rFonts w:ascii="Verdana" w:hAnsi="Verdana"/>
          <w:sz w:val="20"/>
        </w:rPr>
        <w:t xml:space="preserve"> y c) la presente sentencia en su integridad, disponible por un período de un año, en un (1) sitio </w:t>
      </w:r>
      <w:r w:rsidRPr="008C5279">
        <w:rPr>
          <w:rFonts w:ascii="Verdana" w:hAnsi="Verdana"/>
          <w:i/>
          <w:sz w:val="20"/>
        </w:rPr>
        <w:t>web</w:t>
      </w:r>
      <w:r w:rsidRPr="007C1E93">
        <w:rPr>
          <w:rFonts w:ascii="Verdana" w:hAnsi="Verdana"/>
          <w:sz w:val="20"/>
        </w:rPr>
        <w:t xml:space="preserve"> oficial de carácter nacional, así como en el sitio </w:t>
      </w:r>
      <w:r w:rsidRPr="008C5279">
        <w:rPr>
          <w:rFonts w:ascii="Verdana" w:hAnsi="Verdana"/>
          <w:i/>
          <w:sz w:val="20"/>
        </w:rPr>
        <w:t>web</w:t>
      </w:r>
      <w:r w:rsidRPr="007C1E93">
        <w:rPr>
          <w:rFonts w:ascii="Verdana" w:hAnsi="Verdana"/>
          <w:sz w:val="20"/>
        </w:rPr>
        <w:t xml:space="preserve"> oficial de la Fuerza Armada de El Salvador, de manera accesible al público</w:t>
      </w:r>
      <w:r>
        <w:rPr>
          <w:rFonts w:ascii="Verdana" w:hAnsi="Verdana"/>
          <w:sz w:val="20"/>
        </w:rPr>
        <w:t>”</w:t>
      </w:r>
      <w:r w:rsidRPr="007C1E93">
        <w:rPr>
          <w:rFonts w:ascii="Verdana" w:hAnsi="Verdana"/>
          <w:sz w:val="20"/>
        </w:rPr>
        <w:t>.</w:t>
      </w:r>
    </w:p>
    <w:p w:rsidR="001E779D" w:rsidRDefault="001E779D" w:rsidP="001E779D">
      <w:pPr>
        <w:tabs>
          <w:tab w:val="left" w:pos="2760"/>
        </w:tabs>
        <w:jc w:val="both"/>
        <w:outlineLvl w:val="0"/>
        <w:rPr>
          <w:rFonts w:ascii="Verdana" w:hAnsi="Verdana"/>
          <w:sz w:val="20"/>
        </w:rPr>
      </w:pPr>
      <w:bookmarkStart w:id="29" w:name="_Toc455738227"/>
      <w:bookmarkStart w:id="30" w:name="_Toc457916140"/>
      <w:bookmarkStart w:id="31" w:name="_Toc458159810"/>
    </w:p>
    <w:p w:rsidR="007041C4" w:rsidRPr="00A75A6B" w:rsidRDefault="007041C4" w:rsidP="001E779D">
      <w:pPr>
        <w:tabs>
          <w:tab w:val="left" w:pos="2760"/>
        </w:tabs>
        <w:jc w:val="both"/>
        <w:outlineLvl w:val="0"/>
        <w:rPr>
          <w:rFonts w:ascii="Verdana" w:hAnsi="Verdana"/>
          <w:sz w:val="20"/>
        </w:rPr>
      </w:pPr>
    </w:p>
    <w:p w:rsidR="001E779D" w:rsidRPr="000F4741" w:rsidRDefault="005479B5" w:rsidP="003C7FBC">
      <w:pPr>
        <w:ind w:firstLine="720"/>
        <w:rPr>
          <w:rFonts w:ascii="Verdana" w:hAnsi="Verdana"/>
          <w:b/>
          <w:i/>
          <w:sz w:val="20"/>
        </w:rPr>
      </w:pPr>
      <w:r>
        <w:rPr>
          <w:rFonts w:ascii="Verdana" w:hAnsi="Verdana"/>
          <w:b/>
          <w:i/>
          <w:sz w:val="20"/>
        </w:rPr>
        <w:t>D.2</w:t>
      </w:r>
      <w:r w:rsidR="001E779D">
        <w:rPr>
          <w:rFonts w:ascii="Verdana" w:hAnsi="Verdana"/>
          <w:b/>
          <w:i/>
          <w:sz w:val="20"/>
        </w:rPr>
        <w:t xml:space="preserve"> </w:t>
      </w:r>
      <w:r w:rsidR="003C7FBC">
        <w:rPr>
          <w:rFonts w:ascii="Verdana" w:hAnsi="Verdana"/>
          <w:b/>
          <w:i/>
          <w:sz w:val="20"/>
        </w:rPr>
        <w:tab/>
      </w:r>
      <w:r w:rsidR="001E779D" w:rsidRPr="000F4741">
        <w:rPr>
          <w:rFonts w:ascii="Verdana" w:hAnsi="Verdana"/>
          <w:b/>
          <w:i/>
          <w:sz w:val="20"/>
        </w:rPr>
        <w:t>Consideraciones de la Corte</w:t>
      </w:r>
      <w:bookmarkEnd w:id="29"/>
      <w:bookmarkEnd w:id="30"/>
      <w:bookmarkEnd w:id="31"/>
    </w:p>
    <w:p w:rsidR="001E779D" w:rsidRPr="000F4741" w:rsidRDefault="001E779D" w:rsidP="001E779D">
      <w:pPr>
        <w:jc w:val="both"/>
        <w:outlineLvl w:val="0"/>
        <w:rPr>
          <w:rFonts w:ascii="Verdana" w:hAnsi="Verdana"/>
          <w:b/>
          <w:sz w:val="20"/>
        </w:rPr>
      </w:pPr>
    </w:p>
    <w:p w:rsidR="001E779D" w:rsidRPr="007041C4" w:rsidRDefault="001E779D" w:rsidP="004924FD">
      <w:pPr>
        <w:pStyle w:val="Prrafodelista"/>
        <w:numPr>
          <w:ilvl w:val="0"/>
          <w:numId w:val="2"/>
        </w:numPr>
        <w:ind w:left="0" w:firstLine="0"/>
        <w:jc w:val="both"/>
        <w:rPr>
          <w:rFonts w:ascii="Verdana" w:hAnsi="Verdana"/>
          <w:b/>
          <w:sz w:val="20"/>
        </w:rPr>
      </w:pPr>
      <w:bookmarkStart w:id="32" w:name="_Ref475350802"/>
      <w:r w:rsidRPr="00B8459C">
        <w:rPr>
          <w:rFonts w:ascii="Verdana" w:hAnsi="Verdana"/>
          <w:sz w:val="20"/>
        </w:rPr>
        <w:t xml:space="preserve">La Corte constata que el </w:t>
      </w:r>
      <w:r w:rsidRPr="00B8459C">
        <w:rPr>
          <w:rFonts w:ascii="Verdana" w:hAnsi="Verdana"/>
          <w:i/>
          <w:sz w:val="20"/>
        </w:rPr>
        <w:t xml:space="preserve">Estado </w:t>
      </w:r>
      <w:r w:rsidRPr="00B8459C">
        <w:rPr>
          <w:rFonts w:ascii="Verdana" w:hAnsi="Verdana"/>
          <w:sz w:val="20"/>
        </w:rPr>
        <w:t>publicó</w:t>
      </w:r>
      <w:r>
        <w:rPr>
          <w:rFonts w:ascii="Verdana" w:hAnsi="Verdana"/>
          <w:sz w:val="20"/>
        </w:rPr>
        <w:t xml:space="preserve"> el resumen oficial de la Sentencia el 27 de marzo de 2015 en el Diario Oficial</w:t>
      </w:r>
      <w:r w:rsidR="007C6335">
        <w:rPr>
          <w:rStyle w:val="Refdenotaalpie"/>
          <w:rFonts w:ascii="Verdana" w:hAnsi="Verdana"/>
          <w:sz w:val="20"/>
        </w:rPr>
        <w:footnoteReference w:id="16"/>
      </w:r>
      <w:r>
        <w:rPr>
          <w:rFonts w:ascii="Verdana" w:hAnsi="Verdana"/>
          <w:sz w:val="20"/>
        </w:rPr>
        <w:t xml:space="preserve"> </w:t>
      </w:r>
      <w:r w:rsidRPr="007927A6">
        <w:rPr>
          <w:rFonts w:ascii="Verdana" w:hAnsi="Verdana"/>
          <w:sz w:val="20"/>
        </w:rPr>
        <w:t xml:space="preserve">y en </w:t>
      </w:r>
      <w:r>
        <w:rPr>
          <w:rFonts w:ascii="Verdana" w:hAnsi="Verdana"/>
          <w:sz w:val="20"/>
        </w:rPr>
        <w:t>el suplemento de l</w:t>
      </w:r>
      <w:r w:rsidRPr="007927A6">
        <w:rPr>
          <w:rFonts w:ascii="Verdana" w:hAnsi="Verdana"/>
          <w:sz w:val="20"/>
        </w:rPr>
        <w:t>a Prensa Gráfica</w:t>
      </w:r>
      <w:r w:rsidR="001340C1">
        <w:rPr>
          <w:rStyle w:val="Refdenotaalpie"/>
          <w:rFonts w:ascii="Verdana" w:hAnsi="Verdana"/>
          <w:sz w:val="20"/>
        </w:rPr>
        <w:footnoteReference w:id="17"/>
      </w:r>
      <w:r>
        <w:rPr>
          <w:rFonts w:ascii="Verdana" w:hAnsi="Verdana"/>
          <w:sz w:val="20"/>
        </w:rPr>
        <w:t>.</w:t>
      </w:r>
      <w:r>
        <w:rPr>
          <w:rFonts w:ascii="Verdana" w:hAnsi="Verdana"/>
          <w:b/>
          <w:sz w:val="20"/>
        </w:rPr>
        <w:t xml:space="preserve"> </w:t>
      </w:r>
      <w:r w:rsidRPr="00B8459C">
        <w:rPr>
          <w:rFonts w:ascii="Verdana" w:hAnsi="Verdana"/>
          <w:sz w:val="20"/>
        </w:rPr>
        <w:t xml:space="preserve"> </w:t>
      </w:r>
      <w:r>
        <w:rPr>
          <w:rFonts w:ascii="Verdana" w:hAnsi="Verdana"/>
          <w:sz w:val="20"/>
        </w:rPr>
        <w:t>Asimismo, la Corte constata que el texto íntegro de la Sentencia se puede consultar en la</w:t>
      </w:r>
      <w:r w:rsidR="00F06C4C">
        <w:rPr>
          <w:rFonts w:ascii="Verdana" w:hAnsi="Verdana"/>
          <w:sz w:val="20"/>
        </w:rPr>
        <w:t>s</w:t>
      </w:r>
      <w:r>
        <w:rPr>
          <w:rFonts w:ascii="Verdana" w:hAnsi="Verdana"/>
          <w:sz w:val="20"/>
        </w:rPr>
        <w:t xml:space="preserve"> página</w:t>
      </w:r>
      <w:r w:rsidR="00F06C4C">
        <w:rPr>
          <w:rFonts w:ascii="Verdana" w:hAnsi="Verdana"/>
          <w:sz w:val="20"/>
        </w:rPr>
        <w:t>s</w:t>
      </w:r>
      <w:r>
        <w:rPr>
          <w:rFonts w:ascii="Verdana" w:hAnsi="Verdana"/>
          <w:sz w:val="20"/>
        </w:rPr>
        <w:t xml:space="preserve"> </w:t>
      </w:r>
      <w:r w:rsidRPr="009D70F3">
        <w:rPr>
          <w:rFonts w:ascii="Verdana" w:hAnsi="Verdana"/>
          <w:i/>
          <w:sz w:val="20"/>
        </w:rPr>
        <w:t>web</w:t>
      </w:r>
      <w:r>
        <w:rPr>
          <w:rFonts w:ascii="Verdana" w:hAnsi="Verdana"/>
          <w:sz w:val="20"/>
        </w:rPr>
        <w:t xml:space="preserve"> de la Corte Suprema de Justicia</w:t>
      </w:r>
      <w:r>
        <w:rPr>
          <w:rStyle w:val="Refdenotaalpie"/>
          <w:rFonts w:ascii="Verdana" w:hAnsi="Verdana"/>
          <w:sz w:val="20"/>
        </w:rPr>
        <w:footnoteReference w:id="18"/>
      </w:r>
      <w:r>
        <w:rPr>
          <w:rFonts w:ascii="Verdana" w:hAnsi="Verdana"/>
          <w:sz w:val="20"/>
        </w:rPr>
        <w:t xml:space="preserve"> y de</w:t>
      </w:r>
      <w:r w:rsidR="008142CF">
        <w:rPr>
          <w:rFonts w:ascii="Verdana" w:hAnsi="Verdana"/>
          <w:sz w:val="20"/>
        </w:rPr>
        <w:t xml:space="preserve"> la Fuerza Armada de El Salvador</w:t>
      </w:r>
      <w:r>
        <w:rPr>
          <w:rStyle w:val="Refdenotaalpie"/>
          <w:rFonts w:ascii="Verdana" w:hAnsi="Verdana"/>
          <w:sz w:val="20"/>
        </w:rPr>
        <w:footnoteReference w:id="19"/>
      </w:r>
      <w:r>
        <w:rPr>
          <w:rFonts w:ascii="Verdana" w:hAnsi="Verdana"/>
          <w:sz w:val="20"/>
        </w:rPr>
        <w:t xml:space="preserve">, así como el resumen oficial de la Sentencia en la página </w:t>
      </w:r>
      <w:r w:rsidRPr="008142CF">
        <w:rPr>
          <w:rFonts w:ascii="Verdana" w:hAnsi="Verdana"/>
          <w:i/>
          <w:sz w:val="20"/>
        </w:rPr>
        <w:t>web</w:t>
      </w:r>
      <w:r>
        <w:rPr>
          <w:rFonts w:ascii="Verdana" w:hAnsi="Verdana"/>
          <w:sz w:val="20"/>
        </w:rPr>
        <w:t xml:space="preserve"> de</w:t>
      </w:r>
      <w:r w:rsidR="00F06C4C">
        <w:rPr>
          <w:rFonts w:ascii="Verdana" w:hAnsi="Verdana"/>
          <w:sz w:val="20"/>
        </w:rPr>
        <w:t>l Ministerio de Relaciones Exteriores de El Salvador</w:t>
      </w:r>
      <w:r>
        <w:rPr>
          <w:rStyle w:val="Refdenotaalpie"/>
          <w:rFonts w:ascii="Verdana" w:hAnsi="Verdana"/>
          <w:sz w:val="20"/>
        </w:rPr>
        <w:footnoteReference w:id="20"/>
      </w:r>
      <w:r>
        <w:rPr>
          <w:rFonts w:ascii="Verdana" w:hAnsi="Verdana"/>
          <w:sz w:val="20"/>
        </w:rPr>
        <w:t xml:space="preserve">, conforme a los enlaces proporcionados por el Estado. </w:t>
      </w:r>
      <w:r w:rsidRPr="00B8459C">
        <w:rPr>
          <w:rFonts w:ascii="Verdana" w:hAnsi="Verdana"/>
          <w:sz w:val="20"/>
        </w:rPr>
        <w:t>A</w:t>
      </w:r>
      <w:r>
        <w:rPr>
          <w:rFonts w:ascii="Verdana" w:hAnsi="Verdana"/>
          <w:sz w:val="20"/>
        </w:rPr>
        <w:t xml:space="preserve">dicionalmente, la Corte toma en cuenta la manifestación de los representantes en el sentido de que </w:t>
      </w:r>
      <w:r w:rsidRPr="00B8459C">
        <w:rPr>
          <w:rFonts w:ascii="Verdana" w:hAnsi="Verdana"/>
          <w:sz w:val="20"/>
        </w:rPr>
        <w:t>el Estado “ha cumplido con su deber de realizar las publicaciones en tiempo y forma”.</w:t>
      </w:r>
      <w:r>
        <w:rPr>
          <w:rFonts w:ascii="Verdana" w:hAnsi="Verdana"/>
          <w:b/>
          <w:sz w:val="20"/>
        </w:rPr>
        <w:t xml:space="preserve"> </w:t>
      </w:r>
      <w:r w:rsidRPr="00B8459C">
        <w:rPr>
          <w:rFonts w:ascii="Verdana" w:hAnsi="Verdana"/>
          <w:sz w:val="20"/>
        </w:rPr>
        <w:t xml:space="preserve">Por consiguiente, la Corte considera que se ha dado cumplimiento total a la medida ordenada en el punto </w:t>
      </w:r>
      <w:r>
        <w:rPr>
          <w:rFonts w:ascii="Verdana" w:hAnsi="Verdana"/>
          <w:sz w:val="20"/>
        </w:rPr>
        <w:t xml:space="preserve">dispositivo </w:t>
      </w:r>
      <w:r w:rsidRPr="00B8459C">
        <w:rPr>
          <w:rFonts w:ascii="Verdana" w:hAnsi="Verdana"/>
          <w:sz w:val="20"/>
        </w:rPr>
        <w:t>décimo tercero de la Sentencia.</w:t>
      </w:r>
      <w:bookmarkEnd w:id="32"/>
    </w:p>
    <w:p w:rsidR="007041C4" w:rsidRDefault="007041C4" w:rsidP="007041C4">
      <w:pPr>
        <w:pStyle w:val="Prrafodelista"/>
        <w:ind w:left="0"/>
        <w:jc w:val="both"/>
        <w:rPr>
          <w:rFonts w:ascii="Verdana" w:hAnsi="Verdana"/>
          <w:b/>
          <w:sz w:val="20"/>
        </w:rPr>
      </w:pPr>
    </w:p>
    <w:p w:rsidR="00381454" w:rsidRPr="00B8459C" w:rsidRDefault="00381454" w:rsidP="007041C4">
      <w:pPr>
        <w:pStyle w:val="Prrafodelista"/>
        <w:ind w:left="0"/>
        <w:jc w:val="both"/>
        <w:rPr>
          <w:rFonts w:ascii="Verdana" w:hAnsi="Verdana"/>
          <w:b/>
          <w:sz w:val="20"/>
        </w:rPr>
      </w:pPr>
    </w:p>
    <w:p w:rsidR="001E779D" w:rsidRPr="000F4741" w:rsidRDefault="001E779D" w:rsidP="001E779D">
      <w:pPr>
        <w:jc w:val="both"/>
        <w:outlineLvl w:val="0"/>
        <w:rPr>
          <w:rFonts w:ascii="Verdana" w:hAnsi="Verdana"/>
          <w:b/>
          <w:sz w:val="20"/>
        </w:rPr>
      </w:pPr>
    </w:p>
    <w:p w:rsidR="001E779D" w:rsidRDefault="001E779D" w:rsidP="001E779D">
      <w:pPr>
        <w:pStyle w:val="Prrafodelista"/>
        <w:numPr>
          <w:ilvl w:val="0"/>
          <w:numId w:val="3"/>
        </w:numPr>
        <w:jc w:val="both"/>
        <w:outlineLvl w:val="0"/>
        <w:rPr>
          <w:rFonts w:ascii="Verdana" w:hAnsi="Verdana"/>
          <w:b/>
          <w:sz w:val="20"/>
        </w:rPr>
      </w:pPr>
      <w:bookmarkStart w:id="33" w:name="_Toc469305973"/>
      <w:r>
        <w:rPr>
          <w:rFonts w:ascii="Verdana" w:hAnsi="Verdana"/>
          <w:b/>
          <w:sz w:val="20"/>
        </w:rPr>
        <w:t xml:space="preserve">Pagar la cantidad fijada por concepto de </w:t>
      </w:r>
      <w:r w:rsidRPr="00260259">
        <w:rPr>
          <w:rFonts w:ascii="Verdana" w:hAnsi="Verdana"/>
          <w:b/>
          <w:sz w:val="20"/>
        </w:rPr>
        <w:t>reintegro de costas y gastos</w:t>
      </w:r>
      <w:bookmarkEnd w:id="33"/>
    </w:p>
    <w:p w:rsidR="001E779D" w:rsidRDefault="001E779D" w:rsidP="001E779D">
      <w:pPr>
        <w:jc w:val="both"/>
        <w:outlineLvl w:val="0"/>
        <w:rPr>
          <w:rFonts w:ascii="Verdana" w:hAnsi="Verdana"/>
          <w:b/>
          <w:sz w:val="20"/>
        </w:rPr>
      </w:pPr>
    </w:p>
    <w:p w:rsidR="007041C4" w:rsidRPr="000F4741" w:rsidRDefault="007041C4" w:rsidP="001E779D">
      <w:pPr>
        <w:jc w:val="both"/>
        <w:outlineLvl w:val="0"/>
        <w:rPr>
          <w:rFonts w:ascii="Verdana" w:hAnsi="Verdana"/>
          <w:b/>
          <w:sz w:val="20"/>
        </w:rPr>
      </w:pPr>
    </w:p>
    <w:p w:rsidR="001E779D" w:rsidRPr="000F4741" w:rsidRDefault="001E779D" w:rsidP="00BE635D">
      <w:pPr>
        <w:ind w:left="1440" w:hanging="720"/>
        <w:jc w:val="both"/>
        <w:rPr>
          <w:rFonts w:ascii="Verdana" w:hAnsi="Verdana"/>
          <w:b/>
          <w:i/>
          <w:sz w:val="20"/>
        </w:rPr>
      </w:pPr>
      <w:bookmarkStart w:id="34" w:name="_Toc455738229"/>
      <w:bookmarkStart w:id="35" w:name="_Toc457916142"/>
      <w:bookmarkStart w:id="36" w:name="_Toc458159812"/>
      <w:r w:rsidRPr="000F4741">
        <w:rPr>
          <w:rFonts w:ascii="Verdana" w:hAnsi="Verdana"/>
          <w:b/>
          <w:sz w:val="20"/>
        </w:rPr>
        <w:t>E.1</w:t>
      </w:r>
      <w:r w:rsidR="00BE635D">
        <w:rPr>
          <w:rFonts w:ascii="Verdana" w:hAnsi="Verdana"/>
          <w:b/>
          <w:i/>
          <w:sz w:val="20"/>
        </w:rPr>
        <w:t xml:space="preserve"> </w:t>
      </w:r>
      <w:r w:rsidR="00BE635D">
        <w:rPr>
          <w:rFonts w:ascii="Verdana" w:hAnsi="Verdana"/>
          <w:b/>
          <w:i/>
          <w:sz w:val="20"/>
        </w:rPr>
        <w:tab/>
      </w:r>
      <w:r w:rsidRPr="000F4741">
        <w:rPr>
          <w:rFonts w:ascii="Verdana" w:hAnsi="Verdana"/>
          <w:b/>
          <w:i/>
          <w:sz w:val="20"/>
        </w:rPr>
        <w:t xml:space="preserve">Medida ordenada por la Corte </w:t>
      </w:r>
      <w:bookmarkEnd w:id="34"/>
      <w:bookmarkEnd w:id="35"/>
      <w:bookmarkEnd w:id="36"/>
    </w:p>
    <w:p w:rsidR="001E779D" w:rsidRDefault="001E779D" w:rsidP="001E779D">
      <w:pPr>
        <w:jc w:val="both"/>
        <w:outlineLvl w:val="0"/>
        <w:rPr>
          <w:rFonts w:ascii="Verdana" w:hAnsi="Verdana"/>
          <w:b/>
          <w:i/>
          <w:sz w:val="20"/>
        </w:rPr>
      </w:pPr>
    </w:p>
    <w:p w:rsidR="007D6CBC" w:rsidRPr="000F4741" w:rsidRDefault="007D6CBC" w:rsidP="001E779D">
      <w:pPr>
        <w:jc w:val="both"/>
        <w:outlineLvl w:val="0"/>
        <w:rPr>
          <w:rFonts w:ascii="Verdana" w:hAnsi="Verdana"/>
          <w:b/>
          <w:i/>
          <w:sz w:val="20"/>
        </w:rPr>
      </w:pPr>
    </w:p>
    <w:p w:rsidR="001E779D" w:rsidRPr="007041C4" w:rsidRDefault="001E779D" w:rsidP="004924FD">
      <w:pPr>
        <w:pStyle w:val="Prrafodelista"/>
        <w:numPr>
          <w:ilvl w:val="0"/>
          <w:numId w:val="2"/>
        </w:numPr>
        <w:ind w:left="0" w:firstLine="0"/>
        <w:jc w:val="both"/>
        <w:rPr>
          <w:rFonts w:ascii="Verdana" w:hAnsi="Verdana"/>
          <w:b/>
          <w:i/>
          <w:sz w:val="20"/>
        </w:rPr>
      </w:pPr>
      <w:r>
        <w:rPr>
          <w:rFonts w:ascii="Verdana" w:hAnsi="Verdana"/>
          <w:sz w:val="20"/>
        </w:rPr>
        <w:t>En el punto dispositivo décimo sexto y en el párrafo 267</w:t>
      </w:r>
      <w:r w:rsidRPr="000F4741">
        <w:rPr>
          <w:rFonts w:ascii="Verdana" w:hAnsi="Verdana"/>
          <w:sz w:val="20"/>
        </w:rPr>
        <w:t xml:space="preserve"> de</w:t>
      </w:r>
      <w:r>
        <w:rPr>
          <w:rFonts w:ascii="Verdana" w:hAnsi="Verdana"/>
          <w:sz w:val="20"/>
        </w:rPr>
        <w:t xml:space="preserve"> la Sentencia, la Corte ordenó al Estado pagar “un monto […] de US $180.000,00 (ciento ochenta mil dólares de los Estados Unidos de América) para la Asociación Pro-Búsqueda de Niñas y Niños Desaparecidos por concepto de costas y gastos por las labores realizadas en la búsqueda de las cinco víctimas y el litigio del caso a nivel interno e internacional”. Asimismo, la Corte determinó que dicha cantidad debía ser “entregada directamente a la organización representante”. Adicionalmente, en el párrafo 273 de la Sentencia la Corte ordenó que el Estado debía efectuar “el reintegro de costas y gastos […] dentro del plazo de un año, contado a partir de la notificación del presente Fallo”.</w:t>
      </w:r>
    </w:p>
    <w:p w:rsidR="007041C4" w:rsidRPr="000F4741" w:rsidRDefault="007041C4" w:rsidP="007041C4">
      <w:pPr>
        <w:pStyle w:val="Prrafodelista"/>
        <w:ind w:left="0"/>
        <w:jc w:val="both"/>
        <w:rPr>
          <w:rFonts w:ascii="Verdana" w:hAnsi="Verdana"/>
          <w:b/>
          <w:i/>
          <w:sz w:val="20"/>
        </w:rPr>
      </w:pPr>
    </w:p>
    <w:p w:rsidR="001E779D" w:rsidRPr="00AD504E" w:rsidRDefault="001E779D" w:rsidP="00AD504E">
      <w:pPr>
        <w:jc w:val="both"/>
        <w:outlineLvl w:val="0"/>
        <w:rPr>
          <w:rFonts w:ascii="Verdana" w:hAnsi="Verdana"/>
          <w:b/>
          <w:i/>
          <w:sz w:val="20"/>
        </w:rPr>
      </w:pPr>
      <w:bookmarkStart w:id="37" w:name="_Toc455738230"/>
      <w:bookmarkStart w:id="38" w:name="_Toc457916143"/>
      <w:bookmarkStart w:id="39" w:name="_Toc458159813"/>
    </w:p>
    <w:p w:rsidR="001E779D" w:rsidRPr="000F4741" w:rsidRDefault="00AD504E" w:rsidP="00AD504E">
      <w:pPr>
        <w:tabs>
          <w:tab w:val="left" w:pos="1440"/>
        </w:tabs>
        <w:ind w:firstLine="720"/>
        <w:rPr>
          <w:rFonts w:ascii="Verdana" w:hAnsi="Verdana"/>
          <w:b/>
          <w:i/>
          <w:sz w:val="20"/>
        </w:rPr>
      </w:pPr>
      <w:r>
        <w:rPr>
          <w:rFonts w:ascii="Verdana" w:hAnsi="Verdana"/>
          <w:b/>
          <w:i/>
          <w:sz w:val="20"/>
        </w:rPr>
        <w:t>E.2</w:t>
      </w:r>
      <w:r w:rsidR="001E779D">
        <w:rPr>
          <w:rFonts w:ascii="Verdana" w:hAnsi="Verdana"/>
          <w:b/>
          <w:i/>
          <w:sz w:val="20"/>
        </w:rPr>
        <w:t xml:space="preserve"> </w:t>
      </w:r>
      <w:r>
        <w:rPr>
          <w:rFonts w:ascii="Verdana" w:hAnsi="Verdana"/>
          <w:b/>
          <w:i/>
          <w:sz w:val="20"/>
        </w:rPr>
        <w:tab/>
      </w:r>
      <w:r w:rsidR="001E779D" w:rsidRPr="000F4741">
        <w:rPr>
          <w:rFonts w:ascii="Verdana" w:hAnsi="Verdana"/>
          <w:b/>
          <w:i/>
          <w:sz w:val="20"/>
        </w:rPr>
        <w:t>Consideraciones de la Corte</w:t>
      </w:r>
      <w:bookmarkEnd w:id="37"/>
      <w:bookmarkEnd w:id="38"/>
      <w:bookmarkEnd w:id="39"/>
    </w:p>
    <w:p w:rsidR="001E779D" w:rsidRDefault="001E779D" w:rsidP="001E779D">
      <w:pPr>
        <w:jc w:val="both"/>
        <w:rPr>
          <w:rFonts w:ascii="Verdana" w:hAnsi="Verdana"/>
          <w:b/>
          <w:sz w:val="20"/>
        </w:rPr>
      </w:pPr>
    </w:p>
    <w:p w:rsidR="007D6CBC" w:rsidRPr="000F4741" w:rsidRDefault="007D6CBC" w:rsidP="001E779D">
      <w:pPr>
        <w:jc w:val="both"/>
        <w:rPr>
          <w:rFonts w:ascii="Verdana" w:hAnsi="Verdana"/>
          <w:b/>
          <w:sz w:val="20"/>
        </w:rPr>
      </w:pPr>
    </w:p>
    <w:p w:rsidR="001E779D" w:rsidRPr="00EE61B6" w:rsidRDefault="001E779D" w:rsidP="00EE61B6">
      <w:pPr>
        <w:pStyle w:val="Prrafodelista"/>
        <w:numPr>
          <w:ilvl w:val="0"/>
          <w:numId w:val="2"/>
        </w:numPr>
        <w:ind w:left="0" w:firstLine="0"/>
        <w:jc w:val="both"/>
        <w:rPr>
          <w:rFonts w:ascii="Verdana" w:hAnsi="Verdana"/>
          <w:b/>
          <w:sz w:val="20"/>
        </w:rPr>
      </w:pPr>
      <w:bookmarkStart w:id="40" w:name="_Ref475350810"/>
      <w:r w:rsidRPr="005503E7">
        <w:rPr>
          <w:rFonts w:ascii="Verdana" w:hAnsi="Verdana"/>
          <w:sz w:val="20"/>
        </w:rPr>
        <w:t>Con base en la información aportada por el Estado, que consiste en copia de un acta</w:t>
      </w:r>
      <w:r w:rsidRPr="007B7315">
        <w:rPr>
          <w:rStyle w:val="Refdenotaalpie"/>
          <w:rFonts w:ascii="Verdana" w:hAnsi="Verdana"/>
          <w:sz w:val="20"/>
        </w:rPr>
        <w:footnoteReference w:id="21"/>
      </w:r>
      <w:r w:rsidRPr="007B7315">
        <w:rPr>
          <w:rFonts w:ascii="Verdana" w:hAnsi="Verdana"/>
          <w:sz w:val="20"/>
        </w:rPr>
        <w:t xml:space="preserve"> </w:t>
      </w:r>
      <w:r w:rsidRPr="005503E7">
        <w:rPr>
          <w:rFonts w:ascii="Verdana" w:hAnsi="Verdana"/>
          <w:sz w:val="20"/>
        </w:rPr>
        <w:t xml:space="preserve">firmada por </w:t>
      </w:r>
      <w:r w:rsidR="00381454">
        <w:rPr>
          <w:rFonts w:ascii="Verdana" w:hAnsi="Verdana"/>
          <w:sz w:val="20"/>
        </w:rPr>
        <w:t xml:space="preserve">la </w:t>
      </w:r>
      <w:r w:rsidRPr="005503E7">
        <w:rPr>
          <w:rFonts w:ascii="Verdana" w:hAnsi="Verdana"/>
          <w:sz w:val="20"/>
        </w:rPr>
        <w:t xml:space="preserve">Presidenta de la Asociación Pro-Búsqueda de Niñas y Niños Desaparecidos, y por </w:t>
      </w:r>
      <w:r w:rsidR="00381454">
        <w:rPr>
          <w:rFonts w:ascii="Verdana" w:hAnsi="Verdana"/>
          <w:sz w:val="20"/>
        </w:rPr>
        <w:t xml:space="preserve">la </w:t>
      </w:r>
      <w:r w:rsidRPr="005503E7">
        <w:rPr>
          <w:rFonts w:ascii="Verdana" w:hAnsi="Verdana"/>
          <w:sz w:val="20"/>
        </w:rPr>
        <w:t xml:space="preserve">Directora General de Derechos Humanos del Ministerio de Relaciones Exteriores, la Corte constata que el 18 de marzo de 2016 se entregó un cheque a dicha organización por la cantidad de </w:t>
      </w:r>
      <w:r w:rsidR="00EE61B6">
        <w:rPr>
          <w:rFonts w:ascii="Verdana" w:hAnsi="Verdana"/>
          <w:sz w:val="20"/>
        </w:rPr>
        <w:t>US$ 180.000,00</w:t>
      </w:r>
      <w:r w:rsidRPr="005503E7">
        <w:rPr>
          <w:rFonts w:ascii="Verdana" w:hAnsi="Verdana"/>
          <w:sz w:val="20"/>
        </w:rPr>
        <w:t xml:space="preserve"> </w:t>
      </w:r>
      <w:r w:rsidR="00381454">
        <w:rPr>
          <w:rFonts w:ascii="Verdana" w:hAnsi="Verdana"/>
          <w:sz w:val="20"/>
        </w:rPr>
        <w:t>(</w:t>
      </w:r>
      <w:r w:rsidR="00381454" w:rsidRPr="005503E7">
        <w:rPr>
          <w:rFonts w:ascii="Verdana" w:hAnsi="Verdana"/>
          <w:sz w:val="20"/>
        </w:rPr>
        <w:t>ciento ochenta mil dólares de los Estados Unidos de América</w:t>
      </w:r>
      <w:r w:rsidR="00381454">
        <w:rPr>
          <w:rFonts w:ascii="Verdana" w:hAnsi="Verdana"/>
          <w:sz w:val="20"/>
        </w:rPr>
        <w:t xml:space="preserve">) </w:t>
      </w:r>
      <w:r w:rsidRPr="005503E7">
        <w:rPr>
          <w:rFonts w:ascii="Verdana" w:hAnsi="Verdana"/>
          <w:sz w:val="20"/>
        </w:rPr>
        <w:t xml:space="preserve">como pago total de las costas y gastos del </w:t>
      </w:r>
      <w:r w:rsidR="00EE61B6">
        <w:rPr>
          <w:rFonts w:ascii="Verdana" w:hAnsi="Verdana"/>
          <w:sz w:val="20"/>
        </w:rPr>
        <w:t>presente caso</w:t>
      </w:r>
      <w:r w:rsidR="00EE61B6">
        <w:rPr>
          <w:rStyle w:val="Refdenotaalpie"/>
          <w:rFonts w:ascii="Verdana" w:hAnsi="Verdana"/>
          <w:sz w:val="20"/>
        </w:rPr>
        <w:footnoteReference w:id="22"/>
      </w:r>
      <w:r w:rsidRPr="005503E7">
        <w:rPr>
          <w:rFonts w:ascii="Verdana" w:hAnsi="Verdana"/>
          <w:sz w:val="20"/>
        </w:rPr>
        <w:t xml:space="preserve">. Por su parte, en </w:t>
      </w:r>
      <w:r w:rsidR="00EE61B6">
        <w:rPr>
          <w:rFonts w:ascii="Verdana" w:hAnsi="Verdana"/>
          <w:sz w:val="20"/>
        </w:rPr>
        <w:t>sus</w:t>
      </w:r>
      <w:r w:rsidRPr="005503E7">
        <w:rPr>
          <w:rFonts w:ascii="Verdana" w:hAnsi="Verdana"/>
          <w:sz w:val="20"/>
        </w:rPr>
        <w:t xml:space="preserve"> observaciones</w:t>
      </w:r>
      <w:r w:rsidR="00EE61B6">
        <w:rPr>
          <w:rFonts w:ascii="Verdana" w:hAnsi="Verdana"/>
          <w:sz w:val="20"/>
        </w:rPr>
        <w:t xml:space="preserve"> de octubre de 2016</w:t>
      </w:r>
      <w:r w:rsidRPr="005503E7">
        <w:rPr>
          <w:rFonts w:ascii="Verdana" w:hAnsi="Verdana"/>
          <w:sz w:val="20"/>
        </w:rPr>
        <w:t>, los representantes manifestaron su “beneplácito por el esfuerzo para c</w:t>
      </w:r>
      <w:r w:rsidR="009D70F3">
        <w:rPr>
          <w:rFonts w:ascii="Verdana" w:hAnsi="Verdana"/>
          <w:sz w:val="20"/>
        </w:rPr>
        <w:t>ancelar las costas procesales”.</w:t>
      </w:r>
      <w:r w:rsidR="00EE61B6">
        <w:rPr>
          <w:rFonts w:ascii="Verdana" w:hAnsi="Verdana"/>
          <w:b/>
          <w:sz w:val="20"/>
        </w:rPr>
        <w:t xml:space="preserve"> </w:t>
      </w:r>
      <w:r w:rsidRPr="00EE61B6">
        <w:rPr>
          <w:rFonts w:ascii="Verdana" w:hAnsi="Verdana"/>
          <w:sz w:val="20"/>
        </w:rPr>
        <w:t>Por tales razones, esta Corte considera que el Estado ha dado cumplimiento total a la medida relativa al reintegro de costas y gastos a favor de la Asociación Pro-Búsqueda</w:t>
      </w:r>
      <w:r w:rsidR="00381454">
        <w:rPr>
          <w:rFonts w:ascii="Verdana" w:hAnsi="Verdana"/>
          <w:sz w:val="20"/>
        </w:rPr>
        <w:t xml:space="preserve"> ordenado en el punto resolutivo décimo sexto de la Sentencia</w:t>
      </w:r>
      <w:r w:rsidRPr="00EE61B6">
        <w:rPr>
          <w:rFonts w:ascii="Verdana" w:hAnsi="Verdana"/>
          <w:sz w:val="20"/>
        </w:rPr>
        <w:t>.</w:t>
      </w:r>
      <w:bookmarkEnd w:id="40"/>
    </w:p>
    <w:p w:rsidR="001E779D" w:rsidRDefault="001E779D" w:rsidP="001E779D">
      <w:pPr>
        <w:jc w:val="both"/>
        <w:rPr>
          <w:rFonts w:ascii="Verdana" w:hAnsi="Verdana"/>
          <w:b/>
          <w:sz w:val="20"/>
        </w:rPr>
      </w:pPr>
    </w:p>
    <w:p w:rsidR="007D6CBC" w:rsidRDefault="007D6CBC" w:rsidP="001E779D">
      <w:pPr>
        <w:jc w:val="both"/>
        <w:rPr>
          <w:rFonts w:ascii="Verdana" w:hAnsi="Verdana"/>
          <w:b/>
          <w:sz w:val="20"/>
        </w:rPr>
      </w:pPr>
    </w:p>
    <w:p w:rsidR="007D6CBC" w:rsidRDefault="007D6CBC" w:rsidP="001E779D">
      <w:pPr>
        <w:jc w:val="both"/>
        <w:rPr>
          <w:rFonts w:ascii="Verdana" w:hAnsi="Verdana"/>
          <w:b/>
          <w:sz w:val="20"/>
        </w:rPr>
      </w:pPr>
    </w:p>
    <w:p w:rsidR="007D6CBC" w:rsidRDefault="007D6CBC" w:rsidP="001E779D">
      <w:pPr>
        <w:jc w:val="both"/>
        <w:rPr>
          <w:rFonts w:ascii="Verdana" w:hAnsi="Verdana"/>
          <w:b/>
          <w:sz w:val="20"/>
        </w:rPr>
      </w:pPr>
    </w:p>
    <w:p w:rsidR="007D6CBC" w:rsidRDefault="007D6CBC" w:rsidP="001E779D">
      <w:pPr>
        <w:jc w:val="both"/>
        <w:rPr>
          <w:rFonts w:ascii="Verdana" w:hAnsi="Verdana"/>
          <w:b/>
          <w:sz w:val="20"/>
        </w:rPr>
      </w:pPr>
    </w:p>
    <w:p w:rsidR="007D6CBC" w:rsidRDefault="007D6CBC" w:rsidP="001E779D">
      <w:pPr>
        <w:jc w:val="both"/>
        <w:rPr>
          <w:rFonts w:ascii="Verdana" w:hAnsi="Verdana"/>
          <w:b/>
          <w:sz w:val="20"/>
        </w:rPr>
      </w:pPr>
    </w:p>
    <w:p w:rsidR="001E779D" w:rsidRPr="00122209" w:rsidRDefault="001E779D" w:rsidP="001E779D">
      <w:pPr>
        <w:pStyle w:val="Prrafodelista"/>
        <w:numPr>
          <w:ilvl w:val="0"/>
          <w:numId w:val="3"/>
        </w:numPr>
        <w:jc w:val="both"/>
        <w:outlineLvl w:val="0"/>
        <w:rPr>
          <w:rFonts w:ascii="Verdana" w:hAnsi="Verdana"/>
          <w:b/>
          <w:sz w:val="20"/>
        </w:rPr>
      </w:pPr>
      <w:bookmarkStart w:id="41" w:name="_Toc458159817"/>
      <w:bookmarkStart w:id="42" w:name="_Toc469305974"/>
      <w:r w:rsidRPr="00122209">
        <w:rPr>
          <w:rFonts w:ascii="Verdana" w:hAnsi="Verdana"/>
          <w:b/>
          <w:sz w:val="20"/>
        </w:rPr>
        <w:t xml:space="preserve">Solicitud de información sobre </w:t>
      </w:r>
      <w:bookmarkEnd w:id="41"/>
      <w:r w:rsidR="00CE5F22" w:rsidRPr="00122209">
        <w:rPr>
          <w:rFonts w:ascii="Verdana" w:hAnsi="Verdana"/>
          <w:b/>
          <w:sz w:val="20"/>
        </w:rPr>
        <w:t>reparaciones pendientes de cumplimiento</w:t>
      </w:r>
      <w:bookmarkEnd w:id="42"/>
    </w:p>
    <w:p w:rsidR="001E779D" w:rsidRDefault="001E779D" w:rsidP="001E779D">
      <w:pPr>
        <w:jc w:val="both"/>
        <w:rPr>
          <w:rFonts w:ascii="Verdana" w:hAnsi="Verdana"/>
          <w:b/>
          <w:sz w:val="20"/>
        </w:rPr>
      </w:pPr>
    </w:p>
    <w:p w:rsidR="007D6CBC" w:rsidRDefault="007D6CBC" w:rsidP="001E779D">
      <w:pPr>
        <w:jc w:val="both"/>
        <w:rPr>
          <w:rFonts w:ascii="Verdana" w:hAnsi="Verdana"/>
          <w:b/>
          <w:sz w:val="20"/>
        </w:rPr>
      </w:pPr>
    </w:p>
    <w:p w:rsidR="007D6CBC" w:rsidRPr="000F4741" w:rsidRDefault="007D6CBC" w:rsidP="001E779D">
      <w:pPr>
        <w:jc w:val="both"/>
        <w:rPr>
          <w:rFonts w:ascii="Verdana" w:hAnsi="Verdana"/>
          <w:b/>
          <w:sz w:val="20"/>
        </w:rPr>
      </w:pPr>
    </w:p>
    <w:p w:rsidR="00E130FA" w:rsidRDefault="00E130FA" w:rsidP="00E130FA">
      <w:pPr>
        <w:pStyle w:val="Prrafodelista"/>
        <w:numPr>
          <w:ilvl w:val="0"/>
          <w:numId w:val="2"/>
        </w:numPr>
        <w:ind w:left="0" w:firstLine="0"/>
        <w:jc w:val="both"/>
        <w:rPr>
          <w:rFonts w:ascii="Verdana" w:hAnsi="Verdana"/>
          <w:sz w:val="20"/>
        </w:rPr>
      </w:pPr>
      <w:bookmarkStart w:id="43" w:name="_Ref467850933"/>
      <w:r w:rsidRPr="00E130FA">
        <w:rPr>
          <w:rFonts w:ascii="Verdana" w:hAnsi="Verdana"/>
          <w:sz w:val="20"/>
        </w:rPr>
        <w:t xml:space="preserve">Esta Corte considera necesario que </w:t>
      </w:r>
      <w:r>
        <w:rPr>
          <w:rFonts w:ascii="Verdana" w:hAnsi="Verdana"/>
          <w:sz w:val="20"/>
        </w:rPr>
        <w:t xml:space="preserve">El Salvador </w:t>
      </w:r>
      <w:r w:rsidRPr="00E130FA">
        <w:rPr>
          <w:rFonts w:ascii="Verdana" w:hAnsi="Verdana"/>
          <w:sz w:val="20"/>
        </w:rPr>
        <w:t xml:space="preserve">presente información específica y actualizada respecto a las reparaciones ordenadas en la Sentencia que se encuentran pendientes de cumplimiento. En consecuencia, se solicita al Estado que </w:t>
      </w:r>
      <w:r>
        <w:rPr>
          <w:rFonts w:ascii="Verdana" w:hAnsi="Verdana"/>
          <w:sz w:val="20"/>
        </w:rPr>
        <w:t xml:space="preserve">en su próximo </w:t>
      </w:r>
      <w:r w:rsidRPr="00E130FA">
        <w:rPr>
          <w:rFonts w:ascii="Verdana" w:hAnsi="Verdana"/>
          <w:sz w:val="20"/>
        </w:rPr>
        <w:t>informe se refiera, en particular, a lo siguiente:</w:t>
      </w:r>
      <w:bookmarkEnd w:id="43"/>
    </w:p>
    <w:p w:rsidR="008E078C" w:rsidRPr="00D51D5D" w:rsidRDefault="008E078C" w:rsidP="008E078C">
      <w:pPr>
        <w:pStyle w:val="Prrafodelista"/>
        <w:ind w:left="0"/>
        <w:jc w:val="both"/>
        <w:rPr>
          <w:rFonts w:ascii="Verdana" w:hAnsi="Verdana"/>
          <w:sz w:val="20"/>
        </w:rPr>
      </w:pPr>
    </w:p>
    <w:p w:rsidR="006E61D6" w:rsidRPr="006E61D6" w:rsidRDefault="00122209" w:rsidP="006E61D6">
      <w:pPr>
        <w:pStyle w:val="Prrafodelista"/>
        <w:numPr>
          <w:ilvl w:val="0"/>
          <w:numId w:val="8"/>
        </w:numPr>
        <w:jc w:val="both"/>
        <w:rPr>
          <w:rFonts w:ascii="Verdana" w:hAnsi="Verdana"/>
          <w:sz w:val="20"/>
        </w:rPr>
      </w:pPr>
      <w:r>
        <w:rPr>
          <w:rFonts w:ascii="Verdana" w:hAnsi="Verdana"/>
          <w:sz w:val="20"/>
        </w:rPr>
        <w:t>respecto a la obligación de</w:t>
      </w:r>
      <w:r w:rsidR="008E078C" w:rsidRPr="00D51D5D">
        <w:rPr>
          <w:rFonts w:ascii="Verdana" w:hAnsi="Verdana"/>
          <w:sz w:val="20"/>
        </w:rPr>
        <w:t xml:space="preserve"> continuar eficazmente y con la mayor diligencia las investigaciones abiertas, así como abrir las que sean necesarias con el fin de identificar, juzgar y, en su caso, sancionar a los responsables de los hechos del presente caso (</w:t>
      </w:r>
      <w:r w:rsidR="008E078C" w:rsidRPr="00D51D5D">
        <w:rPr>
          <w:rFonts w:ascii="Verdana" w:hAnsi="Verdana"/>
          <w:i/>
          <w:sz w:val="20"/>
        </w:rPr>
        <w:t>punto dispositivo octavo de la Sentencia)</w:t>
      </w:r>
      <w:r>
        <w:rPr>
          <w:rStyle w:val="Refdenotaalpie"/>
          <w:rFonts w:ascii="Verdana" w:hAnsi="Verdana"/>
          <w:i/>
          <w:sz w:val="20"/>
        </w:rPr>
        <w:footnoteReference w:id="23"/>
      </w:r>
      <w:r w:rsidR="008E078C" w:rsidRPr="00D51D5D">
        <w:rPr>
          <w:rFonts w:ascii="Verdana" w:hAnsi="Verdana"/>
          <w:i/>
          <w:sz w:val="20"/>
        </w:rPr>
        <w:t>,</w:t>
      </w:r>
      <w:r w:rsidR="00C31C99" w:rsidRPr="00D51D5D">
        <w:rPr>
          <w:rFonts w:ascii="Verdana" w:hAnsi="Verdana"/>
          <w:sz w:val="20"/>
        </w:rPr>
        <w:t xml:space="preserve"> se solicita</w:t>
      </w:r>
      <w:r w:rsidR="006E61D6">
        <w:rPr>
          <w:rFonts w:ascii="Verdana" w:hAnsi="Verdana"/>
          <w:sz w:val="20"/>
        </w:rPr>
        <w:t>:</w:t>
      </w:r>
      <w:r w:rsidR="00C31C99" w:rsidRPr="00D51D5D">
        <w:rPr>
          <w:rFonts w:ascii="Verdana" w:hAnsi="Verdana"/>
          <w:sz w:val="20"/>
        </w:rPr>
        <w:t xml:space="preserve"> </w:t>
      </w:r>
      <w:r w:rsidR="006E61D6">
        <w:rPr>
          <w:rFonts w:ascii="Verdana" w:hAnsi="Verdana"/>
          <w:sz w:val="20"/>
        </w:rPr>
        <w:t xml:space="preserve">(i) </w:t>
      </w:r>
      <w:r w:rsidR="006E61D6" w:rsidRPr="006E61D6">
        <w:rPr>
          <w:rFonts w:ascii="Verdana" w:hAnsi="Verdana"/>
          <w:sz w:val="20"/>
          <w:lang w:val="es-CR"/>
        </w:rPr>
        <w:t>remitir  información actualizada y detallada sobre las diligencias realizadas en cada una de las investigaciones penales abiertas por los hechos del presente caso; (ii) especifique las líneas lógicas de investigación que está siguiendo en la consecución de la obligación de investigar</w:t>
      </w:r>
      <w:r w:rsidR="00A152B3">
        <w:rPr>
          <w:rFonts w:ascii="Verdana" w:hAnsi="Verdana"/>
          <w:sz w:val="20"/>
          <w:lang w:val="es-CR"/>
        </w:rPr>
        <w:t>;</w:t>
      </w:r>
      <w:r w:rsidR="006E61D6" w:rsidRPr="006E61D6">
        <w:rPr>
          <w:rFonts w:ascii="Verdana" w:hAnsi="Verdana"/>
          <w:sz w:val="20"/>
          <w:lang w:val="es-CR"/>
        </w:rPr>
        <w:t xml:space="preserve"> (iii) proporcione los expedientes penales de c</w:t>
      </w:r>
      <w:r w:rsidR="00A152B3">
        <w:rPr>
          <w:rFonts w:ascii="Verdana" w:hAnsi="Verdana"/>
          <w:sz w:val="20"/>
          <w:lang w:val="es-CR"/>
        </w:rPr>
        <w:t xml:space="preserve">ada una de esas investigaciones; y (iv) </w:t>
      </w:r>
      <w:r w:rsidR="00A152B3" w:rsidRPr="00A152B3">
        <w:rPr>
          <w:rFonts w:ascii="Verdana" w:hAnsi="Verdana"/>
          <w:sz w:val="20"/>
          <w:lang w:val="es-CR"/>
        </w:rPr>
        <w:t>presente un cronograma de las diligencias por realizar con el fin de identificar, juzgar y, en su caso, sancionar a los responsables de la totalidad de violaciones a derechos humanos identificadas en la Sentencia</w:t>
      </w:r>
      <w:r w:rsidR="00307323">
        <w:rPr>
          <w:rFonts w:ascii="Verdana" w:hAnsi="Verdana"/>
          <w:sz w:val="20"/>
          <w:lang w:val="es-CR"/>
        </w:rPr>
        <w:t>;</w:t>
      </w:r>
    </w:p>
    <w:p w:rsidR="00C31C99" w:rsidRPr="006E61D6" w:rsidRDefault="00C31C99" w:rsidP="006E61D6">
      <w:pPr>
        <w:jc w:val="both"/>
        <w:rPr>
          <w:rFonts w:ascii="Verdana" w:hAnsi="Verdana"/>
          <w:sz w:val="20"/>
        </w:rPr>
      </w:pPr>
    </w:p>
    <w:p w:rsidR="008E078C" w:rsidRDefault="00122209" w:rsidP="008E078C">
      <w:pPr>
        <w:pStyle w:val="Prrafodelista"/>
        <w:numPr>
          <w:ilvl w:val="0"/>
          <w:numId w:val="8"/>
        </w:numPr>
        <w:jc w:val="both"/>
        <w:rPr>
          <w:rFonts w:ascii="Verdana" w:hAnsi="Verdana"/>
          <w:sz w:val="20"/>
        </w:rPr>
      </w:pPr>
      <w:r>
        <w:rPr>
          <w:rFonts w:ascii="Verdana" w:hAnsi="Verdana"/>
          <w:sz w:val="20"/>
          <w:lang w:val="es-CR"/>
        </w:rPr>
        <w:t>Con</w:t>
      </w:r>
      <w:r w:rsidR="008E078C" w:rsidRPr="008E078C">
        <w:rPr>
          <w:rFonts w:ascii="Verdana" w:hAnsi="Verdana"/>
          <w:sz w:val="20"/>
          <w:lang w:val="es-CR"/>
        </w:rPr>
        <w:t xml:space="preserve"> relación </w:t>
      </w:r>
      <w:r>
        <w:rPr>
          <w:rFonts w:ascii="Verdana" w:hAnsi="Verdana"/>
          <w:sz w:val="20"/>
          <w:lang w:val="es-CR"/>
        </w:rPr>
        <w:t>a</w:t>
      </w:r>
      <w:r w:rsidR="008E078C" w:rsidRPr="008E078C">
        <w:rPr>
          <w:rFonts w:ascii="Verdana" w:hAnsi="Verdana"/>
          <w:sz w:val="20"/>
          <w:lang w:val="es-CR"/>
        </w:rPr>
        <w:t xml:space="preserve"> la</w:t>
      </w:r>
      <w:r>
        <w:rPr>
          <w:rFonts w:ascii="Verdana" w:hAnsi="Verdana"/>
          <w:sz w:val="20"/>
          <w:lang w:val="es-CR"/>
        </w:rPr>
        <w:t xml:space="preserve"> obligación de llevar a cabo una</w:t>
      </w:r>
      <w:r w:rsidR="008E078C" w:rsidRPr="008E078C">
        <w:rPr>
          <w:rFonts w:ascii="Verdana" w:hAnsi="Verdana"/>
          <w:sz w:val="20"/>
          <w:lang w:val="es-CR"/>
        </w:rPr>
        <w:t xml:space="preserve"> </w:t>
      </w:r>
      <w:r w:rsidR="008E078C" w:rsidRPr="008E078C">
        <w:rPr>
          <w:rFonts w:ascii="Verdana" w:hAnsi="Verdana"/>
          <w:sz w:val="20"/>
        </w:rPr>
        <w:t xml:space="preserve">búsqueda seria, en la cual realice todos los esfuerzos para determinar el paradero de José Adrián </w:t>
      </w:r>
      <w:proofErr w:type="spellStart"/>
      <w:r w:rsidR="008E078C" w:rsidRPr="008E078C">
        <w:rPr>
          <w:rFonts w:ascii="Verdana" w:hAnsi="Verdana"/>
          <w:sz w:val="20"/>
        </w:rPr>
        <w:t>Rochac</w:t>
      </w:r>
      <w:proofErr w:type="spellEnd"/>
      <w:r w:rsidR="008E078C" w:rsidRPr="008E078C">
        <w:rPr>
          <w:rFonts w:ascii="Verdana" w:hAnsi="Verdana"/>
          <w:sz w:val="20"/>
        </w:rPr>
        <w:t xml:space="preserve"> Hernández, </w:t>
      </w:r>
      <w:proofErr w:type="spellStart"/>
      <w:r w:rsidR="008E078C" w:rsidRPr="008E078C">
        <w:rPr>
          <w:rFonts w:ascii="Verdana" w:hAnsi="Verdana"/>
          <w:sz w:val="20"/>
        </w:rPr>
        <w:t>Emelinda</w:t>
      </w:r>
      <w:proofErr w:type="spellEnd"/>
      <w:r w:rsidR="008E078C" w:rsidRPr="008E078C">
        <w:rPr>
          <w:rFonts w:ascii="Verdana" w:hAnsi="Verdana"/>
          <w:sz w:val="20"/>
        </w:rPr>
        <w:t xml:space="preserve"> Lorena Hernández, Manuel Antonio Bonilla y Ricardo Abarca Ayala</w:t>
      </w:r>
      <w:r w:rsidR="008E078C">
        <w:rPr>
          <w:rFonts w:ascii="Verdana" w:hAnsi="Verdana"/>
          <w:sz w:val="20"/>
        </w:rPr>
        <w:t xml:space="preserve"> (</w:t>
      </w:r>
      <w:r w:rsidR="008E078C" w:rsidRPr="008E078C">
        <w:rPr>
          <w:rFonts w:ascii="Verdana" w:hAnsi="Verdana"/>
          <w:i/>
          <w:sz w:val="20"/>
        </w:rPr>
        <w:t>punto dispositivo noveno de la Sentencia</w:t>
      </w:r>
      <w:r w:rsidR="008E078C">
        <w:rPr>
          <w:rFonts w:ascii="Verdana" w:hAnsi="Verdana"/>
          <w:sz w:val="20"/>
        </w:rPr>
        <w:t>),</w:t>
      </w:r>
      <w:r w:rsidR="00131F68">
        <w:rPr>
          <w:rFonts w:ascii="Verdana" w:hAnsi="Verdana"/>
          <w:sz w:val="20"/>
        </w:rPr>
        <w:t xml:space="preserve"> </w:t>
      </w:r>
      <w:r>
        <w:rPr>
          <w:rFonts w:ascii="Verdana" w:hAnsi="Verdana"/>
          <w:sz w:val="20"/>
        </w:rPr>
        <w:t xml:space="preserve">se requiere al Estado </w:t>
      </w:r>
      <w:r w:rsidR="00131F68">
        <w:rPr>
          <w:rFonts w:ascii="Verdana" w:hAnsi="Verdana"/>
          <w:sz w:val="20"/>
        </w:rPr>
        <w:t>que</w:t>
      </w:r>
      <w:r w:rsidR="008E078C">
        <w:rPr>
          <w:rFonts w:ascii="Verdana" w:hAnsi="Verdana"/>
          <w:sz w:val="20"/>
        </w:rPr>
        <w:t xml:space="preserve"> </w:t>
      </w:r>
      <w:r w:rsidR="00131F68" w:rsidRPr="009F4020">
        <w:rPr>
          <w:rFonts w:ascii="Verdana" w:hAnsi="Verdana"/>
          <w:sz w:val="20"/>
          <w:lang w:val="es-CR"/>
        </w:rPr>
        <w:t>proporcione información actualizada sobre</w:t>
      </w:r>
      <w:r w:rsidR="00707E7C">
        <w:rPr>
          <w:rFonts w:ascii="Verdana" w:hAnsi="Verdana"/>
          <w:sz w:val="20"/>
          <w:lang w:val="es-CR"/>
        </w:rPr>
        <w:t xml:space="preserve"> (i)</w:t>
      </w:r>
      <w:r w:rsidR="00131F68" w:rsidRPr="009F4020">
        <w:rPr>
          <w:rFonts w:ascii="Verdana" w:hAnsi="Verdana"/>
          <w:sz w:val="20"/>
          <w:lang w:val="es-CR"/>
        </w:rPr>
        <w:t xml:space="preserve"> los avances en el proceso de diálogo</w:t>
      </w:r>
      <w:r w:rsidR="00E43F74">
        <w:rPr>
          <w:rFonts w:ascii="Verdana" w:hAnsi="Verdana"/>
          <w:sz w:val="20"/>
          <w:lang w:val="es-CR"/>
        </w:rPr>
        <w:t xml:space="preserve"> iniciado </w:t>
      </w:r>
      <w:r w:rsidR="00131F68" w:rsidRPr="009F4020">
        <w:rPr>
          <w:rFonts w:ascii="Verdana" w:hAnsi="Verdana"/>
          <w:sz w:val="20"/>
          <w:lang w:val="es-CR"/>
        </w:rPr>
        <w:t xml:space="preserve">con el joven identificado como José N. cuya identidad podría tratarse de la de José Adrián </w:t>
      </w:r>
      <w:proofErr w:type="spellStart"/>
      <w:r w:rsidR="00131F68" w:rsidRPr="009F4020">
        <w:rPr>
          <w:rFonts w:ascii="Verdana" w:hAnsi="Verdana"/>
          <w:sz w:val="20"/>
          <w:lang w:val="es-CR"/>
        </w:rPr>
        <w:t>Rochac</w:t>
      </w:r>
      <w:proofErr w:type="spellEnd"/>
      <w:r w:rsidR="00131F68" w:rsidRPr="009F4020">
        <w:rPr>
          <w:rFonts w:ascii="Verdana" w:hAnsi="Verdana"/>
          <w:sz w:val="20"/>
          <w:lang w:val="es-CR"/>
        </w:rPr>
        <w:t xml:space="preserve"> Hern</w:t>
      </w:r>
      <w:r w:rsidR="000A51ED">
        <w:rPr>
          <w:rFonts w:ascii="Verdana" w:hAnsi="Verdana"/>
          <w:sz w:val="20"/>
          <w:lang w:val="es-CR"/>
        </w:rPr>
        <w:t>ández</w:t>
      </w:r>
      <w:r w:rsidR="00E43F74">
        <w:rPr>
          <w:rStyle w:val="Refdenotaalpie"/>
          <w:rFonts w:ascii="Verdana" w:hAnsi="Verdana"/>
          <w:sz w:val="20"/>
          <w:lang w:val="es-CR"/>
        </w:rPr>
        <w:footnoteReference w:id="24"/>
      </w:r>
      <w:r w:rsidR="000A51ED">
        <w:rPr>
          <w:rFonts w:ascii="Verdana" w:hAnsi="Verdana"/>
          <w:sz w:val="20"/>
          <w:lang w:val="es-CR"/>
        </w:rPr>
        <w:t>;</w:t>
      </w:r>
      <w:r w:rsidR="00707E7C">
        <w:rPr>
          <w:rFonts w:ascii="Verdana" w:hAnsi="Verdana"/>
          <w:sz w:val="20"/>
          <w:lang w:val="es-CR"/>
        </w:rPr>
        <w:t xml:space="preserve"> (ii</w:t>
      </w:r>
      <w:r w:rsidR="00695959">
        <w:rPr>
          <w:rFonts w:ascii="Verdana" w:hAnsi="Verdana"/>
          <w:sz w:val="20"/>
          <w:lang w:val="es-CR"/>
        </w:rPr>
        <w:t xml:space="preserve">) los avances y las diligencias realizadas, así como </w:t>
      </w:r>
      <w:r w:rsidR="00695959" w:rsidRPr="00695959">
        <w:rPr>
          <w:rFonts w:ascii="Verdana" w:hAnsi="Verdana"/>
          <w:sz w:val="20"/>
          <w:lang w:val="es-CR"/>
        </w:rPr>
        <w:t>un cronograma de las diligencias por realizar</w:t>
      </w:r>
      <w:r w:rsidR="009D70F3">
        <w:rPr>
          <w:rFonts w:ascii="Verdana" w:hAnsi="Verdana"/>
          <w:sz w:val="20"/>
          <w:lang w:val="es-CR"/>
        </w:rPr>
        <w:t>,</w:t>
      </w:r>
      <w:r w:rsidR="00695959" w:rsidRPr="00695959">
        <w:rPr>
          <w:rFonts w:ascii="Verdana" w:hAnsi="Verdana"/>
          <w:sz w:val="20"/>
          <w:lang w:val="es-CR"/>
        </w:rPr>
        <w:t xml:space="preserve"> con el fin de continuar con la búsqueda</w:t>
      </w:r>
      <w:r w:rsidR="00131F68" w:rsidRPr="00695959">
        <w:rPr>
          <w:rFonts w:ascii="Verdana" w:hAnsi="Verdana"/>
          <w:sz w:val="20"/>
          <w:lang w:val="es-CR"/>
        </w:rPr>
        <w:t xml:space="preserve"> </w:t>
      </w:r>
      <w:r w:rsidR="00131F68">
        <w:rPr>
          <w:rFonts w:ascii="Verdana" w:hAnsi="Verdana"/>
          <w:sz w:val="20"/>
          <w:lang w:val="es-CR"/>
        </w:rPr>
        <w:t xml:space="preserve">de </w:t>
      </w:r>
      <w:proofErr w:type="spellStart"/>
      <w:r w:rsidR="00131F68" w:rsidRPr="008E078C">
        <w:rPr>
          <w:rFonts w:ascii="Verdana" w:hAnsi="Verdana"/>
          <w:sz w:val="20"/>
        </w:rPr>
        <w:t>Emelinda</w:t>
      </w:r>
      <w:proofErr w:type="spellEnd"/>
      <w:r w:rsidR="00131F68" w:rsidRPr="008E078C">
        <w:rPr>
          <w:rFonts w:ascii="Verdana" w:hAnsi="Verdana"/>
          <w:sz w:val="20"/>
        </w:rPr>
        <w:t xml:space="preserve"> Lorena Hernández, Manuel Antonio Bonilla y Ricardo Abarca Ayala</w:t>
      </w:r>
      <w:r>
        <w:rPr>
          <w:rStyle w:val="Refdenotaalpie"/>
          <w:rFonts w:ascii="Verdana" w:hAnsi="Verdana"/>
          <w:sz w:val="20"/>
        </w:rPr>
        <w:footnoteReference w:id="25"/>
      </w:r>
      <w:r w:rsidR="00307323">
        <w:rPr>
          <w:rFonts w:ascii="Verdana" w:hAnsi="Verdana"/>
          <w:sz w:val="20"/>
        </w:rPr>
        <w:t>;</w:t>
      </w:r>
      <w:r w:rsidR="009E44D9">
        <w:rPr>
          <w:rFonts w:ascii="Verdana" w:hAnsi="Verdana"/>
          <w:sz w:val="20"/>
        </w:rPr>
        <w:t xml:space="preserve"> </w:t>
      </w:r>
    </w:p>
    <w:p w:rsidR="00FF7AA6" w:rsidRPr="00E25775" w:rsidRDefault="00FF7AA6" w:rsidP="00E25775">
      <w:pPr>
        <w:jc w:val="both"/>
        <w:rPr>
          <w:rFonts w:ascii="Verdana" w:hAnsi="Verdana"/>
          <w:sz w:val="20"/>
          <w:lang w:val="es-CR"/>
        </w:rPr>
      </w:pPr>
    </w:p>
    <w:p w:rsidR="00131F68" w:rsidRPr="00BF5BF8" w:rsidRDefault="00E059F2" w:rsidP="008E078C">
      <w:pPr>
        <w:pStyle w:val="Prrafodelista"/>
        <w:numPr>
          <w:ilvl w:val="0"/>
          <w:numId w:val="8"/>
        </w:numPr>
        <w:jc w:val="both"/>
        <w:rPr>
          <w:rFonts w:ascii="Verdana" w:hAnsi="Verdana"/>
          <w:sz w:val="20"/>
        </w:rPr>
      </w:pPr>
      <w:r>
        <w:rPr>
          <w:rFonts w:ascii="Verdana" w:hAnsi="Verdana"/>
          <w:sz w:val="20"/>
        </w:rPr>
        <w:t xml:space="preserve">Sobre </w:t>
      </w:r>
      <w:r w:rsidR="00917A93">
        <w:rPr>
          <w:rFonts w:ascii="Verdana" w:hAnsi="Verdana"/>
          <w:sz w:val="20"/>
        </w:rPr>
        <w:t xml:space="preserve">la obligación de </w:t>
      </w:r>
      <w:r>
        <w:rPr>
          <w:rFonts w:ascii="Verdana" w:hAnsi="Verdana"/>
          <w:sz w:val="20"/>
        </w:rPr>
        <w:t>construir un “jardín museo” donde recordar a las niñas y niños desaparecidos forzadamente durante el conflicto armado (</w:t>
      </w:r>
      <w:r>
        <w:rPr>
          <w:rFonts w:ascii="Verdana" w:hAnsi="Verdana"/>
          <w:i/>
          <w:sz w:val="20"/>
        </w:rPr>
        <w:t>punto décimo cuarto de la Sentencia)</w:t>
      </w:r>
      <w:r>
        <w:rPr>
          <w:rFonts w:ascii="Verdana" w:hAnsi="Verdana"/>
          <w:sz w:val="20"/>
        </w:rPr>
        <w:t xml:space="preserve">, </w:t>
      </w:r>
      <w:r w:rsidR="00917A93">
        <w:rPr>
          <w:rFonts w:ascii="Verdana" w:hAnsi="Verdana"/>
          <w:sz w:val="20"/>
        </w:rPr>
        <w:t xml:space="preserve">se requiere que </w:t>
      </w:r>
      <w:r w:rsidR="00FB699F">
        <w:rPr>
          <w:rFonts w:ascii="Verdana" w:hAnsi="Verdana"/>
          <w:sz w:val="20"/>
        </w:rPr>
        <w:t xml:space="preserve">informe sobre las gestiones que ha realizado para el cumplimiento de esta medida, </w:t>
      </w:r>
      <w:r w:rsidR="00206B35">
        <w:rPr>
          <w:rFonts w:ascii="Verdana" w:hAnsi="Verdana"/>
          <w:sz w:val="20"/>
        </w:rPr>
        <w:t xml:space="preserve">en especial, los resultados que arrojó el “análisis especial sobre la geomorfología del Parque Cuscatlán, para determinar la factibilidad de la ejecución del proyecto” y los avances que ha realizado sobre el tema </w:t>
      </w:r>
      <w:r w:rsidR="00592BDD">
        <w:rPr>
          <w:rFonts w:ascii="Verdana" w:hAnsi="Verdana"/>
          <w:sz w:val="20"/>
        </w:rPr>
        <w:t xml:space="preserve">y/o la propuesta que debía elaborar </w:t>
      </w:r>
      <w:r w:rsidR="00206B35">
        <w:rPr>
          <w:rFonts w:ascii="Verdana" w:hAnsi="Verdana"/>
          <w:sz w:val="20"/>
        </w:rPr>
        <w:t>el “equipo técnico responsable del diseño, desarrollo y seguimiento</w:t>
      </w:r>
      <w:r w:rsidR="00236E4A">
        <w:rPr>
          <w:rFonts w:ascii="Verdana" w:hAnsi="Verdana"/>
          <w:sz w:val="20"/>
        </w:rPr>
        <w:t xml:space="preserve"> de la ejecución del proyecto”</w:t>
      </w:r>
      <w:r w:rsidR="00917A93">
        <w:rPr>
          <w:rStyle w:val="Refdenotaalpie"/>
          <w:rFonts w:ascii="Verdana" w:hAnsi="Verdana"/>
          <w:sz w:val="20"/>
        </w:rPr>
        <w:footnoteReference w:id="26"/>
      </w:r>
      <w:r w:rsidR="00307323">
        <w:rPr>
          <w:rFonts w:ascii="Verdana" w:hAnsi="Verdana"/>
          <w:sz w:val="20"/>
        </w:rPr>
        <w:t>;</w:t>
      </w:r>
      <w:r w:rsidR="00F11A8A">
        <w:rPr>
          <w:rFonts w:ascii="Verdana" w:hAnsi="Verdana"/>
          <w:b/>
          <w:sz w:val="20"/>
        </w:rPr>
        <w:t xml:space="preserve"> </w:t>
      </w:r>
    </w:p>
    <w:p w:rsidR="00BF5BF8" w:rsidRPr="00BF5BF8" w:rsidRDefault="00BF5BF8" w:rsidP="00BF5BF8">
      <w:pPr>
        <w:pStyle w:val="Prrafodelista"/>
        <w:rPr>
          <w:rFonts w:ascii="Verdana" w:hAnsi="Verdana"/>
          <w:sz w:val="20"/>
        </w:rPr>
      </w:pPr>
    </w:p>
    <w:p w:rsidR="00BF5BF8" w:rsidRDefault="0000280A" w:rsidP="008E078C">
      <w:pPr>
        <w:pStyle w:val="Prrafodelista"/>
        <w:numPr>
          <w:ilvl w:val="0"/>
          <w:numId w:val="8"/>
        </w:numPr>
        <w:jc w:val="both"/>
        <w:rPr>
          <w:rFonts w:ascii="Verdana" w:hAnsi="Verdana"/>
          <w:sz w:val="20"/>
        </w:rPr>
      </w:pPr>
      <w:r>
        <w:rPr>
          <w:rFonts w:ascii="Verdana" w:hAnsi="Verdana"/>
          <w:sz w:val="20"/>
        </w:rPr>
        <w:t>Acerca de llevar a cabo las capacitaciones ordenadas en la Sentencia (</w:t>
      </w:r>
      <w:r>
        <w:rPr>
          <w:rFonts w:ascii="Verdana" w:hAnsi="Verdana"/>
          <w:i/>
          <w:sz w:val="20"/>
        </w:rPr>
        <w:t>punto dispositivo décimo quinto de la Sentencia)</w:t>
      </w:r>
      <w:r>
        <w:rPr>
          <w:rFonts w:ascii="Verdana" w:hAnsi="Verdana"/>
          <w:sz w:val="20"/>
        </w:rPr>
        <w:t xml:space="preserve">, </w:t>
      </w:r>
      <w:r w:rsidR="001A7EF7">
        <w:rPr>
          <w:rFonts w:ascii="Verdana" w:hAnsi="Verdana"/>
          <w:sz w:val="20"/>
        </w:rPr>
        <w:t xml:space="preserve">remita tanto información como prueba </w:t>
      </w:r>
      <w:r w:rsidR="00917A93">
        <w:rPr>
          <w:rFonts w:ascii="Verdana" w:hAnsi="Verdana"/>
          <w:sz w:val="20"/>
        </w:rPr>
        <w:t>sobre</w:t>
      </w:r>
      <w:r w:rsidR="001A7EF7">
        <w:rPr>
          <w:rFonts w:ascii="Verdana" w:hAnsi="Verdana"/>
          <w:sz w:val="20"/>
        </w:rPr>
        <w:t xml:space="preserve"> </w:t>
      </w:r>
      <w:r w:rsidR="00917A93">
        <w:rPr>
          <w:rFonts w:ascii="Verdana" w:hAnsi="Verdana"/>
          <w:sz w:val="20"/>
        </w:rPr>
        <w:t xml:space="preserve">que: </w:t>
      </w:r>
      <w:r w:rsidR="001A7EF7">
        <w:rPr>
          <w:rFonts w:ascii="Verdana" w:hAnsi="Verdana"/>
          <w:sz w:val="20"/>
        </w:rPr>
        <w:t xml:space="preserve">(i) </w:t>
      </w:r>
      <w:r w:rsidR="003A4061">
        <w:rPr>
          <w:rFonts w:ascii="Verdana" w:hAnsi="Verdana"/>
          <w:sz w:val="20"/>
        </w:rPr>
        <w:t xml:space="preserve">los </w:t>
      </w:r>
      <w:r w:rsidR="00CE11F9">
        <w:rPr>
          <w:rFonts w:ascii="Verdana" w:hAnsi="Verdana"/>
          <w:sz w:val="20"/>
        </w:rPr>
        <w:t xml:space="preserve">programas </w:t>
      </w:r>
      <w:r w:rsidR="003A4061">
        <w:rPr>
          <w:rFonts w:ascii="Verdana" w:hAnsi="Verdana"/>
          <w:sz w:val="20"/>
        </w:rPr>
        <w:t xml:space="preserve">ordenados en la Sentencia </w:t>
      </w:r>
      <w:r w:rsidR="00CE11F9">
        <w:rPr>
          <w:rFonts w:ascii="Verdana" w:hAnsi="Verdana"/>
          <w:sz w:val="20"/>
        </w:rPr>
        <w:t>se han impartido a policías</w:t>
      </w:r>
      <w:r w:rsidR="00CE11F9">
        <w:rPr>
          <w:rStyle w:val="Refdenotaalpie"/>
          <w:rFonts w:ascii="Verdana" w:hAnsi="Verdana"/>
          <w:sz w:val="20"/>
        </w:rPr>
        <w:footnoteReference w:id="27"/>
      </w:r>
      <w:r w:rsidR="00CE11F9">
        <w:rPr>
          <w:rFonts w:ascii="Verdana" w:hAnsi="Verdana"/>
          <w:sz w:val="20"/>
        </w:rPr>
        <w:t>, fiscales</w:t>
      </w:r>
      <w:r w:rsidR="00CE11F9">
        <w:rPr>
          <w:rStyle w:val="Refdenotaalpie"/>
          <w:rFonts w:ascii="Verdana" w:hAnsi="Verdana"/>
          <w:sz w:val="20"/>
        </w:rPr>
        <w:footnoteReference w:id="28"/>
      </w:r>
      <w:r w:rsidR="00CE11F9">
        <w:rPr>
          <w:rFonts w:ascii="Verdana" w:hAnsi="Verdana"/>
          <w:sz w:val="20"/>
        </w:rPr>
        <w:t>, jueces</w:t>
      </w:r>
      <w:r w:rsidR="00CE11F9">
        <w:rPr>
          <w:rStyle w:val="Refdenotaalpie"/>
          <w:rFonts w:ascii="Verdana" w:hAnsi="Verdana"/>
          <w:sz w:val="20"/>
        </w:rPr>
        <w:footnoteReference w:id="29"/>
      </w:r>
      <w:r w:rsidR="00CE11F9">
        <w:rPr>
          <w:rFonts w:ascii="Verdana" w:hAnsi="Verdana"/>
          <w:sz w:val="20"/>
        </w:rPr>
        <w:t>, militares</w:t>
      </w:r>
      <w:r w:rsidR="00CE11F9">
        <w:rPr>
          <w:rStyle w:val="Refdenotaalpie"/>
          <w:rFonts w:ascii="Verdana" w:hAnsi="Verdana"/>
          <w:sz w:val="20"/>
        </w:rPr>
        <w:footnoteReference w:id="30"/>
      </w:r>
      <w:r w:rsidR="00CE11F9">
        <w:rPr>
          <w:rFonts w:ascii="Verdana" w:hAnsi="Verdana"/>
          <w:sz w:val="20"/>
        </w:rPr>
        <w:t xml:space="preserve"> y funcionarios encargados de la atención a familiares y víctimas de desaparición forzada; (ii) </w:t>
      </w:r>
      <w:r w:rsidR="001A7EF7">
        <w:rPr>
          <w:rFonts w:ascii="Verdana" w:hAnsi="Verdana"/>
          <w:sz w:val="20"/>
        </w:rPr>
        <w:t xml:space="preserve">los programas </w:t>
      </w:r>
      <w:r w:rsidR="00917A93">
        <w:rPr>
          <w:rFonts w:ascii="Verdana" w:hAnsi="Verdana"/>
          <w:sz w:val="20"/>
        </w:rPr>
        <w:t>contengan</w:t>
      </w:r>
      <w:r w:rsidR="001A7EF7">
        <w:rPr>
          <w:rFonts w:ascii="Verdana" w:hAnsi="Verdana"/>
          <w:sz w:val="20"/>
        </w:rPr>
        <w:t xml:space="preserve"> los temas específicos ordenados en la Sentencia</w:t>
      </w:r>
      <w:r w:rsidR="00917A93">
        <w:rPr>
          <w:rFonts w:ascii="Verdana" w:hAnsi="Verdana"/>
          <w:sz w:val="20"/>
        </w:rPr>
        <w:t>, a saber,</w:t>
      </w:r>
      <w:r w:rsidR="001A7EF7">
        <w:rPr>
          <w:rFonts w:ascii="Verdana" w:hAnsi="Verdana"/>
          <w:sz w:val="20"/>
        </w:rPr>
        <w:t xml:space="preserve"> “derechos humanos de niñas y niños desaparecidos durante el conflicto armado interno”, “sistema interamericano de protección de los derechos humanos” y “control de convencionalidad”</w:t>
      </w:r>
      <w:r w:rsidR="003A4061">
        <w:rPr>
          <w:rFonts w:ascii="Verdana" w:hAnsi="Verdana"/>
          <w:sz w:val="20"/>
        </w:rPr>
        <w:t>;</w:t>
      </w:r>
      <w:r w:rsidR="001A7EF7">
        <w:rPr>
          <w:rFonts w:ascii="Verdana" w:hAnsi="Verdana"/>
          <w:sz w:val="20"/>
        </w:rPr>
        <w:t xml:space="preserve"> </w:t>
      </w:r>
      <w:r w:rsidR="00CE11F9">
        <w:rPr>
          <w:rFonts w:ascii="Verdana" w:hAnsi="Verdana"/>
          <w:sz w:val="20"/>
        </w:rPr>
        <w:t xml:space="preserve">y </w:t>
      </w:r>
      <w:r w:rsidR="001A7EF7">
        <w:rPr>
          <w:rFonts w:ascii="Verdana" w:hAnsi="Verdana"/>
          <w:sz w:val="20"/>
        </w:rPr>
        <w:t>(ii</w:t>
      </w:r>
      <w:r w:rsidR="00CE11F9">
        <w:rPr>
          <w:rFonts w:ascii="Verdana" w:hAnsi="Verdana"/>
          <w:sz w:val="20"/>
        </w:rPr>
        <w:t>i</w:t>
      </w:r>
      <w:r w:rsidR="001A7EF7">
        <w:rPr>
          <w:rFonts w:ascii="Verdana" w:hAnsi="Verdana"/>
          <w:sz w:val="20"/>
        </w:rPr>
        <w:t>) cómo ha garantizado que dichos programas sean “permanentes”</w:t>
      </w:r>
      <w:r w:rsidR="00307323">
        <w:rPr>
          <w:rFonts w:ascii="Verdana" w:hAnsi="Verdana"/>
          <w:sz w:val="20"/>
        </w:rPr>
        <w:t>, y</w:t>
      </w:r>
      <w:r w:rsidR="001A7EF7">
        <w:rPr>
          <w:rFonts w:ascii="Verdana" w:hAnsi="Verdana"/>
          <w:sz w:val="20"/>
        </w:rPr>
        <w:t xml:space="preserve"> </w:t>
      </w:r>
    </w:p>
    <w:p w:rsidR="00721910" w:rsidRPr="00721910" w:rsidRDefault="00721910" w:rsidP="00721910">
      <w:pPr>
        <w:pStyle w:val="Prrafodelista"/>
        <w:rPr>
          <w:rFonts w:ascii="Verdana" w:hAnsi="Verdana"/>
          <w:sz w:val="20"/>
        </w:rPr>
      </w:pPr>
    </w:p>
    <w:p w:rsidR="001E779D" w:rsidRPr="00CD7E5B" w:rsidRDefault="00721910" w:rsidP="001E779D">
      <w:pPr>
        <w:pStyle w:val="Prrafodelista"/>
        <w:numPr>
          <w:ilvl w:val="0"/>
          <w:numId w:val="8"/>
        </w:numPr>
        <w:jc w:val="both"/>
        <w:rPr>
          <w:rFonts w:ascii="Verdana" w:hAnsi="Verdana"/>
          <w:b/>
          <w:sz w:val="20"/>
        </w:rPr>
      </w:pPr>
      <w:r w:rsidRPr="00CD7E5B">
        <w:rPr>
          <w:rFonts w:ascii="Verdana" w:hAnsi="Verdana"/>
          <w:sz w:val="20"/>
          <w:lang w:val="es-CR"/>
        </w:rPr>
        <w:t>En relación con la obligación de pagar las cantidades fijadas por concepto de indemnización por daño material e inmaterial</w:t>
      </w:r>
      <w:r w:rsidRPr="00CD7E5B">
        <w:rPr>
          <w:rFonts w:ascii="Verdana" w:hAnsi="Verdana"/>
          <w:i/>
          <w:sz w:val="20"/>
          <w:lang w:val="es-CR"/>
        </w:rPr>
        <w:t xml:space="preserve"> (punto dispositivo décimo sexto de la Sentencia)</w:t>
      </w:r>
      <w:r w:rsidRPr="00CD7E5B">
        <w:rPr>
          <w:rFonts w:ascii="Verdana" w:hAnsi="Verdana"/>
          <w:sz w:val="20"/>
          <w:lang w:val="es-CR"/>
        </w:rPr>
        <w:t>,</w:t>
      </w:r>
      <w:r w:rsidR="008D59B7" w:rsidRPr="00CD7E5B">
        <w:rPr>
          <w:rFonts w:ascii="Verdana" w:hAnsi="Verdana"/>
          <w:sz w:val="20"/>
          <w:lang w:val="es-CR"/>
        </w:rPr>
        <w:t xml:space="preserve"> presente información sobre la fecha en la que el Estado pagará</w:t>
      </w:r>
      <w:r w:rsidR="008B763D" w:rsidRPr="00CD7E5B">
        <w:rPr>
          <w:rFonts w:ascii="Verdana" w:hAnsi="Verdana"/>
          <w:sz w:val="20"/>
          <w:lang w:val="es-CR"/>
        </w:rPr>
        <w:t xml:space="preserve"> a las víctimas las cantidades fijadas en la Sentencia </w:t>
      </w:r>
      <w:r w:rsidR="008C6609" w:rsidRPr="00CD7E5B">
        <w:rPr>
          <w:rFonts w:ascii="Verdana" w:hAnsi="Verdana"/>
          <w:sz w:val="20"/>
          <w:lang w:val="es-CR"/>
        </w:rPr>
        <w:t>o</w:t>
      </w:r>
      <w:r w:rsidR="008B763D" w:rsidRPr="00CD7E5B">
        <w:rPr>
          <w:rFonts w:ascii="Verdana" w:hAnsi="Verdana"/>
          <w:sz w:val="20"/>
          <w:lang w:val="es-CR"/>
        </w:rPr>
        <w:t>, en su caso, los comprobantes</w:t>
      </w:r>
      <w:r w:rsidR="008C6609" w:rsidRPr="00CD7E5B">
        <w:rPr>
          <w:rFonts w:ascii="Verdana" w:hAnsi="Verdana"/>
          <w:sz w:val="20"/>
          <w:lang w:val="es-CR"/>
        </w:rPr>
        <w:t xml:space="preserve"> del</w:t>
      </w:r>
      <w:r w:rsidR="008B763D" w:rsidRPr="00CD7E5B">
        <w:rPr>
          <w:rFonts w:ascii="Verdana" w:hAnsi="Verdana"/>
          <w:sz w:val="20"/>
          <w:lang w:val="es-CR"/>
        </w:rPr>
        <w:t xml:space="preserve"> pago</w:t>
      </w:r>
      <w:r w:rsidR="008D59B7" w:rsidRPr="00CD7E5B">
        <w:rPr>
          <w:rFonts w:ascii="Verdana" w:hAnsi="Verdana"/>
          <w:sz w:val="20"/>
          <w:lang w:val="es-CR"/>
        </w:rPr>
        <w:t xml:space="preserve"> por concepto de indemnización por daño material e inmaterial, incluyendo el pago </w:t>
      </w:r>
      <w:r w:rsidR="008D59B7" w:rsidRPr="00CD7E5B">
        <w:rPr>
          <w:rFonts w:ascii="Verdana" w:hAnsi="Verdana"/>
          <w:sz w:val="20"/>
        </w:rPr>
        <w:t xml:space="preserve">de los intereses moratorios que se generaron a </w:t>
      </w:r>
      <w:r w:rsidR="008D59B7" w:rsidRPr="00CD7E5B">
        <w:rPr>
          <w:rFonts w:ascii="Verdana" w:hAnsi="Verdana"/>
          <w:sz w:val="20"/>
        </w:rPr>
        <w:lastRenderedPageBreak/>
        <w:t>partir de la fecha en que venció el plazo para cumplir con la presente medida de reparación</w:t>
      </w:r>
      <w:r w:rsidR="008C6609">
        <w:rPr>
          <w:rStyle w:val="Refdenotaalpie"/>
          <w:rFonts w:ascii="Verdana" w:hAnsi="Verdana"/>
          <w:sz w:val="20"/>
        </w:rPr>
        <w:footnoteReference w:id="31"/>
      </w:r>
      <w:r w:rsidR="008D59B7" w:rsidRPr="00CD7E5B">
        <w:rPr>
          <w:rFonts w:ascii="Verdana" w:hAnsi="Verdana"/>
          <w:sz w:val="20"/>
        </w:rPr>
        <w:t>.</w:t>
      </w:r>
      <w:r w:rsidR="008A0213" w:rsidRPr="00CD7E5B">
        <w:rPr>
          <w:rFonts w:ascii="Verdana" w:hAnsi="Verdana"/>
          <w:sz w:val="20"/>
        </w:rPr>
        <w:t xml:space="preserve"> </w:t>
      </w:r>
    </w:p>
    <w:p w:rsidR="007041C4" w:rsidRDefault="007041C4" w:rsidP="00CD7E5B">
      <w:pPr>
        <w:jc w:val="both"/>
        <w:rPr>
          <w:rFonts w:ascii="Verdana" w:hAnsi="Verdana"/>
          <w:b/>
          <w:sz w:val="20"/>
        </w:rPr>
      </w:pPr>
    </w:p>
    <w:p w:rsidR="007D6CBC" w:rsidRDefault="007D6CBC" w:rsidP="00CD7E5B">
      <w:pPr>
        <w:jc w:val="both"/>
        <w:rPr>
          <w:rFonts w:ascii="Verdana" w:hAnsi="Verdana"/>
          <w:b/>
          <w:sz w:val="20"/>
        </w:rPr>
      </w:pPr>
    </w:p>
    <w:p w:rsidR="007D6CBC" w:rsidRDefault="007D6CBC" w:rsidP="00CD7E5B">
      <w:pPr>
        <w:jc w:val="both"/>
        <w:rPr>
          <w:rFonts w:ascii="Verdana" w:hAnsi="Verdana"/>
          <w:b/>
          <w:sz w:val="20"/>
        </w:rPr>
      </w:pPr>
    </w:p>
    <w:p w:rsidR="00EE61B6" w:rsidRPr="006C2CAC" w:rsidRDefault="00EE61B6" w:rsidP="00EE61B6">
      <w:pPr>
        <w:pStyle w:val="Prrafodelista"/>
        <w:numPr>
          <w:ilvl w:val="0"/>
          <w:numId w:val="2"/>
        </w:numPr>
        <w:ind w:left="0" w:firstLine="0"/>
        <w:jc w:val="both"/>
        <w:rPr>
          <w:rFonts w:ascii="Verdana" w:hAnsi="Verdana"/>
          <w:b/>
          <w:sz w:val="20"/>
        </w:rPr>
      </w:pPr>
      <w:r>
        <w:rPr>
          <w:rFonts w:ascii="Verdana" w:hAnsi="Verdana"/>
          <w:sz w:val="20"/>
        </w:rPr>
        <w:t>Sin perjuicio de la mencionada solicitud de informe, la Corte delega al Presidente para que, en caso de considerarlo necesario, haga uso de la facultad dispuesta en el artículo 69.2</w:t>
      </w:r>
      <w:r>
        <w:rPr>
          <w:rStyle w:val="Refdenotaalpie"/>
          <w:rFonts w:ascii="Verdana" w:hAnsi="Verdana"/>
          <w:sz w:val="20"/>
        </w:rPr>
        <w:footnoteReference w:id="32"/>
      </w:r>
      <w:r>
        <w:rPr>
          <w:rFonts w:ascii="Verdana" w:hAnsi="Verdana"/>
          <w:sz w:val="20"/>
        </w:rPr>
        <w:t xml:space="preserve"> del Reglamento de la Corte Interamericana, para solicitar directamente a instituciones de El Salvador que brinden información relevante para la supervisión del cumplimiento de la Sentencia.</w:t>
      </w:r>
    </w:p>
    <w:p w:rsidR="007041C4" w:rsidRDefault="007041C4" w:rsidP="006C2CAC">
      <w:pPr>
        <w:pStyle w:val="Prrafodelista"/>
        <w:ind w:left="0"/>
        <w:jc w:val="both"/>
        <w:rPr>
          <w:rFonts w:ascii="Verdana" w:hAnsi="Verdana"/>
          <w:b/>
          <w:sz w:val="20"/>
        </w:rPr>
      </w:pPr>
    </w:p>
    <w:p w:rsidR="007D6CBC" w:rsidRDefault="007D6CBC" w:rsidP="006C2CAC">
      <w:pPr>
        <w:pStyle w:val="Prrafodelista"/>
        <w:ind w:left="0"/>
        <w:jc w:val="both"/>
        <w:rPr>
          <w:rFonts w:ascii="Verdana" w:hAnsi="Verdana"/>
          <w:b/>
          <w:sz w:val="20"/>
        </w:rPr>
      </w:pPr>
    </w:p>
    <w:p w:rsidR="007D6CBC" w:rsidRPr="006C2CAC" w:rsidRDefault="007D6CBC" w:rsidP="006C2CAC">
      <w:pPr>
        <w:pStyle w:val="Prrafodelista"/>
        <w:ind w:left="0"/>
        <w:jc w:val="both"/>
        <w:rPr>
          <w:rFonts w:ascii="Verdana" w:hAnsi="Verdana"/>
          <w:b/>
          <w:sz w:val="20"/>
        </w:rPr>
      </w:pPr>
    </w:p>
    <w:p w:rsidR="00EE61B6" w:rsidRPr="00634444" w:rsidRDefault="006C2CAC" w:rsidP="001654EB">
      <w:pPr>
        <w:pStyle w:val="Prrafodelista"/>
        <w:numPr>
          <w:ilvl w:val="0"/>
          <w:numId w:val="2"/>
        </w:numPr>
        <w:ind w:left="0" w:firstLine="0"/>
        <w:jc w:val="both"/>
        <w:rPr>
          <w:rFonts w:ascii="Verdana" w:hAnsi="Verdana"/>
          <w:b/>
          <w:sz w:val="20"/>
        </w:rPr>
      </w:pPr>
      <w:r w:rsidRPr="00634444">
        <w:rPr>
          <w:rFonts w:ascii="Verdana" w:hAnsi="Verdana"/>
          <w:sz w:val="20"/>
        </w:rPr>
        <w:t xml:space="preserve">Por otra parte, la Corte ordenó en su punto dispositivo décimo “adoptar las medidas pertinentes y adecuadas para garantizar a los operadores de justicia, así como a la sociedad salvadoreña, el acceso público, técnico y sistematizado a los archivos que contengan información útil y relevante para la investigación en causas seguidas por violaciones a los derechos humanos durante el conflicto armado”. Al respecto, tal como fue señalado en el párrafo 209 de la propia Sentencia, dicha </w:t>
      </w:r>
      <w:r w:rsidR="006D717D">
        <w:rPr>
          <w:rFonts w:ascii="Verdana" w:hAnsi="Verdana"/>
          <w:sz w:val="20"/>
        </w:rPr>
        <w:t>garantía de no repetición</w:t>
      </w:r>
      <w:r w:rsidRPr="00634444">
        <w:rPr>
          <w:rFonts w:ascii="Verdana" w:hAnsi="Verdana"/>
          <w:sz w:val="20"/>
        </w:rPr>
        <w:t xml:space="preserve"> es una reiteración de la medida dispuesta en el punto dispositivo décimo de la Sentencia del caso </w:t>
      </w:r>
      <w:r w:rsidRPr="00634444">
        <w:rPr>
          <w:rFonts w:ascii="Verdana" w:hAnsi="Verdana"/>
          <w:i/>
          <w:sz w:val="20"/>
        </w:rPr>
        <w:t>Contreras y otros Vs. El Salvador</w:t>
      </w:r>
      <w:r w:rsidRPr="00576348">
        <w:rPr>
          <w:rStyle w:val="Refdenotaalpie"/>
          <w:rFonts w:ascii="Verdana" w:hAnsi="Verdana"/>
          <w:i/>
          <w:sz w:val="20"/>
        </w:rPr>
        <w:footnoteReference w:id="33"/>
      </w:r>
      <w:r w:rsidRPr="00634444">
        <w:rPr>
          <w:rFonts w:ascii="Verdana" w:hAnsi="Verdana"/>
          <w:sz w:val="20"/>
        </w:rPr>
        <w:t>.</w:t>
      </w:r>
      <w:r w:rsidRPr="00634444">
        <w:rPr>
          <w:rFonts w:ascii="Verdana" w:hAnsi="Verdana"/>
          <w:sz w:val="20"/>
          <w:lang w:val="es-CR"/>
        </w:rPr>
        <w:t xml:space="preserve"> Teniendo en cuenta que mediante Resolución de 1 de septiembre de 2016 correspondiente a este último caso la Corte realizó una solicitud de información específica al Estado con relación a dicha medida</w:t>
      </w:r>
      <w:r w:rsidRPr="00576348">
        <w:rPr>
          <w:rStyle w:val="Refdenotaalpie"/>
          <w:rFonts w:ascii="Verdana" w:hAnsi="Verdana"/>
          <w:sz w:val="20"/>
          <w:lang w:val="es-CR"/>
        </w:rPr>
        <w:footnoteReference w:id="34"/>
      </w:r>
      <w:r w:rsidRPr="00634444">
        <w:rPr>
          <w:rFonts w:ascii="Verdana" w:hAnsi="Verdana"/>
          <w:sz w:val="20"/>
          <w:lang w:val="es-CR"/>
        </w:rPr>
        <w:t xml:space="preserve">, y que </w:t>
      </w:r>
      <w:r w:rsidR="006D717D">
        <w:rPr>
          <w:rFonts w:ascii="Verdana" w:hAnsi="Verdana"/>
          <w:sz w:val="20"/>
          <w:lang w:val="es-CR"/>
        </w:rPr>
        <w:t>éste</w:t>
      </w:r>
      <w:r w:rsidRPr="00634444">
        <w:rPr>
          <w:rFonts w:ascii="Verdana" w:hAnsi="Verdana"/>
          <w:sz w:val="20"/>
          <w:lang w:val="es-CR"/>
        </w:rPr>
        <w:t xml:space="preserve"> </w:t>
      </w:r>
      <w:r w:rsidR="001654EB" w:rsidRPr="00634444">
        <w:rPr>
          <w:rFonts w:ascii="Verdana" w:hAnsi="Verdana"/>
          <w:sz w:val="20"/>
          <w:lang w:val="es-CR"/>
        </w:rPr>
        <w:t xml:space="preserve">no ha presentado </w:t>
      </w:r>
      <w:r w:rsidR="00634444" w:rsidRPr="00634444">
        <w:rPr>
          <w:rFonts w:ascii="Verdana" w:hAnsi="Verdana"/>
          <w:sz w:val="20"/>
          <w:lang w:val="es-CR"/>
        </w:rPr>
        <w:t xml:space="preserve">el informe requerido, </w:t>
      </w:r>
      <w:r w:rsidRPr="00634444">
        <w:rPr>
          <w:rFonts w:ascii="Verdana" w:hAnsi="Verdana"/>
          <w:sz w:val="20"/>
          <w:lang w:val="es-CR"/>
        </w:rPr>
        <w:t>la Corte valorará las referidas medidas de reparación de dichos casos de forma conjunta</w:t>
      </w:r>
      <w:r w:rsidR="004E5EF7" w:rsidRPr="00634444">
        <w:rPr>
          <w:rFonts w:ascii="Verdana" w:hAnsi="Verdana"/>
          <w:sz w:val="20"/>
          <w:lang w:val="es-CR"/>
        </w:rPr>
        <w:t xml:space="preserve"> en una posterior resolución, teniendo en </w:t>
      </w:r>
      <w:r w:rsidR="00576348" w:rsidRPr="00634444">
        <w:rPr>
          <w:rFonts w:ascii="Verdana" w:hAnsi="Verdana"/>
          <w:sz w:val="20"/>
          <w:lang w:val="es-CR"/>
        </w:rPr>
        <w:t>consideración</w:t>
      </w:r>
      <w:r w:rsidR="004E5EF7" w:rsidRPr="00634444">
        <w:rPr>
          <w:rFonts w:ascii="Verdana" w:hAnsi="Verdana"/>
          <w:sz w:val="20"/>
          <w:lang w:val="es-CR"/>
        </w:rPr>
        <w:t xml:space="preserve"> la información </w:t>
      </w:r>
      <w:r w:rsidR="00634444" w:rsidRPr="00634444">
        <w:rPr>
          <w:rFonts w:ascii="Verdana" w:hAnsi="Verdana"/>
          <w:sz w:val="20"/>
          <w:lang w:val="es-CR"/>
        </w:rPr>
        <w:t xml:space="preserve">que presente el Estado al respecto. </w:t>
      </w:r>
      <w:r w:rsidRPr="00634444">
        <w:rPr>
          <w:rFonts w:ascii="Verdana" w:hAnsi="Verdana"/>
          <w:sz w:val="20"/>
          <w:highlight w:val="yellow"/>
          <w:lang w:val="es-CR"/>
        </w:rPr>
        <w:t xml:space="preserve"> </w:t>
      </w:r>
    </w:p>
    <w:p w:rsidR="00EE61B6" w:rsidRPr="00CD7E5B" w:rsidRDefault="00EE61B6" w:rsidP="00CD7E5B">
      <w:pPr>
        <w:jc w:val="both"/>
        <w:rPr>
          <w:rFonts w:ascii="Verdana" w:hAnsi="Verdana"/>
          <w:b/>
          <w:sz w:val="20"/>
        </w:rPr>
      </w:pPr>
    </w:p>
    <w:p w:rsidR="007041C4" w:rsidRDefault="007041C4" w:rsidP="001E779D">
      <w:pPr>
        <w:jc w:val="both"/>
        <w:rPr>
          <w:rFonts w:ascii="Verdana" w:hAnsi="Verdana"/>
          <w:b/>
          <w:sz w:val="20"/>
        </w:rPr>
      </w:pPr>
    </w:p>
    <w:p w:rsidR="001E779D" w:rsidRDefault="001E779D" w:rsidP="001E779D">
      <w:pPr>
        <w:jc w:val="both"/>
        <w:rPr>
          <w:rFonts w:ascii="Verdana" w:hAnsi="Verdana"/>
          <w:b/>
          <w:sz w:val="20"/>
        </w:rPr>
      </w:pPr>
      <w:r w:rsidRPr="000F4741">
        <w:rPr>
          <w:rFonts w:ascii="Verdana" w:hAnsi="Verdana"/>
          <w:b/>
          <w:sz w:val="20"/>
        </w:rPr>
        <w:t xml:space="preserve">POR TANTO: </w:t>
      </w:r>
    </w:p>
    <w:p w:rsidR="007041C4" w:rsidRPr="000F4741" w:rsidRDefault="007041C4" w:rsidP="001E779D">
      <w:pPr>
        <w:jc w:val="both"/>
        <w:rPr>
          <w:rFonts w:ascii="Verdana" w:hAnsi="Verdana"/>
          <w:b/>
          <w:sz w:val="20"/>
        </w:rPr>
      </w:pPr>
    </w:p>
    <w:p w:rsidR="001E779D" w:rsidRPr="000F4741" w:rsidRDefault="001E779D" w:rsidP="001E779D">
      <w:pPr>
        <w:jc w:val="both"/>
        <w:rPr>
          <w:rFonts w:ascii="Verdana" w:hAnsi="Verdana"/>
          <w:b/>
          <w:sz w:val="20"/>
        </w:rPr>
      </w:pPr>
    </w:p>
    <w:p w:rsidR="001E779D" w:rsidRDefault="001E779D" w:rsidP="001E779D">
      <w:pPr>
        <w:jc w:val="both"/>
        <w:rPr>
          <w:rFonts w:ascii="Verdana" w:hAnsi="Verdana"/>
          <w:b/>
          <w:sz w:val="20"/>
        </w:rPr>
      </w:pPr>
      <w:r w:rsidRPr="000F4741">
        <w:rPr>
          <w:rFonts w:ascii="Verdana" w:hAnsi="Verdana"/>
          <w:b/>
          <w:sz w:val="20"/>
        </w:rPr>
        <w:t xml:space="preserve">LA CORTE INTERAMERICANA DE DERECHOS HUMANOS, </w:t>
      </w:r>
    </w:p>
    <w:p w:rsidR="007041C4" w:rsidRPr="000F4741" w:rsidRDefault="007041C4" w:rsidP="001E779D">
      <w:pPr>
        <w:jc w:val="both"/>
        <w:rPr>
          <w:rFonts w:ascii="Verdana" w:hAnsi="Verdana"/>
          <w:b/>
          <w:sz w:val="20"/>
        </w:rPr>
      </w:pPr>
    </w:p>
    <w:p w:rsidR="001E779D" w:rsidRPr="000F4741" w:rsidRDefault="001E779D" w:rsidP="001E779D">
      <w:pPr>
        <w:jc w:val="both"/>
        <w:rPr>
          <w:rFonts w:ascii="Verdana" w:hAnsi="Verdana"/>
          <w:b/>
          <w:sz w:val="20"/>
        </w:rPr>
      </w:pPr>
    </w:p>
    <w:p w:rsidR="001E779D" w:rsidRPr="000F4741" w:rsidRDefault="0024475D" w:rsidP="001E779D">
      <w:pPr>
        <w:jc w:val="both"/>
        <w:rPr>
          <w:rFonts w:ascii="Verdana" w:hAnsi="Verdana"/>
          <w:sz w:val="20"/>
          <w:lang w:eastAsia="es-CR"/>
        </w:rPr>
      </w:pPr>
      <w:proofErr w:type="gramStart"/>
      <w:r>
        <w:rPr>
          <w:rFonts w:ascii="Verdana" w:hAnsi="Verdana"/>
          <w:sz w:val="20"/>
          <w:lang w:eastAsia="es-CR"/>
        </w:rPr>
        <w:lastRenderedPageBreak/>
        <w:t>e</w:t>
      </w:r>
      <w:r w:rsidR="001E779D" w:rsidRPr="000F4741">
        <w:rPr>
          <w:rFonts w:ascii="Verdana" w:hAnsi="Verdana"/>
          <w:sz w:val="20"/>
          <w:lang w:eastAsia="es-CR"/>
        </w:rPr>
        <w:t>n</w:t>
      </w:r>
      <w:proofErr w:type="gramEnd"/>
      <w:r w:rsidR="001E779D" w:rsidRPr="000F4741">
        <w:rPr>
          <w:rFonts w:ascii="Verdana" w:hAnsi="Verdana"/>
          <w:sz w:val="20"/>
          <w:lang w:eastAsia="es-CR"/>
        </w:rPr>
        <w:t xml:space="preserve"> el ejercicio de sus atribuciones de supervisión del cumplimiento de sus decisiones, de conformidad con los artículos 33, 62.1, 62.3, 65, 67 y 68.1 de la Convención Americana sobre Derechos Humanos, 24, 25 y 30 del Estatuto y 31.2 y 69 de su Reglamento,</w:t>
      </w:r>
    </w:p>
    <w:p w:rsidR="00071347" w:rsidRDefault="00071347" w:rsidP="001E779D">
      <w:pPr>
        <w:jc w:val="both"/>
        <w:rPr>
          <w:rFonts w:ascii="Verdana" w:hAnsi="Verdana"/>
          <w:b/>
          <w:sz w:val="20"/>
          <w:lang w:eastAsia="es-CR"/>
        </w:rPr>
      </w:pPr>
    </w:p>
    <w:p w:rsidR="007041C4" w:rsidRPr="000F4741" w:rsidRDefault="007041C4" w:rsidP="001E779D">
      <w:pPr>
        <w:jc w:val="both"/>
        <w:rPr>
          <w:rFonts w:ascii="Verdana" w:hAnsi="Verdana"/>
          <w:b/>
          <w:sz w:val="20"/>
          <w:lang w:eastAsia="es-CR"/>
        </w:rPr>
      </w:pPr>
    </w:p>
    <w:p w:rsidR="001E779D" w:rsidRDefault="001E779D" w:rsidP="001E779D">
      <w:pPr>
        <w:jc w:val="both"/>
        <w:rPr>
          <w:rFonts w:ascii="Verdana" w:hAnsi="Verdana"/>
          <w:sz w:val="20"/>
          <w:lang w:eastAsia="es-CR"/>
        </w:rPr>
      </w:pPr>
      <w:r w:rsidRPr="000F4741">
        <w:rPr>
          <w:rFonts w:ascii="Verdana" w:hAnsi="Verdana"/>
          <w:b/>
          <w:sz w:val="20"/>
          <w:lang w:eastAsia="es-CR"/>
        </w:rPr>
        <w:t>RESUELVE:</w:t>
      </w:r>
      <w:r w:rsidRPr="000F4741">
        <w:rPr>
          <w:rFonts w:ascii="Verdana" w:hAnsi="Verdana"/>
          <w:sz w:val="20"/>
          <w:lang w:eastAsia="es-CR"/>
        </w:rPr>
        <w:t xml:space="preserve">  </w:t>
      </w:r>
    </w:p>
    <w:p w:rsidR="007041C4" w:rsidRPr="000F4741" w:rsidRDefault="007041C4" w:rsidP="001E779D">
      <w:pPr>
        <w:jc w:val="both"/>
        <w:rPr>
          <w:rFonts w:ascii="Verdana" w:hAnsi="Verdana"/>
          <w:sz w:val="20"/>
          <w:lang w:eastAsia="es-CR"/>
        </w:rPr>
      </w:pPr>
    </w:p>
    <w:p w:rsidR="001E779D" w:rsidRPr="000F4741" w:rsidRDefault="001E779D" w:rsidP="001E779D">
      <w:pPr>
        <w:rPr>
          <w:rFonts w:ascii="Verdana" w:hAnsi="Verdana"/>
          <w:sz w:val="20"/>
        </w:rPr>
      </w:pPr>
    </w:p>
    <w:p w:rsidR="001E779D" w:rsidRDefault="001E779D" w:rsidP="00307323">
      <w:pPr>
        <w:numPr>
          <w:ilvl w:val="0"/>
          <w:numId w:val="4"/>
        </w:numPr>
        <w:ind w:left="0" w:firstLine="0"/>
        <w:jc w:val="both"/>
        <w:rPr>
          <w:rFonts w:ascii="Verdana" w:hAnsi="Verdana"/>
          <w:sz w:val="20"/>
        </w:rPr>
      </w:pPr>
      <w:r w:rsidRPr="000F4741">
        <w:rPr>
          <w:rFonts w:ascii="Verdana" w:hAnsi="Verdana"/>
          <w:sz w:val="20"/>
        </w:rPr>
        <w:t xml:space="preserve">Declarar, de conformidad con lo señalado en </w:t>
      </w:r>
      <w:r>
        <w:rPr>
          <w:rFonts w:ascii="Verdana" w:hAnsi="Verdana"/>
          <w:sz w:val="20"/>
        </w:rPr>
        <w:t xml:space="preserve">los Considerandos </w:t>
      </w:r>
      <w:r w:rsidR="0024475D">
        <w:rPr>
          <w:rFonts w:ascii="Verdana" w:hAnsi="Verdana"/>
          <w:sz w:val="20"/>
        </w:rPr>
        <w:fldChar w:fldCharType="begin"/>
      </w:r>
      <w:r w:rsidR="0024475D">
        <w:rPr>
          <w:rFonts w:ascii="Verdana" w:hAnsi="Verdana"/>
          <w:sz w:val="20"/>
        </w:rPr>
        <w:instrText xml:space="preserve"> REF _Ref475350767 \r \h </w:instrText>
      </w:r>
      <w:r w:rsidR="0024475D">
        <w:rPr>
          <w:rFonts w:ascii="Verdana" w:hAnsi="Verdana"/>
          <w:sz w:val="20"/>
        </w:rPr>
      </w:r>
      <w:r w:rsidR="0024475D">
        <w:rPr>
          <w:rFonts w:ascii="Verdana" w:hAnsi="Verdana"/>
          <w:sz w:val="20"/>
        </w:rPr>
        <w:fldChar w:fldCharType="separate"/>
      </w:r>
      <w:r w:rsidR="00107924">
        <w:rPr>
          <w:rFonts w:ascii="Verdana" w:hAnsi="Verdana"/>
          <w:sz w:val="20"/>
        </w:rPr>
        <w:t>5</w:t>
      </w:r>
      <w:r w:rsidR="0024475D">
        <w:rPr>
          <w:rFonts w:ascii="Verdana" w:hAnsi="Verdana"/>
          <w:sz w:val="20"/>
        </w:rPr>
        <w:fldChar w:fldCharType="end"/>
      </w:r>
      <w:r w:rsidR="0024475D">
        <w:rPr>
          <w:rFonts w:ascii="Verdana" w:hAnsi="Verdana"/>
          <w:sz w:val="20"/>
        </w:rPr>
        <w:t xml:space="preserve">, </w:t>
      </w:r>
      <w:r w:rsidR="0024475D">
        <w:rPr>
          <w:rFonts w:ascii="Verdana" w:hAnsi="Verdana"/>
          <w:sz w:val="20"/>
        </w:rPr>
        <w:fldChar w:fldCharType="begin"/>
      </w:r>
      <w:r w:rsidR="0024475D">
        <w:rPr>
          <w:rFonts w:ascii="Verdana" w:hAnsi="Verdana"/>
          <w:sz w:val="20"/>
        </w:rPr>
        <w:instrText xml:space="preserve"> REF _Ref475350793 \r \h </w:instrText>
      </w:r>
      <w:r w:rsidR="0024475D">
        <w:rPr>
          <w:rFonts w:ascii="Verdana" w:hAnsi="Verdana"/>
          <w:sz w:val="20"/>
        </w:rPr>
      </w:r>
      <w:r w:rsidR="0024475D">
        <w:rPr>
          <w:rFonts w:ascii="Verdana" w:hAnsi="Verdana"/>
          <w:sz w:val="20"/>
        </w:rPr>
        <w:fldChar w:fldCharType="separate"/>
      </w:r>
      <w:r w:rsidR="00107924">
        <w:rPr>
          <w:rFonts w:ascii="Verdana" w:hAnsi="Verdana"/>
          <w:sz w:val="20"/>
        </w:rPr>
        <w:t>12</w:t>
      </w:r>
      <w:r w:rsidR="0024475D">
        <w:rPr>
          <w:rFonts w:ascii="Verdana" w:hAnsi="Verdana"/>
          <w:sz w:val="20"/>
        </w:rPr>
        <w:fldChar w:fldCharType="end"/>
      </w:r>
      <w:r w:rsidR="0024475D">
        <w:rPr>
          <w:rFonts w:ascii="Verdana" w:hAnsi="Verdana"/>
          <w:sz w:val="20"/>
        </w:rPr>
        <w:t xml:space="preserve">, </w:t>
      </w:r>
      <w:r w:rsidR="0024475D">
        <w:rPr>
          <w:rFonts w:ascii="Verdana" w:hAnsi="Verdana"/>
          <w:sz w:val="20"/>
        </w:rPr>
        <w:fldChar w:fldCharType="begin"/>
      </w:r>
      <w:r w:rsidR="0024475D">
        <w:rPr>
          <w:rFonts w:ascii="Verdana" w:hAnsi="Verdana"/>
          <w:sz w:val="20"/>
        </w:rPr>
        <w:instrText xml:space="preserve"> REF _Ref475350802 \r \h </w:instrText>
      </w:r>
      <w:r w:rsidR="0024475D">
        <w:rPr>
          <w:rFonts w:ascii="Verdana" w:hAnsi="Verdana"/>
          <w:sz w:val="20"/>
        </w:rPr>
      </w:r>
      <w:r w:rsidR="0024475D">
        <w:rPr>
          <w:rFonts w:ascii="Verdana" w:hAnsi="Verdana"/>
          <w:sz w:val="20"/>
        </w:rPr>
        <w:fldChar w:fldCharType="separate"/>
      </w:r>
      <w:r w:rsidR="00107924">
        <w:rPr>
          <w:rFonts w:ascii="Verdana" w:hAnsi="Verdana"/>
          <w:sz w:val="20"/>
        </w:rPr>
        <w:t>14</w:t>
      </w:r>
      <w:r w:rsidR="0024475D">
        <w:rPr>
          <w:rFonts w:ascii="Verdana" w:hAnsi="Verdana"/>
          <w:sz w:val="20"/>
        </w:rPr>
        <w:fldChar w:fldCharType="end"/>
      </w:r>
      <w:r w:rsidR="0024475D">
        <w:rPr>
          <w:rFonts w:ascii="Verdana" w:hAnsi="Verdana"/>
          <w:sz w:val="20"/>
        </w:rPr>
        <w:t xml:space="preserve"> y </w:t>
      </w:r>
      <w:r w:rsidR="0024475D">
        <w:rPr>
          <w:rFonts w:ascii="Verdana" w:hAnsi="Verdana"/>
          <w:sz w:val="20"/>
        </w:rPr>
        <w:fldChar w:fldCharType="begin"/>
      </w:r>
      <w:r w:rsidR="0024475D">
        <w:rPr>
          <w:rFonts w:ascii="Verdana" w:hAnsi="Verdana"/>
          <w:sz w:val="20"/>
        </w:rPr>
        <w:instrText xml:space="preserve"> REF _Ref475350810 \r \h </w:instrText>
      </w:r>
      <w:r w:rsidR="0024475D">
        <w:rPr>
          <w:rFonts w:ascii="Verdana" w:hAnsi="Verdana"/>
          <w:sz w:val="20"/>
        </w:rPr>
      </w:r>
      <w:r w:rsidR="0024475D">
        <w:rPr>
          <w:rFonts w:ascii="Verdana" w:hAnsi="Verdana"/>
          <w:sz w:val="20"/>
        </w:rPr>
        <w:fldChar w:fldCharType="separate"/>
      </w:r>
      <w:r w:rsidR="00107924">
        <w:rPr>
          <w:rFonts w:ascii="Verdana" w:hAnsi="Verdana"/>
          <w:sz w:val="20"/>
        </w:rPr>
        <w:t>16</w:t>
      </w:r>
      <w:r w:rsidR="0024475D">
        <w:rPr>
          <w:rFonts w:ascii="Verdana" w:hAnsi="Verdana"/>
          <w:sz w:val="20"/>
        </w:rPr>
        <w:fldChar w:fldCharType="end"/>
      </w:r>
      <w:r>
        <w:rPr>
          <w:rFonts w:ascii="Verdana" w:hAnsi="Verdana"/>
          <w:sz w:val="20"/>
        </w:rPr>
        <w:t xml:space="preserve"> </w:t>
      </w:r>
      <w:r w:rsidRPr="000F4741">
        <w:rPr>
          <w:rFonts w:ascii="Verdana" w:hAnsi="Verdana"/>
          <w:sz w:val="20"/>
        </w:rPr>
        <w:t>de la presente Resolución, que el Estado ha dado cumplimiento total a las siguientes reparaciones:</w:t>
      </w:r>
    </w:p>
    <w:p w:rsidR="007041C4" w:rsidRPr="000F4741" w:rsidRDefault="007041C4" w:rsidP="007041C4">
      <w:pPr>
        <w:jc w:val="both"/>
        <w:rPr>
          <w:rFonts w:ascii="Verdana" w:hAnsi="Verdana"/>
          <w:sz w:val="20"/>
        </w:rPr>
      </w:pPr>
    </w:p>
    <w:p w:rsidR="001E779D" w:rsidRPr="000F4741" w:rsidRDefault="001E779D" w:rsidP="001E779D">
      <w:pPr>
        <w:rPr>
          <w:rFonts w:ascii="Verdana" w:hAnsi="Verdana"/>
          <w:sz w:val="20"/>
        </w:rPr>
      </w:pPr>
    </w:p>
    <w:p w:rsidR="001E779D" w:rsidRPr="00421059" w:rsidRDefault="00917A93" w:rsidP="00421059">
      <w:pPr>
        <w:pStyle w:val="Prrafodelista"/>
        <w:numPr>
          <w:ilvl w:val="0"/>
          <w:numId w:val="5"/>
        </w:numPr>
        <w:jc w:val="both"/>
        <w:rPr>
          <w:rFonts w:ascii="Verdana" w:hAnsi="Verdana"/>
          <w:sz w:val="20"/>
        </w:rPr>
      </w:pPr>
      <w:r>
        <w:rPr>
          <w:rFonts w:ascii="Verdana" w:hAnsi="Verdana"/>
          <w:sz w:val="20"/>
        </w:rPr>
        <w:t>e</w:t>
      </w:r>
      <w:r w:rsidR="001E779D">
        <w:rPr>
          <w:rFonts w:ascii="Verdana" w:hAnsi="Verdana"/>
          <w:sz w:val="20"/>
        </w:rPr>
        <w:t>fectuar una búsqueda seria en la cual realice todos los esfuerzos para determinar el paradero de Santos Ernesto Salinas (</w:t>
      </w:r>
      <w:r w:rsidR="001E779D" w:rsidRPr="00A62929">
        <w:rPr>
          <w:rFonts w:ascii="Verdana" w:hAnsi="Verdana"/>
          <w:i/>
          <w:sz w:val="20"/>
        </w:rPr>
        <w:t>punto dispositivo noveno de la Sentencia</w:t>
      </w:r>
      <w:r w:rsidR="001E779D">
        <w:rPr>
          <w:rFonts w:ascii="Verdana" w:hAnsi="Verdana"/>
          <w:sz w:val="20"/>
        </w:rPr>
        <w:t>)</w:t>
      </w:r>
      <w:r>
        <w:rPr>
          <w:rFonts w:ascii="Verdana" w:hAnsi="Verdana"/>
          <w:sz w:val="20"/>
        </w:rPr>
        <w:t>;</w:t>
      </w:r>
    </w:p>
    <w:p w:rsidR="001E779D" w:rsidRPr="00421059" w:rsidRDefault="00917A93" w:rsidP="00421059">
      <w:pPr>
        <w:pStyle w:val="Prrafodelista"/>
        <w:numPr>
          <w:ilvl w:val="0"/>
          <w:numId w:val="5"/>
        </w:numPr>
        <w:jc w:val="both"/>
        <w:rPr>
          <w:rFonts w:ascii="Verdana" w:hAnsi="Verdana"/>
          <w:sz w:val="20"/>
        </w:rPr>
      </w:pPr>
      <w:r>
        <w:rPr>
          <w:rFonts w:ascii="Verdana" w:hAnsi="Verdana"/>
          <w:sz w:val="20"/>
        </w:rPr>
        <w:t>r</w:t>
      </w:r>
      <w:r w:rsidR="001E779D">
        <w:rPr>
          <w:rFonts w:ascii="Verdana" w:hAnsi="Verdana"/>
          <w:sz w:val="20"/>
        </w:rPr>
        <w:t>ealizar un acto público de reconocimiento de responsabilidad internacional por los hechos del presente caso (</w:t>
      </w:r>
      <w:r w:rsidR="001E779D" w:rsidRPr="00A62929">
        <w:rPr>
          <w:rFonts w:ascii="Verdana" w:hAnsi="Verdana"/>
          <w:i/>
          <w:sz w:val="20"/>
        </w:rPr>
        <w:t>punto dispositivo décimo segundo de la Sentencia)</w:t>
      </w:r>
      <w:r>
        <w:rPr>
          <w:rFonts w:ascii="Verdana" w:hAnsi="Verdana"/>
          <w:i/>
          <w:sz w:val="20"/>
        </w:rPr>
        <w:t>;</w:t>
      </w:r>
    </w:p>
    <w:p w:rsidR="001E779D" w:rsidRPr="00421059" w:rsidRDefault="00917A93" w:rsidP="00421059">
      <w:pPr>
        <w:pStyle w:val="Prrafodelista"/>
        <w:numPr>
          <w:ilvl w:val="0"/>
          <w:numId w:val="5"/>
        </w:numPr>
        <w:jc w:val="both"/>
        <w:rPr>
          <w:rFonts w:ascii="Verdana" w:hAnsi="Verdana"/>
          <w:sz w:val="20"/>
        </w:rPr>
      </w:pPr>
      <w:r>
        <w:rPr>
          <w:rFonts w:ascii="Verdana" w:hAnsi="Verdana"/>
          <w:sz w:val="20"/>
        </w:rPr>
        <w:t>r</w:t>
      </w:r>
      <w:r w:rsidR="001E779D">
        <w:rPr>
          <w:rFonts w:ascii="Verdana" w:hAnsi="Verdana"/>
          <w:sz w:val="20"/>
        </w:rPr>
        <w:t>ealizar las publicaci</w:t>
      </w:r>
      <w:r>
        <w:rPr>
          <w:rFonts w:ascii="Verdana" w:hAnsi="Verdana"/>
          <w:sz w:val="20"/>
        </w:rPr>
        <w:t>ones dispuestas en la Sentencia</w:t>
      </w:r>
      <w:r w:rsidR="001E779D">
        <w:rPr>
          <w:rFonts w:ascii="Verdana" w:hAnsi="Verdana"/>
          <w:sz w:val="20"/>
        </w:rPr>
        <w:t xml:space="preserve"> (</w:t>
      </w:r>
      <w:r w:rsidR="001E779D" w:rsidRPr="00A62929">
        <w:rPr>
          <w:rFonts w:ascii="Verdana" w:hAnsi="Verdana"/>
          <w:i/>
          <w:sz w:val="20"/>
        </w:rPr>
        <w:t>punto dispositivo décimo tercero de la Sentencia)</w:t>
      </w:r>
      <w:r>
        <w:rPr>
          <w:rFonts w:ascii="Verdana" w:hAnsi="Verdana"/>
          <w:i/>
          <w:sz w:val="20"/>
        </w:rPr>
        <w:t xml:space="preserve">, </w:t>
      </w:r>
      <w:r w:rsidRPr="00917A93">
        <w:rPr>
          <w:rFonts w:ascii="Verdana" w:hAnsi="Verdana"/>
          <w:sz w:val="20"/>
        </w:rPr>
        <w:t>y</w:t>
      </w:r>
    </w:p>
    <w:p w:rsidR="001E779D" w:rsidRPr="00A62929" w:rsidRDefault="00917A93" w:rsidP="001E779D">
      <w:pPr>
        <w:pStyle w:val="Prrafodelista"/>
        <w:numPr>
          <w:ilvl w:val="0"/>
          <w:numId w:val="5"/>
        </w:numPr>
        <w:jc w:val="both"/>
        <w:rPr>
          <w:rFonts w:ascii="Verdana" w:hAnsi="Verdana"/>
          <w:sz w:val="20"/>
        </w:rPr>
      </w:pPr>
      <w:r>
        <w:rPr>
          <w:rFonts w:ascii="Verdana" w:hAnsi="Verdana"/>
          <w:sz w:val="20"/>
        </w:rPr>
        <w:t>p</w:t>
      </w:r>
      <w:r w:rsidR="001E779D">
        <w:rPr>
          <w:rFonts w:ascii="Verdana" w:hAnsi="Verdana"/>
          <w:sz w:val="20"/>
        </w:rPr>
        <w:t>agar la cantidad fijada por el reintegro de c</w:t>
      </w:r>
      <w:r>
        <w:rPr>
          <w:rFonts w:ascii="Verdana" w:hAnsi="Verdana"/>
          <w:sz w:val="20"/>
        </w:rPr>
        <w:t>o</w:t>
      </w:r>
      <w:r w:rsidR="001E779D">
        <w:rPr>
          <w:rFonts w:ascii="Verdana" w:hAnsi="Verdana"/>
          <w:sz w:val="20"/>
        </w:rPr>
        <w:t xml:space="preserve">stas y </w:t>
      </w:r>
      <w:r>
        <w:rPr>
          <w:rFonts w:ascii="Verdana" w:hAnsi="Verdana"/>
          <w:sz w:val="20"/>
        </w:rPr>
        <w:t>g</w:t>
      </w:r>
      <w:r w:rsidR="001E779D">
        <w:rPr>
          <w:rFonts w:ascii="Verdana" w:hAnsi="Verdana"/>
          <w:sz w:val="20"/>
        </w:rPr>
        <w:t>astos (</w:t>
      </w:r>
      <w:r w:rsidR="001E779D" w:rsidRPr="00A62929">
        <w:rPr>
          <w:rFonts w:ascii="Verdana" w:hAnsi="Verdana"/>
          <w:i/>
          <w:sz w:val="20"/>
        </w:rPr>
        <w:t>punto décimo sexto de la Sentencia</w:t>
      </w:r>
      <w:r w:rsidR="001E779D">
        <w:rPr>
          <w:rFonts w:ascii="Verdana" w:hAnsi="Verdana"/>
          <w:sz w:val="20"/>
        </w:rPr>
        <w:t>).</w:t>
      </w:r>
    </w:p>
    <w:p w:rsidR="001E779D" w:rsidRPr="000F4741" w:rsidRDefault="001E779D" w:rsidP="001E779D">
      <w:pPr>
        <w:ind w:firstLine="708"/>
        <w:jc w:val="both"/>
        <w:rPr>
          <w:rFonts w:ascii="Verdana" w:hAnsi="Verdana"/>
          <w:sz w:val="20"/>
        </w:rPr>
      </w:pPr>
    </w:p>
    <w:p w:rsidR="001E779D" w:rsidRPr="000F4741" w:rsidRDefault="001E779D" w:rsidP="00307323">
      <w:pPr>
        <w:numPr>
          <w:ilvl w:val="0"/>
          <w:numId w:val="4"/>
        </w:numPr>
        <w:ind w:left="0" w:firstLine="0"/>
        <w:jc w:val="both"/>
        <w:rPr>
          <w:rFonts w:ascii="Verdana" w:hAnsi="Verdana"/>
          <w:sz w:val="20"/>
        </w:rPr>
      </w:pPr>
      <w:r w:rsidRPr="000F4741">
        <w:rPr>
          <w:rFonts w:ascii="Verdana" w:hAnsi="Verdana"/>
          <w:sz w:val="20"/>
        </w:rPr>
        <w:t xml:space="preserve">Declarar, de conformidad con </w:t>
      </w:r>
      <w:r>
        <w:rPr>
          <w:rFonts w:ascii="Verdana" w:hAnsi="Verdana"/>
          <w:sz w:val="20"/>
        </w:rPr>
        <w:t xml:space="preserve">el Considerando </w:t>
      </w:r>
      <w:r w:rsidR="0024475D">
        <w:rPr>
          <w:rFonts w:ascii="Verdana" w:hAnsi="Verdana"/>
          <w:sz w:val="20"/>
        </w:rPr>
        <w:fldChar w:fldCharType="begin"/>
      </w:r>
      <w:r w:rsidR="0024475D">
        <w:rPr>
          <w:rFonts w:ascii="Verdana" w:hAnsi="Verdana"/>
          <w:sz w:val="20"/>
        </w:rPr>
        <w:instrText xml:space="preserve"> REF _Ref475350828 \r \h </w:instrText>
      </w:r>
      <w:r w:rsidR="0024475D">
        <w:rPr>
          <w:rFonts w:ascii="Verdana" w:hAnsi="Verdana"/>
          <w:sz w:val="20"/>
        </w:rPr>
      </w:r>
      <w:r w:rsidR="0024475D">
        <w:rPr>
          <w:rFonts w:ascii="Verdana" w:hAnsi="Verdana"/>
          <w:sz w:val="20"/>
        </w:rPr>
        <w:fldChar w:fldCharType="separate"/>
      </w:r>
      <w:r w:rsidR="00107924">
        <w:rPr>
          <w:rFonts w:ascii="Verdana" w:hAnsi="Verdana"/>
          <w:sz w:val="20"/>
        </w:rPr>
        <w:t>10</w:t>
      </w:r>
      <w:r w:rsidR="0024475D">
        <w:rPr>
          <w:rFonts w:ascii="Verdana" w:hAnsi="Verdana"/>
          <w:sz w:val="20"/>
        </w:rPr>
        <w:fldChar w:fldCharType="end"/>
      </w:r>
      <w:r w:rsidRPr="000F4741">
        <w:rPr>
          <w:rFonts w:ascii="Verdana" w:hAnsi="Verdana"/>
          <w:sz w:val="20"/>
        </w:rPr>
        <w:t xml:space="preserve"> de la presente Resolución, que el Estado ha venido dando cumplimiento y debe continuar implementando la reparación relativa a brindar el tratamiento </w:t>
      </w:r>
      <w:r>
        <w:rPr>
          <w:rFonts w:ascii="Verdana" w:hAnsi="Verdana"/>
          <w:sz w:val="20"/>
        </w:rPr>
        <w:t xml:space="preserve">médico, </w:t>
      </w:r>
      <w:r w:rsidRPr="000F4741">
        <w:rPr>
          <w:rFonts w:ascii="Verdana" w:hAnsi="Verdana"/>
          <w:sz w:val="20"/>
        </w:rPr>
        <w:t xml:space="preserve"> psicológico </w:t>
      </w:r>
      <w:r>
        <w:rPr>
          <w:rFonts w:ascii="Verdana" w:hAnsi="Verdana"/>
          <w:sz w:val="20"/>
        </w:rPr>
        <w:t>y/</w:t>
      </w:r>
      <w:r w:rsidRPr="000F4741">
        <w:rPr>
          <w:rFonts w:ascii="Verdana" w:hAnsi="Verdana"/>
          <w:sz w:val="20"/>
        </w:rPr>
        <w:t>o psiquiátrico a las víctimas que así lo soliciten</w:t>
      </w:r>
      <w:r>
        <w:rPr>
          <w:rFonts w:ascii="Verdana" w:hAnsi="Verdana"/>
          <w:sz w:val="20"/>
        </w:rPr>
        <w:t xml:space="preserve"> o, en su caso, pagar la suma establecida en la Sentencia</w:t>
      </w:r>
      <w:r w:rsidRPr="000F4741">
        <w:rPr>
          <w:rFonts w:ascii="Verdana" w:hAnsi="Verdana"/>
          <w:sz w:val="20"/>
        </w:rPr>
        <w:t xml:space="preserve"> (</w:t>
      </w:r>
      <w:r w:rsidRPr="000F4741">
        <w:rPr>
          <w:rFonts w:ascii="Verdana" w:hAnsi="Verdana"/>
          <w:i/>
          <w:sz w:val="20"/>
        </w:rPr>
        <w:t>punto dispositivo</w:t>
      </w:r>
      <w:r>
        <w:rPr>
          <w:rFonts w:ascii="Verdana" w:hAnsi="Verdana"/>
          <w:i/>
          <w:sz w:val="20"/>
        </w:rPr>
        <w:t xml:space="preserve"> décimo primero de la Sentencia</w:t>
      </w:r>
      <w:r w:rsidRPr="000F4741">
        <w:rPr>
          <w:rFonts w:ascii="Verdana" w:hAnsi="Verdana"/>
          <w:sz w:val="20"/>
        </w:rPr>
        <w:t>)</w:t>
      </w:r>
      <w:r w:rsidR="00917A93">
        <w:rPr>
          <w:rFonts w:ascii="Verdana" w:hAnsi="Verdana"/>
          <w:sz w:val="20"/>
        </w:rPr>
        <w:t>.</w:t>
      </w:r>
    </w:p>
    <w:p w:rsidR="007041C4" w:rsidRPr="000F4741" w:rsidRDefault="007041C4" w:rsidP="001E779D">
      <w:pPr>
        <w:jc w:val="both"/>
        <w:rPr>
          <w:rFonts w:ascii="Verdana" w:hAnsi="Verdana"/>
          <w:sz w:val="20"/>
        </w:rPr>
      </w:pPr>
    </w:p>
    <w:p w:rsidR="001E779D" w:rsidRDefault="001E779D" w:rsidP="00307323">
      <w:pPr>
        <w:numPr>
          <w:ilvl w:val="0"/>
          <w:numId w:val="4"/>
        </w:numPr>
        <w:ind w:left="0" w:firstLine="0"/>
        <w:jc w:val="both"/>
        <w:rPr>
          <w:rFonts w:ascii="Verdana" w:hAnsi="Verdana"/>
          <w:sz w:val="20"/>
        </w:rPr>
      </w:pPr>
      <w:r w:rsidRPr="000F4741">
        <w:rPr>
          <w:rFonts w:ascii="Verdana" w:hAnsi="Verdana"/>
          <w:sz w:val="20"/>
        </w:rPr>
        <w:t xml:space="preserve">Mantener abierto el procedimiento de supervisión de cumplimiento de las siguientes medidas de reparación: </w:t>
      </w:r>
    </w:p>
    <w:p w:rsidR="007041C4" w:rsidRPr="000F4741" w:rsidRDefault="007041C4" w:rsidP="007041C4">
      <w:pPr>
        <w:jc w:val="both"/>
        <w:rPr>
          <w:rFonts w:ascii="Verdana" w:hAnsi="Verdana"/>
          <w:sz w:val="20"/>
        </w:rPr>
      </w:pPr>
    </w:p>
    <w:p w:rsidR="001E779D" w:rsidRDefault="001E779D" w:rsidP="001E779D">
      <w:pPr>
        <w:pStyle w:val="Prrafodelista"/>
        <w:ind w:left="360"/>
        <w:jc w:val="both"/>
        <w:rPr>
          <w:rFonts w:ascii="Verdana" w:hAnsi="Verdana"/>
          <w:sz w:val="20"/>
          <w:highlight w:val="yellow"/>
        </w:rPr>
      </w:pPr>
    </w:p>
    <w:p w:rsidR="001E779D" w:rsidRDefault="00917A93" w:rsidP="00FF7AA6">
      <w:pPr>
        <w:pStyle w:val="Prrafodelista"/>
        <w:numPr>
          <w:ilvl w:val="0"/>
          <w:numId w:val="6"/>
        </w:numPr>
        <w:spacing w:after="120"/>
        <w:ind w:left="714" w:hanging="357"/>
        <w:contextualSpacing w:val="0"/>
        <w:jc w:val="both"/>
        <w:rPr>
          <w:rFonts w:ascii="Verdana" w:hAnsi="Verdana"/>
          <w:sz w:val="20"/>
        </w:rPr>
      </w:pPr>
      <w:r>
        <w:rPr>
          <w:rFonts w:ascii="Verdana" w:hAnsi="Verdana"/>
          <w:sz w:val="20"/>
        </w:rPr>
        <w:t>c</w:t>
      </w:r>
      <w:r w:rsidR="001E779D">
        <w:rPr>
          <w:rFonts w:ascii="Verdana" w:hAnsi="Verdana"/>
          <w:sz w:val="20"/>
        </w:rPr>
        <w:t xml:space="preserve">ontinuar eficazmente y con la mayor diligencia las investigaciones abiertas, así como abrir las que sean necesarias con el fin de identificar, juzgar y, en su caso, sancionar a los responsables de las desapariciones forzadas de José Adrián </w:t>
      </w:r>
      <w:proofErr w:type="spellStart"/>
      <w:r w:rsidR="001E779D">
        <w:rPr>
          <w:rFonts w:ascii="Verdana" w:hAnsi="Verdana"/>
          <w:sz w:val="20"/>
        </w:rPr>
        <w:t>Rochac</w:t>
      </w:r>
      <w:proofErr w:type="spellEnd"/>
      <w:r w:rsidR="001E779D">
        <w:rPr>
          <w:rFonts w:ascii="Verdana" w:hAnsi="Verdana"/>
          <w:sz w:val="20"/>
        </w:rPr>
        <w:t xml:space="preserve"> Hernández, Santos Ernesto Salinas, </w:t>
      </w:r>
      <w:proofErr w:type="spellStart"/>
      <w:r w:rsidR="001E779D">
        <w:rPr>
          <w:rFonts w:ascii="Verdana" w:hAnsi="Verdana"/>
          <w:sz w:val="20"/>
        </w:rPr>
        <w:t>Emelinda</w:t>
      </w:r>
      <w:proofErr w:type="spellEnd"/>
      <w:r w:rsidR="001E779D">
        <w:rPr>
          <w:rFonts w:ascii="Verdana" w:hAnsi="Verdana"/>
          <w:sz w:val="20"/>
        </w:rPr>
        <w:t xml:space="preserve"> Lorena Hernández, Manuel Antonio Bonilla y Ricardo Abarca Ayala, así como de otros hechos ilícitos conexos (</w:t>
      </w:r>
      <w:r w:rsidR="001E779D" w:rsidRPr="00473420">
        <w:rPr>
          <w:rFonts w:ascii="Verdana" w:hAnsi="Verdana"/>
          <w:i/>
          <w:sz w:val="20"/>
        </w:rPr>
        <w:t>punto dispositivo octavo de la Sentencia</w:t>
      </w:r>
      <w:r w:rsidR="001E779D">
        <w:rPr>
          <w:rFonts w:ascii="Verdana" w:hAnsi="Verdana"/>
          <w:sz w:val="20"/>
        </w:rPr>
        <w:t>)</w:t>
      </w:r>
      <w:r>
        <w:rPr>
          <w:rFonts w:ascii="Verdana" w:hAnsi="Verdana"/>
          <w:sz w:val="20"/>
        </w:rPr>
        <w:t>;</w:t>
      </w:r>
    </w:p>
    <w:p w:rsidR="00FF7AA6" w:rsidRPr="00421059" w:rsidRDefault="00FF7AA6" w:rsidP="00FF7AA6">
      <w:pPr>
        <w:pStyle w:val="Prrafodelista"/>
        <w:spacing w:after="120"/>
        <w:ind w:left="714"/>
        <w:contextualSpacing w:val="0"/>
        <w:jc w:val="both"/>
        <w:rPr>
          <w:rFonts w:ascii="Verdana" w:hAnsi="Verdana"/>
          <w:sz w:val="20"/>
        </w:rPr>
      </w:pPr>
    </w:p>
    <w:p w:rsidR="001E779D" w:rsidRPr="00421059" w:rsidRDefault="00917A93" w:rsidP="00FF7AA6">
      <w:pPr>
        <w:pStyle w:val="Prrafodelista"/>
        <w:numPr>
          <w:ilvl w:val="0"/>
          <w:numId w:val="6"/>
        </w:numPr>
        <w:spacing w:after="120"/>
        <w:ind w:left="714" w:hanging="357"/>
        <w:contextualSpacing w:val="0"/>
        <w:jc w:val="both"/>
        <w:rPr>
          <w:rFonts w:ascii="Verdana" w:hAnsi="Verdana"/>
          <w:sz w:val="20"/>
        </w:rPr>
      </w:pPr>
      <w:r>
        <w:rPr>
          <w:rFonts w:ascii="Verdana" w:hAnsi="Verdana"/>
          <w:sz w:val="20"/>
        </w:rPr>
        <w:t>e</w:t>
      </w:r>
      <w:r w:rsidR="001E779D" w:rsidRPr="002C5349">
        <w:rPr>
          <w:rFonts w:ascii="Verdana" w:hAnsi="Verdana"/>
          <w:sz w:val="20"/>
        </w:rPr>
        <w:t>fectuar una búsqueda seria en la cual realice todos los esfuerzos para</w:t>
      </w:r>
      <w:r w:rsidR="001E779D">
        <w:rPr>
          <w:rFonts w:ascii="Verdana" w:hAnsi="Verdana"/>
          <w:sz w:val="20"/>
        </w:rPr>
        <w:t xml:space="preserve"> determinar el paradero de José Adrián </w:t>
      </w:r>
      <w:proofErr w:type="spellStart"/>
      <w:r w:rsidR="001E779D">
        <w:rPr>
          <w:rFonts w:ascii="Verdana" w:hAnsi="Verdana"/>
          <w:sz w:val="20"/>
        </w:rPr>
        <w:t>Rochac</w:t>
      </w:r>
      <w:proofErr w:type="spellEnd"/>
      <w:r w:rsidR="001E779D">
        <w:rPr>
          <w:rFonts w:ascii="Verdana" w:hAnsi="Verdana"/>
          <w:sz w:val="20"/>
        </w:rPr>
        <w:t xml:space="preserve"> Hernández, </w:t>
      </w:r>
      <w:proofErr w:type="spellStart"/>
      <w:r w:rsidR="001E779D">
        <w:rPr>
          <w:rFonts w:ascii="Verdana" w:hAnsi="Verdana"/>
          <w:sz w:val="20"/>
        </w:rPr>
        <w:t>Emelinda</w:t>
      </w:r>
      <w:proofErr w:type="spellEnd"/>
      <w:r w:rsidR="001E779D">
        <w:rPr>
          <w:rFonts w:ascii="Verdana" w:hAnsi="Verdana"/>
          <w:sz w:val="20"/>
        </w:rPr>
        <w:t xml:space="preserve"> Lorena Hernández, Manuel Antonio Bonilla y Ricardo Abarca Ayala, así como adoptar todas las medidas adecuadas y necesarias para la restitución de la identidad en caso de encontrarse con vida (</w:t>
      </w:r>
      <w:r w:rsidR="001E779D" w:rsidRPr="002C5349">
        <w:rPr>
          <w:rFonts w:ascii="Verdana" w:hAnsi="Verdana"/>
          <w:i/>
          <w:sz w:val="20"/>
        </w:rPr>
        <w:t>punto dispositivo noveno de la Sentencia</w:t>
      </w:r>
      <w:r w:rsidR="001E779D">
        <w:rPr>
          <w:rFonts w:ascii="Verdana" w:hAnsi="Verdana"/>
          <w:sz w:val="20"/>
        </w:rPr>
        <w:t>)</w:t>
      </w:r>
      <w:r>
        <w:rPr>
          <w:rFonts w:ascii="Verdana" w:hAnsi="Verdana"/>
          <w:sz w:val="20"/>
        </w:rPr>
        <w:t>;</w:t>
      </w:r>
    </w:p>
    <w:p w:rsidR="001E779D" w:rsidRPr="00421059" w:rsidRDefault="00917A93" w:rsidP="00FF7AA6">
      <w:pPr>
        <w:pStyle w:val="Prrafodelista"/>
        <w:numPr>
          <w:ilvl w:val="0"/>
          <w:numId w:val="6"/>
        </w:numPr>
        <w:spacing w:after="120"/>
        <w:ind w:left="714" w:hanging="357"/>
        <w:contextualSpacing w:val="0"/>
        <w:jc w:val="both"/>
        <w:rPr>
          <w:rFonts w:ascii="Verdana" w:hAnsi="Verdana"/>
          <w:sz w:val="20"/>
        </w:rPr>
      </w:pPr>
      <w:r>
        <w:rPr>
          <w:rFonts w:ascii="Verdana" w:hAnsi="Verdana"/>
          <w:sz w:val="20"/>
        </w:rPr>
        <w:t>a</w:t>
      </w:r>
      <w:r w:rsidR="001E779D">
        <w:rPr>
          <w:rFonts w:ascii="Verdana" w:hAnsi="Verdana"/>
          <w:sz w:val="20"/>
        </w:rPr>
        <w:t>doptar las medidas pertinentes y adecuadas para garantizar a los operadores de justicia, así como a la sociedad salvadoreña, el acceso público, técnico y sistematizado a los archivos que contengan información útil y relevante para la investigación en causas seguidas por violaciones a los derechos humanos durante el conflicto armado (</w:t>
      </w:r>
      <w:r w:rsidR="001E779D" w:rsidRPr="002C5349">
        <w:rPr>
          <w:rFonts w:ascii="Verdana" w:hAnsi="Verdana"/>
          <w:i/>
          <w:sz w:val="20"/>
        </w:rPr>
        <w:t>punto dispositivo décimo de la Sentencia</w:t>
      </w:r>
      <w:r w:rsidR="001E779D">
        <w:rPr>
          <w:rFonts w:ascii="Verdana" w:hAnsi="Verdana"/>
          <w:sz w:val="20"/>
        </w:rPr>
        <w:t>)</w:t>
      </w:r>
      <w:r>
        <w:rPr>
          <w:rFonts w:ascii="Verdana" w:hAnsi="Verdana"/>
          <w:sz w:val="20"/>
        </w:rPr>
        <w:t>;</w:t>
      </w:r>
    </w:p>
    <w:p w:rsidR="001E779D" w:rsidRPr="00421059" w:rsidRDefault="00917A93" w:rsidP="00FF7AA6">
      <w:pPr>
        <w:numPr>
          <w:ilvl w:val="0"/>
          <w:numId w:val="6"/>
        </w:numPr>
        <w:spacing w:after="120"/>
        <w:ind w:left="714" w:hanging="357"/>
        <w:jc w:val="both"/>
        <w:rPr>
          <w:rFonts w:ascii="Verdana" w:hAnsi="Verdana"/>
          <w:sz w:val="20"/>
        </w:rPr>
      </w:pPr>
      <w:r>
        <w:rPr>
          <w:rFonts w:ascii="Verdana" w:hAnsi="Verdana"/>
          <w:sz w:val="20"/>
        </w:rPr>
        <w:lastRenderedPageBreak/>
        <w:t>b</w:t>
      </w:r>
      <w:r w:rsidR="001E779D" w:rsidRPr="000F4741">
        <w:rPr>
          <w:rFonts w:ascii="Verdana" w:hAnsi="Verdana"/>
          <w:sz w:val="20"/>
        </w:rPr>
        <w:t xml:space="preserve">rindar el tratamiento </w:t>
      </w:r>
      <w:r w:rsidR="001E779D">
        <w:rPr>
          <w:rFonts w:ascii="Verdana" w:hAnsi="Verdana"/>
          <w:sz w:val="20"/>
        </w:rPr>
        <w:t xml:space="preserve">médico, </w:t>
      </w:r>
      <w:r w:rsidR="001E779D" w:rsidRPr="000F4741">
        <w:rPr>
          <w:rFonts w:ascii="Verdana" w:hAnsi="Verdana"/>
          <w:sz w:val="20"/>
        </w:rPr>
        <w:t xml:space="preserve">psicológico </w:t>
      </w:r>
      <w:r w:rsidR="001E779D">
        <w:rPr>
          <w:rFonts w:ascii="Verdana" w:hAnsi="Verdana"/>
          <w:sz w:val="20"/>
        </w:rPr>
        <w:t>y/</w:t>
      </w:r>
      <w:r w:rsidR="001E779D" w:rsidRPr="000F4741">
        <w:rPr>
          <w:rFonts w:ascii="Verdana" w:hAnsi="Verdana"/>
          <w:sz w:val="20"/>
        </w:rPr>
        <w:t>o psiquiátrico a las víctimas que así lo soliciten</w:t>
      </w:r>
      <w:r w:rsidR="001E779D">
        <w:rPr>
          <w:rFonts w:ascii="Verdana" w:hAnsi="Verdana"/>
          <w:sz w:val="20"/>
        </w:rPr>
        <w:t xml:space="preserve"> o, en su caso, pagar la suma establecida en la Sentencia</w:t>
      </w:r>
      <w:r w:rsidR="001E779D" w:rsidRPr="000F4741">
        <w:rPr>
          <w:rFonts w:ascii="Verdana" w:hAnsi="Verdana"/>
          <w:sz w:val="20"/>
        </w:rPr>
        <w:t xml:space="preserve"> (</w:t>
      </w:r>
      <w:r w:rsidR="001E779D" w:rsidRPr="000F4741">
        <w:rPr>
          <w:rFonts w:ascii="Verdana" w:hAnsi="Verdana"/>
          <w:i/>
          <w:sz w:val="20"/>
        </w:rPr>
        <w:t>punto dispositivo</w:t>
      </w:r>
      <w:r w:rsidR="001E779D">
        <w:rPr>
          <w:rFonts w:ascii="Verdana" w:hAnsi="Verdana"/>
          <w:i/>
          <w:sz w:val="20"/>
        </w:rPr>
        <w:t xml:space="preserve"> décimo primero de la Sentencia</w:t>
      </w:r>
      <w:r w:rsidR="001E779D" w:rsidRPr="000F4741">
        <w:rPr>
          <w:rFonts w:ascii="Verdana" w:hAnsi="Verdana"/>
          <w:sz w:val="20"/>
        </w:rPr>
        <w:t>)</w:t>
      </w:r>
      <w:r>
        <w:rPr>
          <w:rFonts w:ascii="Verdana" w:hAnsi="Verdana"/>
          <w:sz w:val="20"/>
        </w:rPr>
        <w:t>;</w:t>
      </w:r>
    </w:p>
    <w:p w:rsidR="001E779D" w:rsidRPr="00917A93" w:rsidRDefault="00917A93" w:rsidP="00FF7AA6">
      <w:pPr>
        <w:numPr>
          <w:ilvl w:val="0"/>
          <w:numId w:val="6"/>
        </w:numPr>
        <w:spacing w:after="120"/>
        <w:ind w:left="714" w:hanging="357"/>
        <w:jc w:val="both"/>
        <w:rPr>
          <w:rFonts w:ascii="Verdana" w:hAnsi="Verdana"/>
          <w:sz w:val="20"/>
        </w:rPr>
      </w:pPr>
      <w:r>
        <w:rPr>
          <w:rFonts w:ascii="Verdana" w:hAnsi="Verdana"/>
          <w:sz w:val="20"/>
        </w:rPr>
        <w:t>c</w:t>
      </w:r>
      <w:r w:rsidR="001E779D">
        <w:rPr>
          <w:rFonts w:ascii="Verdana" w:hAnsi="Verdana"/>
          <w:sz w:val="20"/>
        </w:rPr>
        <w:t>onstruir un “jardín museo” donde recordar a las niñas y los niños desaparecidos forzadamente durante el conflicto armado (</w:t>
      </w:r>
      <w:r w:rsidR="001E779D" w:rsidRPr="002C5349">
        <w:rPr>
          <w:rFonts w:ascii="Verdana" w:hAnsi="Verdana"/>
          <w:i/>
          <w:sz w:val="20"/>
        </w:rPr>
        <w:t>punto dispositivo décimo cuarto de la Sentencia</w:t>
      </w:r>
      <w:r w:rsidR="001E779D">
        <w:rPr>
          <w:rFonts w:ascii="Verdana" w:hAnsi="Verdana"/>
          <w:sz w:val="20"/>
        </w:rPr>
        <w:t>)</w:t>
      </w:r>
      <w:r>
        <w:rPr>
          <w:rFonts w:ascii="Verdana" w:hAnsi="Verdana"/>
          <w:sz w:val="20"/>
        </w:rPr>
        <w:t>;</w:t>
      </w:r>
    </w:p>
    <w:p w:rsidR="001E779D" w:rsidRPr="00421059" w:rsidRDefault="00917A93" w:rsidP="00FF7AA6">
      <w:pPr>
        <w:pStyle w:val="Prrafodelista"/>
        <w:numPr>
          <w:ilvl w:val="0"/>
          <w:numId w:val="6"/>
        </w:numPr>
        <w:spacing w:after="120"/>
        <w:ind w:left="714" w:hanging="357"/>
        <w:contextualSpacing w:val="0"/>
        <w:jc w:val="both"/>
        <w:rPr>
          <w:rFonts w:ascii="Verdana" w:hAnsi="Verdana"/>
          <w:sz w:val="20"/>
        </w:rPr>
      </w:pPr>
      <w:r>
        <w:rPr>
          <w:rFonts w:ascii="Verdana" w:hAnsi="Verdana"/>
          <w:sz w:val="20"/>
        </w:rPr>
        <w:t>l</w:t>
      </w:r>
      <w:r w:rsidR="001E779D">
        <w:rPr>
          <w:rFonts w:ascii="Verdana" w:hAnsi="Verdana"/>
          <w:sz w:val="20"/>
        </w:rPr>
        <w:t>levar a cabo las capacitaciones ordenadas en la Sentencia (</w:t>
      </w:r>
      <w:r w:rsidR="001E779D" w:rsidRPr="002C5349">
        <w:rPr>
          <w:rFonts w:ascii="Verdana" w:hAnsi="Verdana"/>
          <w:i/>
          <w:sz w:val="20"/>
        </w:rPr>
        <w:t>punto dispositivo décimo quinto de la Sentencia</w:t>
      </w:r>
      <w:r w:rsidR="001E779D" w:rsidRPr="002C5349">
        <w:rPr>
          <w:rFonts w:ascii="Verdana" w:hAnsi="Verdana"/>
          <w:sz w:val="20"/>
        </w:rPr>
        <w:t>)</w:t>
      </w:r>
      <w:r>
        <w:rPr>
          <w:rFonts w:ascii="Verdana" w:hAnsi="Verdana"/>
          <w:sz w:val="20"/>
        </w:rPr>
        <w:t>, y</w:t>
      </w:r>
    </w:p>
    <w:p w:rsidR="001E779D" w:rsidRPr="002C5349" w:rsidRDefault="00917A93" w:rsidP="00FF7AA6">
      <w:pPr>
        <w:pStyle w:val="Prrafodelista"/>
        <w:numPr>
          <w:ilvl w:val="0"/>
          <w:numId w:val="6"/>
        </w:numPr>
        <w:spacing w:after="120"/>
        <w:ind w:left="714" w:hanging="357"/>
        <w:contextualSpacing w:val="0"/>
        <w:jc w:val="both"/>
        <w:rPr>
          <w:rFonts w:ascii="Verdana" w:hAnsi="Verdana"/>
          <w:sz w:val="20"/>
        </w:rPr>
      </w:pPr>
      <w:r>
        <w:rPr>
          <w:rFonts w:ascii="Verdana" w:hAnsi="Verdana"/>
          <w:sz w:val="20"/>
        </w:rPr>
        <w:t>p</w:t>
      </w:r>
      <w:r w:rsidR="001E779D">
        <w:rPr>
          <w:rFonts w:ascii="Verdana" w:hAnsi="Verdana"/>
          <w:sz w:val="20"/>
        </w:rPr>
        <w:t>agar las cantidades fijadas en la Sentencia por concepto de indemnización</w:t>
      </w:r>
      <w:r>
        <w:rPr>
          <w:rFonts w:ascii="Verdana" w:hAnsi="Verdana"/>
          <w:sz w:val="20"/>
        </w:rPr>
        <w:t xml:space="preserve"> por daño material e inmaterial</w:t>
      </w:r>
      <w:r w:rsidR="001E779D">
        <w:rPr>
          <w:rFonts w:ascii="Verdana" w:hAnsi="Verdana"/>
          <w:sz w:val="20"/>
        </w:rPr>
        <w:t xml:space="preserve"> (</w:t>
      </w:r>
      <w:r w:rsidR="001E779D" w:rsidRPr="002C5349">
        <w:rPr>
          <w:rFonts w:ascii="Verdana" w:hAnsi="Verdana"/>
          <w:i/>
          <w:sz w:val="20"/>
        </w:rPr>
        <w:t>punto dispositivo décimo sexto de la Sentencia</w:t>
      </w:r>
      <w:r w:rsidR="001E779D">
        <w:rPr>
          <w:rFonts w:ascii="Verdana" w:hAnsi="Verdana"/>
          <w:sz w:val="20"/>
        </w:rPr>
        <w:t>)</w:t>
      </w:r>
      <w:r>
        <w:rPr>
          <w:rFonts w:ascii="Verdana" w:hAnsi="Verdana"/>
          <w:sz w:val="20"/>
        </w:rPr>
        <w:t>.</w:t>
      </w:r>
    </w:p>
    <w:p w:rsidR="001E779D" w:rsidRDefault="001E779D" w:rsidP="001E779D">
      <w:pPr>
        <w:pStyle w:val="Prrafodelista"/>
        <w:jc w:val="both"/>
        <w:rPr>
          <w:rFonts w:ascii="Verdana" w:hAnsi="Verdana"/>
          <w:sz w:val="20"/>
        </w:rPr>
      </w:pPr>
    </w:p>
    <w:p w:rsidR="007041C4" w:rsidRPr="002C5349" w:rsidRDefault="007041C4" w:rsidP="001E779D">
      <w:pPr>
        <w:pStyle w:val="Prrafodelista"/>
        <w:jc w:val="both"/>
        <w:rPr>
          <w:rFonts w:ascii="Verdana" w:hAnsi="Verdana"/>
          <w:sz w:val="20"/>
        </w:rPr>
      </w:pPr>
    </w:p>
    <w:p w:rsidR="001E779D" w:rsidRDefault="001E779D" w:rsidP="00307323">
      <w:pPr>
        <w:numPr>
          <w:ilvl w:val="0"/>
          <w:numId w:val="4"/>
        </w:numPr>
        <w:ind w:left="0" w:firstLine="0"/>
        <w:jc w:val="both"/>
        <w:rPr>
          <w:rFonts w:ascii="Verdana" w:hAnsi="Verdana"/>
          <w:sz w:val="20"/>
        </w:rPr>
      </w:pPr>
      <w:r w:rsidRPr="000F4741">
        <w:rPr>
          <w:rFonts w:ascii="Verdana" w:hAnsi="Verdana"/>
          <w:sz w:val="20"/>
        </w:rPr>
        <w:t>Disponer que el Estado de El Salvador presente a la Corte Interamericana de Derechos Humanos, a más tardar el</w:t>
      </w:r>
      <w:r w:rsidR="001421B1">
        <w:rPr>
          <w:rFonts w:ascii="Verdana" w:hAnsi="Verdana"/>
          <w:sz w:val="20"/>
        </w:rPr>
        <w:t xml:space="preserve"> 26 </w:t>
      </w:r>
      <w:r w:rsidRPr="000F4741">
        <w:rPr>
          <w:rFonts w:ascii="Verdana" w:hAnsi="Verdana"/>
          <w:sz w:val="20"/>
        </w:rPr>
        <w:t>de</w:t>
      </w:r>
      <w:r w:rsidR="001421B1">
        <w:rPr>
          <w:rFonts w:ascii="Verdana" w:hAnsi="Verdana"/>
          <w:sz w:val="20"/>
        </w:rPr>
        <w:t xml:space="preserve"> mayo</w:t>
      </w:r>
      <w:r w:rsidRPr="000F4741">
        <w:rPr>
          <w:rFonts w:ascii="Verdana" w:hAnsi="Verdana"/>
          <w:sz w:val="20"/>
        </w:rPr>
        <w:t xml:space="preserve"> de 2017, un informe en el cual haga referencia a todas las reparaciones pendientes de cumplimiento, de conformidad con lo solicitado en</w:t>
      </w:r>
      <w:r w:rsidR="00421059">
        <w:rPr>
          <w:rFonts w:ascii="Verdana" w:hAnsi="Verdana"/>
          <w:sz w:val="20"/>
        </w:rPr>
        <w:t xml:space="preserve"> </w:t>
      </w:r>
      <w:r w:rsidR="00F9745A">
        <w:rPr>
          <w:rFonts w:ascii="Verdana" w:hAnsi="Verdana"/>
          <w:sz w:val="20"/>
        </w:rPr>
        <w:t>los</w:t>
      </w:r>
      <w:r w:rsidRPr="000F4741">
        <w:rPr>
          <w:rFonts w:ascii="Verdana" w:hAnsi="Verdana"/>
          <w:sz w:val="20"/>
        </w:rPr>
        <w:t xml:space="preserve"> </w:t>
      </w:r>
      <w:r>
        <w:rPr>
          <w:rFonts w:ascii="Verdana" w:hAnsi="Verdana"/>
          <w:sz w:val="20"/>
        </w:rPr>
        <w:t>Considerando</w:t>
      </w:r>
      <w:r w:rsidR="00F9745A">
        <w:rPr>
          <w:rFonts w:ascii="Verdana" w:hAnsi="Verdana"/>
          <w:sz w:val="20"/>
        </w:rPr>
        <w:t>s 10 y</w:t>
      </w:r>
      <w:r w:rsidRPr="000F4741">
        <w:rPr>
          <w:rFonts w:ascii="Verdana" w:hAnsi="Verdana"/>
          <w:sz w:val="20"/>
        </w:rPr>
        <w:t xml:space="preserve"> </w:t>
      </w:r>
      <w:r w:rsidR="0024475D">
        <w:rPr>
          <w:rFonts w:ascii="Verdana" w:hAnsi="Verdana"/>
          <w:sz w:val="20"/>
        </w:rPr>
        <w:t>17</w:t>
      </w:r>
      <w:r>
        <w:rPr>
          <w:rFonts w:ascii="Verdana" w:hAnsi="Verdana"/>
          <w:sz w:val="20"/>
        </w:rPr>
        <w:t xml:space="preserve"> </w:t>
      </w:r>
      <w:r w:rsidRPr="000F4741">
        <w:rPr>
          <w:rFonts w:ascii="Verdana" w:hAnsi="Verdana"/>
          <w:sz w:val="20"/>
        </w:rPr>
        <w:t xml:space="preserve">de la presente Resolución. </w:t>
      </w:r>
    </w:p>
    <w:p w:rsidR="007041C4" w:rsidRDefault="007041C4" w:rsidP="007041C4">
      <w:pPr>
        <w:jc w:val="both"/>
        <w:rPr>
          <w:rFonts w:ascii="Verdana" w:hAnsi="Verdana"/>
          <w:sz w:val="20"/>
        </w:rPr>
      </w:pPr>
    </w:p>
    <w:p w:rsidR="00917A93" w:rsidRPr="000F4741" w:rsidRDefault="00917A93" w:rsidP="00917A93">
      <w:pPr>
        <w:ind w:left="360"/>
        <w:jc w:val="both"/>
        <w:rPr>
          <w:rFonts w:ascii="Verdana" w:hAnsi="Verdana"/>
          <w:sz w:val="20"/>
        </w:rPr>
      </w:pPr>
    </w:p>
    <w:p w:rsidR="00917A93" w:rsidRDefault="00917A93" w:rsidP="00307323">
      <w:pPr>
        <w:numPr>
          <w:ilvl w:val="0"/>
          <w:numId w:val="4"/>
        </w:numPr>
        <w:ind w:left="0" w:firstLine="0"/>
        <w:jc w:val="both"/>
        <w:rPr>
          <w:rFonts w:ascii="Verdana" w:hAnsi="Verdana"/>
          <w:sz w:val="20"/>
          <w:lang w:val="es-CR"/>
        </w:rPr>
      </w:pPr>
      <w:r>
        <w:rPr>
          <w:rFonts w:ascii="Verdana" w:hAnsi="Verdana"/>
          <w:sz w:val="20"/>
          <w:lang w:val="es-CR"/>
        </w:rPr>
        <w:t xml:space="preserve">Solicitar a las representantes de las víctimas y a la Comisión Interamericana de </w:t>
      </w:r>
      <w:r>
        <w:rPr>
          <w:rFonts w:ascii="Verdana" w:hAnsi="Verdana"/>
          <w:sz w:val="20"/>
        </w:rPr>
        <w:t>Derechos</w:t>
      </w:r>
      <w:r>
        <w:rPr>
          <w:rFonts w:ascii="Verdana" w:hAnsi="Verdana"/>
          <w:sz w:val="20"/>
          <w:lang w:val="es-CR"/>
        </w:rPr>
        <w:t xml:space="preserve"> Humanos que presenten observaciones al informe del Estado mencionado en el punto resolutivo anterior, en los plazos de cuatro y seis semanas, respectivamente, contados a partir de la recepción del informe.</w:t>
      </w:r>
    </w:p>
    <w:p w:rsidR="00917A93" w:rsidRDefault="00917A93" w:rsidP="00917A93">
      <w:pPr>
        <w:ind w:left="360"/>
        <w:jc w:val="both"/>
        <w:rPr>
          <w:rFonts w:ascii="Verdana" w:hAnsi="Verdana"/>
          <w:sz w:val="20"/>
        </w:rPr>
      </w:pPr>
    </w:p>
    <w:p w:rsidR="00917A93" w:rsidRDefault="00917A93" w:rsidP="00917A93">
      <w:pPr>
        <w:ind w:left="360"/>
        <w:jc w:val="both"/>
        <w:rPr>
          <w:rFonts w:ascii="Verdana" w:hAnsi="Verdana"/>
          <w:sz w:val="20"/>
        </w:rPr>
      </w:pPr>
    </w:p>
    <w:p w:rsidR="00917A93" w:rsidRDefault="00F9745A" w:rsidP="00307323">
      <w:pPr>
        <w:numPr>
          <w:ilvl w:val="0"/>
          <w:numId w:val="4"/>
        </w:numPr>
        <w:ind w:left="0" w:firstLine="0"/>
        <w:jc w:val="both"/>
        <w:rPr>
          <w:rFonts w:ascii="Verdana" w:hAnsi="Verdana"/>
          <w:sz w:val="20"/>
        </w:rPr>
      </w:pPr>
      <w:r>
        <w:rPr>
          <w:rFonts w:ascii="Verdana" w:hAnsi="Verdana"/>
          <w:sz w:val="20"/>
        </w:rPr>
        <w:t>D</w:t>
      </w:r>
      <w:r w:rsidR="00917A93">
        <w:rPr>
          <w:rFonts w:ascii="Verdana" w:hAnsi="Verdana"/>
          <w:sz w:val="20"/>
        </w:rPr>
        <w:t>elega</w:t>
      </w:r>
      <w:r>
        <w:rPr>
          <w:rFonts w:ascii="Verdana" w:hAnsi="Verdana"/>
          <w:sz w:val="20"/>
        </w:rPr>
        <w:t>r</w:t>
      </w:r>
      <w:r w:rsidR="00917A93">
        <w:rPr>
          <w:rFonts w:ascii="Verdana" w:hAnsi="Verdana"/>
          <w:sz w:val="20"/>
        </w:rPr>
        <w:t xml:space="preserve"> al Presidente para que, en caso de considerarlo necesario, haga uso de la facultad dispuesta en el artículo 69.2 del Reglamento de la Corte Interamericana, para solicitar directamente a instituciones de El Salvador que brinden información relevante para la supervisión del cumplimiento de la Sentencia.</w:t>
      </w:r>
    </w:p>
    <w:p w:rsidR="007041C4" w:rsidRDefault="007041C4" w:rsidP="007041C4">
      <w:pPr>
        <w:jc w:val="both"/>
        <w:rPr>
          <w:rFonts w:ascii="Verdana" w:hAnsi="Verdana"/>
          <w:sz w:val="20"/>
        </w:rPr>
      </w:pPr>
    </w:p>
    <w:p w:rsidR="001E779D" w:rsidRPr="000F4741" w:rsidRDefault="001E779D" w:rsidP="001E779D">
      <w:pPr>
        <w:pStyle w:val="Prrafodelista"/>
        <w:rPr>
          <w:rFonts w:ascii="Verdana" w:hAnsi="Verdana"/>
          <w:sz w:val="20"/>
        </w:rPr>
      </w:pPr>
    </w:p>
    <w:p w:rsidR="00707E7C" w:rsidRDefault="001E779D" w:rsidP="00307323">
      <w:pPr>
        <w:numPr>
          <w:ilvl w:val="0"/>
          <w:numId w:val="4"/>
        </w:numPr>
        <w:ind w:left="0" w:firstLine="0"/>
        <w:jc w:val="both"/>
        <w:rPr>
          <w:rFonts w:ascii="Verdana" w:hAnsi="Verdana"/>
          <w:sz w:val="20"/>
        </w:rPr>
      </w:pPr>
      <w:r w:rsidRPr="000F4741">
        <w:rPr>
          <w:rFonts w:ascii="Verdana" w:hAnsi="Verdana"/>
          <w:sz w:val="20"/>
        </w:rPr>
        <w:t>Requerir a la Secretaría de la Corte que notifique la presente Resolución al Estado, a las representantes de las víctimas y a la Comisión Interamericana de Derechos Humanos.</w:t>
      </w:r>
    </w:p>
    <w:p w:rsidR="006E0A95" w:rsidRDefault="006E0A95" w:rsidP="006E0A95">
      <w:pPr>
        <w:jc w:val="both"/>
        <w:rPr>
          <w:rFonts w:ascii="Verdana" w:hAnsi="Verdana"/>
          <w:sz w:val="20"/>
        </w:rPr>
      </w:pPr>
    </w:p>
    <w:p w:rsidR="006E0A95" w:rsidRDefault="006E0A95" w:rsidP="006E0A95">
      <w:pPr>
        <w:jc w:val="both"/>
        <w:rPr>
          <w:rFonts w:ascii="Verdana" w:hAnsi="Verdana"/>
          <w:sz w:val="20"/>
        </w:rPr>
      </w:pPr>
    </w:p>
    <w:p w:rsidR="009E71E3" w:rsidRPr="009E71E3" w:rsidRDefault="009E71E3" w:rsidP="009E71E3">
      <w:pPr>
        <w:keepNext/>
        <w:jc w:val="both"/>
        <w:outlineLvl w:val="0"/>
        <w:rPr>
          <w:rFonts w:ascii="Verdana" w:hAnsi="Verdana" w:cs="Verdana"/>
          <w:b/>
          <w:bCs/>
          <w:sz w:val="20"/>
          <w:lang w:val="es-ES"/>
        </w:rPr>
      </w:pPr>
      <w:r w:rsidRPr="009E71E3">
        <w:rPr>
          <w:rFonts w:ascii="Verdana" w:hAnsi="Verdana" w:cs="Courier New"/>
          <w:noProof/>
          <w:sz w:val="20"/>
          <w:lang w:val="es-AR"/>
        </w:rPr>
        <w:t xml:space="preserve">Corte IDH. </w:t>
      </w:r>
      <w:r w:rsidRPr="009E71E3">
        <w:rPr>
          <w:rFonts w:ascii="Verdana" w:hAnsi="Verdana"/>
          <w:bCs/>
          <w:i/>
          <w:sz w:val="20"/>
          <w:lang w:val="es-CR"/>
        </w:rPr>
        <w:t xml:space="preserve">Caso </w:t>
      </w:r>
      <w:proofErr w:type="spellStart"/>
      <w:r w:rsidRPr="009E71E3">
        <w:rPr>
          <w:rFonts w:ascii="Verdana" w:hAnsi="Verdana"/>
          <w:bCs/>
          <w:i/>
          <w:sz w:val="20"/>
          <w:lang w:val="es-CR"/>
        </w:rPr>
        <w:t>Rochac</w:t>
      </w:r>
      <w:proofErr w:type="spellEnd"/>
      <w:r w:rsidRPr="009E71E3">
        <w:rPr>
          <w:rFonts w:ascii="Verdana" w:hAnsi="Verdana"/>
          <w:bCs/>
          <w:i/>
          <w:sz w:val="20"/>
          <w:lang w:val="es-CR"/>
        </w:rPr>
        <w:t xml:space="preserve"> Hernández y otros Vs. El Salvador</w:t>
      </w:r>
      <w:r w:rsidRPr="009E71E3">
        <w:rPr>
          <w:rFonts w:ascii="Verdana" w:hAnsi="Verdana"/>
          <w:i/>
          <w:sz w:val="20"/>
          <w:lang w:val="es-ES"/>
        </w:rPr>
        <w:t>.</w:t>
      </w:r>
      <w:r w:rsidRPr="009E71E3">
        <w:rPr>
          <w:rFonts w:ascii="Verdana" w:hAnsi="Verdana" w:cs="Arial"/>
          <w:i/>
          <w:sz w:val="20"/>
          <w:lang w:val="es-CR"/>
        </w:rPr>
        <w:t xml:space="preserve"> </w:t>
      </w:r>
      <w:r w:rsidRPr="009E71E3">
        <w:rPr>
          <w:rFonts w:ascii="Verdana" w:hAnsi="Verdana"/>
          <w:sz w:val="20"/>
          <w:lang w:val="es-CR"/>
        </w:rPr>
        <w:t xml:space="preserve">Supervisión de cumplimiento de sentencia. </w:t>
      </w:r>
      <w:r w:rsidRPr="009E71E3">
        <w:rPr>
          <w:rFonts w:ascii="Verdana" w:hAnsi="Verdana"/>
          <w:sz w:val="20"/>
          <w:lang w:val="es-ES"/>
        </w:rPr>
        <w:t xml:space="preserve">Resolución de la Corte Interamericana de Derechos Humanos de </w:t>
      </w:r>
      <w:r w:rsidRPr="009E71E3">
        <w:rPr>
          <w:rFonts w:ascii="Verdana" w:hAnsi="Verdana"/>
          <w:sz w:val="20"/>
          <w:lang w:val="es-CR"/>
        </w:rPr>
        <w:t>9 de febrero de 2017</w:t>
      </w:r>
      <w:r w:rsidRPr="009E71E3">
        <w:rPr>
          <w:rFonts w:ascii="Verdana" w:hAnsi="Verdana"/>
          <w:sz w:val="20"/>
          <w:lang w:val="es-ES"/>
        </w:rPr>
        <w:t xml:space="preserve">. </w:t>
      </w:r>
    </w:p>
    <w:p w:rsidR="009E71E3" w:rsidRPr="009E71E3" w:rsidRDefault="009E71E3" w:rsidP="009E71E3">
      <w:pPr>
        <w:jc w:val="center"/>
        <w:rPr>
          <w:rFonts w:ascii="Verdana" w:hAnsi="Verdana"/>
          <w:sz w:val="20"/>
          <w:lang w:val="es-ES"/>
        </w:rPr>
      </w:pPr>
    </w:p>
    <w:p w:rsidR="009E71E3" w:rsidRPr="009E71E3" w:rsidRDefault="009E71E3" w:rsidP="009E71E3">
      <w:pPr>
        <w:jc w:val="center"/>
        <w:rPr>
          <w:rFonts w:ascii="Verdana" w:hAnsi="Verdana"/>
          <w:sz w:val="20"/>
          <w:lang w:val="es-ES"/>
        </w:rPr>
      </w:pPr>
    </w:p>
    <w:p w:rsidR="009E71E3" w:rsidRPr="009E71E3" w:rsidRDefault="009E71E3" w:rsidP="009E71E3">
      <w:pPr>
        <w:rPr>
          <w:rFonts w:ascii="Verdana" w:hAnsi="Verdana"/>
          <w:sz w:val="20"/>
          <w:lang w:val="es-ES"/>
        </w:rPr>
      </w:pPr>
    </w:p>
    <w:p w:rsidR="009E71E3" w:rsidRPr="009E71E3" w:rsidRDefault="009E71E3" w:rsidP="009E71E3">
      <w:pPr>
        <w:jc w:val="center"/>
        <w:rPr>
          <w:rFonts w:ascii="Verdana" w:hAnsi="Verdana"/>
          <w:sz w:val="20"/>
          <w:lang w:val="es-ES"/>
        </w:rPr>
      </w:pPr>
      <w:r w:rsidRPr="009E71E3">
        <w:rPr>
          <w:rFonts w:ascii="Verdana" w:hAnsi="Verdana"/>
          <w:sz w:val="20"/>
          <w:lang w:val="es-ES"/>
        </w:rPr>
        <w:t>Roberto F. Caldas</w:t>
      </w:r>
    </w:p>
    <w:p w:rsidR="009E71E3" w:rsidRPr="009E71E3" w:rsidRDefault="009E71E3" w:rsidP="009E71E3">
      <w:pPr>
        <w:jc w:val="center"/>
        <w:rPr>
          <w:rFonts w:ascii="Verdana" w:hAnsi="Verdana"/>
          <w:sz w:val="20"/>
          <w:lang w:val="es-ES"/>
        </w:rPr>
      </w:pPr>
      <w:r w:rsidRPr="009E71E3">
        <w:rPr>
          <w:rFonts w:ascii="Verdana" w:hAnsi="Verdana"/>
          <w:sz w:val="20"/>
          <w:lang w:val="es-ES"/>
        </w:rPr>
        <w:t xml:space="preserve">Presidente </w:t>
      </w:r>
    </w:p>
    <w:p w:rsidR="009E71E3" w:rsidRPr="009E71E3" w:rsidRDefault="009E71E3" w:rsidP="009E71E3">
      <w:pPr>
        <w:jc w:val="both"/>
        <w:rPr>
          <w:rFonts w:ascii="Verdana" w:hAnsi="Verdana"/>
          <w:sz w:val="20"/>
          <w:lang w:val="es-ES"/>
        </w:rPr>
      </w:pPr>
    </w:p>
    <w:p w:rsidR="009E71E3" w:rsidRPr="009E71E3" w:rsidRDefault="009E71E3" w:rsidP="009E71E3">
      <w:pPr>
        <w:tabs>
          <w:tab w:val="left" w:pos="1485"/>
        </w:tabs>
        <w:jc w:val="both"/>
        <w:rPr>
          <w:rFonts w:ascii="Verdana" w:hAnsi="Verdana"/>
          <w:sz w:val="20"/>
          <w:lang w:val="es-ES"/>
        </w:rPr>
      </w:pPr>
      <w:r w:rsidRPr="009E71E3">
        <w:rPr>
          <w:rFonts w:ascii="Verdana" w:hAnsi="Verdana"/>
          <w:sz w:val="20"/>
          <w:lang w:val="es-ES"/>
        </w:rPr>
        <w:tab/>
      </w: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r w:rsidRPr="009E71E3">
        <w:rPr>
          <w:rFonts w:ascii="Verdana" w:hAnsi="Verdana"/>
          <w:sz w:val="20"/>
          <w:lang w:val="es-ES"/>
        </w:rPr>
        <w:t>Eduardo Fer</w:t>
      </w:r>
      <w:r w:rsidR="002C4FA6">
        <w:rPr>
          <w:rFonts w:ascii="Verdana" w:hAnsi="Verdana"/>
          <w:sz w:val="20"/>
          <w:lang w:val="es-ES"/>
        </w:rPr>
        <w:t>rer Mac-</w:t>
      </w:r>
      <w:proofErr w:type="spellStart"/>
      <w:r w:rsidR="002C4FA6">
        <w:rPr>
          <w:rFonts w:ascii="Verdana" w:hAnsi="Verdana"/>
          <w:sz w:val="20"/>
          <w:lang w:val="es-ES"/>
        </w:rPr>
        <w:t>Gregor</w:t>
      </w:r>
      <w:proofErr w:type="spellEnd"/>
      <w:r w:rsidR="002C4FA6">
        <w:rPr>
          <w:rFonts w:ascii="Verdana" w:hAnsi="Verdana"/>
          <w:sz w:val="20"/>
          <w:lang w:val="es-ES"/>
        </w:rPr>
        <w:t xml:space="preserve"> </w:t>
      </w:r>
      <w:proofErr w:type="spellStart"/>
      <w:r w:rsidR="002C4FA6">
        <w:rPr>
          <w:rFonts w:ascii="Verdana" w:hAnsi="Verdana"/>
          <w:sz w:val="20"/>
          <w:lang w:val="es-ES"/>
        </w:rPr>
        <w:t>Poisot</w:t>
      </w:r>
      <w:proofErr w:type="spellEnd"/>
      <w:r w:rsidR="002C4FA6">
        <w:rPr>
          <w:rFonts w:ascii="Verdana" w:hAnsi="Verdana"/>
          <w:sz w:val="20"/>
          <w:lang w:val="es-ES"/>
        </w:rPr>
        <w:tab/>
      </w:r>
      <w:r w:rsidR="002C4FA6">
        <w:rPr>
          <w:rFonts w:ascii="Verdana" w:hAnsi="Verdana"/>
          <w:sz w:val="20"/>
          <w:lang w:val="es-ES"/>
        </w:rPr>
        <w:tab/>
      </w:r>
      <w:r w:rsidR="002C4FA6">
        <w:rPr>
          <w:rFonts w:ascii="Verdana" w:hAnsi="Verdana"/>
          <w:sz w:val="20"/>
          <w:lang w:val="es-ES"/>
        </w:rPr>
        <w:tab/>
      </w:r>
      <w:r w:rsidR="002C4FA6">
        <w:rPr>
          <w:rFonts w:ascii="Verdana" w:hAnsi="Verdana"/>
          <w:sz w:val="20"/>
          <w:lang w:val="es-ES"/>
        </w:rPr>
        <w:tab/>
      </w:r>
      <w:r w:rsidR="002C4FA6">
        <w:rPr>
          <w:rFonts w:ascii="Verdana" w:hAnsi="Verdana"/>
          <w:sz w:val="20"/>
          <w:lang w:val="es-ES"/>
        </w:rPr>
        <w:tab/>
        <w:t xml:space="preserve">     </w:t>
      </w:r>
      <w:r w:rsidRPr="009E71E3">
        <w:rPr>
          <w:rFonts w:ascii="Verdana" w:hAnsi="Verdana"/>
          <w:sz w:val="20"/>
          <w:lang w:val="es-ES"/>
        </w:rPr>
        <w:t xml:space="preserve"> Eduardo Vio Grossi</w:t>
      </w: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r w:rsidRPr="009E71E3">
        <w:rPr>
          <w:rFonts w:ascii="Verdana" w:hAnsi="Verdana"/>
          <w:sz w:val="20"/>
          <w:lang w:val="es-ES"/>
        </w:rPr>
        <w:t>Humber</w:t>
      </w:r>
      <w:r w:rsidR="002C4FA6">
        <w:rPr>
          <w:rFonts w:ascii="Verdana" w:hAnsi="Verdana"/>
          <w:sz w:val="20"/>
          <w:lang w:val="es-ES"/>
        </w:rPr>
        <w:t>to Antonio Sierra Porto</w:t>
      </w:r>
      <w:r w:rsidR="002C4FA6">
        <w:rPr>
          <w:rFonts w:ascii="Verdana" w:hAnsi="Verdana"/>
          <w:sz w:val="20"/>
          <w:lang w:val="es-ES"/>
        </w:rPr>
        <w:tab/>
      </w:r>
      <w:r w:rsidR="002C4FA6">
        <w:rPr>
          <w:rFonts w:ascii="Verdana" w:hAnsi="Verdana"/>
          <w:sz w:val="20"/>
          <w:lang w:val="es-ES"/>
        </w:rPr>
        <w:tab/>
      </w:r>
      <w:r w:rsidR="002C4FA6">
        <w:rPr>
          <w:rFonts w:ascii="Verdana" w:hAnsi="Verdana"/>
          <w:sz w:val="20"/>
          <w:lang w:val="es-ES"/>
        </w:rPr>
        <w:tab/>
      </w:r>
      <w:r w:rsidR="002C4FA6">
        <w:rPr>
          <w:rFonts w:ascii="Verdana" w:hAnsi="Verdana"/>
          <w:sz w:val="20"/>
          <w:lang w:val="es-ES"/>
        </w:rPr>
        <w:tab/>
      </w:r>
      <w:r w:rsidR="002C4FA6">
        <w:rPr>
          <w:rFonts w:ascii="Verdana" w:hAnsi="Verdana"/>
          <w:sz w:val="20"/>
          <w:lang w:val="es-ES"/>
        </w:rPr>
        <w:tab/>
        <w:t xml:space="preserve">  </w:t>
      </w:r>
      <w:r w:rsidRPr="009E71E3">
        <w:rPr>
          <w:rFonts w:ascii="Verdana" w:hAnsi="Verdana"/>
          <w:sz w:val="20"/>
          <w:lang w:val="es-ES"/>
        </w:rPr>
        <w:t>Elizabeth</w:t>
      </w:r>
      <w:r w:rsidR="002C4FA6">
        <w:rPr>
          <w:rFonts w:ascii="Verdana" w:hAnsi="Verdana"/>
          <w:sz w:val="20"/>
          <w:lang w:val="es-ES"/>
        </w:rPr>
        <w:t xml:space="preserve"> </w:t>
      </w:r>
      <w:r w:rsidRPr="009E71E3">
        <w:rPr>
          <w:rFonts w:ascii="Verdana" w:hAnsi="Verdana"/>
          <w:sz w:val="20"/>
          <w:lang w:val="es-ES"/>
        </w:rPr>
        <w:t xml:space="preserve">Odio Benito </w:t>
      </w: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rPr>
          <w:rFonts w:ascii="Verdana" w:hAnsi="Verdana"/>
          <w:sz w:val="20"/>
          <w:lang w:val="es-ES"/>
        </w:rPr>
      </w:pPr>
      <w:r w:rsidRPr="009E71E3">
        <w:rPr>
          <w:rFonts w:ascii="Verdana" w:hAnsi="Verdana"/>
          <w:sz w:val="20"/>
          <w:lang w:val="es-ES"/>
        </w:rPr>
        <w:t>Eug</w:t>
      </w:r>
      <w:r w:rsidR="001821E3">
        <w:rPr>
          <w:rFonts w:ascii="Verdana" w:hAnsi="Verdana"/>
          <w:sz w:val="20"/>
          <w:lang w:val="es-ES"/>
        </w:rPr>
        <w:t xml:space="preserve">enio Raúl </w:t>
      </w:r>
      <w:proofErr w:type="spellStart"/>
      <w:r w:rsidR="001821E3">
        <w:rPr>
          <w:rFonts w:ascii="Verdana" w:hAnsi="Verdana"/>
          <w:sz w:val="20"/>
          <w:lang w:val="es-ES"/>
        </w:rPr>
        <w:t>Zaffaroni</w:t>
      </w:r>
      <w:proofErr w:type="spellEnd"/>
      <w:r w:rsidR="001821E3">
        <w:rPr>
          <w:rFonts w:ascii="Verdana" w:hAnsi="Verdana"/>
          <w:sz w:val="20"/>
          <w:lang w:val="es-ES"/>
        </w:rPr>
        <w:t xml:space="preserve"> </w:t>
      </w:r>
      <w:r w:rsidR="001821E3">
        <w:rPr>
          <w:rFonts w:ascii="Verdana" w:hAnsi="Verdana"/>
          <w:sz w:val="20"/>
          <w:lang w:val="es-ES"/>
        </w:rPr>
        <w:tab/>
      </w:r>
      <w:r w:rsidR="001821E3">
        <w:rPr>
          <w:rFonts w:ascii="Verdana" w:hAnsi="Verdana"/>
          <w:sz w:val="20"/>
          <w:lang w:val="es-ES"/>
        </w:rPr>
        <w:tab/>
      </w:r>
      <w:r w:rsidR="001821E3">
        <w:rPr>
          <w:rFonts w:ascii="Verdana" w:hAnsi="Verdana"/>
          <w:sz w:val="20"/>
          <w:lang w:val="es-ES"/>
        </w:rPr>
        <w:tab/>
      </w:r>
      <w:r w:rsidR="001821E3">
        <w:rPr>
          <w:rFonts w:ascii="Verdana" w:hAnsi="Verdana"/>
          <w:sz w:val="20"/>
          <w:lang w:val="es-ES"/>
        </w:rPr>
        <w:tab/>
      </w:r>
      <w:r w:rsidR="001821E3">
        <w:rPr>
          <w:rFonts w:ascii="Verdana" w:hAnsi="Verdana"/>
          <w:sz w:val="20"/>
          <w:lang w:val="es-ES"/>
        </w:rPr>
        <w:tab/>
        <w:t xml:space="preserve">      </w:t>
      </w:r>
      <w:bookmarkStart w:id="44" w:name="_GoBack"/>
      <w:bookmarkEnd w:id="44"/>
      <w:r w:rsidRPr="009E71E3">
        <w:rPr>
          <w:rFonts w:ascii="Verdana" w:hAnsi="Verdana"/>
          <w:sz w:val="20"/>
          <w:lang w:val="es-ES"/>
        </w:rPr>
        <w:t xml:space="preserve"> L. Patricio Pazmiño Freire</w:t>
      </w: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center"/>
        <w:rPr>
          <w:rFonts w:ascii="Verdana" w:hAnsi="Verdana"/>
          <w:sz w:val="20"/>
          <w:lang w:val="es-ES"/>
        </w:rPr>
      </w:pPr>
      <w:r w:rsidRPr="009E71E3">
        <w:rPr>
          <w:rFonts w:ascii="Verdana" w:hAnsi="Verdana"/>
          <w:sz w:val="20"/>
          <w:lang w:val="es-ES"/>
        </w:rPr>
        <w:t>Pablo Saavedra Alessandri</w:t>
      </w:r>
    </w:p>
    <w:p w:rsidR="009E71E3" w:rsidRPr="009E71E3" w:rsidRDefault="009E71E3" w:rsidP="009E71E3">
      <w:pPr>
        <w:jc w:val="center"/>
        <w:rPr>
          <w:rFonts w:ascii="Verdana" w:hAnsi="Verdana"/>
          <w:sz w:val="20"/>
          <w:lang w:val="es-ES"/>
        </w:rPr>
      </w:pPr>
      <w:r w:rsidRPr="009E71E3">
        <w:rPr>
          <w:rFonts w:ascii="Verdana" w:hAnsi="Verdana"/>
          <w:sz w:val="20"/>
          <w:lang w:val="es-ES"/>
        </w:rPr>
        <w:t>Secretario</w:t>
      </w:r>
    </w:p>
    <w:p w:rsidR="009E71E3" w:rsidRPr="009E71E3" w:rsidRDefault="009E71E3" w:rsidP="009E71E3">
      <w:pPr>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r w:rsidRPr="009E71E3">
        <w:rPr>
          <w:rFonts w:ascii="Verdana" w:hAnsi="Verdana"/>
          <w:sz w:val="20"/>
          <w:lang w:val="es-ES"/>
        </w:rPr>
        <w:t>Comuníquese y ejecútese,</w:t>
      </w: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ind w:left="4956" w:firstLine="708"/>
        <w:jc w:val="center"/>
        <w:rPr>
          <w:rFonts w:ascii="Verdana" w:hAnsi="Verdana"/>
          <w:sz w:val="20"/>
          <w:lang w:val="es-ES"/>
        </w:rPr>
      </w:pPr>
      <w:r w:rsidRPr="009E71E3">
        <w:rPr>
          <w:rFonts w:ascii="Verdana" w:hAnsi="Verdana"/>
          <w:sz w:val="20"/>
          <w:lang w:val="es-ES"/>
        </w:rPr>
        <w:t>Roberto F. Caldas</w:t>
      </w:r>
    </w:p>
    <w:p w:rsidR="009E71E3" w:rsidRPr="009E71E3" w:rsidRDefault="009E71E3" w:rsidP="009E71E3">
      <w:pPr>
        <w:ind w:left="4956" w:firstLine="708"/>
        <w:jc w:val="center"/>
        <w:rPr>
          <w:rFonts w:ascii="Verdana" w:hAnsi="Verdana"/>
          <w:sz w:val="20"/>
          <w:lang w:val="es-ES"/>
        </w:rPr>
      </w:pPr>
      <w:r w:rsidRPr="009E71E3">
        <w:rPr>
          <w:rFonts w:ascii="Verdana" w:hAnsi="Verdana"/>
          <w:sz w:val="20"/>
          <w:lang w:val="es-ES"/>
        </w:rPr>
        <w:t xml:space="preserve">Presidente </w:t>
      </w: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p>
    <w:p w:rsidR="009E71E3" w:rsidRPr="009E71E3" w:rsidRDefault="009E71E3" w:rsidP="009E71E3">
      <w:pPr>
        <w:jc w:val="both"/>
        <w:rPr>
          <w:rFonts w:ascii="Verdana" w:hAnsi="Verdana"/>
          <w:sz w:val="20"/>
          <w:lang w:val="es-ES"/>
        </w:rPr>
      </w:pPr>
      <w:r w:rsidRPr="009E71E3">
        <w:rPr>
          <w:rFonts w:ascii="Verdana" w:hAnsi="Verdana"/>
          <w:sz w:val="20"/>
          <w:lang w:val="es-ES"/>
        </w:rPr>
        <w:t>Pablo Saavedra Alessandri</w:t>
      </w:r>
    </w:p>
    <w:p w:rsidR="009E71E3" w:rsidRPr="009E71E3" w:rsidRDefault="009E71E3" w:rsidP="009E71E3">
      <w:pPr>
        <w:rPr>
          <w:rFonts w:ascii="Verdana" w:hAnsi="Verdana"/>
          <w:sz w:val="20"/>
          <w:lang w:val="es-CR"/>
        </w:rPr>
      </w:pPr>
      <w:r w:rsidRPr="009E71E3">
        <w:rPr>
          <w:rFonts w:ascii="Verdana" w:hAnsi="Verdana"/>
          <w:sz w:val="20"/>
          <w:lang w:val="es-ES"/>
        </w:rPr>
        <w:tab/>
      </w:r>
      <w:r w:rsidRPr="009E71E3">
        <w:rPr>
          <w:rFonts w:ascii="Verdana" w:hAnsi="Verdana"/>
          <w:sz w:val="20"/>
          <w:lang w:val="es-CR"/>
        </w:rPr>
        <w:t>Secretario</w:t>
      </w:r>
    </w:p>
    <w:p w:rsidR="006E0A95" w:rsidRPr="00917A93" w:rsidRDefault="006E0A95" w:rsidP="006E0A95">
      <w:pPr>
        <w:jc w:val="both"/>
        <w:rPr>
          <w:rFonts w:ascii="Verdana" w:hAnsi="Verdana"/>
          <w:sz w:val="20"/>
        </w:rPr>
      </w:pPr>
    </w:p>
    <w:sectPr w:rsidR="006E0A95" w:rsidRPr="00917A93" w:rsidSect="006E0A95">
      <w:headerReference w:type="default" r:id="rId9"/>
      <w:footerReference w:type="default" r:id="rId1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213" w:rsidRDefault="005A3213" w:rsidP="001E779D">
      <w:r>
        <w:separator/>
      </w:r>
    </w:p>
  </w:endnote>
  <w:endnote w:type="continuationSeparator" w:id="0">
    <w:p w:rsidR="005A3213" w:rsidRDefault="005A3213" w:rsidP="001E7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3F96A70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1B6" w:rsidRDefault="00EE61B6">
    <w:pPr>
      <w:pStyle w:val="Piedepgina"/>
      <w:jc w:val="center"/>
    </w:pPr>
  </w:p>
  <w:p w:rsidR="00EE61B6" w:rsidRDefault="00EE61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213" w:rsidRDefault="005A3213" w:rsidP="001E779D">
      <w:r>
        <w:separator/>
      </w:r>
    </w:p>
  </w:footnote>
  <w:footnote w:type="continuationSeparator" w:id="0">
    <w:p w:rsidR="005A3213" w:rsidRDefault="005A3213" w:rsidP="001E779D">
      <w:r>
        <w:continuationSeparator/>
      </w:r>
    </w:p>
  </w:footnote>
  <w:footnote w:id="1">
    <w:p w:rsidR="00EE61B6" w:rsidRPr="0004546B" w:rsidRDefault="00EE61B6" w:rsidP="001E779D">
      <w:pPr>
        <w:pStyle w:val="Textonotapie"/>
        <w:jc w:val="both"/>
        <w:rPr>
          <w:rFonts w:ascii="Verdana" w:hAnsi="Verdana"/>
          <w:sz w:val="16"/>
          <w:szCs w:val="16"/>
        </w:rPr>
      </w:pPr>
      <w:r w:rsidRPr="0004546B">
        <w:rPr>
          <w:rStyle w:val="Refdenotaalpie"/>
          <w:rFonts w:ascii="Verdana" w:hAnsi="Verdana"/>
          <w:sz w:val="16"/>
          <w:szCs w:val="16"/>
        </w:rPr>
        <w:footnoteRef/>
      </w:r>
      <w:r w:rsidRPr="0004546B">
        <w:rPr>
          <w:rFonts w:ascii="Verdana" w:hAnsi="Verdana"/>
          <w:sz w:val="16"/>
          <w:szCs w:val="16"/>
        </w:rPr>
        <w:t xml:space="preserve"> </w:t>
      </w:r>
      <w:r w:rsidRPr="0004546B">
        <w:rPr>
          <w:rFonts w:ascii="Verdana" w:hAnsi="Verdana"/>
          <w:sz w:val="16"/>
          <w:szCs w:val="16"/>
        </w:rPr>
        <w:tab/>
      </w:r>
      <w:r w:rsidRPr="00E919D5">
        <w:rPr>
          <w:rFonts w:ascii="Verdana" w:hAnsi="Verdana"/>
          <w:i/>
          <w:sz w:val="16"/>
          <w:szCs w:val="16"/>
        </w:rPr>
        <w:t>Cfr</w:t>
      </w:r>
      <w:r w:rsidRPr="00531717">
        <w:rPr>
          <w:rStyle w:val="Textoennegrita"/>
          <w:rFonts w:ascii="Verdana" w:hAnsi="Verdana"/>
          <w:b w:val="0"/>
          <w:color w:val="000000"/>
          <w:sz w:val="16"/>
          <w:szCs w:val="16"/>
          <w:shd w:val="clear" w:color="auto" w:fill="FFFFFF"/>
        </w:rPr>
        <w:t>.</w:t>
      </w:r>
      <w:r w:rsidRPr="00E919D5">
        <w:rPr>
          <w:rStyle w:val="Textoennegrita"/>
          <w:rFonts w:ascii="Verdana" w:hAnsi="Verdana"/>
          <w:color w:val="000000"/>
          <w:sz w:val="16"/>
          <w:szCs w:val="16"/>
          <w:shd w:val="clear" w:color="auto" w:fill="FFFFFF"/>
        </w:rPr>
        <w:t xml:space="preserve"> </w:t>
      </w:r>
      <w:r w:rsidRPr="00EE1EF0">
        <w:rPr>
          <w:rFonts w:ascii="Verdana" w:hAnsi="Verdana"/>
          <w:bCs/>
          <w:i/>
          <w:color w:val="000000"/>
          <w:sz w:val="16"/>
          <w:szCs w:val="16"/>
          <w:shd w:val="clear" w:color="auto" w:fill="FFFFFF"/>
        </w:rPr>
        <w:t xml:space="preserve">Caso </w:t>
      </w:r>
      <w:proofErr w:type="spellStart"/>
      <w:r w:rsidRPr="00EE1EF0">
        <w:rPr>
          <w:rFonts w:ascii="Verdana" w:hAnsi="Verdana"/>
          <w:bCs/>
          <w:i/>
          <w:color w:val="000000"/>
          <w:sz w:val="16"/>
          <w:szCs w:val="16"/>
          <w:shd w:val="clear" w:color="auto" w:fill="FFFFFF"/>
        </w:rPr>
        <w:t>Rochac</w:t>
      </w:r>
      <w:proofErr w:type="spellEnd"/>
      <w:r w:rsidRPr="00EE1EF0">
        <w:rPr>
          <w:rFonts w:ascii="Verdana" w:hAnsi="Verdana"/>
          <w:bCs/>
          <w:i/>
          <w:color w:val="000000"/>
          <w:sz w:val="16"/>
          <w:szCs w:val="16"/>
          <w:shd w:val="clear" w:color="auto" w:fill="FFFFFF"/>
        </w:rPr>
        <w:t xml:space="preserve"> Hernández y otros Vs. El Salvador</w:t>
      </w:r>
      <w:r w:rsidRPr="00EE1EF0">
        <w:rPr>
          <w:rFonts w:ascii="Verdana" w:hAnsi="Verdana"/>
          <w:bCs/>
          <w:color w:val="000000"/>
          <w:sz w:val="16"/>
          <w:szCs w:val="16"/>
          <w:shd w:val="clear" w:color="auto" w:fill="FFFFFF"/>
        </w:rPr>
        <w:t xml:space="preserve">. </w:t>
      </w:r>
      <w:r w:rsidRPr="00CE5F22">
        <w:rPr>
          <w:rFonts w:ascii="Verdana" w:hAnsi="Verdana"/>
          <w:bCs/>
          <w:i/>
          <w:color w:val="000000"/>
          <w:sz w:val="16"/>
          <w:szCs w:val="16"/>
          <w:shd w:val="clear" w:color="auto" w:fill="FFFFFF"/>
        </w:rPr>
        <w:t>Fondo, Reparaciones y Costas</w:t>
      </w:r>
      <w:r w:rsidRPr="00EE1EF0">
        <w:rPr>
          <w:rFonts w:ascii="Verdana" w:hAnsi="Verdana"/>
          <w:bCs/>
          <w:color w:val="000000"/>
          <w:sz w:val="16"/>
          <w:szCs w:val="16"/>
          <w:shd w:val="clear" w:color="auto" w:fill="FFFFFF"/>
        </w:rPr>
        <w:t>. Sentencia de 14 de octubre de 2014. Serie C No. 285.</w:t>
      </w:r>
      <w:r>
        <w:rPr>
          <w:rFonts w:ascii="Verdana" w:hAnsi="Verdana"/>
          <w:b/>
          <w:bCs/>
          <w:i/>
          <w:color w:val="000000"/>
          <w:sz w:val="16"/>
          <w:szCs w:val="16"/>
          <w:shd w:val="clear" w:color="auto" w:fill="FFFFFF"/>
        </w:rPr>
        <w:t xml:space="preserve"> </w:t>
      </w:r>
      <w:r w:rsidRPr="00E919D5">
        <w:rPr>
          <w:rFonts w:ascii="Verdana" w:hAnsi="Verdana"/>
          <w:sz w:val="16"/>
          <w:szCs w:val="16"/>
        </w:rPr>
        <w:t xml:space="preserve">El texto íntegro de la Sentencia se encuentra disponible en: </w:t>
      </w:r>
      <w:hyperlink r:id="rId1" w:history="1">
        <w:r w:rsidRPr="000933B1">
          <w:rPr>
            <w:rStyle w:val="Hipervnculo"/>
            <w:rFonts w:ascii="Verdana" w:hAnsi="Verdana"/>
            <w:sz w:val="16"/>
            <w:szCs w:val="16"/>
          </w:rPr>
          <w:t>http://www.corteidh.or.cr/docs/casos/articulos/seriec_285_esp.pdf</w:t>
        </w:r>
      </w:hyperlink>
      <w:r>
        <w:rPr>
          <w:rFonts w:ascii="Verdana" w:hAnsi="Verdana"/>
          <w:sz w:val="16"/>
          <w:szCs w:val="16"/>
        </w:rPr>
        <w:t xml:space="preserve">. </w:t>
      </w:r>
      <w:r w:rsidRPr="00E919D5">
        <w:rPr>
          <w:rFonts w:ascii="Verdana" w:hAnsi="Verdana"/>
          <w:sz w:val="16"/>
          <w:szCs w:val="16"/>
        </w:rPr>
        <w:t>La Sentenci</w:t>
      </w:r>
      <w:r>
        <w:rPr>
          <w:rFonts w:ascii="Verdana" w:hAnsi="Verdana"/>
          <w:sz w:val="16"/>
          <w:szCs w:val="16"/>
        </w:rPr>
        <w:t>a fue notificada al Estado el 27</w:t>
      </w:r>
      <w:r w:rsidRPr="00E919D5">
        <w:rPr>
          <w:rFonts w:ascii="Verdana" w:hAnsi="Verdana"/>
          <w:sz w:val="16"/>
          <w:szCs w:val="16"/>
        </w:rPr>
        <w:t xml:space="preserve"> de </w:t>
      </w:r>
      <w:r>
        <w:rPr>
          <w:rFonts w:ascii="Verdana" w:hAnsi="Verdana"/>
          <w:sz w:val="16"/>
          <w:szCs w:val="16"/>
        </w:rPr>
        <w:t>n</w:t>
      </w:r>
      <w:r w:rsidRPr="00E919D5">
        <w:rPr>
          <w:rFonts w:ascii="Verdana" w:hAnsi="Verdana"/>
          <w:sz w:val="16"/>
          <w:szCs w:val="16"/>
        </w:rPr>
        <w:t>o</w:t>
      </w:r>
      <w:r>
        <w:rPr>
          <w:rFonts w:ascii="Verdana" w:hAnsi="Verdana"/>
          <w:sz w:val="16"/>
          <w:szCs w:val="16"/>
        </w:rPr>
        <w:t>viembre</w:t>
      </w:r>
      <w:r w:rsidRPr="00E919D5">
        <w:rPr>
          <w:rFonts w:ascii="Verdana" w:hAnsi="Verdana"/>
          <w:sz w:val="16"/>
          <w:szCs w:val="16"/>
        </w:rPr>
        <w:t xml:space="preserve"> de 20</w:t>
      </w:r>
      <w:r>
        <w:rPr>
          <w:rFonts w:ascii="Verdana" w:hAnsi="Verdana"/>
          <w:sz w:val="16"/>
          <w:szCs w:val="16"/>
        </w:rPr>
        <w:t>14</w:t>
      </w:r>
      <w:r w:rsidRPr="00E919D5">
        <w:rPr>
          <w:rFonts w:ascii="Verdana" w:hAnsi="Verdana"/>
          <w:sz w:val="16"/>
          <w:szCs w:val="16"/>
        </w:rPr>
        <w:t>.</w:t>
      </w:r>
    </w:p>
  </w:footnote>
  <w:footnote w:id="2">
    <w:p w:rsidR="00EE61B6" w:rsidRPr="00E501FE" w:rsidRDefault="00EE61B6" w:rsidP="001E779D">
      <w:pPr>
        <w:pStyle w:val="Textonotapie"/>
        <w:jc w:val="both"/>
        <w:rPr>
          <w:rFonts w:ascii="Verdana" w:hAnsi="Verdana"/>
          <w:sz w:val="16"/>
          <w:szCs w:val="16"/>
        </w:rPr>
      </w:pPr>
      <w:r w:rsidRPr="00E501FE">
        <w:rPr>
          <w:rStyle w:val="Refdenotaalpie"/>
          <w:rFonts w:ascii="Verdana" w:hAnsi="Verdana"/>
          <w:sz w:val="16"/>
          <w:szCs w:val="16"/>
        </w:rPr>
        <w:footnoteRef/>
      </w:r>
      <w:r w:rsidRPr="00E501FE">
        <w:rPr>
          <w:rFonts w:ascii="Verdana" w:hAnsi="Verdana"/>
          <w:sz w:val="16"/>
          <w:szCs w:val="16"/>
        </w:rPr>
        <w:t xml:space="preserve"> </w:t>
      </w:r>
      <w:r w:rsidRPr="00E501FE">
        <w:rPr>
          <w:rFonts w:ascii="Verdana" w:hAnsi="Verdana"/>
          <w:sz w:val="16"/>
          <w:szCs w:val="16"/>
        </w:rPr>
        <w:tab/>
      </w:r>
      <w:r w:rsidR="006934E2">
        <w:rPr>
          <w:rFonts w:ascii="Verdana" w:hAnsi="Verdana"/>
          <w:sz w:val="16"/>
          <w:szCs w:val="16"/>
        </w:rPr>
        <w:t>Las víctimas del presente caso son representa</w:t>
      </w:r>
      <w:r w:rsidR="00A734AC">
        <w:rPr>
          <w:rFonts w:ascii="Verdana" w:hAnsi="Verdana"/>
          <w:sz w:val="16"/>
          <w:szCs w:val="16"/>
        </w:rPr>
        <w:t>das</w:t>
      </w:r>
      <w:r w:rsidR="006934E2">
        <w:rPr>
          <w:rFonts w:ascii="Verdana" w:hAnsi="Verdana"/>
          <w:sz w:val="16"/>
          <w:szCs w:val="16"/>
        </w:rPr>
        <w:t xml:space="preserve"> por la </w:t>
      </w:r>
      <w:r>
        <w:rPr>
          <w:rFonts w:ascii="Verdana" w:hAnsi="Verdana"/>
          <w:sz w:val="16"/>
          <w:szCs w:val="16"/>
        </w:rPr>
        <w:t>Asociación Pro-Búsqueda de Niños y Niñas Desaparecidos.</w:t>
      </w:r>
    </w:p>
  </w:footnote>
  <w:footnote w:id="3">
    <w:p w:rsidR="00EE61B6" w:rsidRPr="005F11DD" w:rsidRDefault="00EE61B6" w:rsidP="001E779D">
      <w:pPr>
        <w:pStyle w:val="Textonotapie"/>
        <w:ind w:right="4"/>
        <w:jc w:val="both"/>
        <w:rPr>
          <w:rFonts w:ascii="Verdana" w:hAnsi="Verdana" w:cs="Times New Roman"/>
          <w:sz w:val="16"/>
          <w:szCs w:val="16"/>
        </w:rPr>
      </w:pPr>
      <w:r w:rsidRPr="00E501FE">
        <w:rPr>
          <w:rStyle w:val="Refdenotaalpie"/>
          <w:rFonts w:ascii="Verdana" w:hAnsi="Verdana"/>
          <w:sz w:val="16"/>
          <w:szCs w:val="16"/>
        </w:rPr>
        <w:footnoteRef/>
      </w:r>
      <w:r w:rsidRPr="00E501FE">
        <w:rPr>
          <w:rFonts w:ascii="Verdana" w:hAnsi="Verdana"/>
          <w:sz w:val="16"/>
          <w:szCs w:val="16"/>
        </w:rPr>
        <w:t xml:space="preserve"> </w:t>
      </w:r>
      <w:r w:rsidRPr="00E501FE">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4">
    <w:p w:rsidR="00EE61B6" w:rsidRPr="00E501FE" w:rsidRDefault="00EE61B6" w:rsidP="001E779D">
      <w:pPr>
        <w:pStyle w:val="Textonotapie"/>
        <w:jc w:val="both"/>
        <w:rPr>
          <w:rFonts w:ascii="Verdana" w:hAnsi="Verdana"/>
          <w:i/>
          <w:sz w:val="16"/>
          <w:szCs w:val="16"/>
        </w:rPr>
      </w:pPr>
      <w:r w:rsidRPr="00E501FE">
        <w:rPr>
          <w:rStyle w:val="Refdenotaalpie"/>
          <w:rFonts w:ascii="Verdana" w:hAnsi="Verdana"/>
          <w:sz w:val="16"/>
          <w:szCs w:val="16"/>
        </w:rPr>
        <w:footnoteRef/>
      </w:r>
      <w:r w:rsidRPr="00E501FE">
        <w:rPr>
          <w:rFonts w:ascii="Verdana" w:hAnsi="Verdana"/>
          <w:b/>
          <w:sz w:val="16"/>
          <w:szCs w:val="16"/>
        </w:rPr>
        <w:t xml:space="preserve"> </w:t>
      </w:r>
      <w:r w:rsidRPr="00E501FE">
        <w:rPr>
          <w:rFonts w:ascii="Verdana" w:hAnsi="Verdana"/>
          <w:b/>
          <w:sz w:val="16"/>
          <w:szCs w:val="16"/>
        </w:rPr>
        <w:tab/>
      </w:r>
      <w:r w:rsidRPr="00E501FE">
        <w:rPr>
          <w:rFonts w:ascii="Verdana" w:hAnsi="Verdana"/>
          <w:i/>
          <w:sz w:val="16"/>
          <w:szCs w:val="16"/>
        </w:rPr>
        <w:t xml:space="preserve">Cfr. Caso </w:t>
      </w:r>
      <w:proofErr w:type="spellStart"/>
      <w:r w:rsidRPr="00E501FE">
        <w:rPr>
          <w:rFonts w:ascii="Verdana" w:hAnsi="Verdana"/>
          <w:i/>
          <w:sz w:val="16"/>
          <w:szCs w:val="16"/>
        </w:rPr>
        <w:t>Ivcher</w:t>
      </w:r>
      <w:proofErr w:type="spellEnd"/>
      <w:r w:rsidRPr="00E501FE">
        <w:rPr>
          <w:rFonts w:ascii="Verdana" w:hAnsi="Verdana"/>
          <w:i/>
          <w:sz w:val="16"/>
          <w:szCs w:val="16"/>
        </w:rPr>
        <w:t xml:space="preserve"> </w:t>
      </w:r>
      <w:proofErr w:type="spellStart"/>
      <w:r w:rsidRPr="00E501FE">
        <w:rPr>
          <w:rFonts w:ascii="Verdana" w:hAnsi="Verdana"/>
          <w:i/>
          <w:sz w:val="16"/>
          <w:szCs w:val="16"/>
        </w:rPr>
        <w:t>Bronstein</w:t>
      </w:r>
      <w:proofErr w:type="spellEnd"/>
      <w:r w:rsidRPr="00E501FE">
        <w:rPr>
          <w:rFonts w:ascii="Verdana" w:hAnsi="Verdana"/>
          <w:i/>
          <w:sz w:val="16"/>
          <w:szCs w:val="16"/>
        </w:rPr>
        <w:t xml:space="preserve"> Vs. Perú. Competencia.</w:t>
      </w:r>
      <w:r w:rsidRPr="00E501FE">
        <w:rPr>
          <w:rFonts w:ascii="Verdana" w:hAnsi="Verdana"/>
          <w:sz w:val="16"/>
          <w:szCs w:val="16"/>
        </w:rPr>
        <w:t xml:space="preserve"> Sentencia de la Corte Interamericana de Derechos Humanos de 24 de septiembre de 1999. Serie C No. 54, párr. 37, y </w:t>
      </w:r>
      <w:r w:rsidR="00D0597C">
        <w:rPr>
          <w:rFonts w:ascii="Verdana" w:hAnsi="Verdana"/>
          <w:bCs/>
          <w:i/>
          <w:color w:val="000000"/>
          <w:sz w:val="16"/>
          <w:szCs w:val="16"/>
          <w:lang w:val="es-AR"/>
        </w:rPr>
        <w:t>Caso Defensor de los Derechos Humanos y otros Vs. Guatemala.</w:t>
      </w:r>
      <w:r w:rsidR="00D0597C">
        <w:rPr>
          <w:rFonts w:ascii="Verdana" w:hAnsi="Verdana"/>
          <w:bCs/>
          <w:color w:val="000000"/>
          <w:sz w:val="16"/>
          <w:szCs w:val="16"/>
          <w:lang w:val="es-AR"/>
        </w:rPr>
        <w:t xml:space="preserve"> Supervisión de Cumplimiento de Sentencia. Resolución de la Corte Interamericana de Derechos Humanos de 22 de noviembre de 2016, Considerando 2.</w:t>
      </w:r>
    </w:p>
  </w:footnote>
  <w:footnote w:id="5">
    <w:p w:rsidR="00EE61B6" w:rsidRPr="00776CF2" w:rsidRDefault="00EE61B6" w:rsidP="001E779D">
      <w:pPr>
        <w:pStyle w:val="Textonotapie"/>
        <w:jc w:val="both"/>
      </w:pPr>
      <w:r w:rsidRPr="00643E9A">
        <w:rPr>
          <w:rStyle w:val="Refdenotaalpie"/>
          <w:rFonts w:ascii="Verdana" w:hAnsi="Verdana"/>
          <w:sz w:val="16"/>
          <w:szCs w:val="16"/>
        </w:rPr>
        <w:footnoteRef/>
      </w:r>
      <w:r w:rsidRPr="00643E9A">
        <w:rPr>
          <w:rFonts w:ascii="Verdana" w:hAnsi="Verdana"/>
          <w:sz w:val="16"/>
          <w:szCs w:val="16"/>
        </w:rPr>
        <w:t xml:space="preserve"> </w:t>
      </w:r>
      <w:r>
        <w:rPr>
          <w:rFonts w:ascii="Verdana" w:hAnsi="Verdana"/>
          <w:sz w:val="16"/>
          <w:szCs w:val="16"/>
        </w:rPr>
        <w:tab/>
      </w:r>
      <w:r w:rsidR="00D0597C">
        <w:rPr>
          <w:rFonts w:ascii="Verdana" w:hAnsi="Verdana"/>
          <w:sz w:val="16"/>
          <w:szCs w:val="16"/>
        </w:rPr>
        <w:t>L</w:t>
      </w:r>
      <w:r w:rsidRPr="00643E9A">
        <w:rPr>
          <w:rFonts w:ascii="Verdana" w:hAnsi="Verdana"/>
          <w:sz w:val="16"/>
          <w:szCs w:val="16"/>
        </w:rPr>
        <w:t>as reparaciones ordenadas en la Sentencia</w:t>
      </w:r>
      <w:r w:rsidR="00D0597C">
        <w:rPr>
          <w:rFonts w:ascii="Verdana" w:hAnsi="Verdana"/>
          <w:sz w:val="16"/>
          <w:szCs w:val="16"/>
        </w:rPr>
        <w:t xml:space="preserve"> que</w:t>
      </w:r>
      <w:r w:rsidRPr="00643E9A">
        <w:rPr>
          <w:rFonts w:ascii="Verdana" w:hAnsi="Verdana"/>
          <w:sz w:val="16"/>
          <w:szCs w:val="16"/>
        </w:rPr>
        <w:t xml:space="preserve"> se encuentran pendiente de cumplimiento son: </w:t>
      </w:r>
      <w:r w:rsidRPr="00523817">
        <w:rPr>
          <w:rFonts w:ascii="Verdana" w:hAnsi="Verdana"/>
          <w:sz w:val="16"/>
          <w:szCs w:val="16"/>
        </w:rPr>
        <w:t>a)</w:t>
      </w:r>
      <w:r>
        <w:rPr>
          <w:rFonts w:ascii="Verdana" w:hAnsi="Verdana"/>
          <w:sz w:val="16"/>
          <w:szCs w:val="16"/>
        </w:rPr>
        <w:t xml:space="preserve"> </w:t>
      </w:r>
      <w:r w:rsidRPr="002369B4">
        <w:rPr>
          <w:rFonts w:ascii="Verdana" w:hAnsi="Verdana"/>
          <w:sz w:val="16"/>
          <w:szCs w:val="16"/>
        </w:rPr>
        <w:t>continuar eficazmente y con la mayor diligencia las investigaciones abiertas, así como abrir las que sean necesarias con el fin de identificar, juzgar y, en su caso, sancionar a</w:t>
      </w:r>
      <w:r w:rsidR="00E15C77">
        <w:rPr>
          <w:rFonts w:ascii="Verdana" w:hAnsi="Verdana"/>
          <w:sz w:val="16"/>
          <w:szCs w:val="16"/>
        </w:rPr>
        <w:t xml:space="preserve"> todos</w:t>
      </w:r>
      <w:r w:rsidRPr="002369B4">
        <w:rPr>
          <w:rFonts w:ascii="Verdana" w:hAnsi="Verdana"/>
          <w:sz w:val="16"/>
          <w:szCs w:val="16"/>
        </w:rPr>
        <w:t xml:space="preserve"> los responsables de las desapariciones forzadas de José Adrián </w:t>
      </w:r>
      <w:proofErr w:type="spellStart"/>
      <w:r w:rsidRPr="002369B4">
        <w:rPr>
          <w:rFonts w:ascii="Verdana" w:hAnsi="Verdana"/>
          <w:sz w:val="16"/>
          <w:szCs w:val="16"/>
        </w:rPr>
        <w:t>Rochac</w:t>
      </w:r>
      <w:proofErr w:type="spellEnd"/>
      <w:r w:rsidRPr="002369B4">
        <w:rPr>
          <w:rFonts w:ascii="Verdana" w:hAnsi="Verdana"/>
          <w:sz w:val="16"/>
          <w:szCs w:val="16"/>
        </w:rPr>
        <w:t xml:space="preserve"> Hernández, Santos Ernesto Salinas, </w:t>
      </w:r>
      <w:proofErr w:type="spellStart"/>
      <w:r w:rsidRPr="002369B4">
        <w:rPr>
          <w:rFonts w:ascii="Verdana" w:hAnsi="Verdana"/>
          <w:sz w:val="16"/>
          <w:szCs w:val="16"/>
        </w:rPr>
        <w:t>Emelinda</w:t>
      </w:r>
      <w:proofErr w:type="spellEnd"/>
      <w:r w:rsidRPr="002369B4">
        <w:rPr>
          <w:rFonts w:ascii="Verdana" w:hAnsi="Verdana"/>
          <w:sz w:val="16"/>
          <w:szCs w:val="16"/>
        </w:rPr>
        <w:t xml:space="preserve"> Lorena Hernández, Manuel Antonio Bonilla y Ricardo Abarca Ayala, así como de otros hechos ilícitos conexos</w:t>
      </w:r>
      <w:r>
        <w:rPr>
          <w:rFonts w:ascii="Verdana" w:hAnsi="Verdana"/>
          <w:sz w:val="16"/>
          <w:szCs w:val="16"/>
        </w:rPr>
        <w:t xml:space="preserve">; b) efectuar una búsqueda seria, en la </w:t>
      </w:r>
      <w:r w:rsidR="00E15C77">
        <w:rPr>
          <w:rFonts w:ascii="Verdana" w:hAnsi="Verdana"/>
          <w:sz w:val="16"/>
          <w:szCs w:val="16"/>
        </w:rPr>
        <w:t>cual</w:t>
      </w:r>
      <w:r>
        <w:rPr>
          <w:rFonts w:ascii="Verdana" w:hAnsi="Verdana"/>
          <w:sz w:val="16"/>
          <w:szCs w:val="16"/>
        </w:rPr>
        <w:t xml:space="preserve"> realice todos los esfuerzos para determinar el paradero de José Adrián </w:t>
      </w:r>
      <w:proofErr w:type="spellStart"/>
      <w:r>
        <w:rPr>
          <w:rFonts w:ascii="Verdana" w:hAnsi="Verdana"/>
          <w:sz w:val="16"/>
          <w:szCs w:val="16"/>
        </w:rPr>
        <w:t>Rochac</w:t>
      </w:r>
      <w:proofErr w:type="spellEnd"/>
      <w:r>
        <w:rPr>
          <w:rFonts w:ascii="Verdana" w:hAnsi="Verdana"/>
          <w:sz w:val="16"/>
          <w:szCs w:val="16"/>
        </w:rPr>
        <w:t xml:space="preserve">, </w:t>
      </w:r>
      <w:proofErr w:type="spellStart"/>
      <w:r>
        <w:rPr>
          <w:rFonts w:ascii="Verdana" w:hAnsi="Verdana"/>
          <w:sz w:val="16"/>
          <w:szCs w:val="16"/>
        </w:rPr>
        <w:t>Emelinda</w:t>
      </w:r>
      <w:proofErr w:type="spellEnd"/>
      <w:r>
        <w:rPr>
          <w:rFonts w:ascii="Verdana" w:hAnsi="Verdana"/>
          <w:sz w:val="16"/>
          <w:szCs w:val="16"/>
        </w:rPr>
        <w:t xml:space="preserve"> Lorena Hernández, Manuel Antonio Bonilla y Ricardo Abarca Ayala, así como adoptar todas las medidas</w:t>
      </w:r>
      <w:r w:rsidR="00E15C77">
        <w:rPr>
          <w:rFonts w:ascii="Verdana" w:hAnsi="Verdana"/>
          <w:sz w:val="16"/>
          <w:szCs w:val="16"/>
        </w:rPr>
        <w:t xml:space="preserve"> adecuadas y</w:t>
      </w:r>
      <w:r>
        <w:rPr>
          <w:rFonts w:ascii="Verdana" w:hAnsi="Verdana"/>
          <w:sz w:val="16"/>
          <w:szCs w:val="16"/>
        </w:rPr>
        <w:t xml:space="preserve"> necesarias para la restitución de la identidad, en caso de encontrase con vida; c) adoptar las medidas pertinentes y adecuadas para garantizar a los operadores de justicia, así como a la sociedad salvadoreña, el acceso público, técnico y sistematizado a los archivos que contengan información útil y relevante para la investigación en causas seguidas por violaciones a los derechos humanos durante el conflicto armado; d) construir un “jardín museo” donde recordar a las niñas y los niños desaparecidos forzadamente durante el conflicto armado; e) llevar a cabo</w:t>
      </w:r>
      <w:r w:rsidR="00E15C77">
        <w:rPr>
          <w:rFonts w:ascii="Verdana" w:hAnsi="Verdana"/>
          <w:sz w:val="16"/>
          <w:szCs w:val="16"/>
        </w:rPr>
        <w:t xml:space="preserve"> las</w:t>
      </w:r>
      <w:r>
        <w:rPr>
          <w:rFonts w:ascii="Verdana" w:hAnsi="Verdana"/>
          <w:sz w:val="16"/>
          <w:szCs w:val="16"/>
        </w:rPr>
        <w:t xml:space="preserve"> capacitaciones</w:t>
      </w:r>
      <w:r w:rsidR="00E15C77">
        <w:rPr>
          <w:rFonts w:ascii="Verdana" w:hAnsi="Verdana"/>
          <w:sz w:val="16"/>
          <w:szCs w:val="16"/>
        </w:rPr>
        <w:t xml:space="preserve"> ordenadas</w:t>
      </w:r>
      <w:r>
        <w:rPr>
          <w:rFonts w:ascii="Verdana" w:hAnsi="Verdana"/>
          <w:sz w:val="16"/>
          <w:szCs w:val="16"/>
        </w:rPr>
        <w:t xml:space="preserve"> y f) pagar las cantidades fijadas en la Sentencia por concepto de indemnización por daño material e inmaterial.</w:t>
      </w:r>
    </w:p>
  </w:footnote>
  <w:footnote w:id="6">
    <w:p w:rsidR="00EE61B6" w:rsidRPr="00CE5F22" w:rsidRDefault="00EE61B6" w:rsidP="00CE5F22">
      <w:pPr>
        <w:pStyle w:val="Textonotapie"/>
        <w:jc w:val="both"/>
        <w:rPr>
          <w:rFonts w:ascii="Verdana" w:hAnsi="Verdana"/>
          <w:sz w:val="16"/>
          <w:szCs w:val="16"/>
        </w:rPr>
      </w:pPr>
      <w:r w:rsidRPr="00CE5F22">
        <w:rPr>
          <w:rStyle w:val="Refdenotaalpie"/>
          <w:rFonts w:ascii="Verdana" w:hAnsi="Verdana"/>
          <w:sz w:val="16"/>
          <w:szCs w:val="16"/>
        </w:rPr>
        <w:footnoteRef/>
      </w:r>
      <w:r w:rsidRPr="00CE5F22">
        <w:rPr>
          <w:rFonts w:ascii="Verdana" w:hAnsi="Verdana"/>
          <w:sz w:val="16"/>
          <w:szCs w:val="16"/>
        </w:rPr>
        <w:t xml:space="preserve"> </w:t>
      </w:r>
      <w:r w:rsidRPr="00CE5F22">
        <w:rPr>
          <w:rFonts w:ascii="Verdana" w:hAnsi="Verdana"/>
          <w:sz w:val="16"/>
          <w:szCs w:val="16"/>
        </w:rPr>
        <w:tab/>
      </w:r>
      <w:r>
        <w:rPr>
          <w:rFonts w:ascii="Verdana" w:hAnsi="Verdana"/>
          <w:sz w:val="16"/>
          <w:szCs w:val="16"/>
        </w:rPr>
        <w:t>M</w:t>
      </w:r>
      <w:r w:rsidRPr="00CE5F22">
        <w:rPr>
          <w:rFonts w:ascii="Verdana" w:hAnsi="Verdana"/>
          <w:sz w:val="16"/>
          <w:szCs w:val="16"/>
        </w:rPr>
        <w:t xml:space="preserve">ediante nota de Secretaría de </w:t>
      </w:r>
      <w:r w:rsidRPr="00CE5F22">
        <w:rPr>
          <w:rFonts w:ascii="Verdana" w:hAnsi="Verdana" w:cs="Arial"/>
          <w:sz w:val="16"/>
          <w:szCs w:val="16"/>
        </w:rPr>
        <w:t>9 de noviembre de 2016, siguiendo instrucciones del Presidente del Tribunal, se solicitó a las partes “</w:t>
      </w:r>
      <w:proofErr w:type="spellStart"/>
      <w:proofErr w:type="gramStart"/>
      <w:r w:rsidRPr="00CE5F22">
        <w:rPr>
          <w:rFonts w:ascii="Verdana" w:hAnsi="Verdana" w:cs="Arial"/>
          <w:sz w:val="16"/>
          <w:szCs w:val="16"/>
        </w:rPr>
        <w:t>remit</w:t>
      </w:r>
      <w:proofErr w:type="spellEnd"/>
      <w:r w:rsidR="00912183">
        <w:rPr>
          <w:rFonts w:ascii="Verdana" w:hAnsi="Verdana" w:cs="Arial"/>
          <w:sz w:val="16"/>
          <w:szCs w:val="16"/>
        </w:rPr>
        <w:t>[</w:t>
      </w:r>
      <w:proofErr w:type="gramEnd"/>
      <w:r w:rsidRPr="00CE5F22">
        <w:rPr>
          <w:rFonts w:ascii="Verdana" w:hAnsi="Verdana" w:cs="Arial"/>
          <w:sz w:val="16"/>
          <w:szCs w:val="16"/>
        </w:rPr>
        <w:t>ir</w:t>
      </w:r>
      <w:r w:rsidR="00912183">
        <w:rPr>
          <w:rFonts w:ascii="Verdana" w:hAnsi="Verdana" w:cs="Arial"/>
          <w:sz w:val="16"/>
          <w:szCs w:val="16"/>
        </w:rPr>
        <w:t>]</w:t>
      </w:r>
      <w:r w:rsidRPr="00CE5F22">
        <w:rPr>
          <w:rFonts w:ascii="Verdana" w:hAnsi="Verdana" w:cs="Arial"/>
          <w:sz w:val="16"/>
          <w:szCs w:val="16"/>
        </w:rPr>
        <w:t xml:space="preserve"> su posición con respecto al </w:t>
      </w:r>
      <w:r w:rsidRPr="00CE5F22">
        <w:rPr>
          <w:rFonts w:ascii="Verdana" w:hAnsi="Verdana"/>
          <w:sz w:val="16"/>
          <w:szCs w:val="16"/>
        </w:rPr>
        <w:t>posible cumplimiento de la medida de reparación relativa a la búsqueda del paradero de la víctima Santos Ernesto Salinas”.</w:t>
      </w:r>
    </w:p>
  </w:footnote>
  <w:footnote w:id="7">
    <w:p w:rsidR="00EE61B6" w:rsidRPr="00B43791" w:rsidRDefault="00EE61B6" w:rsidP="00171E36">
      <w:pPr>
        <w:pStyle w:val="Textonotapie"/>
        <w:jc w:val="both"/>
        <w:rPr>
          <w:rFonts w:ascii="Verdana" w:hAnsi="Verdana"/>
          <w:sz w:val="16"/>
          <w:szCs w:val="16"/>
          <w:lang w:val="es-MX"/>
        </w:rPr>
      </w:pPr>
      <w:r w:rsidRPr="00B43791">
        <w:rPr>
          <w:rStyle w:val="Refdenotaalpie"/>
          <w:rFonts w:ascii="Verdana" w:hAnsi="Verdana"/>
          <w:sz w:val="16"/>
          <w:szCs w:val="16"/>
        </w:rPr>
        <w:footnoteRef/>
      </w:r>
      <w:r w:rsidRPr="00B43791">
        <w:rPr>
          <w:rFonts w:ascii="Verdana" w:hAnsi="Verdana"/>
          <w:sz w:val="16"/>
          <w:szCs w:val="16"/>
        </w:rPr>
        <w:t xml:space="preserve"> </w:t>
      </w:r>
      <w:r>
        <w:rPr>
          <w:rFonts w:ascii="Verdana" w:hAnsi="Verdana"/>
          <w:sz w:val="16"/>
          <w:szCs w:val="16"/>
        </w:rPr>
        <w:tab/>
        <w:t>Que de acuerdo a lo sostenido</w:t>
      </w:r>
      <w:r w:rsidRPr="00B43791">
        <w:rPr>
          <w:rFonts w:ascii="Verdana" w:hAnsi="Verdana"/>
          <w:sz w:val="16"/>
          <w:szCs w:val="16"/>
        </w:rPr>
        <w:t xml:space="preserve"> por el Estado</w:t>
      </w:r>
      <w:r>
        <w:rPr>
          <w:rFonts w:ascii="Verdana" w:hAnsi="Verdana"/>
          <w:sz w:val="16"/>
          <w:szCs w:val="16"/>
        </w:rPr>
        <w:t xml:space="preserve"> en su informe estatal de 4 de mayo de 2016</w:t>
      </w:r>
      <w:r w:rsidRPr="00B43791">
        <w:rPr>
          <w:rFonts w:ascii="Verdana" w:hAnsi="Verdana"/>
          <w:sz w:val="16"/>
          <w:szCs w:val="16"/>
        </w:rPr>
        <w:t xml:space="preserve"> “desde septiembre de 2011 y hasta agosto de 2014</w:t>
      </w:r>
      <w:r w:rsidR="00912183">
        <w:rPr>
          <w:rFonts w:ascii="Verdana" w:hAnsi="Verdana"/>
          <w:sz w:val="16"/>
          <w:szCs w:val="16"/>
        </w:rPr>
        <w:t>”</w:t>
      </w:r>
      <w:r w:rsidRPr="00B43791">
        <w:rPr>
          <w:rFonts w:ascii="Verdana" w:hAnsi="Verdana"/>
          <w:sz w:val="16"/>
          <w:szCs w:val="16"/>
        </w:rPr>
        <w:t xml:space="preserve"> realizó diligencias de investigación en el caso específico del niño Santos Ernesto Salinas, que incluyeron entrevistas a sobrevivientes y testigos presenciales, indagaciones en el lugar de los hechos, averiguación documental en hemerotecas</w:t>
      </w:r>
      <w:r>
        <w:rPr>
          <w:rFonts w:ascii="Verdana" w:hAnsi="Verdana"/>
          <w:sz w:val="16"/>
          <w:szCs w:val="16"/>
        </w:rPr>
        <w:t xml:space="preserve">. </w:t>
      </w:r>
    </w:p>
  </w:footnote>
  <w:footnote w:id="8">
    <w:p w:rsidR="00EE61B6" w:rsidRPr="00CE5F22" w:rsidRDefault="00EE61B6" w:rsidP="00CE5F22">
      <w:pPr>
        <w:pStyle w:val="Textonotapie"/>
        <w:jc w:val="both"/>
        <w:rPr>
          <w:rFonts w:ascii="Verdana" w:hAnsi="Verdana"/>
          <w:sz w:val="16"/>
          <w:szCs w:val="16"/>
        </w:rPr>
      </w:pPr>
      <w:r w:rsidRPr="00CE5F22">
        <w:rPr>
          <w:rStyle w:val="Refdenotaalpie"/>
          <w:rFonts w:ascii="Verdana" w:hAnsi="Verdana"/>
          <w:sz w:val="16"/>
          <w:szCs w:val="16"/>
        </w:rPr>
        <w:footnoteRef/>
      </w:r>
      <w:r w:rsidRPr="00CE5F22">
        <w:rPr>
          <w:rFonts w:ascii="Verdana" w:hAnsi="Verdana"/>
          <w:sz w:val="16"/>
          <w:szCs w:val="16"/>
        </w:rPr>
        <w:t xml:space="preserve"> </w:t>
      </w:r>
      <w:r w:rsidRPr="00CE5F22">
        <w:rPr>
          <w:rFonts w:ascii="Verdana" w:hAnsi="Verdana"/>
          <w:sz w:val="16"/>
          <w:szCs w:val="16"/>
        </w:rPr>
        <w:tab/>
        <w:t xml:space="preserve">De acuerdo a la información proporcionada por el Estado en su informe de 4 de mayo de 2016 y no controvertida por los representantes, “[e]n el cantón San Nicolás Lempa, municipio de </w:t>
      </w:r>
      <w:proofErr w:type="spellStart"/>
      <w:r w:rsidRPr="00CE5F22">
        <w:rPr>
          <w:rFonts w:ascii="Verdana" w:hAnsi="Verdana"/>
          <w:sz w:val="16"/>
          <w:szCs w:val="16"/>
        </w:rPr>
        <w:t>Tecoluca</w:t>
      </w:r>
      <w:proofErr w:type="spellEnd"/>
      <w:r w:rsidRPr="00CE5F22">
        <w:rPr>
          <w:rFonts w:ascii="Verdana" w:hAnsi="Verdana"/>
          <w:sz w:val="16"/>
          <w:szCs w:val="16"/>
        </w:rPr>
        <w:t xml:space="preserve">, departamento de San Vicente, en el mes de octubre de 1981, sin determinar fecha exacta pero aproximadamente el día 25, el niño Santos Ernesto Salinas fue capturado por el Batallón </w:t>
      </w:r>
      <w:proofErr w:type="spellStart"/>
      <w:r w:rsidRPr="00CE5F22">
        <w:rPr>
          <w:rFonts w:ascii="Verdana" w:hAnsi="Verdana"/>
          <w:sz w:val="16"/>
          <w:szCs w:val="16"/>
        </w:rPr>
        <w:t>Atlacatl</w:t>
      </w:r>
      <w:proofErr w:type="spellEnd"/>
      <w:r w:rsidRPr="00CE5F22">
        <w:rPr>
          <w:rFonts w:ascii="Verdana" w:hAnsi="Verdana"/>
          <w:sz w:val="16"/>
          <w:szCs w:val="16"/>
        </w:rPr>
        <w:t xml:space="preserve">, en colaboración con los guardias de San Nicolás Lempa, mientras se encontraba en la tienda de la señora Tomasa Torres, quien también fue capturada junto a otros familiares de ella […]”.Asimismo, el Estado manifestó que, de acuerdo a información proporcionada por testigos presenciales, “debido al impacto de las ráfagas los cuerpos cayeron al Río Lempa y fueron arrastrados, siendo imposible la recuperación de los restos”. </w:t>
      </w:r>
    </w:p>
  </w:footnote>
  <w:footnote w:id="9">
    <w:p w:rsidR="00EE61B6" w:rsidRPr="00CE5F22" w:rsidRDefault="00EE61B6" w:rsidP="00CE5F22">
      <w:pPr>
        <w:pStyle w:val="Textonotapie"/>
        <w:jc w:val="both"/>
        <w:rPr>
          <w:rFonts w:ascii="Verdana" w:hAnsi="Verdana"/>
          <w:sz w:val="16"/>
          <w:szCs w:val="16"/>
        </w:rPr>
      </w:pPr>
      <w:r w:rsidRPr="00307323">
        <w:rPr>
          <w:rStyle w:val="Refdenotaalpie"/>
          <w:rFonts w:ascii="Verdana" w:hAnsi="Verdana"/>
          <w:sz w:val="16"/>
          <w:szCs w:val="16"/>
        </w:rPr>
        <w:footnoteRef/>
      </w:r>
      <w:r w:rsidRPr="00307323">
        <w:rPr>
          <w:rFonts w:ascii="Verdana" w:hAnsi="Verdana"/>
          <w:sz w:val="16"/>
          <w:szCs w:val="16"/>
        </w:rPr>
        <w:t xml:space="preserve"> </w:t>
      </w:r>
      <w:r w:rsidRPr="00307323">
        <w:rPr>
          <w:rFonts w:ascii="Verdana" w:hAnsi="Verdana"/>
          <w:sz w:val="16"/>
          <w:szCs w:val="16"/>
        </w:rPr>
        <w:tab/>
        <w:t xml:space="preserve">El Estado, en su escrito de noviembre de 2016, reiteró que “la investigación efectuada por la CNB </w:t>
      </w:r>
      <w:proofErr w:type="gramStart"/>
      <w:r w:rsidRPr="00307323">
        <w:rPr>
          <w:rFonts w:ascii="Verdana" w:hAnsi="Verdana"/>
          <w:sz w:val="16"/>
          <w:szCs w:val="16"/>
        </w:rPr>
        <w:t>e[</w:t>
      </w:r>
      <w:proofErr w:type="spellStart"/>
      <w:proofErr w:type="gramEnd"/>
      <w:r w:rsidRPr="00307323">
        <w:rPr>
          <w:rFonts w:ascii="Verdana" w:hAnsi="Verdana"/>
          <w:sz w:val="16"/>
          <w:szCs w:val="16"/>
        </w:rPr>
        <w:t>ra</w:t>
      </w:r>
      <w:proofErr w:type="spellEnd"/>
      <w:r w:rsidRPr="00307323">
        <w:rPr>
          <w:rFonts w:ascii="Verdana" w:hAnsi="Verdana"/>
          <w:sz w:val="16"/>
          <w:szCs w:val="16"/>
        </w:rPr>
        <w:t>] robusta y respalda[</w:t>
      </w:r>
      <w:proofErr w:type="spellStart"/>
      <w:r w:rsidRPr="00307323">
        <w:rPr>
          <w:rFonts w:ascii="Verdana" w:hAnsi="Verdana"/>
          <w:sz w:val="16"/>
          <w:szCs w:val="16"/>
        </w:rPr>
        <w:t>ba</w:t>
      </w:r>
      <w:proofErr w:type="spellEnd"/>
      <w:r w:rsidRPr="00307323">
        <w:rPr>
          <w:rFonts w:ascii="Verdana" w:hAnsi="Verdana"/>
          <w:sz w:val="16"/>
          <w:szCs w:val="16"/>
        </w:rPr>
        <w:t xml:space="preserve">] la conclusión de </w:t>
      </w:r>
      <w:r w:rsidR="00A86D71">
        <w:rPr>
          <w:rFonts w:ascii="Verdana" w:hAnsi="Verdana"/>
          <w:sz w:val="16"/>
          <w:szCs w:val="16"/>
        </w:rPr>
        <w:t>‘</w:t>
      </w:r>
      <w:r w:rsidRPr="00307323">
        <w:rPr>
          <w:rFonts w:ascii="Verdana" w:hAnsi="Verdana"/>
          <w:sz w:val="16"/>
          <w:szCs w:val="16"/>
        </w:rPr>
        <w:t>Localizado Fallecido</w:t>
      </w:r>
      <w:r w:rsidR="00A86D71">
        <w:rPr>
          <w:rFonts w:ascii="Verdana" w:hAnsi="Verdana"/>
          <w:sz w:val="16"/>
          <w:szCs w:val="16"/>
        </w:rPr>
        <w:t>’”</w:t>
      </w:r>
      <w:r w:rsidRPr="00307323">
        <w:rPr>
          <w:rFonts w:ascii="Verdana" w:hAnsi="Verdana"/>
          <w:sz w:val="16"/>
          <w:szCs w:val="16"/>
        </w:rPr>
        <w:t xml:space="preserve">, por lo que solicitó que </w:t>
      </w:r>
      <w:r w:rsidR="00A50F40">
        <w:rPr>
          <w:rFonts w:ascii="Verdana" w:hAnsi="Verdana"/>
          <w:sz w:val="16"/>
          <w:szCs w:val="16"/>
        </w:rPr>
        <w:t>“</w:t>
      </w:r>
      <w:r w:rsidRPr="00307323">
        <w:rPr>
          <w:rFonts w:ascii="Verdana" w:hAnsi="Verdana"/>
          <w:sz w:val="16"/>
          <w:szCs w:val="16"/>
        </w:rPr>
        <w:t>se t[</w:t>
      </w:r>
      <w:proofErr w:type="spellStart"/>
      <w:r w:rsidRPr="00307323">
        <w:rPr>
          <w:rFonts w:ascii="Verdana" w:hAnsi="Verdana"/>
          <w:sz w:val="16"/>
          <w:szCs w:val="16"/>
        </w:rPr>
        <w:t>uviera</w:t>
      </w:r>
      <w:proofErr w:type="spellEnd"/>
      <w:r w:rsidRPr="00307323">
        <w:rPr>
          <w:rFonts w:ascii="Verdana" w:hAnsi="Verdana"/>
          <w:sz w:val="16"/>
          <w:szCs w:val="16"/>
        </w:rPr>
        <w:t xml:space="preserve">] por cumplida la medida de reparación referida a la búsqueda específica del paradero de Santos Ernesto Salinas”. </w:t>
      </w:r>
    </w:p>
  </w:footnote>
  <w:footnote w:id="10">
    <w:p w:rsidR="00EE61B6" w:rsidRPr="00CE5F22" w:rsidRDefault="00EE61B6" w:rsidP="00CE5F22">
      <w:pPr>
        <w:pStyle w:val="Textonotapie"/>
        <w:jc w:val="both"/>
        <w:rPr>
          <w:rFonts w:ascii="Verdana" w:hAnsi="Verdana"/>
          <w:sz w:val="16"/>
          <w:szCs w:val="16"/>
        </w:rPr>
      </w:pPr>
      <w:r w:rsidRPr="00CE5F22">
        <w:rPr>
          <w:rStyle w:val="Refdenotaalpie"/>
          <w:rFonts w:ascii="Verdana" w:hAnsi="Verdana"/>
          <w:sz w:val="16"/>
          <w:szCs w:val="16"/>
        </w:rPr>
        <w:footnoteRef/>
      </w:r>
      <w:r w:rsidRPr="00CE5F22">
        <w:rPr>
          <w:rFonts w:ascii="Verdana" w:hAnsi="Verdana"/>
          <w:sz w:val="16"/>
          <w:szCs w:val="16"/>
        </w:rPr>
        <w:t xml:space="preserve"> </w:t>
      </w:r>
      <w:r w:rsidRPr="00CE5F22">
        <w:rPr>
          <w:rFonts w:ascii="Verdana" w:hAnsi="Verdana"/>
          <w:sz w:val="16"/>
          <w:szCs w:val="16"/>
        </w:rPr>
        <w:tab/>
        <w:t>En sus observaciones de octubre de 2016,</w:t>
      </w:r>
      <w:r w:rsidRPr="00CE5F22">
        <w:rPr>
          <w:rFonts w:ascii="Verdana" w:hAnsi="Verdana"/>
          <w:b/>
          <w:sz w:val="16"/>
          <w:szCs w:val="16"/>
        </w:rPr>
        <w:t xml:space="preserve"> </w:t>
      </w:r>
      <w:r w:rsidRPr="00CE5F22">
        <w:rPr>
          <w:rFonts w:ascii="Verdana" w:hAnsi="Verdana"/>
          <w:sz w:val="16"/>
          <w:szCs w:val="16"/>
        </w:rPr>
        <w:t xml:space="preserve">los representantes manifestaron que “[e]n relación a la búsqueda de Santos Ernesto Salinas el […] Estado comunicó el resultado de la labor investigativa por parte de la </w:t>
      </w:r>
      <w:r w:rsidR="00A50F40">
        <w:rPr>
          <w:rFonts w:ascii="Verdana" w:hAnsi="Verdana"/>
          <w:sz w:val="16"/>
          <w:szCs w:val="16"/>
        </w:rPr>
        <w:t>[Comisión Nacional de Búsqueda]</w:t>
      </w:r>
      <w:r w:rsidRPr="00CE5F22">
        <w:rPr>
          <w:rFonts w:ascii="Verdana" w:hAnsi="Verdana"/>
          <w:sz w:val="16"/>
          <w:szCs w:val="16"/>
        </w:rPr>
        <w:t xml:space="preserve"> así como el desenlace del</w:t>
      </w:r>
      <w:r w:rsidR="000936FB">
        <w:rPr>
          <w:rFonts w:ascii="Verdana" w:hAnsi="Verdana"/>
          <w:sz w:val="16"/>
          <w:szCs w:val="16"/>
        </w:rPr>
        <w:t xml:space="preserve"> entonces</w:t>
      </w:r>
      <w:r w:rsidRPr="00CE5F22">
        <w:rPr>
          <w:rFonts w:ascii="Verdana" w:hAnsi="Verdana"/>
          <w:sz w:val="16"/>
          <w:szCs w:val="16"/>
        </w:rPr>
        <w:t xml:space="preserve"> niño, y el proceso psicológico que se ha llevado con los familiares para proveerl</w:t>
      </w:r>
      <w:r w:rsidR="000936FB">
        <w:rPr>
          <w:rFonts w:ascii="Verdana" w:hAnsi="Verdana"/>
          <w:sz w:val="16"/>
          <w:szCs w:val="16"/>
        </w:rPr>
        <w:t>e</w:t>
      </w:r>
      <w:r w:rsidRPr="00CE5F22">
        <w:rPr>
          <w:rFonts w:ascii="Verdana" w:hAnsi="Verdana"/>
          <w:sz w:val="16"/>
          <w:szCs w:val="16"/>
        </w:rPr>
        <w:t xml:space="preserve">s el resultado de tal indagación y procesar los posibles efectos en dichas personas”. </w:t>
      </w:r>
    </w:p>
  </w:footnote>
  <w:footnote w:id="11">
    <w:p w:rsidR="00EE61B6" w:rsidRPr="001E569E" w:rsidRDefault="00EE61B6" w:rsidP="001E569E">
      <w:pPr>
        <w:pStyle w:val="Textonotapie"/>
        <w:jc w:val="both"/>
        <w:rPr>
          <w:rFonts w:ascii="Verdana" w:hAnsi="Verdana"/>
          <w:sz w:val="16"/>
          <w:szCs w:val="16"/>
        </w:rPr>
      </w:pPr>
      <w:r w:rsidRPr="001E569E">
        <w:rPr>
          <w:rStyle w:val="Refdenotaalpie"/>
          <w:rFonts w:ascii="Verdana" w:hAnsi="Verdana"/>
          <w:sz w:val="16"/>
          <w:szCs w:val="16"/>
        </w:rPr>
        <w:footnoteRef/>
      </w:r>
      <w:r w:rsidRPr="001E569E">
        <w:rPr>
          <w:rFonts w:ascii="Verdana" w:hAnsi="Verdana"/>
          <w:sz w:val="16"/>
          <w:szCs w:val="16"/>
        </w:rPr>
        <w:t xml:space="preserve"> </w:t>
      </w:r>
      <w:r w:rsidRPr="001E569E">
        <w:rPr>
          <w:rFonts w:ascii="Verdana" w:hAnsi="Verdana"/>
          <w:sz w:val="16"/>
          <w:szCs w:val="16"/>
        </w:rPr>
        <w:tab/>
        <w:t xml:space="preserve">El </w:t>
      </w:r>
      <w:r w:rsidR="00827DAB">
        <w:rPr>
          <w:rFonts w:ascii="Verdana" w:hAnsi="Verdana"/>
          <w:sz w:val="16"/>
          <w:szCs w:val="16"/>
        </w:rPr>
        <w:t>Salvador</w:t>
      </w:r>
      <w:r w:rsidRPr="001E569E">
        <w:rPr>
          <w:rFonts w:ascii="Verdana" w:hAnsi="Verdana"/>
          <w:sz w:val="16"/>
          <w:szCs w:val="16"/>
        </w:rPr>
        <w:t xml:space="preserve"> indicó que “no obstante que la Corte concedió a las víctimas y sus representantes el plazo de seis meses, contados a partir de notificada la sentencia, para dar a conocer al Estado su intención de recibir la atención psicológica y/o </w:t>
      </w:r>
      <w:proofErr w:type="spellStart"/>
      <w:r w:rsidRPr="001E569E">
        <w:rPr>
          <w:rFonts w:ascii="Verdana" w:hAnsi="Verdana"/>
          <w:sz w:val="16"/>
          <w:szCs w:val="16"/>
        </w:rPr>
        <w:t>psiquiátric</w:t>
      </w:r>
      <w:proofErr w:type="spellEnd"/>
      <w:r w:rsidRPr="001E569E">
        <w:rPr>
          <w:rFonts w:ascii="Verdana" w:hAnsi="Verdana"/>
          <w:sz w:val="16"/>
          <w:szCs w:val="16"/>
        </w:rPr>
        <w:t xml:space="preserve">[a], dicha atención ha sido brindada sin que se comunicara formalmente tal intención, ya que esta medida se encontraba siendo efectiva incluso para el momento de la sustanciación del proceso internacional sobre este caso”. </w:t>
      </w:r>
    </w:p>
  </w:footnote>
  <w:footnote w:id="12">
    <w:p w:rsidR="00EE61B6" w:rsidRPr="0074588D" w:rsidRDefault="00EE61B6" w:rsidP="001E569E">
      <w:pPr>
        <w:pStyle w:val="Textonotapie"/>
        <w:jc w:val="both"/>
        <w:rPr>
          <w:rFonts w:ascii="Verdana" w:hAnsi="Verdana"/>
          <w:sz w:val="16"/>
          <w:szCs w:val="16"/>
        </w:rPr>
      </w:pPr>
      <w:r w:rsidRPr="0074588D">
        <w:rPr>
          <w:rStyle w:val="Refdenotaalpie"/>
          <w:rFonts w:ascii="Verdana" w:hAnsi="Verdana"/>
          <w:sz w:val="16"/>
          <w:szCs w:val="16"/>
        </w:rPr>
        <w:footnoteRef/>
      </w:r>
      <w:r w:rsidRPr="0074588D">
        <w:rPr>
          <w:rFonts w:ascii="Verdana" w:hAnsi="Verdana"/>
          <w:sz w:val="16"/>
          <w:szCs w:val="16"/>
        </w:rPr>
        <w:t xml:space="preserve"> </w:t>
      </w:r>
      <w:r>
        <w:rPr>
          <w:rFonts w:ascii="Verdana" w:hAnsi="Verdana"/>
          <w:sz w:val="16"/>
          <w:szCs w:val="16"/>
        </w:rPr>
        <w:tab/>
      </w:r>
      <w:r w:rsidRPr="0074588D">
        <w:rPr>
          <w:rFonts w:ascii="Verdana" w:hAnsi="Verdana"/>
          <w:i/>
          <w:sz w:val="16"/>
          <w:szCs w:val="16"/>
        </w:rPr>
        <w:t>Cfr.</w:t>
      </w:r>
      <w:r w:rsidRPr="0074588D">
        <w:rPr>
          <w:rFonts w:ascii="Verdana" w:hAnsi="Verdana"/>
          <w:sz w:val="16"/>
          <w:szCs w:val="16"/>
        </w:rPr>
        <w:t xml:space="preserve"> Informe de “Atención Médica, Psicológica y Psiquiátrica” del Ministerio de Salud elaborado para el Caso </w:t>
      </w:r>
      <w:proofErr w:type="spellStart"/>
      <w:r w:rsidRPr="0074588D">
        <w:rPr>
          <w:rFonts w:ascii="Verdana" w:hAnsi="Verdana"/>
          <w:sz w:val="16"/>
          <w:szCs w:val="16"/>
        </w:rPr>
        <w:t>Rochac</w:t>
      </w:r>
      <w:proofErr w:type="spellEnd"/>
      <w:r w:rsidRPr="0074588D">
        <w:rPr>
          <w:rFonts w:ascii="Verdana" w:hAnsi="Verdana"/>
          <w:sz w:val="16"/>
          <w:szCs w:val="16"/>
        </w:rPr>
        <w:t xml:space="preserve"> Hernández y otros Vs. El Salvador </w:t>
      </w:r>
      <w:r>
        <w:rPr>
          <w:rFonts w:ascii="Verdana" w:hAnsi="Verdana"/>
          <w:sz w:val="16"/>
          <w:szCs w:val="16"/>
        </w:rPr>
        <w:t>(</w:t>
      </w:r>
      <w:r>
        <w:rPr>
          <w:rFonts w:ascii="Verdana" w:hAnsi="Verdana"/>
          <w:sz w:val="16"/>
          <w:szCs w:val="16"/>
          <w:lang w:val="es-CR"/>
        </w:rPr>
        <w:t xml:space="preserve">anexo al informe estatal de 4 de mayo de 2016). El Estado presentó dicho informe indicando que fue emitido por el Ministerio de Salud. Sin embargo, no se encuentra firmado por alguna autoridad del Ministerio. </w:t>
      </w:r>
      <w:r w:rsidR="00827DAB">
        <w:rPr>
          <w:rFonts w:ascii="Verdana" w:hAnsi="Verdana"/>
          <w:sz w:val="16"/>
          <w:szCs w:val="16"/>
          <w:lang w:val="es-CR"/>
        </w:rPr>
        <w:t>L</w:t>
      </w:r>
      <w:r>
        <w:rPr>
          <w:rFonts w:ascii="Verdana" w:hAnsi="Verdana"/>
          <w:sz w:val="16"/>
          <w:szCs w:val="16"/>
          <w:lang w:val="es-CR"/>
        </w:rPr>
        <w:t xml:space="preserve">os representantes </w:t>
      </w:r>
      <w:r w:rsidR="00827DAB">
        <w:rPr>
          <w:rFonts w:ascii="Verdana" w:hAnsi="Verdana"/>
          <w:sz w:val="16"/>
          <w:szCs w:val="16"/>
          <w:lang w:val="es-CR"/>
        </w:rPr>
        <w:t>y</w:t>
      </w:r>
      <w:r>
        <w:rPr>
          <w:rFonts w:ascii="Verdana" w:hAnsi="Verdana"/>
          <w:sz w:val="16"/>
          <w:szCs w:val="16"/>
          <w:lang w:val="es-CR"/>
        </w:rPr>
        <w:t xml:space="preserve"> la Comisión</w:t>
      </w:r>
      <w:r w:rsidR="00827DAB">
        <w:rPr>
          <w:rFonts w:ascii="Verdana" w:hAnsi="Verdana"/>
          <w:sz w:val="16"/>
          <w:szCs w:val="16"/>
          <w:lang w:val="es-CR"/>
        </w:rPr>
        <w:t xml:space="preserve"> no</w:t>
      </w:r>
      <w:r>
        <w:rPr>
          <w:rFonts w:ascii="Verdana" w:hAnsi="Verdana"/>
          <w:sz w:val="16"/>
          <w:szCs w:val="16"/>
          <w:lang w:val="es-CR"/>
        </w:rPr>
        <w:t xml:space="preserve"> lo controvirtieron.</w:t>
      </w:r>
    </w:p>
  </w:footnote>
  <w:footnote w:id="13">
    <w:p w:rsidR="00827DAB" w:rsidRDefault="00827DAB" w:rsidP="00827DAB">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sidRPr="00F43D03">
        <w:rPr>
          <w:rStyle w:val="Textoennegrita"/>
          <w:rFonts w:ascii="Verdana" w:hAnsi="Verdana"/>
          <w:b w:val="0"/>
          <w:i/>
          <w:sz w:val="16"/>
          <w:szCs w:val="16"/>
        </w:rPr>
        <w:t>Cfr.</w:t>
      </w:r>
      <w:r w:rsidRPr="00F43D03">
        <w:rPr>
          <w:rStyle w:val="Textoennegrita"/>
          <w:rFonts w:ascii="Verdana" w:hAnsi="Verdana"/>
          <w:b w:val="0"/>
          <w:sz w:val="16"/>
          <w:szCs w:val="16"/>
        </w:rPr>
        <w:t xml:space="preserve"> </w:t>
      </w:r>
      <w:r w:rsidRPr="00F43D03">
        <w:rPr>
          <w:rStyle w:val="Textoennegrita"/>
          <w:rFonts w:ascii="Verdana" w:hAnsi="Verdana"/>
          <w:b w:val="0"/>
          <w:i/>
          <w:sz w:val="16"/>
          <w:szCs w:val="16"/>
        </w:rPr>
        <w:t>Caso de las Hermanas Serrano Cruz Vs. El Salvador</w:t>
      </w:r>
      <w:r w:rsidRPr="00F43D03">
        <w:rPr>
          <w:rStyle w:val="Textoennegrita"/>
          <w:rFonts w:ascii="Verdana" w:hAnsi="Verdana"/>
          <w:b w:val="0"/>
          <w:sz w:val="16"/>
          <w:szCs w:val="16"/>
        </w:rPr>
        <w:t>. Supervisión de Cumplimiento de Sentencia. Resolución de la Corte Interamericana de Derechos Humanos de 1 de septiembre de 2016, Considerando 17.</w:t>
      </w:r>
    </w:p>
  </w:footnote>
  <w:footnote w:id="14">
    <w:p w:rsidR="00EE61B6" w:rsidRPr="005479B5" w:rsidRDefault="00EE61B6" w:rsidP="00F45EF5">
      <w:pPr>
        <w:pStyle w:val="Textonotapie"/>
        <w:jc w:val="both"/>
        <w:rPr>
          <w:rFonts w:ascii="Verdana" w:hAnsi="Verdana"/>
          <w:sz w:val="16"/>
          <w:szCs w:val="16"/>
          <w:lang w:val="es-CR"/>
        </w:rPr>
      </w:pPr>
      <w:r w:rsidRPr="006338D5">
        <w:rPr>
          <w:rStyle w:val="Refdenotaalpie"/>
          <w:rFonts w:ascii="Verdana" w:hAnsi="Verdana"/>
          <w:sz w:val="16"/>
          <w:szCs w:val="16"/>
        </w:rPr>
        <w:footnoteRef/>
      </w:r>
      <w:r w:rsidRPr="006338D5">
        <w:rPr>
          <w:rFonts w:ascii="Verdana" w:hAnsi="Verdana"/>
          <w:sz w:val="16"/>
          <w:szCs w:val="16"/>
        </w:rPr>
        <w:t xml:space="preserve"> </w:t>
      </w:r>
      <w:r>
        <w:rPr>
          <w:rFonts w:ascii="Verdana" w:hAnsi="Verdana"/>
          <w:sz w:val="16"/>
          <w:szCs w:val="16"/>
        </w:rPr>
        <w:tab/>
      </w:r>
      <w:r w:rsidRPr="006338D5">
        <w:rPr>
          <w:rFonts w:ascii="Verdana" w:hAnsi="Verdana"/>
          <w:i/>
          <w:sz w:val="16"/>
          <w:szCs w:val="16"/>
        </w:rPr>
        <w:t>Cfr.</w:t>
      </w:r>
      <w:r w:rsidRPr="006338D5">
        <w:rPr>
          <w:rFonts w:ascii="Verdana" w:hAnsi="Verdana"/>
          <w:sz w:val="16"/>
          <w:szCs w:val="16"/>
        </w:rPr>
        <w:t xml:space="preserve"> </w:t>
      </w:r>
      <w:r w:rsidR="00F06C4C">
        <w:rPr>
          <w:rFonts w:ascii="Verdana" w:hAnsi="Verdana"/>
          <w:sz w:val="16"/>
          <w:szCs w:val="16"/>
        </w:rPr>
        <w:t>Disco compacto</w:t>
      </w:r>
      <w:r w:rsidRPr="006338D5">
        <w:rPr>
          <w:rFonts w:ascii="Verdana" w:hAnsi="Verdana"/>
          <w:sz w:val="16"/>
          <w:szCs w:val="16"/>
        </w:rPr>
        <w:t xml:space="preserve"> que contiene el audiovisual del acto de reconocimiento de responsabilidad internacional realizado por el Estado el 28 de marzo de 2015. (</w:t>
      </w:r>
      <w:r w:rsidRPr="006338D5">
        <w:rPr>
          <w:rFonts w:ascii="Verdana" w:hAnsi="Verdana"/>
          <w:sz w:val="16"/>
          <w:szCs w:val="16"/>
          <w:lang w:val="es-CR"/>
        </w:rPr>
        <w:t>anexo al informe estatal de 4 de mayo de 2016</w:t>
      </w:r>
      <w:r>
        <w:rPr>
          <w:rFonts w:ascii="Verdana" w:hAnsi="Verdana"/>
          <w:sz w:val="16"/>
          <w:szCs w:val="16"/>
          <w:lang w:val="es-CR"/>
        </w:rPr>
        <w:t xml:space="preserve"> enviado mediante escrito presentado el 18 de mayo de 2016</w:t>
      </w:r>
      <w:r w:rsidRPr="006338D5">
        <w:rPr>
          <w:rFonts w:ascii="Verdana" w:hAnsi="Verdana"/>
          <w:sz w:val="16"/>
          <w:szCs w:val="16"/>
          <w:lang w:val="es-CR"/>
        </w:rPr>
        <w:t>).</w:t>
      </w:r>
    </w:p>
  </w:footnote>
  <w:footnote w:id="15">
    <w:p w:rsidR="00EE61B6" w:rsidRPr="000E15CF" w:rsidRDefault="00EE61B6" w:rsidP="000E15CF">
      <w:pPr>
        <w:pStyle w:val="Textonotapie"/>
        <w:jc w:val="both"/>
        <w:rPr>
          <w:rFonts w:ascii="Verdana" w:hAnsi="Verdana"/>
          <w:sz w:val="16"/>
          <w:szCs w:val="16"/>
        </w:rPr>
      </w:pPr>
      <w:r w:rsidRPr="000E15CF">
        <w:rPr>
          <w:rStyle w:val="Refdenotaalpie"/>
          <w:rFonts w:ascii="Verdana" w:hAnsi="Verdana"/>
          <w:sz w:val="16"/>
          <w:szCs w:val="16"/>
        </w:rPr>
        <w:footnoteRef/>
      </w:r>
      <w:r w:rsidRPr="000E15CF">
        <w:rPr>
          <w:rFonts w:ascii="Verdana" w:hAnsi="Verdana"/>
          <w:sz w:val="16"/>
          <w:szCs w:val="16"/>
        </w:rPr>
        <w:t xml:space="preserve"> </w:t>
      </w:r>
      <w:r w:rsidRPr="000E15CF">
        <w:rPr>
          <w:rFonts w:ascii="Verdana" w:hAnsi="Verdana"/>
          <w:sz w:val="16"/>
          <w:szCs w:val="16"/>
        </w:rPr>
        <w:tab/>
        <w:t>El acto fue</w:t>
      </w:r>
      <w:r w:rsidRPr="000E15CF">
        <w:rPr>
          <w:rFonts w:ascii="Verdana" w:hAnsi="Verdana"/>
          <w:b/>
          <w:sz w:val="16"/>
          <w:szCs w:val="16"/>
        </w:rPr>
        <w:t xml:space="preserve"> </w:t>
      </w:r>
      <w:r w:rsidRPr="000E15CF">
        <w:rPr>
          <w:rFonts w:ascii="Verdana" w:hAnsi="Verdana"/>
          <w:sz w:val="16"/>
          <w:szCs w:val="16"/>
        </w:rPr>
        <w:t>presidido por el Canciller de la República y se contó con la participación de otras autoridades nacionales tales como el Procurador para la Defensa de los Derechos Humanos y Comisionado Presidente de la Comisión Nacional de Búsqueda de Niños y Niñas Desaparecidos durante el Conflicto Armado Interno, la Procuradora General de la República y el Coordinador de la Asociación Pro-Búsqueda</w:t>
      </w:r>
      <w:r w:rsidRPr="000E15CF">
        <w:rPr>
          <w:rFonts w:ascii="Verdana" w:hAnsi="Verdana" w:cs="Arial"/>
          <w:sz w:val="16"/>
          <w:szCs w:val="16"/>
        </w:rPr>
        <w:t xml:space="preserve">. Además, formaron parte del evento las familias </w:t>
      </w:r>
      <w:proofErr w:type="spellStart"/>
      <w:r w:rsidRPr="000E15CF">
        <w:rPr>
          <w:rFonts w:ascii="Verdana" w:hAnsi="Verdana" w:cs="Arial"/>
          <w:sz w:val="16"/>
          <w:szCs w:val="16"/>
        </w:rPr>
        <w:t>Rochac</w:t>
      </w:r>
      <w:proofErr w:type="spellEnd"/>
      <w:r w:rsidRPr="000E15CF">
        <w:rPr>
          <w:rFonts w:ascii="Verdana" w:hAnsi="Verdana" w:cs="Arial"/>
          <w:sz w:val="16"/>
          <w:szCs w:val="16"/>
        </w:rPr>
        <w:t xml:space="preserve"> Hernández, Salinas </w:t>
      </w:r>
      <w:proofErr w:type="spellStart"/>
      <w:r w:rsidRPr="000E15CF">
        <w:rPr>
          <w:rFonts w:ascii="Verdana" w:hAnsi="Verdana" w:cs="Arial"/>
          <w:sz w:val="16"/>
          <w:szCs w:val="16"/>
        </w:rPr>
        <w:t>Iraheta</w:t>
      </w:r>
      <w:proofErr w:type="spellEnd"/>
      <w:r w:rsidRPr="000E15CF">
        <w:rPr>
          <w:rFonts w:ascii="Verdana" w:hAnsi="Verdana" w:cs="Arial"/>
          <w:sz w:val="16"/>
          <w:szCs w:val="16"/>
        </w:rPr>
        <w:t xml:space="preserve">, Hernández Sánchez, Bonilla Osorio y Abarca Ayala; teniendo oportunidad de intervenir dando su testimonio las señoras María Juliana </w:t>
      </w:r>
      <w:proofErr w:type="spellStart"/>
      <w:r w:rsidRPr="000E15CF">
        <w:rPr>
          <w:rFonts w:ascii="Verdana" w:hAnsi="Verdana" w:cs="Arial"/>
          <w:sz w:val="16"/>
          <w:szCs w:val="16"/>
        </w:rPr>
        <w:t>Rochac</w:t>
      </w:r>
      <w:proofErr w:type="spellEnd"/>
      <w:r w:rsidRPr="000E15CF">
        <w:rPr>
          <w:rFonts w:ascii="Verdana" w:hAnsi="Verdana" w:cs="Arial"/>
          <w:sz w:val="16"/>
          <w:szCs w:val="16"/>
        </w:rPr>
        <w:t xml:space="preserve"> Hernández y Amparo Salinas, así como el señor Simón Bonilla, familiares de algunas de las víctimas. Asimismo, el Estado cumplió con asegurar la difusión del acto a través de medios de comunicación toda vez que, como fue comunicado por el Estado y no objetado por los representantes, fue transmitido “en vivo” por televisión y radio nacional. Adicionalmente, la Corte constata que el Estado le dio posteriormente cobertura al acto en medios escritos</w:t>
      </w:r>
      <w:r w:rsidRPr="000E15CF">
        <w:rPr>
          <w:rFonts w:ascii="Verdana" w:hAnsi="Verdana"/>
          <w:sz w:val="16"/>
          <w:szCs w:val="16"/>
        </w:rPr>
        <w:t xml:space="preserve"> a través de la revista Re-</w:t>
      </w:r>
      <w:proofErr w:type="spellStart"/>
      <w:r w:rsidRPr="000E15CF">
        <w:rPr>
          <w:rFonts w:ascii="Verdana" w:hAnsi="Verdana"/>
          <w:sz w:val="16"/>
          <w:szCs w:val="16"/>
        </w:rPr>
        <w:t>cordis</w:t>
      </w:r>
      <w:proofErr w:type="spellEnd"/>
      <w:r w:rsidRPr="000E15CF">
        <w:rPr>
          <w:rFonts w:ascii="Verdana" w:hAnsi="Verdana"/>
          <w:sz w:val="16"/>
          <w:szCs w:val="16"/>
        </w:rPr>
        <w:t xml:space="preserve"> editada por la CNB.</w:t>
      </w:r>
    </w:p>
  </w:footnote>
  <w:footnote w:id="16">
    <w:p w:rsidR="00EE61B6" w:rsidRPr="007C6335" w:rsidRDefault="00EE61B6">
      <w:pPr>
        <w:pStyle w:val="Textonotapie"/>
        <w:rPr>
          <w:rFonts w:ascii="Verdana" w:hAnsi="Verdana"/>
          <w:sz w:val="16"/>
          <w:szCs w:val="16"/>
        </w:rPr>
      </w:pPr>
      <w:r w:rsidRPr="007C6335">
        <w:rPr>
          <w:rStyle w:val="Refdenotaalpie"/>
          <w:rFonts w:ascii="Verdana" w:hAnsi="Verdana"/>
          <w:sz w:val="16"/>
          <w:szCs w:val="16"/>
        </w:rPr>
        <w:footnoteRef/>
      </w:r>
      <w:r w:rsidRPr="007C6335">
        <w:rPr>
          <w:rFonts w:ascii="Verdana" w:hAnsi="Verdana"/>
          <w:sz w:val="16"/>
          <w:szCs w:val="16"/>
        </w:rPr>
        <w:t xml:space="preserve"> </w:t>
      </w:r>
      <w:r>
        <w:rPr>
          <w:rFonts w:ascii="Verdana" w:hAnsi="Verdana"/>
          <w:sz w:val="16"/>
          <w:szCs w:val="16"/>
        </w:rPr>
        <w:tab/>
      </w:r>
      <w:r w:rsidRPr="007C6335">
        <w:rPr>
          <w:rFonts w:ascii="Verdana" w:hAnsi="Verdana"/>
          <w:i/>
          <w:sz w:val="16"/>
          <w:szCs w:val="16"/>
        </w:rPr>
        <w:t>Cfr.</w:t>
      </w:r>
      <w:r w:rsidRPr="007C6335">
        <w:rPr>
          <w:rFonts w:ascii="Verdana" w:hAnsi="Verdana"/>
          <w:sz w:val="16"/>
          <w:szCs w:val="16"/>
        </w:rPr>
        <w:t xml:space="preserve"> Copia del </w:t>
      </w:r>
      <w:r>
        <w:rPr>
          <w:rFonts w:ascii="Verdana" w:hAnsi="Verdana"/>
          <w:sz w:val="16"/>
          <w:szCs w:val="16"/>
        </w:rPr>
        <w:t>Diario Oficial  de San Salvador del 27 de marzo de 2015, pág. 169</w:t>
      </w:r>
      <w:r w:rsidRPr="007C6335">
        <w:rPr>
          <w:rFonts w:ascii="Verdana" w:hAnsi="Verdana"/>
          <w:sz w:val="16"/>
          <w:szCs w:val="16"/>
        </w:rPr>
        <w:t>. (</w:t>
      </w:r>
      <w:r w:rsidRPr="007C6335">
        <w:rPr>
          <w:rFonts w:ascii="Verdana" w:hAnsi="Verdana"/>
          <w:sz w:val="16"/>
          <w:szCs w:val="16"/>
          <w:lang w:val="es-CR"/>
        </w:rPr>
        <w:t>anexo al informe estatal de 4 de mayo de 2016)</w:t>
      </w:r>
      <w:r w:rsidR="00F06C4C">
        <w:rPr>
          <w:rFonts w:ascii="Verdana" w:hAnsi="Verdana"/>
          <w:sz w:val="16"/>
          <w:szCs w:val="16"/>
          <w:lang w:val="es-CR"/>
        </w:rPr>
        <w:t>.</w:t>
      </w:r>
    </w:p>
  </w:footnote>
  <w:footnote w:id="17">
    <w:p w:rsidR="00EE61B6" w:rsidRPr="001340C1" w:rsidRDefault="00EE61B6" w:rsidP="00F06C4C">
      <w:pPr>
        <w:pStyle w:val="Textonotapie"/>
        <w:jc w:val="both"/>
        <w:rPr>
          <w:rFonts w:ascii="Verdana" w:hAnsi="Verdana"/>
          <w:sz w:val="16"/>
          <w:szCs w:val="16"/>
        </w:rPr>
      </w:pPr>
      <w:r w:rsidRPr="001340C1">
        <w:rPr>
          <w:rStyle w:val="Refdenotaalpie"/>
          <w:rFonts w:ascii="Verdana" w:hAnsi="Verdana"/>
          <w:sz w:val="16"/>
          <w:szCs w:val="16"/>
        </w:rPr>
        <w:footnoteRef/>
      </w:r>
      <w:r w:rsidRPr="001340C1">
        <w:rPr>
          <w:rFonts w:ascii="Verdana" w:hAnsi="Verdana"/>
          <w:sz w:val="16"/>
          <w:szCs w:val="16"/>
        </w:rPr>
        <w:t xml:space="preserve"> </w:t>
      </w:r>
      <w:r>
        <w:rPr>
          <w:rFonts w:ascii="Verdana" w:hAnsi="Verdana"/>
          <w:sz w:val="16"/>
          <w:szCs w:val="16"/>
        </w:rPr>
        <w:tab/>
      </w:r>
      <w:r w:rsidRPr="007C6335">
        <w:rPr>
          <w:rFonts w:ascii="Verdana" w:hAnsi="Verdana"/>
          <w:i/>
          <w:sz w:val="16"/>
          <w:szCs w:val="16"/>
        </w:rPr>
        <w:t>Cfr.</w:t>
      </w:r>
      <w:r w:rsidRPr="007C6335">
        <w:rPr>
          <w:rFonts w:ascii="Verdana" w:hAnsi="Verdana"/>
          <w:sz w:val="16"/>
          <w:szCs w:val="16"/>
        </w:rPr>
        <w:t xml:space="preserve"> Copia del </w:t>
      </w:r>
      <w:r>
        <w:rPr>
          <w:rFonts w:ascii="Verdana" w:hAnsi="Verdana"/>
          <w:sz w:val="16"/>
          <w:szCs w:val="16"/>
        </w:rPr>
        <w:t xml:space="preserve">Suplemento de la Prensa Gráfica del 27 de marzo de 2015 </w:t>
      </w:r>
      <w:r w:rsidRPr="007C6335">
        <w:rPr>
          <w:rFonts w:ascii="Verdana" w:hAnsi="Verdana"/>
          <w:sz w:val="16"/>
          <w:szCs w:val="16"/>
        </w:rPr>
        <w:t>(</w:t>
      </w:r>
      <w:r w:rsidRPr="007C6335">
        <w:rPr>
          <w:rFonts w:ascii="Verdana" w:hAnsi="Verdana"/>
          <w:sz w:val="16"/>
          <w:szCs w:val="16"/>
          <w:lang w:val="es-CR"/>
        </w:rPr>
        <w:t>anexo al informe estatal de 4 de mayo de 2016)</w:t>
      </w:r>
      <w:r w:rsidR="00F06C4C">
        <w:rPr>
          <w:rFonts w:ascii="Verdana" w:hAnsi="Verdana"/>
          <w:sz w:val="16"/>
          <w:szCs w:val="16"/>
          <w:lang w:val="es-CR"/>
        </w:rPr>
        <w:t>.</w:t>
      </w:r>
    </w:p>
  </w:footnote>
  <w:footnote w:id="18">
    <w:p w:rsidR="00EE61B6" w:rsidRPr="008E2B93" w:rsidRDefault="00EE61B6" w:rsidP="001E779D">
      <w:pPr>
        <w:pStyle w:val="Textonotapie"/>
        <w:jc w:val="both"/>
        <w:rPr>
          <w:rFonts w:ascii="Verdana" w:hAnsi="Verdana"/>
          <w:b/>
          <w:sz w:val="16"/>
          <w:szCs w:val="16"/>
          <w:highlight w:val="yellow"/>
        </w:rPr>
      </w:pPr>
      <w:r w:rsidRPr="00B61758">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El Estado indicó </w:t>
      </w:r>
      <w:r w:rsidR="00B00914">
        <w:rPr>
          <w:rFonts w:ascii="Verdana" w:hAnsi="Verdana"/>
          <w:sz w:val="16"/>
          <w:szCs w:val="16"/>
        </w:rPr>
        <w:t>en su informe de 4 de mayo de 2016 que</w:t>
      </w:r>
      <w:r>
        <w:rPr>
          <w:rFonts w:ascii="Verdana" w:hAnsi="Verdana"/>
          <w:sz w:val="16"/>
          <w:szCs w:val="16"/>
        </w:rPr>
        <w:t xml:space="preserve"> dicha publicación </w:t>
      </w:r>
      <w:r w:rsidR="00B00914">
        <w:rPr>
          <w:rFonts w:ascii="Verdana" w:hAnsi="Verdana"/>
          <w:sz w:val="16"/>
          <w:szCs w:val="16"/>
        </w:rPr>
        <w:t xml:space="preserve">“puede ser consultada en la dirección siguiente: </w:t>
      </w:r>
      <w:hyperlink r:id="rId2" w:history="1">
        <w:r w:rsidRPr="00B00914">
          <w:rPr>
            <w:rStyle w:val="Hipervnculo"/>
            <w:rFonts w:ascii="Verdana" w:hAnsi="Verdana"/>
            <w:sz w:val="16"/>
            <w:szCs w:val="16"/>
          </w:rPr>
          <w:t>http://csj.gob.sv/Comunicaciones/2015/MAR_15/Sentencia%20firmada.pdf</w:t>
        </w:r>
      </w:hyperlink>
      <w:r w:rsidR="00B00914" w:rsidRPr="00B00914">
        <w:rPr>
          <w:rStyle w:val="Hipervnculo"/>
          <w:rFonts w:ascii="Verdana" w:hAnsi="Verdana"/>
          <w:sz w:val="16"/>
          <w:szCs w:val="16"/>
        </w:rPr>
        <w:t>”</w:t>
      </w:r>
      <w:r w:rsidR="008E2B93">
        <w:rPr>
          <w:rStyle w:val="Hipervnculo"/>
          <w:rFonts w:ascii="Verdana" w:hAnsi="Verdana"/>
          <w:sz w:val="16"/>
          <w:szCs w:val="16"/>
          <w:u w:val="none"/>
        </w:rPr>
        <w:t>.</w:t>
      </w:r>
    </w:p>
  </w:footnote>
  <w:footnote w:id="19">
    <w:p w:rsidR="00EE61B6" w:rsidRPr="00EE61B6" w:rsidRDefault="00EE61B6" w:rsidP="001E779D">
      <w:pPr>
        <w:pStyle w:val="Textonotapie"/>
        <w:jc w:val="both"/>
        <w:rPr>
          <w:rFonts w:ascii="Verdana" w:hAnsi="Verdana"/>
          <w:sz w:val="16"/>
          <w:szCs w:val="16"/>
          <w:highlight w:val="yellow"/>
        </w:rPr>
      </w:pPr>
      <w:r w:rsidRPr="00B00914">
        <w:rPr>
          <w:rStyle w:val="Refdenotaalpie"/>
          <w:rFonts w:ascii="Verdana" w:hAnsi="Verdana"/>
          <w:sz w:val="16"/>
          <w:szCs w:val="16"/>
        </w:rPr>
        <w:footnoteRef/>
      </w:r>
      <w:r w:rsidRPr="00B00914">
        <w:rPr>
          <w:rFonts w:ascii="Verdana" w:hAnsi="Verdana"/>
          <w:sz w:val="16"/>
          <w:szCs w:val="16"/>
        </w:rPr>
        <w:t xml:space="preserve"> </w:t>
      </w:r>
      <w:r w:rsidRPr="00B00914">
        <w:rPr>
          <w:rFonts w:ascii="Verdana" w:hAnsi="Verdana"/>
          <w:sz w:val="16"/>
          <w:szCs w:val="16"/>
        </w:rPr>
        <w:tab/>
      </w:r>
      <w:r w:rsidR="00B00914" w:rsidRPr="00B00914">
        <w:rPr>
          <w:rFonts w:ascii="Verdana" w:hAnsi="Verdana"/>
          <w:sz w:val="16"/>
          <w:szCs w:val="16"/>
        </w:rPr>
        <w:t>El Estado indicó en su informe de 4 de mayo que la publicación “puede ser consultad[a] en el sitio web:</w:t>
      </w:r>
      <w:r w:rsidRPr="00B00914">
        <w:rPr>
          <w:rFonts w:ascii="Verdana" w:hAnsi="Verdana"/>
          <w:sz w:val="16"/>
          <w:szCs w:val="16"/>
        </w:rPr>
        <w:t xml:space="preserve"> </w:t>
      </w:r>
      <w:hyperlink r:id="rId3" w:history="1">
        <w:r w:rsidRPr="00B00914">
          <w:rPr>
            <w:rStyle w:val="Hipervnculo"/>
            <w:rFonts w:ascii="Verdana" w:hAnsi="Verdana"/>
            <w:sz w:val="16"/>
            <w:szCs w:val="16"/>
          </w:rPr>
          <w:t>http://www.fuerzaarmada.gob.sv:90?p=51</w:t>
        </w:r>
      </w:hyperlink>
      <w:r w:rsidR="00B00914" w:rsidRPr="00B00914">
        <w:rPr>
          <w:rStyle w:val="Hipervnculo"/>
          <w:rFonts w:ascii="Verdana" w:hAnsi="Verdana"/>
          <w:sz w:val="16"/>
          <w:szCs w:val="16"/>
        </w:rPr>
        <w:t>”</w:t>
      </w:r>
      <w:r w:rsidR="008142CF" w:rsidRPr="008142CF">
        <w:rPr>
          <w:rFonts w:ascii="Verdana" w:hAnsi="Verdana"/>
          <w:sz w:val="16"/>
          <w:szCs w:val="16"/>
        </w:rPr>
        <w:t>.</w:t>
      </w:r>
    </w:p>
  </w:footnote>
  <w:footnote w:id="20">
    <w:p w:rsidR="00EE61B6" w:rsidRPr="00B00914" w:rsidRDefault="00EE61B6" w:rsidP="001E779D">
      <w:pPr>
        <w:pStyle w:val="Textonotapie"/>
        <w:jc w:val="both"/>
        <w:rPr>
          <w:rFonts w:ascii="Verdana" w:hAnsi="Verdana"/>
          <w:sz w:val="16"/>
          <w:szCs w:val="16"/>
        </w:rPr>
      </w:pPr>
      <w:r w:rsidRPr="00B00914">
        <w:rPr>
          <w:rStyle w:val="Refdenotaalpie"/>
          <w:rFonts w:ascii="Verdana" w:hAnsi="Verdana"/>
          <w:sz w:val="16"/>
          <w:szCs w:val="16"/>
        </w:rPr>
        <w:footnoteRef/>
      </w:r>
      <w:r w:rsidRPr="00B00914">
        <w:rPr>
          <w:rFonts w:ascii="Verdana" w:hAnsi="Verdana"/>
          <w:sz w:val="16"/>
          <w:szCs w:val="16"/>
        </w:rPr>
        <w:t xml:space="preserve"> </w:t>
      </w:r>
      <w:r w:rsidRPr="00B00914">
        <w:rPr>
          <w:rFonts w:ascii="Verdana" w:hAnsi="Verdana"/>
          <w:sz w:val="16"/>
          <w:szCs w:val="16"/>
        </w:rPr>
        <w:tab/>
      </w:r>
      <w:r w:rsidR="00B00914" w:rsidRPr="00B00914">
        <w:rPr>
          <w:rFonts w:ascii="Verdana" w:hAnsi="Verdana"/>
          <w:sz w:val="16"/>
          <w:szCs w:val="16"/>
        </w:rPr>
        <w:t xml:space="preserve">El Estado indicó en su informe de 4 de mayo de 2016 que “la publicación del resumen oficial de la sentencia en su página web […] puede ser consultado en el siguiente vínculo: </w:t>
      </w:r>
      <w:hyperlink r:id="rId4" w:history="1">
        <w:r w:rsidR="00B00914" w:rsidRPr="00561783">
          <w:rPr>
            <w:rStyle w:val="Hipervnculo"/>
            <w:rFonts w:ascii="Verdana" w:hAnsi="Verdana"/>
            <w:sz w:val="16"/>
            <w:szCs w:val="16"/>
          </w:rPr>
          <w:t>http://www.rree.gob.sv/index.php?option=com_rsfiles&amp;layout=download&amp;path=CASO20ROCHAC20LPG.pdf&amp;ltemid=1557</w:t>
        </w:r>
      </w:hyperlink>
      <w:r w:rsidR="008E2B93">
        <w:rPr>
          <w:rStyle w:val="Hipervnculo"/>
          <w:rFonts w:ascii="Verdana" w:hAnsi="Verdana"/>
          <w:sz w:val="16"/>
          <w:szCs w:val="16"/>
        </w:rPr>
        <w:t>”</w:t>
      </w:r>
      <w:r w:rsidR="008142CF">
        <w:rPr>
          <w:rFonts w:ascii="Verdana" w:hAnsi="Verdana"/>
          <w:sz w:val="16"/>
          <w:szCs w:val="16"/>
        </w:rPr>
        <w:t>.</w:t>
      </w:r>
    </w:p>
  </w:footnote>
  <w:footnote w:id="21">
    <w:p w:rsidR="00EE61B6" w:rsidRPr="005F6921" w:rsidRDefault="00EE61B6" w:rsidP="001E779D">
      <w:pPr>
        <w:pStyle w:val="Textonotapie"/>
        <w:jc w:val="both"/>
        <w:rPr>
          <w:rFonts w:ascii="Verdana" w:hAnsi="Verdana"/>
          <w:sz w:val="16"/>
          <w:szCs w:val="16"/>
          <w:lang w:val="es-CR"/>
        </w:rPr>
      </w:pPr>
      <w:r w:rsidRPr="005F6921">
        <w:rPr>
          <w:rStyle w:val="Refdenotaalpie"/>
          <w:rFonts w:ascii="Verdana" w:hAnsi="Verdana"/>
          <w:sz w:val="16"/>
          <w:szCs w:val="16"/>
        </w:rPr>
        <w:footnoteRef/>
      </w:r>
      <w:r w:rsidRPr="005F6921">
        <w:rPr>
          <w:rFonts w:ascii="Verdana" w:hAnsi="Verdana"/>
          <w:sz w:val="16"/>
          <w:szCs w:val="16"/>
        </w:rPr>
        <w:t xml:space="preserve"> </w:t>
      </w:r>
      <w:r w:rsidRPr="005F6921">
        <w:rPr>
          <w:rFonts w:ascii="Verdana" w:hAnsi="Verdana"/>
          <w:sz w:val="16"/>
          <w:szCs w:val="16"/>
        </w:rPr>
        <w:tab/>
      </w:r>
      <w:r w:rsidRPr="005F6921">
        <w:rPr>
          <w:rFonts w:ascii="Verdana" w:hAnsi="Verdana"/>
          <w:i/>
          <w:sz w:val="16"/>
          <w:szCs w:val="16"/>
          <w:lang w:val="es-CR"/>
        </w:rPr>
        <w:t xml:space="preserve">Cfr. </w:t>
      </w:r>
      <w:r w:rsidRPr="005F6921">
        <w:rPr>
          <w:rFonts w:ascii="Verdana" w:hAnsi="Verdana"/>
          <w:sz w:val="16"/>
          <w:szCs w:val="16"/>
          <w:lang w:val="es-CR"/>
        </w:rPr>
        <w:t>Acta</w:t>
      </w:r>
      <w:r w:rsidR="00381454">
        <w:rPr>
          <w:rFonts w:ascii="Verdana" w:hAnsi="Verdana"/>
          <w:sz w:val="16"/>
          <w:szCs w:val="16"/>
          <w:lang w:val="es-CR"/>
        </w:rPr>
        <w:t>s</w:t>
      </w:r>
      <w:r w:rsidRPr="005F6921">
        <w:rPr>
          <w:rFonts w:ascii="Verdana" w:hAnsi="Verdana"/>
          <w:sz w:val="16"/>
          <w:szCs w:val="16"/>
          <w:lang w:val="es-CR"/>
        </w:rPr>
        <w:t xml:space="preserve"> suscritas</w:t>
      </w:r>
      <w:r w:rsidR="00381454">
        <w:rPr>
          <w:rFonts w:ascii="Verdana" w:hAnsi="Verdana"/>
          <w:sz w:val="16"/>
          <w:szCs w:val="16"/>
          <w:lang w:val="es-CR"/>
        </w:rPr>
        <w:t xml:space="preserve"> por</w:t>
      </w:r>
      <w:r w:rsidRPr="005F6921">
        <w:rPr>
          <w:rFonts w:ascii="Verdana" w:hAnsi="Verdana"/>
          <w:sz w:val="16"/>
          <w:szCs w:val="16"/>
          <w:lang w:val="es-CR"/>
        </w:rPr>
        <w:t xml:space="preserve"> </w:t>
      </w:r>
      <w:proofErr w:type="spellStart"/>
      <w:r w:rsidRPr="005F6921">
        <w:rPr>
          <w:rFonts w:ascii="Verdana" w:hAnsi="Verdana"/>
          <w:sz w:val="16"/>
          <w:szCs w:val="16"/>
        </w:rPr>
        <w:t>Heidy</w:t>
      </w:r>
      <w:proofErr w:type="spellEnd"/>
      <w:r w:rsidRPr="005F6921">
        <w:rPr>
          <w:rFonts w:ascii="Verdana" w:hAnsi="Verdana"/>
          <w:sz w:val="16"/>
          <w:szCs w:val="16"/>
        </w:rPr>
        <w:t xml:space="preserve"> Elizabeth Guardado Escobar, en su carácter de Presidenta de la Asociación Pro-Búsqueda de Niñas y Niños Desaparecidos, y por Tania </w:t>
      </w:r>
      <w:proofErr w:type="spellStart"/>
      <w:r w:rsidRPr="005F6921">
        <w:rPr>
          <w:rFonts w:ascii="Verdana" w:hAnsi="Verdana"/>
          <w:sz w:val="16"/>
          <w:szCs w:val="16"/>
        </w:rPr>
        <w:t>Camilia</w:t>
      </w:r>
      <w:proofErr w:type="spellEnd"/>
      <w:r w:rsidRPr="005F6921">
        <w:rPr>
          <w:rFonts w:ascii="Verdana" w:hAnsi="Verdana"/>
          <w:sz w:val="16"/>
          <w:szCs w:val="16"/>
        </w:rPr>
        <w:t xml:space="preserve"> Rosa, en su carácter de Directora General de Derechos Humanos del Ministerio de Relaciones Exteriores </w:t>
      </w:r>
      <w:r w:rsidRPr="005F6921">
        <w:rPr>
          <w:rFonts w:ascii="Verdana" w:hAnsi="Verdana"/>
          <w:sz w:val="16"/>
          <w:szCs w:val="16"/>
          <w:lang w:val="es-CR"/>
        </w:rPr>
        <w:t>del 18 de marzo de 2016</w:t>
      </w:r>
      <w:r>
        <w:rPr>
          <w:rFonts w:ascii="Verdana" w:hAnsi="Verdana"/>
          <w:sz w:val="16"/>
          <w:szCs w:val="16"/>
          <w:lang w:val="es-CR"/>
        </w:rPr>
        <w:t>, mediante la cual</w:t>
      </w:r>
      <w:r w:rsidRPr="005F6921">
        <w:rPr>
          <w:rFonts w:ascii="Verdana" w:hAnsi="Verdana"/>
          <w:sz w:val="16"/>
          <w:szCs w:val="16"/>
          <w:lang w:val="es-CR"/>
        </w:rPr>
        <w:t xml:space="preserve"> se deja constancia del pago realizado </w:t>
      </w:r>
      <w:r>
        <w:rPr>
          <w:rFonts w:ascii="Verdana" w:hAnsi="Verdana"/>
          <w:sz w:val="16"/>
          <w:szCs w:val="16"/>
          <w:lang w:val="es-CR"/>
        </w:rPr>
        <w:t xml:space="preserve">a la referida organización </w:t>
      </w:r>
      <w:r w:rsidRPr="005F6921">
        <w:rPr>
          <w:rFonts w:ascii="Verdana" w:hAnsi="Verdana"/>
          <w:sz w:val="16"/>
          <w:szCs w:val="16"/>
          <w:lang w:val="es-CR"/>
        </w:rPr>
        <w:t xml:space="preserve">por la cantidad de ciento ochenta mil dólares de los Estados Unidos de América como “pago total de las costas y gastos del </w:t>
      </w:r>
      <w:r w:rsidRPr="005F6921">
        <w:rPr>
          <w:rFonts w:ascii="Verdana" w:hAnsi="Verdana"/>
          <w:i/>
          <w:sz w:val="16"/>
          <w:szCs w:val="16"/>
          <w:lang w:val="es-CR"/>
        </w:rPr>
        <w:t xml:space="preserve">caso </w:t>
      </w:r>
      <w:proofErr w:type="spellStart"/>
      <w:r w:rsidRPr="005F6921">
        <w:rPr>
          <w:rFonts w:ascii="Verdana" w:hAnsi="Verdana"/>
          <w:i/>
          <w:sz w:val="16"/>
          <w:szCs w:val="16"/>
          <w:lang w:val="es-CR"/>
        </w:rPr>
        <w:t>Rochac</w:t>
      </w:r>
      <w:proofErr w:type="spellEnd"/>
      <w:r w:rsidRPr="005F6921">
        <w:rPr>
          <w:rFonts w:ascii="Verdana" w:hAnsi="Verdana"/>
          <w:i/>
          <w:sz w:val="16"/>
          <w:szCs w:val="16"/>
          <w:lang w:val="es-CR"/>
        </w:rPr>
        <w:t xml:space="preserve"> Hernández y otros versus El Salvador</w:t>
      </w:r>
      <w:r w:rsidRPr="005F6921">
        <w:rPr>
          <w:rFonts w:ascii="Verdana" w:hAnsi="Verdana"/>
          <w:sz w:val="16"/>
          <w:szCs w:val="16"/>
          <w:lang w:val="es-CR"/>
        </w:rPr>
        <w:t>”</w:t>
      </w:r>
      <w:r w:rsidRPr="005F6921">
        <w:rPr>
          <w:rFonts w:ascii="Verdana" w:hAnsi="Verdana"/>
          <w:sz w:val="16"/>
          <w:szCs w:val="16"/>
        </w:rPr>
        <w:t>.</w:t>
      </w:r>
      <w:r w:rsidRPr="005F6921">
        <w:rPr>
          <w:rFonts w:ascii="Verdana" w:hAnsi="Verdana"/>
          <w:sz w:val="16"/>
          <w:szCs w:val="16"/>
          <w:lang w:val="es-CR"/>
        </w:rPr>
        <w:t xml:space="preserve"> (Anexo al informe del Estado de 4 de mayo de 2016).</w:t>
      </w:r>
    </w:p>
  </w:footnote>
  <w:footnote w:id="22">
    <w:p w:rsidR="00EE61B6" w:rsidRPr="00EE61B6" w:rsidRDefault="00EE61B6" w:rsidP="00EE61B6">
      <w:pPr>
        <w:pStyle w:val="Textonotapie"/>
        <w:jc w:val="both"/>
        <w:rPr>
          <w:rFonts w:ascii="Verdana" w:hAnsi="Verdana"/>
          <w:sz w:val="16"/>
          <w:szCs w:val="16"/>
        </w:rPr>
      </w:pPr>
      <w:r w:rsidRPr="00EE61B6">
        <w:rPr>
          <w:rStyle w:val="Refdenotaalpie"/>
          <w:rFonts w:ascii="Verdana" w:hAnsi="Verdana"/>
          <w:sz w:val="16"/>
          <w:szCs w:val="16"/>
        </w:rPr>
        <w:footnoteRef/>
      </w:r>
      <w:r w:rsidRPr="00EE61B6">
        <w:rPr>
          <w:rFonts w:ascii="Verdana" w:hAnsi="Verdana"/>
          <w:sz w:val="16"/>
          <w:szCs w:val="16"/>
        </w:rPr>
        <w:t xml:space="preserve"> </w:t>
      </w:r>
      <w:r w:rsidRPr="00EE61B6">
        <w:rPr>
          <w:rFonts w:ascii="Verdana" w:hAnsi="Verdana"/>
          <w:sz w:val="16"/>
          <w:szCs w:val="16"/>
        </w:rPr>
        <w:tab/>
        <w:t>En dich</w:t>
      </w:r>
      <w:r w:rsidR="00381454">
        <w:rPr>
          <w:rFonts w:ascii="Verdana" w:hAnsi="Verdana"/>
          <w:sz w:val="16"/>
          <w:szCs w:val="16"/>
        </w:rPr>
        <w:t>a</w:t>
      </w:r>
      <w:r w:rsidRPr="00EE61B6">
        <w:rPr>
          <w:rFonts w:ascii="Verdana" w:hAnsi="Verdana"/>
          <w:sz w:val="16"/>
          <w:szCs w:val="16"/>
        </w:rPr>
        <w:t xml:space="preserve"> acta, además, se dejó constancia que la representante de la Asociación Pro-Búsqueda recibió “el referido pago a su entera satisfacción y que entiende cumplida totalmente la obligación estatal en la medida y términos […] indicados por la […] Corte Interamericana de Derechos Humanos”.</w:t>
      </w:r>
    </w:p>
  </w:footnote>
  <w:footnote w:id="23">
    <w:p w:rsidR="00122209" w:rsidRPr="00122209" w:rsidRDefault="00122209" w:rsidP="00122209">
      <w:pPr>
        <w:pStyle w:val="Textonotapie"/>
        <w:jc w:val="both"/>
        <w:rPr>
          <w:rFonts w:ascii="Verdana" w:hAnsi="Verdana"/>
          <w:sz w:val="16"/>
          <w:szCs w:val="16"/>
        </w:rPr>
      </w:pPr>
      <w:r w:rsidRPr="00122209">
        <w:rPr>
          <w:rStyle w:val="Refdenotaalpie"/>
          <w:rFonts w:ascii="Verdana" w:hAnsi="Verdana"/>
          <w:sz w:val="16"/>
          <w:szCs w:val="16"/>
        </w:rPr>
        <w:footnoteRef/>
      </w:r>
      <w:r w:rsidRPr="00122209">
        <w:rPr>
          <w:rFonts w:ascii="Verdana" w:hAnsi="Verdana"/>
          <w:sz w:val="16"/>
          <w:szCs w:val="16"/>
        </w:rPr>
        <w:t xml:space="preserve"> </w:t>
      </w:r>
      <w:r w:rsidRPr="00122209">
        <w:rPr>
          <w:rFonts w:ascii="Verdana" w:hAnsi="Verdana"/>
          <w:sz w:val="16"/>
          <w:szCs w:val="16"/>
        </w:rPr>
        <w:tab/>
        <w:t xml:space="preserve">El Salvador </w:t>
      </w:r>
      <w:r w:rsidRPr="00122209">
        <w:rPr>
          <w:rFonts w:ascii="Verdana" w:hAnsi="Verdana"/>
          <w:sz w:val="16"/>
          <w:szCs w:val="16"/>
          <w:lang w:val="es-MX"/>
        </w:rPr>
        <w:t xml:space="preserve">remitió el 23 de octubre de 2014 diversos documentos con información acerca de las investigaciones penales que se habían abierto por las desapariciones forzadas de José Adrián </w:t>
      </w:r>
      <w:proofErr w:type="spellStart"/>
      <w:r w:rsidRPr="00122209">
        <w:rPr>
          <w:rFonts w:ascii="Verdana" w:hAnsi="Verdana"/>
          <w:sz w:val="16"/>
          <w:szCs w:val="16"/>
          <w:lang w:val="es-MX"/>
        </w:rPr>
        <w:t>Rochac</w:t>
      </w:r>
      <w:proofErr w:type="spellEnd"/>
      <w:r w:rsidRPr="00122209">
        <w:rPr>
          <w:rFonts w:ascii="Verdana" w:hAnsi="Verdana"/>
          <w:sz w:val="16"/>
          <w:szCs w:val="16"/>
          <w:lang w:val="es-MX"/>
        </w:rPr>
        <w:t xml:space="preserve"> Hernández, Santos Ernesto Salinas, Manuel Antonio Bonilla Osorio, Ricardo Abarca Ayala y </w:t>
      </w:r>
      <w:proofErr w:type="spellStart"/>
      <w:r w:rsidRPr="00122209">
        <w:rPr>
          <w:rFonts w:ascii="Verdana" w:hAnsi="Verdana"/>
          <w:sz w:val="16"/>
          <w:szCs w:val="16"/>
          <w:lang w:val="es-MX"/>
        </w:rPr>
        <w:t>Emelinda</w:t>
      </w:r>
      <w:proofErr w:type="spellEnd"/>
      <w:r w:rsidRPr="00122209">
        <w:rPr>
          <w:rFonts w:ascii="Verdana" w:hAnsi="Verdana"/>
          <w:sz w:val="16"/>
          <w:szCs w:val="16"/>
          <w:lang w:val="es-MX"/>
        </w:rPr>
        <w:t xml:space="preserve"> Lorena Hernández, mismos que se presentaron con posteridad a la emisión de la Sentencia </w:t>
      </w:r>
      <w:r>
        <w:rPr>
          <w:rFonts w:ascii="Verdana" w:hAnsi="Verdana"/>
          <w:sz w:val="16"/>
          <w:szCs w:val="16"/>
          <w:lang w:val="es-MX"/>
        </w:rPr>
        <w:t xml:space="preserve">pero antes de su notificación. Sin embargo, tanto los representantes como la Comisión coinciden en que con base en esa información no se desprenden mayores avances en la investigación. </w:t>
      </w:r>
    </w:p>
  </w:footnote>
  <w:footnote w:id="24">
    <w:p w:rsidR="00EE61B6" w:rsidRPr="00E43F74" w:rsidRDefault="00EE61B6" w:rsidP="00E43F74">
      <w:pPr>
        <w:pStyle w:val="Textonotapie"/>
        <w:jc w:val="both"/>
        <w:rPr>
          <w:rFonts w:ascii="Verdana" w:hAnsi="Verdana"/>
          <w:sz w:val="16"/>
          <w:szCs w:val="16"/>
        </w:rPr>
      </w:pPr>
      <w:r w:rsidRPr="00E43F74">
        <w:rPr>
          <w:rStyle w:val="Refdenotaalpie"/>
          <w:rFonts w:ascii="Verdana" w:hAnsi="Verdana"/>
          <w:sz w:val="16"/>
          <w:szCs w:val="16"/>
        </w:rPr>
        <w:footnoteRef/>
      </w:r>
      <w:r w:rsidRPr="00E43F74">
        <w:rPr>
          <w:rFonts w:ascii="Verdana" w:hAnsi="Verdana"/>
          <w:sz w:val="16"/>
          <w:szCs w:val="16"/>
        </w:rPr>
        <w:t xml:space="preserve"> </w:t>
      </w:r>
      <w:r>
        <w:rPr>
          <w:rFonts w:ascii="Verdana" w:hAnsi="Verdana"/>
          <w:sz w:val="16"/>
          <w:szCs w:val="16"/>
        </w:rPr>
        <w:tab/>
      </w:r>
      <w:r w:rsidRPr="00E43F74">
        <w:rPr>
          <w:rFonts w:ascii="Verdana" w:hAnsi="Verdana"/>
          <w:sz w:val="16"/>
          <w:szCs w:val="16"/>
        </w:rPr>
        <w:t>En el informe estatal de 4 de mayo de 2016 el Estado sostuvo que “</w:t>
      </w:r>
      <w:r w:rsidR="0024475D">
        <w:rPr>
          <w:rFonts w:ascii="Verdana" w:hAnsi="Verdana"/>
          <w:sz w:val="16"/>
          <w:szCs w:val="16"/>
        </w:rPr>
        <w:t>[</w:t>
      </w:r>
      <w:r w:rsidRPr="00E43F74">
        <w:rPr>
          <w:rFonts w:ascii="Verdana" w:hAnsi="Verdana"/>
          <w:sz w:val="16"/>
          <w:szCs w:val="16"/>
        </w:rPr>
        <w:t>d</w:t>
      </w:r>
      <w:r w:rsidR="0024475D">
        <w:rPr>
          <w:rFonts w:ascii="Verdana" w:hAnsi="Verdana"/>
          <w:sz w:val="16"/>
          <w:szCs w:val="16"/>
        </w:rPr>
        <w:t>]</w:t>
      </w:r>
      <w:proofErr w:type="spellStart"/>
      <w:r w:rsidRPr="00E43F74">
        <w:rPr>
          <w:rFonts w:ascii="Verdana" w:hAnsi="Verdana"/>
          <w:sz w:val="16"/>
          <w:szCs w:val="16"/>
        </w:rPr>
        <w:t>esde</w:t>
      </w:r>
      <w:proofErr w:type="spellEnd"/>
      <w:r w:rsidRPr="00E43F74">
        <w:rPr>
          <w:rFonts w:ascii="Verdana" w:hAnsi="Verdana"/>
          <w:sz w:val="16"/>
          <w:szCs w:val="16"/>
        </w:rPr>
        <w:t xml:space="preserve"> mayo de 2014 y durante el transcurso del año 2015, el Comisionado Padre Manuel Acosta, ha continuado con el proceso de diálogo con el joven que se identifica como José N. y que a partir de la investigación realizada por la CNB, es posible presumir que se trata de José Adrián </w:t>
      </w:r>
      <w:proofErr w:type="spellStart"/>
      <w:r w:rsidRPr="00E43F74">
        <w:rPr>
          <w:rFonts w:ascii="Verdana" w:hAnsi="Verdana"/>
          <w:sz w:val="16"/>
          <w:szCs w:val="16"/>
        </w:rPr>
        <w:t>Rochac</w:t>
      </w:r>
      <w:proofErr w:type="spellEnd"/>
      <w:r w:rsidRPr="00E43F74">
        <w:rPr>
          <w:rFonts w:ascii="Verdana" w:hAnsi="Verdana"/>
          <w:sz w:val="16"/>
          <w:szCs w:val="16"/>
        </w:rPr>
        <w:t>”.</w:t>
      </w:r>
      <w:r>
        <w:rPr>
          <w:rFonts w:ascii="Verdana" w:hAnsi="Verdana"/>
          <w:sz w:val="16"/>
          <w:szCs w:val="16"/>
        </w:rPr>
        <w:t xml:space="preserve"> Asimismo comunicó que “el joven aún no accede a dar su muestra de ADN” en virtud de que manifestó “por ahora no </w:t>
      </w:r>
      <w:proofErr w:type="spellStart"/>
      <w:proofErr w:type="gramStart"/>
      <w:r>
        <w:rPr>
          <w:rFonts w:ascii="Verdana" w:hAnsi="Verdana"/>
          <w:sz w:val="16"/>
          <w:szCs w:val="16"/>
        </w:rPr>
        <w:t>qu</w:t>
      </w:r>
      <w:proofErr w:type="spellEnd"/>
      <w:r w:rsidR="0024475D">
        <w:rPr>
          <w:rFonts w:ascii="Verdana" w:hAnsi="Verdana"/>
          <w:sz w:val="16"/>
          <w:szCs w:val="16"/>
        </w:rPr>
        <w:t>[</w:t>
      </w:r>
      <w:proofErr w:type="spellStart"/>
      <w:proofErr w:type="gramEnd"/>
      <w:r>
        <w:rPr>
          <w:rFonts w:ascii="Verdana" w:hAnsi="Verdana"/>
          <w:sz w:val="16"/>
          <w:szCs w:val="16"/>
        </w:rPr>
        <w:t>erer</w:t>
      </w:r>
      <w:proofErr w:type="spellEnd"/>
      <w:r w:rsidR="0024475D">
        <w:rPr>
          <w:rFonts w:ascii="Verdana" w:hAnsi="Verdana"/>
          <w:sz w:val="16"/>
          <w:szCs w:val="16"/>
        </w:rPr>
        <w:t>]</w:t>
      </w:r>
      <w:r>
        <w:rPr>
          <w:rFonts w:ascii="Verdana" w:hAnsi="Verdana"/>
          <w:sz w:val="16"/>
          <w:szCs w:val="16"/>
        </w:rPr>
        <w:t xml:space="preserve"> retomar </w:t>
      </w:r>
      <w:r w:rsidR="0024475D">
        <w:rPr>
          <w:rFonts w:ascii="Verdana" w:hAnsi="Verdana"/>
          <w:sz w:val="16"/>
          <w:szCs w:val="16"/>
        </w:rPr>
        <w:t>‘</w:t>
      </w:r>
      <w:r>
        <w:rPr>
          <w:rFonts w:ascii="Verdana" w:hAnsi="Verdana"/>
          <w:sz w:val="16"/>
          <w:szCs w:val="16"/>
        </w:rPr>
        <w:t>cosas del pasado</w:t>
      </w:r>
      <w:r w:rsidR="0024475D">
        <w:rPr>
          <w:rFonts w:ascii="Verdana" w:hAnsi="Verdana"/>
          <w:sz w:val="16"/>
          <w:szCs w:val="16"/>
        </w:rPr>
        <w:t>’</w:t>
      </w:r>
      <w:r>
        <w:rPr>
          <w:rFonts w:ascii="Verdana" w:hAnsi="Verdana"/>
          <w:sz w:val="16"/>
          <w:szCs w:val="16"/>
        </w:rPr>
        <w:t>”</w:t>
      </w:r>
      <w:r w:rsidR="00381454">
        <w:rPr>
          <w:rFonts w:ascii="Verdana" w:hAnsi="Verdana"/>
          <w:sz w:val="16"/>
          <w:szCs w:val="16"/>
        </w:rPr>
        <w:t xml:space="preserve"> y</w:t>
      </w:r>
      <w:r>
        <w:rPr>
          <w:rFonts w:ascii="Verdana" w:hAnsi="Verdana"/>
          <w:sz w:val="16"/>
          <w:szCs w:val="16"/>
        </w:rPr>
        <w:t xml:space="preserve"> también dijo “no estar cerrado al análisis genético”.</w:t>
      </w:r>
      <w:r>
        <w:rPr>
          <w:rFonts w:ascii="Verdana" w:hAnsi="Verdana"/>
          <w:b/>
          <w:sz w:val="16"/>
          <w:szCs w:val="16"/>
        </w:rPr>
        <w:t xml:space="preserve"> </w:t>
      </w:r>
      <w:r w:rsidRPr="002B707B">
        <w:rPr>
          <w:rFonts w:ascii="Verdana" w:hAnsi="Verdana"/>
          <w:sz w:val="16"/>
          <w:szCs w:val="16"/>
        </w:rPr>
        <w:t xml:space="preserve">Los representantes, por su parte, en el escrito de observaciones de 3 de octubre de 2016 </w:t>
      </w:r>
      <w:r w:rsidR="00122209">
        <w:rPr>
          <w:rFonts w:ascii="Verdana" w:hAnsi="Verdana"/>
          <w:sz w:val="16"/>
          <w:szCs w:val="16"/>
        </w:rPr>
        <w:t>señalaban</w:t>
      </w:r>
      <w:r w:rsidRPr="002B707B">
        <w:rPr>
          <w:rFonts w:ascii="Verdana" w:hAnsi="Verdana"/>
          <w:sz w:val="16"/>
          <w:szCs w:val="16"/>
        </w:rPr>
        <w:t xml:space="preserve"> que “</w:t>
      </w:r>
      <w:proofErr w:type="gramStart"/>
      <w:r w:rsidRPr="002B707B">
        <w:rPr>
          <w:rFonts w:ascii="Verdana" w:hAnsi="Verdana"/>
          <w:sz w:val="16"/>
          <w:szCs w:val="16"/>
        </w:rPr>
        <w:t>considera[</w:t>
      </w:r>
      <w:proofErr w:type="spellStart"/>
      <w:proofErr w:type="gramEnd"/>
      <w:r w:rsidRPr="002B707B">
        <w:rPr>
          <w:rFonts w:ascii="Verdana" w:hAnsi="Verdana"/>
          <w:sz w:val="16"/>
          <w:szCs w:val="16"/>
        </w:rPr>
        <w:t>ban</w:t>
      </w:r>
      <w:proofErr w:type="spellEnd"/>
      <w:r w:rsidRPr="002B707B">
        <w:rPr>
          <w:rFonts w:ascii="Verdana" w:hAnsi="Verdana"/>
          <w:sz w:val="16"/>
          <w:szCs w:val="16"/>
        </w:rPr>
        <w:t xml:space="preserve">] que </w:t>
      </w:r>
      <w:proofErr w:type="spellStart"/>
      <w:r w:rsidRPr="002B707B">
        <w:rPr>
          <w:rFonts w:ascii="Verdana" w:hAnsi="Verdana"/>
          <w:sz w:val="16"/>
          <w:szCs w:val="16"/>
        </w:rPr>
        <w:t>e</w:t>
      </w:r>
      <w:proofErr w:type="spellEnd"/>
      <w:r w:rsidRPr="002B707B">
        <w:rPr>
          <w:rFonts w:ascii="Verdana" w:hAnsi="Verdana"/>
          <w:sz w:val="16"/>
          <w:szCs w:val="16"/>
        </w:rPr>
        <w:t>[</w:t>
      </w:r>
      <w:proofErr w:type="spellStart"/>
      <w:r w:rsidRPr="002B707B">
        <w:rPr>
          <w:rFonts w:ascii="Verdana" w:hAnsi="Verdana"/>
          <w:sz w:val="16"/>
          <w:szCs w:val="16"/>
        </w:rPr>
        <w:t>ra</w:t>
      </w:r>
      <w:proofErr w:type="spellEnd"/>
      <w:r w:rsidRPr="002B707B">
        <w:rPr>
          <w:rFonts w:ascii="Verdana" w:hAnsi="Verdana"/>
          <w:sz w:val="16"/>
          <w:szCs w:val="16"/>
        </w:rPr>
        <w:t>] oportuno el proceso de acercamiento que realiza la CNB” con dicha persona.</w:t>
      </w:r>
    </w:p>
  </w:footnote>
  <w:footnote w:id="25">
    <w:p w:rsidR="00122209" w:rsidRPr="00122209" w:rsidRDefault="00122209" w:rsidP="00122209">
      <w:pPr>
        <w:pStyle w:val="Textonotapie"/>
        <w:jc w:val="both"/>
        <w:rPr>
          <w:rFonts w:ascii="Verdana" w:hAnsi="Verdana"/>
          <w:sz w:val="16"/>
          <w:szCs w:val="16"/>
        </w:rPr>
      </w:pPr>
      <w:r w:rsidRPr="00122209">
        <w:rPr>
          <w:rStyle w:val="Refdenotaalpie"/>
          <w:rFonts w:ascii="Verdana" w:hAnsi="Verdana"/>
          <w:sz w:val="16"/>
          <w:szCs w:val="16"/>
        </w:rPr>
        <w:footnoteRef/>
      </w:r>
      <w:r w:rsidRPr="00122209">
        <w:rPr>
          <w:rFonts w:ascii="Verdana" w:hAnsi="Verdana"/>
          <w:sz w:val="16"/>
          <w:szCs w:val="16"/>
        </w:rPr>
        <w:t xml:space="preserve"> </w:t>
      </w:r>
      <w:r w:rsidRPr="00122209">
        <w:rPr>
          <w:rFonts w:ascii="Verdana" w:hAnsi="Verdana"/>
          <w:sz w:val="16"/>
          <w:szCs w:val="16"/>
        </w:rPr>
        <w:tab/>
        <w:t xml:space="preserve">En este acápite, se requiere que se haga referencia a los resultados </w:t>
      </w:r>
      <w:r w:rsidRPr="00122209">
        <w:rPr>
          <w:rFonts w:ascii="Verdana" w:hAnsi="Verdana"/>
          <w:sz w:val="16"/>
          <w:szCs w:val="16"/>
          <w:lang w:val="es-CR"/>
        </w:rPr>
        <w:t xml:space="preserve">arrojados por la revisión de “[los] expedientes del Hogar del Niño Adalberto </w:t>
      </w:r>
      <w:proofErr w:type="spellStart"/>
      <w:r w:rsidRPr="00122209">
        <w:rPr>
          <w:rFonts w:ascii="Verdana" w:hAnsi="Verdana"/>
          <w:sz w:val="16"/>
          <w:szCs w:val="16"/>
          <w:lang w:val="es-CR"/>
        </w:rPr>
        <w:t>Guirola</w:t>
      </w:r>
      <w:proofErr w:type="spellEnd"/>
      <w:r w:rsidRPr="00122209">
        <w:rPr>
          <w:rFonts w:ascii="Verdana" w:hAnsi="Verdana"/>
          <w:sz w:val="16"/>
          <w:szCs w:val="16"/>
          <w:lang w:val="es-CR"/>
        </w:rPr>
        <w:t xml:space="preserve"> de Santa Tecla”, “los archivos de otras instituciones que sirvieron de resguardo de niñas y niños desplazados por el conflicto armado”, los “expedientes que los Juzgados de Menores tramitaron durante los años 1980 y 1984”, del “ archivo de la Corte Suprema de Justicia”, y de la información proporcionada por el “Juzgado de Paz que investiga la desaparición de </w:t>
      </w:r>
      <w:proofErr w:type="spellStart"/>
      <w:r w:rsidRPr="00122209">
        <w:rPr>
          <w:rFonts w:ascii="Verdana" w:hAnsi="Verdana"/>
          <w:sz w:val="16"/>
          <w:szCs w:val="16"/>
          <w:lang w:val="es-CR"/>
        </w:rPr>
        <w:t>Emelinda</w:t>
      </w:r>
      <w:proofErr w:type="spellEnd"/>
      <w:r w:rsidRPr="00122209">
        <w:rPr>
          <w:rFonts w:ascii="Verdana" w:hAnsi="Verdana"/>
          <w:sz w:val="16"/>
          <w:szCs w:val="16"/>
          <w:lang w:val="es-CR"/>
        </w:rPr>
        <w:t xml:space="preserve"> Lorena”, que el Estado indicó que realizaría para obtener más datos</w:t>
      </w:r>
      <w:r>
        <w:rPr>
          <w:rFonts w:ascii="Verdana" w:hAnsi="Verdana"/>
          <w:sz w:val="16"/>
          <w:szCs w:val="16"/>
          <w:lang w:val="es-CR"/>
        </w:rPr>
        <w:t>.</w:t>
      </w:r>
    </w:p>
  </w:footnote>
  <w:footnote w:id="26">
    <w:p w:rsidR="00917A93" w:rsidRPr="00236E4A" w:rsidRDefault="00917A93" w:rsidP="00917A93">
      <w:pPr>
        <w:pStyle w:val="Textonotapie"/>
        <w:jc w:val="both"/>
        <w:rPr>
          <w:rFonts w:ascii="Verdana" w:hAnsi="Verdana"/>
          <w:sz w:val="16"/>
          <w:szCs w:val="16"/>
        </w:rPr>
      </w:pPr>
      <w:r w:rsidRPr="00733104">
        <w:rPr>
          <w:rStyle w:val="Refdenotaalpie"/>
          <w:rFonts w:ascii="Verdana" w:hAnsi="Verdana"/>
          <w:sz w:val="16"/>
          <w:szCs w:val="16"/>
        </w:rPr>
        <w:footnoteRef/>
      </w:r>
      <w:r w:rsidRPr="00733104">
        <w:rPr>
          <w:rFonts w:ascii="Verdana" w:hAnsi="Verdana"/>
          <w:sz w:val="16"/>
          <w:szCs w:val="16"/>
        </w:rPr>
        <w:t xml:space="preserve"> </w:t>
      </w:r>
      <w:r w:rsidRPr="00733104">
        <w:rPr>
          <w:rFonts w:ascii="Verdana" w:hAnsi="Verdana"/>
          <w:sz w:val="16"/>
          <w:szCs w:val="16"/>
        </w:rPr>
        <w:tab/>
        <w:t xml:space="preserve">En el informe estatal de 4 de mayo de 2016 el Estado </w:t>
      </w:r>
      <w:r w:rsidR="006D717D">
        <w:rPr>
          <w:rFonts w:ascii="Verdana" w:hAnsi="Verdana"/>
          <w:sz w:val="16"/>
          <w:szCs w:val="16"/>
        </w:rPr>
        <w:t>indicó</w:t>
      </w:r>
      <w:r w:rsidRPr="00733104">
        <w:rPr>
          <w:rFonts w:ascii="Verdana" w:hAnsi="Verdana"/>
          <w:sz w:val="16"/>
          <w:szCs w:val="16"/>
        </w:rPr>
        <w:t xml:space="preserve"> que “para el cumplimiento de </w:t>
      </w:r>
      <w:r w:rsidR="0024475D">
        <w:rPr>
          <w:rFonts w:ascii="Verdana" w:hAnsi="Verdana"/>
          <w:sz w:val="16"/>
          <w:szCs w:val="16"/>
        </w:rPr>
        <w:t>[</w:t>
      </w:r>
      <w:r w:rsidRPr="00733104">
        <w:rPr>
          <w:rFonts w:ascii="Verdana" w:hAnsi="Verdana"/>
          <w:sz w:val="16"/>
          <w:szCs w:val="16"/>
        </w:rPr>
        <w:t>esta medida</w:t>
      </w:r>
      <w:r w:rsidR="006D717D">
        <w:rPr>
          <w:rFonts w:ascii="Verdana" w:hAnsi="Verdana"/>
          <w:sz w:val="16"/>
          <w:szCs w:val="16"/>
        </w:rPr>
        <w:t>…</w:t>
      </w:r>
      <w:r w:rsidR="0024475D">
        <w:rPr>
          <w:rFonts w:ascii="Verdana" w:hAnsi="Verdana"/>
          <w:sz w:val="16"/>
          <w:szCs w:val="16"/>
        </w:rPr>
        <w:t>]</w:t>
      </w:r>
      <w:r w:rsidRPr="00733104">
        <w:rPr>
          <w:rFonts w:ascii="Verdana" w:hAnsi="Verdana"/>
          <w:sz w:val="16"/>
          <w:szCs w:val="16"/>
        </w:rPr>
        <w:t xml:space="preserve"> funcionarios de la Dirección General de Derechos Humanos de la Cancillería y miembros de la Asociación Pro-Búsqueda sostuvieron en septiembre de 2015 una reunión en la que se </w:t>
      </w:r>
      <w:proofErr w:type="spellStart"/>
      <w:r w:rsidRPr="00733104">
        <w:rPr>
          <w:rFonts w:ascii="Verdana" w:hAnsi="Verdana"/>
          <w:sz w:val="16"/>
          <w:szCs w:val="16"/>
        </w:rPr>
        <w:t>abord</w:t>
      </w:r>
      <w:proofErr w:type="spellEnd"/>
      <w:r w:rsidRPr="00733104">
        <w:rPr>
          <w:rFonts w:ascii="Verdana" w:hAnsi="Verdana"/>
          <w:sz w:val="16"/>
          <w:szCs w:val="16"/>
        </w:rPr>
        <w:t>[</w:t>
      </w:r>
      <w:proofErr w:type="spellStart"/>
      <w:r w:rsidRPr="00733104">
        <w:rPr>
          <w:rFonts w:ascii="Verdana" w:hAnsi="Verdana"/>
          <w:sz w:val="16"/>
          <w:szCs w:val="16"/>
        </w:rPr>
        <w:t>ó</w:t>
      </w:r>
      <w:proofErr w:type="spellEnd"/>
      <w:r w:rsidRPr="00733104">
        <w:rPr>
          <w:rFonts w:ascii="Verdana" w:hAnsi="Verdana"/>
          <w:sz w:val="16"/>
          <w:szCs w:val="16"/>
        </w:rPr>
        <w:t>] [el tema de] la construcción del citado jardín museo”. Asimismo, informó que “los representantes de las víctimas realizaron propuesta</w:t>
      </w:r>
      <w:r w:rsidR="0024475D">
        <w:rPr>
          <w:rFonts w:ascii="Verdana" w:hAnsi="Verdana"/>
          <w:sz w:val="16"/>
          <w:szCs w:val="16"/>
        </w:rPr>
        <w:t>s</w:t>
      </w:r>
      <w:r w:rsidRPr="00733104">
        <w:rPr>
          <w:rFonts w:ascii="Verdana" w:hAnsi="Verdana"/>
          <w:sz w:val="16"/>
          <w:szCs w:val="16"/>
        </w:rPr>
        <w:t xml:space="preserve"> para valoración del Estado, de posibles lugares para la construcción del proyecto, uno de ellos el Parque Cuscatlán”. Por lo que, considerando dicha propuesta, “la Secretaría de Cultura de la Presidencia (SECULTURA) realizó un análisis espacial sobre la geomorfología del Parque Cuscatlán, para determinar la factibilidad de la ejecución del proyecto”. Por último, el Estado informó</w:t>
      </w:r>
      <w:r w:rsidR="006D717D">
        <w:rPr>
          <w:rFonts w:ascii="Verdana" w:hAnsi="Verdana"/>
          <w:sz w:val="16"/>
          <w:szCs w:val="16"/>
        </w:rPr>
        <w:t xml:space="preserve"> que “SECULTURA y el Ministerio</w:t>
      </w:r>
      <w:r w:rsidRPr="00733104">
        <w:rPr>
          <w:rFonts w:ascii="Verdana" w:hAnsi="Verdana"/>
          <w:sz w:val="16"/>
          <w:szCs w:val="16"/>
        </w:rPr>
        <w:t xml:space="preserve"> de Relaciones Exteriores, a través de la Dirección General de Derechos Humanos”, […] </w:t>
      </w:r>
      <w:proofErr w:type="gramStart"/>
      <w:r w:rsidRPr="00733104">
        <w:rPr>
          <w:rFonts w:ascii="Verdana" w:hAnsi="Verdana"/>
          <w:sz w:val="16"/>
          <w:szCs w:val="16"/>
        </w:rPr>
        <w:t>conforma[</w:t>
      </w:r>
      <w:proofErr w:type="gramEnd"/>
      <w:r w:rsidRPr="00733104">
        <w:rPr>
          <w:rFonts w:ascii="Verdana" w:hAnsi="Verdana"/>
          <w:sz w:val="16"/>
          <w:szCs w:val="16"/>
        </w:rPr>
        <w:t>ron] un equipo técnico responsable del diseño, desarrollo y seguimiento de la ejecución del proyecto”, por lo que harían una propuesta y la compartirían con los representantes de las víctimas para conocer sus observaciones.</w:t>
      </w:r>
      <w:r w:rsidR="009D70F3">
        <w:rPr>
          <w:rFonts w:ascii="Verdana" w:hAnsi="Verdana"/>
          <w:sz w:val="16"/>
          <w:szCs w:val="16"/>
        </w:rPr>
        <w:t xml:space="preserve"> </w:t>
      </w:r>
      <w:r>
        <w:rPr>
          <w:rFonts w:ascii="Verdana" w:hAnsi="Verdana"/>
          <w:sz w:val="16"/>
          <w:szCs w:val="16"/>
        </w:rPr>
        <w:t>Los representantes, por su parte, en su escrito de observaciones de octubre de 2016 sostuvieron que “se observa un avance en la gestión para el cumplimiento de la [presente] medida […], aunque sin tener noticia concreta sobre una propuesta del diseño y</w:t>
      </w:r>
      <w:r w:rsidR="009D70F3">
        <w:rPr>
          <w:rFonts w:ascii="Verdana" w:hAnsi="Verdana"/>
          <w:sz w:val="16"/>
          <w:szCs w:val="16"/>
        </w:rPr>
        <w:t xml:space="preserve"> demás elementos del proyecto”.</w:t>
      </w:r>
    </w:p>
  </w:footnote>
  <w:footnote w:id="27">
    <w:p w:rsidR="00EE61B6" w:rsidRPr="00E34971" w:rsidRDefault="00EE61B6" w:rsidP="00CE11F9">
      <w:pPr>
        <w:pStyle w:val="Textonotapie"/>
        <w:jc w:val="both"/>
        <w:rPr>
          <w:rFonts w:ascii="Verdana" w:hAnsi="Verdana"/>
          <w:sz w:val="16"/>
          <w:szCs w:val="16"/>
        </w:rPr>
      </w:pPr>
      <w:r w:rsidRPr="007814D6">
        <w:rPr>
          <w:rStyle w:val="Refdenotaalpie"/>
          <w:rFonts w:ascii="Verdana" w:hAnsi="Verdana"/>
          <w:sz w:val="16"/>
          <w:szCs w:val="16"/>
        </w:rPr>
        <w:footnoteRef/>
      </w:r>
      <w:r w:rsidRPr="007814D6">
        <w:rPr>
          <w:rFonts w:ascii="Verdana" w:hAnsi="Verdana"/>
          <w:sz w:val="16"/>
          <w:szCs w:val="16"/>
        </w:rPr>
        <w:t xml:space="preserve"> </w:t>
      </w:r>
      <w:r>
        <w:rPr>
          <w:rFonts w:ascii="Verdana" w:hAnsi="Verdana"/>
          <w:sz w:val="16"/>
          <w:szCs w:val="16"/>
        </w:rPr>
        <w:tab/>
      </w:r>
      <w:r w:rsidRPr="007814D6">
        <w:rPr>
          <w:rFonts w:ascii="Verdana" w:hAnsi="Verdana"/>
          <w:sz w:val="16"/>
          <w:szCs w:val="16"/>
        </w:rPr>
        <w:t xml:space="preserve">El Estado aportó </w:t>
      </w:r>
      <w:r>
        <w:rPr>
          <w:rFonts w:ascii="Verdana" w:hAnsi="Verdana"/>
          <w:sz w:val="16"/>
          <w:szCs w:val="16"/>
        </w:rPr>
        <w:t>dos documentos</w:t>
      </w:r>
      <w:r>
        <w:rPr>
          <w:rFonts w:ascii="Verdana" w:hAnsi="Verdana"/>
          <w:b/>
          <w:sz w:val="16"/>
          <w:szCs w:val="16"/>
        </w:rPr>
        <w:t xml:space="preserve"> </w:t>
      </w:r>
      <w:r>
        <w:rPr>
          <w:rFonts w:ascii="Verdana" w:hAnsi="Verdana"/>
          <w:sz w:val="16"/>
          <w:szCs w:val="16"/>
        </w:rPr>
        <w:t xml:space="preserve">relativos </w:t>
      </w:r>
      <w:r w:rsidRPr="007814D6">
        <w:rPr>
          <w:rFonts w:ascii="Verdana" w:hAnsi="Verdana"/>
          <w:sz w:val="16"/>
          <w:szCs w:val="16"/>
        </w:rPr>
        <w:t xml:space="preserve">a las capacitaciones </w:t>
      </w:r>
      <w:r>
        <w:rPr>
          <w:rFonts w:ascii="Verdana" w:hAnsi="Verdana"/>
          <w:sz w:val="16"/>
          <w:szCs w:val="16"/>
        </w:rPr>
        <w:t>impartidas por personal de la Unidad de Derechos Humanos de la Policía Civil de El Salvador de enero a noviembre de 2015</w:t>
      </w:r>
      <w:r w:rsidRPr="007814D6">
        <w:rPr>
          <w:rFonts w:ascii="Verdana" w:hAnsi="Verdana"/>
          <w:sz w:val="16"/>
          <w:szCs w:val="16"/>
        </w:rPr>
        <w:t xml:space="preserve"> (anexo del informe estatal de 4 de mayo de 2016)</w:t>
      </w:r>
      <w:r>
        <w:rPr>
          <w:rFonts w:ascii="Verdana" w:hAnsi="Verdana"/>
          <w:sz w:val="16"/>
          <w:szCs w:val="16"/>
        </w:rPr>
        <w:t xml:space="preserve">, de los cuales se desprende la fecha de la capacitación, la dependencia policial donde se impartió, el total de agentes policiales que tomaron la capacitación y los temas que les fueron impartidos. Sin embargo, de </w:t>
      </w:r>
      <w:r w:rsidR="0024475D">
        <w:rPr>
          <w:rFonts w:ascii="Verdana" w:hAnsi="Verdana"/>
          <w:sz w:val="16"/>
          <w:szCs w:val="16"/>
        </w:rPr>
        <w:t>éstas</w:t>
      </w:r>
      <w:r>
        <w:rPr>
          <w:rFonts w:ascii="Verdana" w:hAnsi="Verdana"/>
          <w:sz w:val="16"/>
          <w:szCs w:val="16"/>
        </w:rPr>
        <w:t xml:space="preserve"> no se advierte que dentro de las mismas se hayan abordado los temas específicos ordenados en la Sen</w:t>
      </w:r>
      <w:r w:rsidRPr="00E34971">
        <w:rPr>
          <w:rFonts w:ascii="Verdana" w:hAnsi="Verdana"/>
          <w:sz w:val="16"/>
          <w:szCs w:val="16"/>
        </w:rPr>
        <w:t xml:space="preserve">tencia ni la permanencia </w:t>
      </w:r>
      <w:r w:rsidR="006D717D">
        <w:rPr>
          <w:rFonts w:ascii="Verdana" w:hAnsi="Verdana"/>
          <w:sz w:val="16"/>
          <w:szCs w:val="16"/>
        </w:rPr>
        <w:t>de los temas</w:t>
      </w:r>
      <w:r w:rsidRPr="00E34971">
        <w:rPr>
          <w:rFonts w:ascii="Verdana" w:hAnsi="Verdana"/>
          <w:sz w:val="16"/>
          <w:szCs w:val="16"/>
        </w:rPr>
        <w:t xml:space="preserve">.  </w:t>
      </w:r>
    </w:p>
  </w:footnote>
  <w:footnote w:id="28">
    <w:p w:rsidR="00EE61B6" w:rsidRPr="00E34971" w:rsidRDefault="00EE61B6" w:rsidP="00CE11F9">
      <w:pPr>
        <w:pStyle w:val="Textonotapie"/>
        <w:jc w:val="both"/>
        <w:rPr>
          <w:rFonts w:ascii="Verdana" w:hAnsi="Verdana"/>
          <w:sz w:val="16"/>
          <w:szCs w:val="16"/>
        </w:rPr>
      </w:pPr>
      <w:r w:rsidRPr="00E34971">
        <w:rPr>
          <w:rStyle w:val="Refdenotaalpie"/>
          <w:rFonts w:ascii="Verdana" w:hAnsi="Verdana"/>
          <w:sz w:val="16"/>
          <w:szCs w:val="16"/>
        </w:rPr>
        <w:footnoteRef/>
      </w:r>
      <w:r w:rsidRPr="00E34971">
        <w:rPr>
          <w:rFonts w:ascii="Verdana" w:hAnsi="Verdana"/>
          <w:sz w:val="16"/>
          <w:szCs w:val="16"/>
        </w:rPr>
        <w:t xml:space="preserve"> </w:t>
      </w:r>
      <w:r>
        <w:rPr>
          <w:rFonts w:ascii="Verdana" w:hAnsi="Verdana"/>
          <w:sz w:val="16"/>
          <w:szCs w:val="16"/>
        </w:rPr>
        <w:tab/>
      </w:r>
      <w:r w:rsidRPr="00E34971">
        <w:rPr>
          <w:rFonts w:ascii="Verdana" w:hAnsi="Verdana"/>
          <w:sz w:val="16"/>
          <w:szCs w:val="16"/>
        </w:rPr>
        <w:t xml:space="preserve">En el informe estatal de 4 de mayo de 2016 el Estado </w:t>
      </w:r>
      <w:r w:rsidR="006D717D">
        <w:rPr>
          <w:rFonts w:ascii="Verdana" w:hAnsi="Verdana"/>
          <w:sz w:val="16"/>
          <w:szCs w:val="16"/>
        </w:rPr>
        <w:t>indicó</w:t>
      </w:r>
      <w:r w:rsidRPr="00E34971">
        <w:rPr>
          <w:rFonts w:ascii="Verdana" w:hAnsi="Verdana"/>
          <w:sz w:val="16"/>
          <w:szCs w:val="16"/>
        </w:rPr>
        <w:t xml:space="preserve"> que la Fiscalía General de la República cuenta con la “Escuela de Capacitación Fiscal” y es la “responsable de la formación del personal fiscal y de la capacitación y asesoría al personal de otras instituciones como la Policía Nacional Civil”</w:t>
      </w:r>
      <w:r w:rsidR="006D717D">
        <w:rPr>
          <w:rFonts w:ascii="Verdana" w:hAnsi="Verdana"/>
          <w:sz w:val="16"/>
          <w:szCs w:val="16"/>
        </w:rPr>
        <w:t>.</w:t>
      </w:r>
      <w:r>
        <w:rPr>
          <w:rFonts w:ascii="Verdana" w:hAnsi="Verdana"/>
          <w:sz w:val="16"/>
          <w:szCs w:val="16"/>
        </w:rPr>
        <w:t xml:space="preserve"> </w:t>
      </w:r>
      <w:r w:rsidR="006D717D">
        <w:rPr>
          <w:rFonts w:ascii="Verdana" w:hAnsi="Verdana"/>
          <w:sz w:val="16"/>
          <w:szCs w:val="16"/>
        </w:rPr>
        <w:t>A</w:t>
      </w:r>
      <w:r>
        <w:rPr>
          <w:rFonts w:ascii="Verdana" w:hAnsi="Verdana"/>
          <w:sz w:val="16"/>
          <w:szCs w:val="16"/>
        </w:rPr>
        <w:t>simismo indicó algunos temas que se abordan en “los cursos de formación”; sin embargo, de la información proporcionada no se advierte que dentro de los mismos se hayan abordado los temas específicos ordenados en la Sen</w:t>
      </w:r>
      <w:r w:rsidRPr="00E34971">
        <w:rPr>
          <w:rFonts w:ascii="Verdana" w:hAnsi="Verdana"/>
          <w:sz w:val="16"/>
          <w:szCs w:val="16"/>
        </w:rPr>
        <w:t>tencia</w:t>
      </w:r>
      <w:r>
        <w:rPr>
          <w:rFonts w:ascii="Verdana" w:hAnsi="Verdana"/>
          <w:sz w:val="16"/>
          <w:szCs w:val="16"/>
        </w:rPr>
        <w:t>, cuántos fiscales han sido capacitados,</w:t>
      </w:r>
      <w:r w:rsidRPr="00E34971">
        <w:rPr>
          <w:rFonts w:ascii="Verdana" w:hAnsi="Verdana"/>
          <w:sz w:val="16"/>
          <w:szCs w:val="16"/>
        </w:rPr>
        <w:t xml:space="preserve"> ni la permanencia de los mismos.</w:t>
      </w:r>
      <w:r>
        <w:rPr>
          <w:rFonts w:ascii="Verdana" w:hAnsi="Verdana"/>
          <w:sz w:val="16"/>
          <w:szCs w:val="16"/>
        </w:rPr>
        <w:t xml:space="preserve"> Asimismo no se aportó prueba de las referidas capacitaciones.</w:t>
      </w:r>
      <w:r w:rsidRPr="00E34971">
        <w:rPr>
          <w:rFonts w:ascii="Verdana" w:hAnsi="Verdana"/>
          <w:sz w:val="16"/>
          <w:szCs w:val="16"/>
        </w:rPr>
        <w:t xml:space="preserve">  </w:t>
      </w:r>
    </w:p>
  </w:footnote>
  <w:footnote w:id="29">
    <w:p w:rsidR="00EE61B6" w:rsidRPr="006B22FD" w:rsidRDefault="00EE61B6" w:rsidP="00CE11F9">
      <w:pPr>
        <w:pStyle w:val="Textonotapie"/>
        <w:jc w:val="both"/>
        <w:rPr>
          <w:rFonts w:ascii="Verdana" w:hAnsi="Verdana"/>
          <w:sz w:val="16"/>
          <w:szCs w:val="16"/>
        </w:rPr>
      </w:pPr>
      <w:r w:rsidRPr="006B22FD">
        <w:rPr>
          <w:rStyle w:val="Refdenotaalpie"/>
          <w:rFonts w:ascii="Verdana" w:hAnsi="Verdana"/>
          <w:sz w:val="16"/>
          <w:szCs w:val="16"/>
        </w:rPr>
        <w:footnoteRef/>
      </w:r>
      <w:r w:rsidRPr="006B22FD">
        <w:rPr>
          <w:rFonts w:ascii="Verdana" w:hAnsi="Verdana"/>
          <w:sz w:val="16"/>
          <w:szCs w:val="16"/>
        </w:rPr>
        <w:t xml:space="preserve"> </w:t>
      </w:r>
      <w:r>
        <w:rPr>
          <w:rFonts w:ascii="Verdana" w:hAnsi="Verdana"/>
          <w:sz w:val="16"/>
          <w:szCs w:val="16"/>
        </w:rPr>
        <w:tab/>
      </w:r>
      <w:r w:rsidRPr="006B22FD">
        <w:rPr>
          <w:rFonts w:ascii="Verdana" w:hAnsi="Verdana"/>
          <w:sz w:val="16"/>
          <w:szCs w:val="16"/>
        </w:rPr>
        <w:t>El Estado informó que la Corte Suprema de Justicia ha llevado a cabo “seminarios, conferencias y talleres como parte de la formación continua de funcionarios, colaboradores y demás personal que integra el Órgano Judicial”, así como que “ha instalado mesas temáticas en la[s] que se abordan aspectos relacionados al tema de desaparición forzada</w:t>
      </w:r>
      <w:r w:rsidR="0024475D">
        <w:rPr>
          <w:rFonts w:ascii="Verdana" w:hAnsi="Verdana"/>
          <w:sz w:val="16"/>
          <w:szCs w:val="16"/>
        </w:rPr>
        <w:t xml:space="preserve"> de personas</w:t>
      </w:r>
      <w:r w:rsidRPr="006B22FD">
        <w:rPr>
          <w:rFonts w:ascii="Verdana" w:hAnsi="Verdana"/>
          <w:sz w:val="16"/>
          <w:szCs w:val="16"/>
        </w:rPr>
        <w:t xml:space="preserve">, violencia de género y justicia laboral”; sin embargo </w:t>
      </w:r>
      <w:r>
        <w:rPr>
          <w:rFonts w:ascii="Verdana" w:hAnsi="Verdana"/>
          <w:sz w:val="16"/>
          <w:szCs w:val="16"/>
        </w:rPr>
        <w:t>de la información proporcionada no se advierte que dentro de los mismos se hayan abordado todos los temas específicos ordenados en la Sen</w:t>
      </w:r>
      <w:r w:rsidRPr="00E34971">
        <w:rPr>
          <w:rFonts w:ascii="Verdana" w:hAnsi="Verdana"/>
          <w:sz w:val="16"/>
          <w:szCs w:val="16"/>
        </w:rPr>
        <w:t>tencia</w:t>
      </w:r>
      <w:r>
        <w:rPr>
          <w:rFonts w:ascii="Verdana" w:hAnsi="Verdana"/>
          <w:sz w:val="16"/>
          <w:szCs w:val="16"/>
        </w:rPr>
        <w:t>, cuántos funcionarios judiciales han sido capacitados,</w:t>
      </w:r>
      <w:r w:rsidRPr="00E34971">
        <w:rPr>
          <w:rFonts w:ascii="Verdana" w:hAnsi="Verdana"/>
          <w:sz w:val="16"/>
          <w:szCs w:val="16"/>
        </w:rPr>
        <w:t xml:space="preserve"> ni la permanencia de los mismos.</w:t>
      </w:r>
      <w:r>
        <w:rPr>
          <w:rFonts w:ascii="Verdana" w:hAnsi="Verdana"/>
          <w:sz w:val="16"/>
          <w:szCs w:val="16"/>
        </w:rPr>
        <w:t xml:space="preserve"> De igual forma no se aportó la prueba respectiva. </w:t>
      </w:r>
    </w:p>
  </w:footnote>
  <w:footnote w:id="30">
    <w:p w:rsidR="00EE61B6" w:rsidRPr="00A76881" w:rsidRDefault="00EE61B6" w:rsidP="00CE11F9">
      <w:pPr>
        <w:pStyle w:val="Textonotapie"/>
        <w:jc w:val="both"/>
        <w:rPr>
          <w:rFonts w:ascii="Verdana" w:hAnsi="Verdana"/>
          <w:sz w:val="16"/>
          <w:szCs w:val="16"/>
        </w:rPr>
      </w:pPr>
      <w:r w:rsidRPr="00A76881">
        <w:rPr>
          <w:rStyle w:val="Refdenotaalpie"/>
          <w:rFonts w:ascii="Verdana" w:hAnsi="Verdana"/>
          <w:sz w:val="16"/>
          <w:szCs w:val="16"/>
        </w:rPr>
        <w:footnoteRef/>
      </w:r>
      <w:r w:rsidRPr="00A76881">
        <w:rPr>
          <w:rFonts w:ascii="Verdana" w:hAnsi="Verdana"/>
          <w:sz w:val="16"/>
          <w:szCs w:val="16"/>
        </w:rPr>
        <w:t xml:space="preserve"> </w:t>
      </w:r>
      <w:r>
        <w:rPr>
          <w:rFonts w:ascii="Verdana" w:hAnsi="Verdana"/>
          <w:sz w:val="16"/>
          <w:szCs w:val="16"/>
        </w:rPr>
        <w:tab/>
      </w:r>
      <w:r w:rsidRPr="00A76881">
        <w:rPr>
          <w:rFonts w:ascii="Verdana" w:hAnsi="Verdana"/>
          <w:sz w:val="16"/>
          <w:szCs w:val="16"/>
        </w:rPr>
        <w:t xml:space="preserve">Si bien en el informe estatal de 4 de </w:t>
      </w:r>
      <w:r>
        <w:rPr>
          <w:rFonts w:ascii="Verdana" w:hAnsi="Verdana"/>
          <w:sz w:val="16"/>
          <w:szCs w:val="16"/>
        </w:rPr>
        <w:t xml:space="preserve">mayo de 2016 se </w:t>
      </w:r>
      <w:r w:rsidRPr="00A76881">
        <w:rPr>
          <w:rFonts w:ascii="Verdana" w:hAnsi="Verdana"/>
          <w:sz w:val="16"/>
          <w:szCs w:val="16"/>
        </w:rPr>
        <w:t xml:space="preserve">mencionó la existencia de un Convenio de Cooperación Institucional de 8 de febrero de 2013 celebrado entre el Ministerio de Defensa Nacional y la Procuraduría para la Defensa de los Derechos Humanos, </w:t>
      </w:r>
      <w:r>
        <w:rPr>
          <w:rFonts w:ascii="Verdana" w:hAnsi="Verdana"/>
          <w:sz w:val="16"/>
          <w:szCs w:val="16"/>
        </w:rPr>
        <w:t xml:space="preserve">el Estado no aportó prueba para acreditar la existencia del mismo, ni especificó la permanencia del referido “curso de derechos humanos” ni si se abordan los temas específicos ordenados en la Sentencia, así como a cuántos y a cuáles miembros de las fuerzas armadas se les imparte dicho curso a partir de la emisión de la Sentencia. </w:t>
      </w:r>
    </w:p>
  </w:footnote>
  <w:footnote w:id="31">
    <w:p w:rsidR="00EE61B6" w:rsidRPr="008C6609" w:rsidRDefault="00EE61B6" w:rsidP="008C6609">
      <w:pPr>
        <w:pStyle w:val="Textonotapie"/>
        <w:jc w:val="both"/>
        <w:rPr>
          <w:rFonts w:ascii="Verdana" w:hAnsi="Verdana"/>
          <w:sz w:val="16"/>
          <w:szCs w:val="16"/>
          <w:lang w:val="es-MX"/>
        </w:rPr>
      </w:pPr>
      <w:r w:rsidRPr="008C6609">
        <w:rPr>
          <w:rStyle w:val="Refdenotaalpie"/>
          <w:rFonts w:ascii="Verdana" w:hAnsi="Verdana"/>
          <w:sz w:val="16"/>
          <w:szCs w:val="16"/>
        </w:rPr>
        <w:footnoteRef/>
      </w:r>
      <w:r w:rsidRPr="008C6609">
        <w:rPr>
          <w:rFonts w:ascii="Verdana" w:hAnsi="Verdana"/>
          <w:sz w:val="16"/>
          <w:szCs w:val="16"/>
        </w:rPr>
        <w:t xml:space="preserve"> </w:t>
      </w:r>
      <w:r>
        <w:rPr>
          <w:rFonts w:ascii="Verdana" w:hAnsi="Verdana"/>
          <w:sz w:val="16"/>
          <w:szCs w:val="16"/>
        </w:rPr>
        <w:tab/>
      </w:r>
      <w:r w:rsidR="006D717D">
        <w:rPr>
          <w:rFonts w:ascii="Verdana" w:hAnsi="Verdana"/>
          <w:sz w:val="16"/>
          <w:szCs w:val="16"/>
          <w:lang w:val="es-MX"/>
        </w:rPr>
        <w:t>E</w:t>
      </w:r>
      <w:r>
        <w:rPr>
          <w:rFonts w:ascii="Verdana" w:hAnsi="Verdana"/>
          <w:sz w:val="16"/>
          <w:szCs w:val="16"/>
          <w:lang w:val="es-MX"/>
        </w:rPr>
        <w:t xml:space="preserve">n la Sentencia </w:t>
      </w:r>
      <w:r w:rsidRPr="008C6609">
        <w:rPr>
          <w:rFonts w:ascii="Verdana" w:hAnsi="Verdana"/>
          <w:sz w:val="16"/>
          <w:szCs w:val="16"/>
          <w:lang w:val="es-MX"/>
        </w:rPr>
        <w:t>se le ordenó al Estado pagar a las víctimas la indemnización por concepto de daño material e inmaterial dentro del p</w:t>
      </w:r>
      <w:r w:rsidR="006D717D">
        <w:rPr>
          <w:rFonts w:ascii="Verdana" w:hAnsi="Verdana"/>
          <w:sz w:val="16"/>
          <w:szCs w:val="16"/>
          <w:lang w:val="es-MX"/>
        </w:rPr>
        <w:t>l</w:t>
      </w:r>
      <w:r w:rsidRPr="008C6609">
        <w:rPr>
          <w:rFonts w:ascii="Verdana" w:hAnsi="Verdana"/>
          <w:sz w:val="16"/>
          <w:szCs w:val="16"/>
          <w:lang w:val="es-MX"/>
        </w:rPr>
        <w:t>azo de un año</w:t>
      </w:r>
      <w:r w:rsidR="006D717D">
        <w:rPr>
          <w:rFonts w:ascii="Verdana" w:hAnsi="Verdana"/>
          <w:sz w:val="16"/>
          <w:szCs w:val="16"/>
          <w:lang w:val="es-MX"/>
        </w:rPr>
        <w:t>,</w:t>
      </w:r>
      <w:r w:rsidRPr="008C6609">
        <w:rPr>
          <w:rFonts w:ascii="Verdana" w:hAnsi="Verdana"/>
          <w:sz w:val="16"/>
          <w:szCs w:val="16"/>
          <w:lang w:val="es-MX"/>
        </w:rPr>
        <w:t xml:space="preserve"> contado a partir de la notificación de dicho fallo,</w:t>
      </w:r>
      <w:r>
        <w:rPr>
          <w:rFonts w:ascii="Verdana" w:hAnsi="Verdana"/>
          <w:sz w:val="16"/>
          <w:szCs w:val="16"/>
          <w:lang w:val="es-MX"/>
        </w:rPr>
        <w:t xml:space="preserve"> </w:t>
      </w:r>
      <w:r w:rsidR="006D717D">
        <w:rPr>
          <w:rFonts w:ascii="Verdana" w:hAnsi="Verdana"/>
          <w:sz w:val="16"/>
          <w:szCs w:val="16"/>
          <w:lang w:val="es-MX"/>
        </w:rPr>
        <w:t>el cual</w:t>
      </w:r>
      <w:r w:rsidRPr="008C6609">
        <w:rPr>
          <w:rFonts w:ascii="Verdana" w:hAnsi="Verdana"/>
          <w:sz w:val="16"/>
          <w:szCs w:val="16"/>
          <w:lang w:val="es-MX"/>
        </w:rPr>
        <w:t xml:space="preserve"> venció el 27 de noviembre de 2015.</w:t>
      </w:r>
    </w:p>
  </w:footnote>
  <w:footnote w:id="32">
    <w:p w:rsidR="00EE61B6" w:rsidRDefault="00EE61B6" w:rsidP="00EE61B6">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R"/>
        </w:rPr>
        <w:tab/>
      </w:r>
      <w:r w:rsidR="004F71CC">
        <w:rPr>
          <w:rFonts w:ascii="Verdana" w:hAnsi="Verdana"/>
          <w:sz w:val="16"/>
          <w:szCs w:val="16"/>
          <w:lang w:val="es-CR"/>
        </w:rPr>
        <w:t xml:space="preserve">Dicha norma dispone que </w:t>
      </w:r>
      <w:r>
        <w:rPr>
          <w:rFonts w:ascii="Verdana" w:hAnsi="Verdana"/>
          <w:sz w:val="16"/>
          <w:szCs w:val="16"/>
          <w:lang w:val="es-CR"/>
        </w:rPr>
        <w:t>“</w:t>
      </w:r>
      <w:r w:rsidR="004F71CC">
        <w:rPr>
          <w:rFonts w:ascii="Verdana" w:hAnsi="Verdana"/>
          <w:sz w:val="16"/>
          <w:szCs w:val="16"/>
        </w:rPr>
        <w:t>[l]</w:t>
      </w:r>
      <w:r>
        <w:rPr>
          <w:rFonts w:ascii="Verdana" w:hAnsi="Verdana"/>
          <w:sz w:val="16"/>
          <w:szCs w:val="16"/>
        </w:rPr>
        <w:t xml:space="preserve">a Corte podrá requerir a otras fuentes de información datos relevantes sobre el caso, que permitan apreciar el cumplimiento. Para los mismos efectos podrá también requerir los peritajes e informes que considere oportunos”. </w:t>
      </w:r>
      <w:r>
        <w:rPr>
          <w:rFonts w:ascii="Verdana" w:hAnsi="Verdana"/>
          <w:sz w:val="16"/>
          <w:szCs w:val="16"/>
          <w:lang w:val="es-MX"/>
        </w:rPr>
        <w:t xml:space="preserve">Se entiende que esta información es distinta a la que brinda el Estado en su carácter de parte de este proceso de supervisión de cumplimiento. </w:t>
      </w:r>
      <w:r>
        <w:rPr>
          <w:rFonts w:ascii="Verdana" w:hAnsi="Verdana"/>
          <w:i/>
          <w:sz w:val="16"/>
          <w:szCs w:val="16"/>
          <w:lang w:val="es-MX"/>
        </w:rPr>
        <w:t xml:space="preserve">Cfr. Caso del Penal Miguel Castro </w:t>
      </w:r>
      <w:proofErr w:type="spellStart"/>
      <w:r>
        <w:rPr>
          <w:rFonts w:ascii="Verdana" w:hAnsi="Verdana"/>
          <w:i/>
          <w:sz w:val="16"/>
          <w:szCs w:val="16"/>
          <w:lang w:val="es-MX"/>
        </w:rPr>
        <w:t>Castro</w:t>
      </w:r>
      <w:proofErr w:type="spellEnd"/>
      <w:r>
        <w:rPr>
          <w:rFonts w:ascii="Verdana" w:hAnsi="Verdana"/>
          <w:i/>
          <w:sz w:val="16"/>
          <w:szCs w:val="16"/>
          <w:lang w:val="es-MX"/>
        </w:rPr>
        <w:t xml:space="preserve"> Vs. Perú. </w:t>
      </w:r>
      <w:r>
        <w:rPr>
          <w:rFonts w:ascii="Verdana" w:hAnsi="Verdana"/>
          <w:sz w:val="16"/>
          <w:szCs w:val="16"/>
          <w:lang w:val="es-MX"/>
        </w:rPr>
        <w:t>Supervisión de Cumplimiento de Sentencia. Resolución de la Corte Interamericana de Derechos Humanos de 17 de abril de 2015</w:t>
      </w:r>
      <w:r>
        <w:rPr>
          <w:rFonts w:ascii="Verdana" w:hAnsi="Verdana"/>
          <w:i/>
          <w:sz w:val="16"/>
          <w:szCs w:val="16"/>
          <w:lang w:val="es-MX"/>
        </w:rPr>
        <w:t xml:space="preserve">, </w:t>
      </w:r>
      <w:r>
        <w:rPr>
          <w:rFonts w:ascii="Verdana" w:hAnsi="Verdana"/>
          <w:sz w:val="16"/>
          <w:szCs w:val="16"/>
          <w:lang w:val="es-MX"/>
        </w:rPr>
        <w:t xml:space="preserve">Considerando 26; </w:t>
      </w:r>
      <w:r w:rsidR="006D717D">
        <w:rPr>
          <w:rFonts w:ascii="Verdana" w:hAnsi="Verdana"/>
          <w:i/>
          <w:sz w:val="16"/>
          <w:szCs w:val="16"/>
          <w:lang w:val="es-MX"/>
        </w:rPr>
        <w:t>Obligación de Investigar, juzgar y de ser el caso sancionar a los responsables de las violaciones de derechos humanos en 12 casos guatemaltecos</w:t>
      </w:r>
      <w:r>
        <w:rPr>
          <w:rFonts w:ascii="Verdana" w:hAnsi="Verdana"/>
          <w:i/>
          <w:sz w:val="16"/>
          <w:szCs w:val="16"/>
          <w:lang w:val="es-MX"/>
        </w:rPr>
        <w:t>.</w:t>
      </w:r>
      <w:r>
        <w:rPr>
          <w:rFonts w:ascii="Verdana" w:hAnsi="Verdana"/>
          <w:sz w:val="16"/>
          <w:szCs w:val="16"/>
          <w:lang w:val="es-MX"/>
        </w:rPr>
        <w:t xml:space="preserve"> Supervisión de Cumplimiento de Sentencia. Resolución de la Corte Interamericana de Derechos Humanos de 24 de noviembre de 2015, Considerando 31; </w:t>
      </w:r>
      <w:r>
        <w:rPr>
          <w:rFonts w:ascii="Verdana" w:hAnsi="Verdana"/>
          <w:i/>
          <w:sz w:val="16"/>
          <w:szCs w:val="16"/>
          <w:lang w:val="es-MX"/>
        </w:rPr>
        <w:t>Caso Artavia Murillo y otros ("Fecundación In Vitro") Vs. Costa Rica</w:t>
      </w:r>
      <w:r>
        <w:rPr>
          <w:rFonts w:ascii="Verdana" w:hAnsi="Verdana"/>
          <w:sz w:val="16"/>
          <w:szCs w:val="16"/>
          <w:lang w:val="es-MX"/>
        </w:rPr>
        <w:t>. Supervisión de Cumplimiento de Sentencia. Resolución de la Corte Interamericana de Derechos Humanos de 26 de febrero de 2016, Considerando 2.</w:t>
      </w:r>
    </w:p>
  </w:footnote>
  <w:footnote w:id="33">
    <w:p w:rsidR="006C2CAC" w:rsidRPr="006C2CAC" w:rsidRDefault="006C2CAC" w:rsidP="006C2CAC">
      <w:pPr>
        <w:pStyle w:val="Textonotapie"/>
        <w:jc w:val="both"/>
        <w:rPr>
          <w:rFonts w:ascii="Verdana" w:hAnsi="Verdana"/>
          <w:sz w:val="16"/>
          <w:szCs w:val="16"/>
          <w:lang w:val="es-CR"/>
        </w:rPr>
      </w:pPr>
      <w:r w:rsidRPr="006C2CAC">
        <w:rPr>
          <w:rStyle w:val="Refdenotaalpie"/>
          <w:rFonts w:ascii="Verdana" w:hAnsi="Verdana"/>
          <w:sz w:val="16"/>
          <w:szCs w:val="16"/>
        </w:rPr>
        <w:footnoteRef/>
      </w:r>
      <w:r w:rsidRPr="006C2CAC">
        <w:rPr>
          <w:rFonts w:ascii="Verdana" w:hAnsi="Verdana"/>
          <w:sz w:val="16"/>
          <w:szCs w:val="16"/>
        </w:rPr>
        <w:t xml:space="preserve"> </w:t>
      </w:r>
      <w:r w:rsidRPr="006C2CAC">
        <w:rPr>
          <w:rFonts w:ascii="Verdana" w:hAnsi="Verdana"/>
          <w:sz w:val="16"/>
          <w:szCs w:val="16"/>
          <w:lang w:val="es-CR"/>
        </w:rPr>
        <w:tab/>
        <w:t>En este sentido, el punto dispositivo décimo de dicha Sentencia dispone que el Estado debe “adoptar las medidas pertinentes y adecuadas para garantizar a los operadores de justicia, así como a la sociedad salvadoreña, el acceso público, técnico y sistematizado a los archivos que contengan información útil y relevante para la investigación en causas seguidas por violaciones a los derechos humanos durante el conflicto armado”.</w:t>
      </w:r>
    </w:p>
  </w:footnote>
  <w:footnote w:id="34">
    <w:p w:rsidR="006C2CAC" w:rsidRPr="006C2CAC" w:rsidRDefault="006C2CAC" w:rsidP="0024475D">
      <w:pPr>
        <w:pStyle w:val="Textonotapie"/>
        <w:jc w:val="both"/>
        <w:rPr>
          <w:rFonts w:ascii="Verdana" w:hAnsi="Verdana"/>
          <w:sz w:val="16"/>
          <w:szCs w:val="16"/>
          <w:lang w:val="es-CR"/>
        </w:rPr>
      </w:pPr>
      <w:r w:rsidRPr="006C2CAC">
        <w:rPr>
          <w:rStyle w:val="Refdenotaalpie"/>
          <w:rFonts w:ascii="Verdana" w:hAnsi="Verdana"/>
          <w:sz w:val="16"/>
          <w:szCs w:val="16"/>
        </w:rPr>
        <w:footnoteRef/>
      </w:r>
      <w:r w:rsidRPr="006C2CAC">
        <w:rPr>
          <w:rFonts w:ascii="Verdana" w:hAnsi="Verdana"/>
          <w:sz w:val="16"/>
          <w:szCs w:val="16"/>
        </w:rPr>
        <w:t xml:space="preserve"> </w:t>
      </w:r>
      <w:r w:rsidRPr="006C2CAC">
        <w:rPr>
          <w:rFonts w:ascii="Verdana" w:hAnsi="Verdana"/>
          <w:sz w:val="16"/>
          <w:szCs w:val="16"/>
          <w:lang w:val="es-CR"/>
        </w:rPr>
        <w:tab/>
      </w:r>
      <w:r w:rsidR="0024475D">
        <w:rPr>
          <w:rFonts w:ascii="Verdana" w:hAnsi="Verdana"/>
          <w:i/>
          <w:sz w:val="16"/>
          <w:szCs w:val="16"/>
          <w:lang w:val="es-CR"/>
        </w:rPr>
        <w:t xml:space="preserve">Caso Contreras y otros Vs. El Salvador. Supervisión de Cumplimiento de Sentencia. </w:t>
      </w:r>
      <w:r w:rsidR="0024475D">
        <w:rPr>
          <w:rFonts w:ascii="Verdana" w:hAnsi="Verdana"/>
          <w:sz w:val="16"/>
          <w:szCs w:val="16"/>
          <w:lang w:val="es-CR"/>
        </w:rPr>
        <w:t xml:space="preserve">Resolución de la Corte Interamericana de Derechos Humanos de 1 de septiembre de </w:t>
      </w:r>
      <w:r w:rsidRPr="006C2CAC">
        <w:rPr>
          <w:rFonts w:ascii="Verdana" w:hAnsi="Verdana"/>
          <w:sz w:val="16"/>
          <w:szCs w:val="16"/>
          <w:lang w:val="es-CR"/>
        </w:rPr>
        <w:t>2016, Considerando 36.c</w:t>
      </w:r>
      <w:r>
        <w:rPr>
          <w:rFonts w:ascii="Verdana" w:hAnsi="Verdana"/>
          <w:sz w:val="16"/>
          <w:szCs w:val="16"/>
          <w:lang w:val="es-C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99A" w:rsidRDefault="0096599A">
    <w:pPr>
      <w:pStyle w:val="Encabezado"/>
      <w:jc w:val="center"/>
    </w:pPr>
    <w:r>
      <w:fldChar w:fldCharType="begin"/>
    </w:r>
    <w:r>
      <w:instrText xml:space="preserve"> PAGE   \* MERGEFORMAT </w:instrText>
    </w:r>
    <w:r>
      <w:fldChar w:fldCharType="separate"/>
    </w:r>
    <w:r w:rsidR="00107924">
      <w:rPr>
        <w:noProof/>
      </w:rPr>
      <w:t>3</w:t>
    </w:r>
    <w:r>
      <w:rPr>
        <w:noProof/>
      </w:rPr>
      <w:fldChar w:fldCharType="end"/>
    </w:r>
  </w:p>
  <w:p w:rsidR="00EE61B6" w:rsidRPr="00281D3F" w:rsidRDefault="00EE61B6" w:rsidP="00707E7C">
    <w:pPr>
      <w:pStyle w:val="Encabezado"/>
      <w:jc w:val="right"/>
      <w:rPr>
        <w:rFonts w:ascii="Verdana" w:hAnsi="Verdana"/>
        <w:b/>
        <w:i/>
        <w:sz w:val="20"/>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62D6"/>
    <w:multiLevelType w:val="hybridMultilevel"/>
    <w:tmpl w:val="384AC0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8A11C0"/>
    <w:multiLevelType w:val="hybridMultilevel"/>
    <w:tmpl w:val="71B8238A"/>
    <w:lvl w:ilvl="0" w:tplc="7D62995E">
      <w:start w:val="1"/>
      <w:numFmt w:val="decimal"/>
      <w:lvlText w:val="%1."/>
      <w:lvlJc w:val="left"/>
      <w:pPr>
        <w:ind w:left="360"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2">
    <w:nsid w:val="1D921589"/>
    <w:multiLevelType w:val="hybridMultilevel"/>
    <w:tmpl w:val="D1B6B362"/>
    <w:lvl w:ilvl="0" w:tplc="62EC77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1A0255"/>
    <w:multiLevelType w:val="hybridMultilevel"/>
    <w:tmpl w:val="DB3AE4EC"/>
    <w:lvl w:ilvl="0" w:tplc="E64EEBFE">
      <w:start w:val="1"/>
      <w:numFmt w:val="decimal"/>
      <w:lvlText w:val="%1."/>
      <w:lvlJc w:val="left"/>
      <w:pPr>
        <w:ind w:left="502"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4">
    <w:nsid w:val="6D6C1407"/>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5">
    <w:nsid w:val="70E602AD"/>
    <w:multiLevelType w:val="hybridMultilevel"/>
    <w:tmpl w:val="040EE3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BD705A"/>
    <w:multiLevelType w:val="hybridMultilevel"/>
    <w:tmpl w:val="FE56D0FC"/>
    <w:lvl w:ilvl="0" w:tplc="140A0015">
      <w:start w:val="1"/>
      <w:numFmt w:val="upperLetter"/>
      <w:lvlText w:val="%1."/>
      <w:lvlJc w:val="left"/>
      <w:pPr>
        <w:ind w:left="1068" w:hanging="360"/>
      </w:pPr>
      <w:rPr>
        <w:rFonts w:hint="default"/>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7">
    <w:nsid w:val="7F622484"/>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8">
    <w:nsid w:val="7F7D2D59"/>
    <w:multiLevelType w:val="hybridMultilevel"/>
    <w:tmpl w:val="1AD824AC"/>
    <w:lvl w:ilvl="0" w:tplc="C5B2D4B0">
      <w:start w:val="1"/>
      <w:numFmt w:val="lowerLetter"/>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4"/>
  </w:num>
  <w:num w:numId="5">
    <w:abstractNumId w:val="0"/>
  </w:num>
  <w:num w:numId="6">
    <w:abstractNumId w:val="5"/>
  </w:num>
  <w:num w:numId="7">
    <w:abstractNumId w:val="7"/>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79D"/>
    <w:rsid w:val="0000280A"/>
    <w:rsid w:val="00063EAE"/>
    <w:rsid w:val="00071347"/>
    <w:rsid w:val="0008099A"/>
    <w:rsid w:val="000936FB"/>
    <w:rsid w:val="000A51ED"/>
    <w:rsid w:val="000B2C21"/>
    <w:rsid w:val="000C4BA5"/>
    <w:rsid w:val="000D0C23"/>
    <w:rsid w:val="000D6CDC"/>
    <w:rsid w:val="000E15CF"/>
    <w:rsid w:val="000E17B3"/>
    <w:rsid w:val="000F16E8"/>
    <w:rsid w:val="00107924"/>
    <w:rsid w:val="00122209"/>
    <w:rsid w:val="00131C25"/>
    <w:rsid w:val="00131F68"/>
    <w:rsid w:val="0013357E"/>
    <w:rsid w:val="001340C1"/>
    <w:rsid w:val="001421B1"/>
    <w:rsid w:val="00144EF8"/>
    <w:rsid w:val="00146B1A"/>
    <w:rsid w:val="001654EB"/>
    <w:rsid w:val="001674F8"/>
    <w:rsid w:val="0017005A"/>
    <w:rsid w:val="00171E36"/>
    <w:rsid w:val="001821E3"/>
    <w:rsid w:val="001951B4"/>
    <w:rsid w:val="00195497"/>
    <w:rsid w:val="001A3C9A"/>
    <w:rsid w:val="001A7EF7"/>
    <w:rsid w:val="001B6404"/>
    <w:rsid w:val="001C1AE1"/>
    <w:rsid w:val="001E569E"/>
    <w:rsid w:val="001E776E"/>
    <w:rsid w:val="001E779D"/>
    <w:rsid w:val="00206B35"/>
    <w:rsid w:val="002369B4"/>
    <w:rsid w:val="00236E4A"/>
    <w:rsid w:val="0024475D"/>
    <w:rsid w:val="00254A41"/>
    <w:rsid w:val="002B707B"/>
    <w:rsid w:val="002B7B09"/>
    <w:rsid w:val="002C4FA6"/>
    <w:rsid w:val="0030092A"/>
    <w:rsid w:val="0030400F"/>
    <w:rsid w:val="00307323"/>
    <w:rsid w:val="00312A2F"/>
    <w:rsid w:val="00317FAE"/>
    <w:rsid w:val="003231A7"/>
    <w:rsid w:val="00343669"/>
    <w:rsid w:val="00355DFD"/>
    <w:rsid w:val="00381454"/>
    <w:rsid w:val="0038218E"/>
    <w:rsid w:val="003847E2"/>
    <w:rsid w:val="003876C3"/>
    <w:rsid w:val="00390857"/>
    <w:rsid w:val="003A4061"/>
    <w:rsid w:val="003A7E5E"/>
    <w:rsid w:val="003C61E5"/>
    <w:rsid w:val="003C7FBC"/>
    <w:rsid w:val="003D7EC0"/>
    <w:rsid w:val="003E1B3C"/>
    <w:rsid w:val="0040582B"/>
    <w:rsid w:val="00417681"/>
    <w:rsid w:val="00421059"/>
    <w:rsid w:val="004924FD"/>
    <w:rsid w:val="00494496"/>
    <w:rsid w:val="00497343"/>
    <w:rsid w:val="004A1290"/>
    <w:rsid w:val="004A23B7"/>
    <w:rsid w:val="004A6EA8"/>
    <w:rsid w:val="004E5EF7"/>
    <w:rsid w:val="004F6426"/>
    <w:rsid w:val="004F71CC"/>
    <w:rsid w:val="00531717"/>
    <w:rsid w:val="00534D53"/>
    <w:rsid w:val="00540F8A"/>
    <w:rsid w:val="005479B5"/>
    <w:rsid w:val="00554E56"/>
    <w:rsid w:val="00576348"/>
    <w:rsid w:val="00590F50"/>
    <w:rsid w:val="00592BDD"/>
    <w:rsid w:val="00594071"/>
    <w:rsid w:val="005A3213"/>
    <w:rsid w:val="005A728D"/>
    <w:rsid w:val="005E017C"/>
    <w:rsid w:val="005E17D5"/>
    <w:rsid w:val="005F11DD"/>
    <w:rsid w:val="005F6921"/>
    <w:rsid w:val="00604576"/>
    <w:rsid w:val="00604E75"/>
    <w:rsid w:val="006055A1"/>
    <w:rsid w:val="006147F8"/>
    <w:rsid w:val="006338D5"/>
    <w:rsid w:val="00633F39"/>
    <w:rsid w:val="00634444"/>
    <w:rsid w:val="00654685"/>
    <w:rsid w:val="00675CB8"/>
    <w:rsid w:val="00692E8B"/>
    <w:rsid w:val="006934E2"/>
    <w:rsid w:val="00695959"/>
    <w:rsid w:val="006A386F"/>
    <w:rsid w:val="006A547C"/>
    <w:rsid w:val="006B0253"/>
    <w:rsid w:val="006B22FD"/>
    <w:rsid w:val="006C2CAC"/>
    <w:rsid w:val="006C5057"/>
    <w:rsid w:val="006D4518"/>
    <w:rsid w:val="006D717D"/>
    <w:rsid w:val="006E0A95"/>
    <w:rsid w:val="006E61D6"/>
    <w:rsid w:val="007041C4"/>
    <w:rsid w:val="00707E7C"/>
    <w:rsid w:val="00721910"/>
    <w:rsid w:val="007250D7"/>
    <w:rsid w:val="00733104"/>
    <w:rsid w:val="00746A8A"/>
    <w:rsid w:val="0076210A"/>
    <w:rsid w:val="007814D6"/>
    <w:rsid w:val="007B7315"/>
    <w:rsid w:val="007C6335"/>
    <w:rsid w:val="007D1357"/>
    <w:rsid w:val="007D6CBC"/>
    <w:rsid w:val="007F712B"/>
    <w:rsid w:val="007F7CA9"/>
    <w:rsid w:val="00804094"/>
    <w:rsid w:val="008142CF"/>
    <w:rsid w:val="0082482D"/>
    <w:rsid w:val="00827DAB"/>
    <w:rsid w:val="008318A6"/>
    <w:rsid w:val="008345DC"/>
    <w:rsid w:val="008457F5"/>
    <w:rsid w:val="008701E8"/>
    <w:rsid w:val="008719F2"/>
    <w:rsid w:val="008A0213"/>
    <w:rsid w:val="008B763D"/>
    <w:rsid w:val="008B7FEC"/>
    <w:rsid w:val="008C5279"/>
    <w:rsid w:val="008C6609"/>
    <w:rsid w:val="008D59B7"/>
    <w:rsid w:val="008E078C"/>
    <w:rsid w:val="008E2B93"/>
    <w:rsid w:val="00912183"/>
    <w:rsid w:val="00917A93"/>
    <w:rsid w:val="00941F40"/>
    <w:rsid w:val="009553F2"/>
    <w:rsid w:val="0096599A"/>
    <w:rsid w:val="009726B3"/>
    <w:rsid w:val="00972840"/>
    <w:rsid w:val="009832C0"/>
    <w:rsid w:val="009835A0"/>
    <w:rsid w:val="00987BEB"/>
    <w:rsid w:val="009C55D8"/>
    <w:rsid w:val="009D0EAB"/>
    <w:rsid w:val="009D235E"/>
    <w:rsid w:val="009D70F3"/>
    <w:rsid w:val="009E044B"/>
    <w:rsid w:val="009E44D9"/>
    <w:rsid w:val="009E71E3"/>
    <w:rsid w:val="00A054E4"/>
    <w:rsid w:val="00A05677"/>
    <w:rsid w:val="00A103BD"/>
    <w:rsid w:val="00A152B3"/>
    <w:rsid w:val="00A443D3"/>
    <w:rsid w:val="00A50F40"/>
    <w:rsid w:val="00A72A7D"/>
    <w:rsid w:val="00A734AC"/>
    <w:rsid w:val="00A76881"/>
    <w:rsid w:val="00A86D71"/>
    <w:rsid w:val="00AA634F"/>
    <w:rsid w:val="00AD504E"/>
    <w:rsid w:val="00B00914"/>
    <w:rsid w:val="00B03747"/>
    <w:rsid w:val="00B174F6"/>
    <w:rsid w:val="00B22F57"/>
    <w:rsid w:val="00B26DBC"/>
    <w:rsid w:val="00B324B6"/>
    <w:rsid w:val="00B504B8"/>
    <w:rsid w:val="00B765D8"/>
    <w:rsid w:val="00B96D0F"/>
    <w:rsid w:val="00BD6BCD"/>
    <w:rsid w:val="00BE635D"/>
    <w:rsid w:val="00BF32E8"/>
    <w:rsid w:val="00BF5BF8"/>
    <w:rsid w:val="00C12752"/>
    <w:rsid w:val="00C31C99"/>
    <w:rsid w:val="00C71204"/>
    <w:rsid w:val="00C91185"/>
    <w:rsid w:val="00C97962"/>
    <w:rsid w:val="00CD6142"/>
    <w:rsid w:val="00CD7E5B"/>
    <w:rsid w:val="00CE11F9"/>
    <w:rsid w:val="00CE5F22"/>
    <w:rsid w:val="00D0597C"/>
    <w:rsid w:val="00D2231C"/>
    <w:rsid w:val="00D25F5B"/>
    <w:rsid w:val="00D51D5D"/>
    <w:rsid w:val="00D81A3E"/>
    <w:rsid w:val="00D969F3"/>
    <w:rsid w:val="00DC23BD"/>
    <w:rsid w:val="00DE1B32"/>
    <w:rsid w:val="00E059F2"/>
    <w:rsid w:val="00E130FA"/>
    <w:rsid w:val="00E13F42"/>
    <w:rsid w:val="00E15C77"/>
    <w:rsid w:val="00E17C52"/>
    <w:rsid w:val="00E25775"/>
    <w:rsid w:val="00E34971"/>
    <w:rsid w:val="00E371EF"/>
    <w:rsid w:val="00E40128"/>
    <w:rsid w:val="00E43F74"/>
    <w:rsid w:val="00EA5D71"/>
    <w:rsid w:val="00EA6080"/>
    <w:rsid w:val="00EA76A0"/>
    <w:rsid w:val="00EB2618"/>
    <w:rsid w:val="00EC29ED"/>
    <w:rsid w:val="00EE61B6"/>
    <w:rsid w:val="00EF52D7"/>
    <w:rsid w:val="00F06C4C"/>
    <w:rsid w:val="00F11A8A"/>
    <w:rsid w:val="00F3286B"/>
    <w:rsid w:val="00F35D0C"/>
    <w:rsid w:val="00F45EF5"/>
    <w:rsid w:val="00F51487"/>
    <w:rsid w:val="00F9745A"/>
    <w:rsid w:val="00FB699F"/>
    <w:rsid w:val="00FF7AA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79D"/>
    <w:rPr>
      <w:rFonts w:ascii="Garamond" w:eastAsia="Times" w:hAnsi="Garamond"/>
      <w:sz w:val="24"/>
      <w:lang w:val="es-ES_tradnl" w:eastAsia="en-US"/>
    </w:rPr>
  </w:style>
  <w:style w:type="paragraph" w:styleId="Ttulo1">
    <w:name w:val="heading 1"/>
    <w:basedOn w:val="Normal"/>
    <w:next w:val="Normal"/>
    <w:link w:val="Ttulo1Car"/>
    <w:uiPriority w:val="9"/>
    <w:qFormat/>
    <w:rsid w:val="001E779D"/>
    <w:pPr>
      <w:keepNext/>
      <w:keepLines/>
      <w:spacing w:before="480"/>
      <w:outlineLvl w:val="0"/>
    </w:pPr>
    <w:rPr>
      <w:rFonts w:ascii="Cambria" w:eastAsia="Times New Roman" w:hAnsi="Cambria"/>
      <w:b/>
      <w:bCs/>
      <w:color w:val="365F91"/>
      <w:sz w:val="28"/>
      <w:szCs w:val="28"/>
    </w:rPr>
  </w:style>
  <w:style w:type="paragraph" w:styleId="Ttulo3">
    <w:name w:val="heading 3"/>
    <w:basedOn w:val="Normal"/>
    <w:next w:val="Normal"/>
    <w:link w:val="Ttulo3Car"/>
    <w:uiPriority w:val="9"/>
    <w:semiHidden/>
    <w:unhideWhenUsed/>
    <w:qFormat/>
    <w:rsid w:val="001E779D"/>
    <w:pPr>
      <w:keepNext/>
      <w:keepLines/>
      <w:spacing w:before="200"/>
      <w:outlineLvl w:val="2"/>
    </w:pPr>
    <w:rPr>
      <w:rFonts w:ascii="Cambria" w:eastAsia="Times New Roman"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uiPriority w:val="9"/>
    <w:semiHidden/>
    <w:rsid w:val="001E779D"/>
    <w:rPr>
      <w:rFonts w:ascii="Cambria" w:eastAsia="Times New Roman" w:hAnsi="Cambria" w:cs="Times New Roman"/>
      <w:b/>
      <w:bCs/>
      <w:color w:val="4F81BD"/>
      <w:sz w:val="24"/>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locked/>
    <w:rsid w:val="001E779D"/>
    <w:rPr>
      <w:rFonts w:ascii="Times" w:eastAsia="Times" w:hAnsi="Times" w:cs="Times"/>
      <w:sz w:val="24"/>
      <w:lang w:val="es-ES_tradnl" w:eastAsia="x-non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1E779D"/>
    <w:rPr>
      <w:rFonts w:ascii="Times" w:hAnsi="Times" w:cs="Times"/>
      <w:szCs w:val="22"/>
      <w:lang w:eastAsia="x-none"/>
    </w:rPr>
  </w:style>
  <w:style w:type="character" w:customStyle="1" w:styleId="FootnoteTextChar1">
    <w:name w:val="Footnote Text Char1"/>
    <w:uiPriority w:val="99"/>
    <w:semiHidden/>
    <w:rsid w:val="001E779D"/>
    <w:rPr>
      <w:rFonts w:ascii="Garamond" w:eastAsia="Times" w:hAnsi="Garamond" w:cs="Times New Roman"/>
      <w:sz w:val="20"/>
      <w:szCs w:val="20"/>
      <w:lang w:val="es-ES_tradnl"/>
    </w:rPr>
  </w:style>
  <w:style w:type="character" w:customStyle="1" w:styleId="PrrafodelistaCar">
    <w:name w:val="Párrafo de lista Car"/>
    <w:aliases w:val="Footnote Car,Colorful List - Accent 11 Car,Párrafo de lista1 Car"/>
    <w:link w:val="Prrafodelista"/>
    <w:uiPriority w:val="34"/>
    <w:locked/>
    <w:rsid w:val="001E779D"/>
    <w:rPr>
      <w:rFonts w:ascii="Garamond" w:eastAsia="Times" w:hAnsi="Garamond" w:cs="Times New Roman"/>
      <w:sz w:val="24"/>
      <w:szCs w:val="20"/>
      <w:lang w:val="es-ES_tradnl"/>
    </w:rPr>
  </w:style>
  <w:style w:type="paragraph" w:styleId="Prrafodelista">
    <w:name w:val="List Paragraph"/>
    <w:aliases w:val="Footnote,Colorful List - Accent 11,Párrafo de lista1"/>
    <w:basedOn w:val="Normal"/>
    <w:link w:val="PrrafodelistaCar"/>
    <w:uiPriority w:val="34"/>
    <w:qFormat/>
    <w:rsid w:val="001E779D"/>
    <w:pPr>
      <w:ind w:left="720"/>
      <w:contextualSpacing/>
    </w:p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unhideWhenUsed/>
    <w:qFormat/>
    <w:rsid w:val="001E779D"/>
    <w:rPr>
      <w:vertAlign w:val="superscript"/>
    </w:rPr>
  </w:style>
  <w:style w:type="character" w:styleId="Hipervnculo">
    <w:name w:val="Hyperlink"/>
    <w:uiPriority w:val="99"/>
    <w:unhideWhenUsed/>
    <w:rsid w:val="001E779D"/>
    <w:rPr>
      <w:color w:val="0000FF"/>
      <w:u w:val="single"/>
    </w:rPr>
  </w:style>
  <w:style w:type="character" w:styleId="Textoennegrita">
    <w:name w:val="Strong"/>
    <w:uiPriority w:val="22"/>
    <w:qFormat/>
    <w:rsid w:val="001E779D"/>
    <w:rPr>
      <w:b/>
      <w:bCs/>
    </w:rPr>
  </w:style>
  <w:style w:type="paragraph" w:styleId="Encabezado">
    <w:name w:val="header"/>
    <w:basedOn w:val="Normal"/>
    <w:link w:val="EncabezadoCar"/>
    <w:uiPriority w:val="99"/>
    <w:unhideWhenUsed/>
    <w:rsid w:val="001E779D"/>
    <w:pPr>
      <w:tabs>
        <w:tab w:val="center" w:pos="4419"/>
        <w:tab w:val="right" w:pos="8838"/>
      </w:tabs>
    </w:pPr>
  </w:style>
  <w:style w:type="character" w:customStyle="1" w:styleId="EncabezadoCar">
    <w:name w:val="Encabezado Car"/>
    <w:link w:val="Encabezado"/>
    <w:uiPriority w:val="99"/>
    <w:rsid w:val="001E779D"/>
    <w:rPr>
      <w:rFonts w:ascii="Garamond" w:eastAsia="Times" w:hAnsi="Garamond" w:cs="Times New Roman"/>
      <w:sz w:val="24"/>
      <w:szCs w:val="20"/>
      <w:lang w:val="es-ES_tradnl"/>
    </w:rPr>
  </w:style>
  <w:style w:type="paragraph" w:styleId="Piedepgina">
    <w:name w:val="footer"/>
    <w:basedOn w:val="Normal"/>
    <w:link w:val="PiedepginaCar"/>
    <w:uiPriority w:val="99"/>
    <w:unhideWhenUsed/>
    <w:rsid w:val="001E779D"/>
    <w:pPr>
      <w:tabs>
        <w:tab w:val="center" w:pos="4419"/>
        <w:tab w:val="right" w:pos="8838"/>
      </w:tabs>
    </w:pPr>
  </w:style>
  <w:style w:type="character" w:customStyle="1" w:styleId="PiedepginaCar">
    <w:name w:val="Pie de página Car"/>
    <w:link w:val="Piedepgina"/>
    <w:uiPriority w:val="99"/>
    <w:rsid w:val="001E779D"/>
    <w:rPr>
      <w:rFonts w:ascii="Garamond" w:eastAsia="Times" w:hAnsi="Garamond" w:cs="Times New Roman"/>
      <w:sz w:val="24"/>
      <w:szCs w:val="20"/>
      <w:lang w:val="es-ES_tradnl"/>
    </w:rPr>
  </w:style>
  <w:style w:type="character" w:customStyle="1" w:styleId="Ttulo1Car">
    <w:name w:val="Título 1 Car"/>
    <w:link w:val="Ttulo1"/>
    <w:uiPriority w:val="9"/>
    <w:rsid w:val="001E779D"/>
    <w:rPr>
      <w:rFonts w:ascii="Cambria" w:eastAsia="Times New Roman" w:hAnsi="Cambria" w:cs="Times New Roman"/>
      <w:b/>
      <w:bCs/>
      <w:color w:val="365F91"/>
      <w:sz w:val="28"/>
      <w:szCs w:val="28"/>
      <w:lang w:val="es-ES_tradnl"/>
    </w:rPr>
  </w:style>
  <w:style w:type="paragraph" w:styleId="TtulodeTDC">
    <w:name w:val="TOC Heading"/>
    <w:basedOn w:val="Ttulo1"/>
    <w:next w:val="Normal"/>
    <w:uiPriority w:val="39"/>
    <w:unhideWhenUsed/>
    <w:qFormat/>
    <w:rsid w:val="001E779D"/>
    <w:pPr>
      <w:spacing w:line="276" w:lineRule="auto"/>
      <w:outlineLvl w:val="9"/>
    </w:pPr>
    <w:rPr>
      <w:lang w:val="en-US" w:eastAsia="ja-JP"/>
    </w:rPr>
  </w:style>
  <w:style w:type="paragraph" w:styleId="TDC1">
    <w:name w:val="toc 1"/>
    <w:basedOn w:val="Normal"/>
    <w:next w:val="Normal"/>
    <w:autoRedefine/>
    <w:uiPriority w:val="39"/>
    <w:unhideWhenUsed/>
    <w:rsid w:val="00312A2F"/>
    <w:pPr>
      <w:tabs>
        <w:tab w:val="left" w:pos="660"/>
        <w:tab w:val="right" w:leader="dot" w:pos="8080"/>
      </w:tabs>
      <w:spacing w:after="100"/>
      <w:ind w:left="567" w:right="900"/>
      <w:jc w:val="both"/>
    </w:pPr>
    <w:rPr>
      <w:rFonts w:ascii="Verdana" w:hAnsi="Verdana"/>
      <w:i/>
      <w:noProof/>
      <w:sz w:val="18"/>
      <w:szCs w:val="18"/>
    </w:rPr>
  </w:style>
  <w:style w:type="character" w:styleId="Nmerodelnea">
    <w:name w:val="line number"/>
    <w:basedOn w:val="Fuentedeprrafopredeter"/>
    <w:uiPriority w:val="99"/>
    <w:semiHidden/>
    <w:unhideWhenUsed/>
    <w:rsid w:val="001E779D"/>
  </w:style>
  <w:style w:type="paragraph" w:styleId="Textodeglobo">
    <w:name w:val="Balloon Text"/>
    <w:basedOn w:val="Normal"/>
    <w:link w:val="TextodegloboCar"/>
    <w:uiPriority w:val="99"/>
    <w:semiHidden/>
    <w:unhideWhenUsed/>
    <w:rsid w:val="001E779D"/>
    <w:rPr>
      <w:rFonts w:ascii="Tahoma" w:hAnsi="Tahoma" w:cs="Tahoma"/>
      <w:sz w:val="16"/>
      <w:szCs w:val="16"/>
    </w:rPr>
  </w:style>
  <w:style w:type="character" w:customStyle="1" w:styleId="TextodegloboCar">
    <w:name w:val="Texto de globo Car"/>
    <w:link w:val="Textodeglobo"/>
    <w:uiPriority w:val="99"/>
    <w:semiHidden/>
    <w:rsid w:val="001E779D"/>
    <w:rPr>
      <w:rFonts w:ascii="Tahoma" w:eastAsia="Times" w:hAnsi="Tahoma" w:cs="Tahoma"/>
      <w:sz w:val="16"/>
      <w:szCs w:val="16"/>
      <w:lang w:val="es-ES_tradnl"/>
    </w:rPr>
  </w:style>
  <w:style w:type="paragraph" w:styleId="TDC3">
    <w:name w:val="toc 3"/>
    <w:basedOn w:val="Normal"/>
    <w:next w:val="Normal"/>
    <w:autoRedefine/>
    <w:uiPriority w:val="39"/>
    <w:unhideWhenUsed/>
    <w:rsid w:val="00EF52D7"/>
    <w:pPr>
      <w:spacing w:after="100"/>
      <w:ind w:left="480"/>
    </w:pPr>
  </w:style>
  <w:style w:type="character" w:styleId="Refdecomentario">
    <w:name w:val="annotation reference"/>
    <w:uiPriority w:val="99"/>
    <w:semiHidden/>
    <w:unhideWhenUsed/>
    <w:rsid w:val="00EE61B6"/>
    <w:rPr>
      <w:sz w:val="16"/>
      <w:szCs w:val="16"/>
    </w:rPr>
  </w:style>
  <w:style w:type="paragraph" w:styleId="Textocomentario">
    <w:name w:val="annotation text"/>
    <w:basedOn w:val="Normal"/>
    <w:link w:val="TextocomentarioCar"/>
    <w:uiPriority w:val="99"/>
    <w:semiHidden/>
    <w:unhideWhenUsed/>
    <w:rsid w:val="00EE61B6"/>
    <w:rPr>
      <w:sz w:val="20"/>
    </w:rPr>
  </w:style>
  <w:style w:type="character" w:customStyle="1" w:styleId="TextocomentarioCar">
    <w:name w:val="Texto comentario Car"/>
    <w:link w:val="Textocomentario"/>
    <w:uiPriority w:val="99"/>
    <w:semiHidden/>
    <w:rsid w:val="00EE61B6"/>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EE61B6"/>
    <w:rPr>
      <w:b/>
      <w:bCs/>
    </w:rPr>
  </w:style>
  <w:style w:type="character" w:customStyle="1" w:styleId="AsuntodelcomentarioCar">
    <w:name w:val="Asunto del comentario Car"/>
    <w:link w:val="Asuntodelcomentario"/>
    <w:uiPriority w:val="99"/>
    <w:semiHidden/>
    <w:rsid w:val="00EE61B6"/>
    <w:rPr>
      <w:rFonts w:ascii="Garamond" w:eastAsia="Times" w:hAnsi="Garamond" w:cs="Times New Roman"/>
      <w:b/>
      <w:bCs/>
      <w:sz w:val="20"/>
      <w:szCs w:val="20"/>
      <w:lang w:val="es-ES_tradnl"/>
    </w:rPr>
  </w:style>
  <w:style w:type="character" w:styleId="Hipervnculovisitado">
    <w:name w:val="FollowedHyperlink"/>
    <w:uiPriority w:val="99"/>
    <w:semiHidden/>
    <w:unhideWhenUsed/>
    <w:rsid w:val="00B0091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89544">
      <w:bodyDiv w:val="1"/>
      <w:marLeft w:val="0"/>
      <w:marRight w:val="0"/>
      <w:marTop w:val="0"/>
      <w:marBottom w:val="0"/>
      <w:divBdr>
        <w:top w:val="none" w:sz="0" w:space="0" w:color="auto"/>
        <w:left w:val="none" w:sz="0" w:space="0" w:color="auto"/>
        <w:bottom w:val="none" w:sz="0" w:space="0" w:color="auto"/>
        <w:right w:val="none" w:sz="0" w:space="0" w:color="auto"/>
      </w:divBdr>
    </w:div>
    <w:div w:id="180689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fuerzaarmada.gob.sv:90?p=51" TargetMode="External"/><Relationship Id="rId2" Type="http://schemas.openxmlformats.org/officeDocument/2006/relationships/hyperlink" Target="http://csj.gob.sv/Comunicaciones/2015/MAR_15/Sentencia%20firmada.pdf" TargetMode="External"/><Relationship Id="rId1" Type="http://schemas.openxmlformats.org/officeDocument/2006/relationships/hyperlink" Target="http://www.corteidh.or.cr/docs/casos/articulos/seriec_285_esp.pdf" TargetMode="External"/><Relationship Id="rId4" Type="http://schemas.openxmlformats.org/officeDocument/2006/relationships/hyperlink" Target="http://www.rree.gob.sv/index.php?option=com_rsfiles&amp;layout=download&amp;path=CASO20ROCHAC20LPG.pdf&amp;ltemid=155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7B00B-2DFB-4222-AED7-6F3A5877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4594</Words>
  <Characters>25269</Characters>
  <Application>Microsoft Office Word</Application>
  <DocSecurity>0</DocSecurity>
  <Lines>210</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29804</CharactersWithSpaces>
  <SharedDoc>false</SharedDoc>
  <HLinks>
    <vt:vector size="60" baseType="variant">
      <vt:variant>
        <vt:i4>1048628</vt:i4>
      </vt:variant>
      <vt:variant>
        <vt:i4>38</vt:i4>
      </vt:variant>
      <vt:variant>
        <vt:i4>0</vt:i4>
      </vt:variant>
      <vt:variant>
        <vt:i4>5</vt:i4>
      </vt:variant>
      <vt:variant>
        <vt:lpwstr/>
      </vt:variant>
      <vt:variant>
        <vt:lpwstr>_Toc469305974</vt:lpwstr>
      </vt:variant>
      <vt:variant>
        <vt:i4>1048628</vt:i4>
      </vt:variant>
      <vt:variant>
        <vt:i4>32</vt:i4>
      </vt:variant>
      <vt:variant>
        <vt:i4>0</vt:i4>
      </vt:variant>
      <vt:variant>
        <vt:i4>5</vt:i4>
      </vt:variant>
      <vt:variant>
        <vt:lpwstr/>
      </vt:variant>
      <vt:variant>
        <vt:lpwstr>_Toc469305973</vt:lpwstr>
      </vt:variant>
      <vt:variant>
        <vt:i4>1048628</vt:i4>
      </vt:variant>
      <vt:variant>
        <vt:i4>26</vt:i4>
      </vt:variant>
      <vt:variant>
        <vt:i4>0</vt:i4>
      </vt:variant>
      <vt:variant>
        <vt:i4>5</vt:i4>
      </vt:variant>
      <vt:variant>
        <vt:lpwstr/>
      </vt:variant>
      <vt:variant>
        <vt:lpwstr>_Toc469305972</vt:lpwstr>
      </vt:variant>
      <vt:variant>
        <vt:i4>1048628</vt:i4>
      </vt:variant>
      <vt:variant>
        <vt:i4>20</vt:i4>
      </vt:variant>
      <vt:variant>
        <vt:i4>0</vt:i4>
      </vt:variant>
      <vt:variant>
        <vt:i4>5</vt:i4>
      </vt:variant>
      <vt:variant>
        <vt:lpwstr/>
      </vt:variant>
      <vt:variant>
        <vt:lpwstr>_Toc469305971</vt:lpwstr>
      </vt:variant>
      <vt:variant>
        <vt:i4>1048628</vt:i4>
      </vt:variant>
      <vt:variant>
        <vt:i4>14</vt:i4>
      </vt:variant>
      <vt:variant>
        <vt:i4>0</vt:i4>
      </vt:variant>
      <vt:variant>
        <vt:i4>5</vt:i4>
      </vt:variant>
      <vt:variant>
        <vt:lpwstr/>
      </vt:variant>
      <vt:variant>
        <vt:lpwstr>_Toc469305970</vt:lpwstr>
      </vt:variant>
      <vt:variant>
        <vt:i4>1114164</vt:i4>
      </vt:variant>
      <vt:variant>
        <vt:i4>8</vt:i4>
      </vt:variant>
      <vt:variant>
        <vt:i4>0</vt:i4>
      </vt:variant>
      <vt:variant>
        <vt:i4>5</vt:i4>
      </vt:variant>
      <vt:variant>
        <vt:lpwstr/>
      </vt:variant>
      <vt:variant>
        <vt:lpwstr>_Toc469305969</vt:lpwstr>
      </vt:variant>
      <vt:variant>
        <vt:i4>1638527</vt:i4>
      </vt:variant>
      <vt:variant>
        <vt:i4>9</vt:i4>
      </vt:variant>
      <vt:variant>
        <vt:i4>0</vt:i4>
      </vt:variant>
      <vt:variant>
        <vt:i4>5</vt:i4>
      </vt:variant>
      <vt:variant>
        <vt:lpwstr>http://www.rree.gob.sv/index.php?option=com_rsfiles&amp;layout=download&amp;path=CASO20ROCHAC20LPG.pdf&amp;ltemid=1557</vt:lpwstr>
      </vt:variant>
      <vt:variant>
        <vt:lpwstr/>
      </vt:variant>
      <vt:variant>
        <vt:i4>7340090</vt:i4>
      </vt:variant>
      <vt:variant>
        <vt:i4>6</vt:i4>
      </vt:variant>
      <vt:variant>
        <vt:i4>0</vt:i4>
      </vt:variant>
      <vt:variant>
        <vt:i4>5</vt:i4>
      </vt:variant>
      <vt:variant>
        <vt:lpwstr>http://www.fuerzaarmada.gob.sv:90/?p=51</vt:lpwstr>
      </vt:variant>
      <vt:variant>
        <vt:lpwstr/>
      </vt:variant>
      <vt:variant>
        <vt:i4>4325438</vt:i4>
      </vt:variant>
      <vt:variant>
        <vt:i4>3</vt:i4>
      </vt:variant>
      <vt:variant>
        <vt:i4>0</vt:i4>
      </vt:variant>
      <vt:variant>
        <vt:i4>5</vt:i4>
      </vt:variant>
      <vt:variant>
        <vt:lpwstr>http://csj.gob.sv/Comunicaciones/2015/MAR_15/Sentencia firmada.pdf</vt:lpwstr>
      </vt:variant>
      <vt:variant>
        <vt:lpwstr/>
      </vt:variant>
      <vt:variant>
        <vt:i4>5767251</vt:i4>
      </vt:variant>
      <vt:variant>
        <vt:i4>0</vt:i4>
      </vt:variant>
      <vt:variant>
        <vt:i4>0</vt:i4>
      </vt:variant>
      <vt:variant>
        <vt:i4>5</vt:i4>
      </vt:variant>
      <vt:variant>
        <vt:lpwstr>http://www.corteidh.or.cr/docs/casos/articulos/seriec_285_esp.pdf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6</cp:revision>
  <cp:lastPrinted>2017-08-11T15:02:00Z</cp:lastPrinted>
  <dcterms:created xsi:type="dcterms:W3CDTF">2017-08-11T14:58:00Z</dcterms:created>
  <dcterms:modified xsi:type="dcterms:W3CDTF">2017-08-11T15:02:00Z</dcterms:modified>
</cp:coreProperties>
</file>