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1B8" w:rsidRDefault="006241B8" w:rsidP="000F1E4F">
      <w:pPr>
        <w:jc w:val="center"/>
        <w:rPr>
          <w:rFonts w:ascii="Verdana" w:hAnsi="Verdana"/>
          <w:b/>
          <w:sz w:val="20"/>
          <w:lang w:val="es-MX"/>
        </w:rPr>
      </w:pPr>
    </w:p>
    <w:p w:rsidR="0009778E" w:rsidRDefault="0009778E" w:rsidP="000F1E4F">
      <w:pPr>
        <w:jc w:val="center"/>
        <w:rPr>
          <w:rFonts w:ascii="Verdana" w:hAnsi="Verdana"/>
          <w:b/>
          <w:sz w:val="20"/>
          <w:lang w:val="es-MX"/>
        </w:rPr>
      </w:pPr>
      <w:bookmarkStart w:id="0" w:name="_GoBack"/>
      <w:bookmarkEnd w:id="0"/>
    </w:p>
    <w:p w:rsidR="008740E4" w:rsidRPr="002160E3" w:rsidRDefault="008740E4" w:rsidP="000F1E4F">
      <w:pPr>
        <w:jc w:val="center"/>
        <w:rPr>
          <w:rFonts w:ascii="Verdana" w:hAnsi="Verdana"/>
          <w:b/>
          <w:sz w:val="20"/>
          <w:lang w:val="es-MX"/>
        </w:rPr>
      </w:pPr>
      <w:r w:rsidRPr="002160E3">
        <w:rPr>
          <w:rFonts w:ascii="Verdana" w:hAnsi="Verdana"/>
          <w:b/>
          <w:sz w:val="20"/>
          <w:lang w:val="es-MX"/>
        </w:rPr>
        <w:t xml:space="preserve">RESOLUCIÓN DE LA </w:t>
      </w:r>
    </w:p>
    <w:p w:rsidR="008740E4" w:rsidRPr="002160E3" w:rsidRDefault="008740E4" w:rsidP="008740E4">
      <w:pPr>
        <w:jc w:val="center"/>
        <w:rPr>
          <w:b/>
        </w:rPr>
      </w:pPr>
      <w:r w:rsidRPr="002160E3">
        <w:rPr>
          <w:rFonts w:ascii="Verdana" w:hAnsi="Verdana"/>
          <w:b/>
          <w:sz w:val="20"/>
          <w:lang w:val="es-MX"/>
        </w:rPr>
        <w:t>CORTE INTERAMERICANA DE DERECHOS HUMANOS</w:t>
      </w:r>
    </w:p>
    <w:p w:rsidR="008740E4" w:rsidRDefault="008740E4" w:rsidP="000F1E4F"/>
    <w:p w:rsidR="0009778E" w:rsidRDefault="0009778E" w:rsidP="000F1E4F"/>
    <w:p w:rsidR="0009778E" w:rsidRPr="002160E3" w:rsidRDefault="0009778E" w:rsidP="000F1E4F"/>
    <w:p w:rsidR="008740E4" w:rsidRPr="002160E3" w:rsidRDefault="00AA2740" w:rsidP="000F1E4F">
      <w:pPr>
        <w:jc w:val="center"/>
        <w:rPr>
          <w:rFonts w:ascii="Verdana" w:hAnsi="Verdana"/>
          <w:b/>
          <w:sz w:val="20"/>
          <w:lang w:val="es-MX"/>
        </w:rPr>
      </w:pPr>
      <w:r w:rsidRPr="002160E3">
        <w:rPr>
          <w:rFonts w:ascii="Verdana" w:hAnsi="Verdana"/>
          <w:b/>
          <w:sz w:val="20"/>
          <w:lang w:val="es-MX"/>
        </w:rPr>
        <w:t>DE</w:t>
      </w:r>
      <w:r w:rsidR="006E0601" w:rsidRPr="002160E3">
        <w:rPr>
          <w:rFonts w:ascii="Verdana" w:hAnsi="Verdana"/>
          <w:b/>
          <w:sz w:val="20"/>
          <w:lang w:val="es-MX"/>
        </w:rPr>
        <w:t xml:space="preserve"> </w:t>
      </w:r>
      <w:r w:rsidR="00DD1AAC">
        <w:rPr>
          <w:rFonts w:ascii="Verdana" w:hAnsi="Verdana"/>
          <w:b/>
          <w:sz w:val="20"/>
          <w:lang w:val="es-MX"/>
        </w:rPr>
        <w:t>20</w:t>
      </w:r>
      <w:r w:rsidRPr="002160E3">
        <w:rPr>
          <w:rFonts w:ascii="Verdana" w:hAnsi="Verdana"/>
          <w:b/>
          <w:sz w:val="20"/>
          <w:lang w:val="es-MX"/>
        </w:rPr>
        <w:t xml:space="preserve"> DE </w:t>
      </w:r>
      <w:r w:rsidR="000C3EBC">
        <w:rPr>
          <w:rFonts w:ascii="Verdana" w:hAnsi="Verdana"/>
          <w:b/>
          <w:sz w:val="20"/>
          <w:lang w:val="es-MX"/>
        </w:rPr>
        <w:t xml:space="preserve">NOVIEMBRE </w:t>
      </w:r>
      <w:r w:rsidRPr="002160E3">
        <w:rPr>
          <w:rFonts w:ascii="Verdana" w:hAnsi="Verdana"/>
          <w:b/>
          <w:sz w:val="20"/>
          <w:lang w:val="es-MX"/>
        </w:rPr>
        <w:t xml:space="preserve">DE </w:t>
      </w:r>
      <w:r w:rsidR="0085676A" w:rsidRPr="002160E3">
        <w:rPr>
          <w:rFonts w:ascii="Verdana" w:hAnsi="Verdana"/>
          <w:b/>
          <w:sz w:val="20"/>
          <w:lang w:val="es-MX"/>
        </w:rPr>
        <w:t>2015</w:t>
      </w:r>
    </w:p>
    <w:p w:rsidR="008740E4" w:rsidRDefault="008740E4" w:rsidP="000F1E4F">
      <w:pPr>
        <w:jc w:val="center"/>
        <w:rPr>
          <w:rFonts w:ascii="Verdana" w:hAnsi="Verdana"/>
          <w:b/>
          <w:sz w:val="20"/>
          <w:lang w:val="es-MX"/>
        </w:rPr>
      </w:pPr>
    </w:p>
    <w:p w:rsidR="0009778E" w:rsidRPr="002160E3" w:rsidRDefault="0009778E" w:rsidP="000F1E4F">
      <w:pPr>
        <w:jc w:val="center"/>
        <w:rPr>
          <w:rFonts w:ascii="Verdana" w:hAnsi="Verdana"/>
          <w:b/>
          <w:sz w:val="20"/>
          <w:lang w:val="es-MX"/>
        </w:rPr>
      </w:pPr>
    </w:p>
    <w:p w:rsidR="008740E4" w:rsidRPr="002160E3" w:rsidRDefault="008740E4" w:rsidP="000F1E4F">
      <w:pPr>
        <w:jc w:val="center"/>
        <w:rPr>
          <w:rFonts w:ascii="Verdana" w:hAnsi="Verdana"/>
          <w:b/>
          <w:sz w:val="20"/>
          <w:lang w:val="es-MX"/>
        </w:rPr>
      </w:pPr>
      <w:r w:rsidRPr="002160E3">
        <w:rPr>
          <w:rFonts w:ascii="Verdana" w:hAnsi="Verdana"/>
          <w:b/>
          <w:sz w:val="20"/>
          <w:lang w:val="es-MX"/>
        </w:rPr>
        <w:t xml:space="preserve">CASO </w:t>
      </w:r>
      <w:r w:rsidR="002E2F03" w:rsidRPr="002160E3">
        <w:rPr>
          <w:rFonts w:ascii="Verdana" w:hAnsi="Verdana"/>
          <w:b/>
          <w:sz w:val="20"/>
          <w:lang w:val="es-MX"/>
        </w:rPr>
        <w:t xml:space="preserve">YATAMA </w:t>
      </w:r>
      <w:r w:rsidRPr="002160E3">
        <w:rPr>
          <w:rFonts w:ascii="Verdana" w:hAnsi="Verdana"/>
          <w:b/>
          <w:sz w:val="20"/>
          <w:lang w:val="es-MX"/>
        </w:rPr>
        <w:t xml:space="preserve">VS. </w:t>
      </w:r>
      <w:r w:rsidR="002E2F03" w:rsidRPr="002160E3">
        <w:rPr>
          <w:rFonts w:ascii="Verdana" w:hAnsi="Verdana"/>
          <w:b/>
          <w:sz w:val="20"/>
          <w:lang w:val="es-MX"/>
        </w:rPr>
        <w:t>NICARAGUA</w:t>
      </w:r>
    </w:p>
    <w:p w:rsidR="00CF0AF8" w:rsidRDefault="00CF0AF8" w:rsidP="008C4C96">
      <w:pPr>
        <w:rPr>
          <w:rFonts w:ascii="Verdana" w:hAnsi="Verdana"/>
          <w:b/>
          <w:sz w:val="20"/>
          <w:lang w:val="es-MX"/>
        </w:rPr>
      </w:pPr>
    </w:p>
    <w:p w:rsidR="0009778E" w:rsidRPr="002160E3" w:rsidRDefault="0009778E" w:rsidP="008C4C96">
      <w:pPr>
        <w:rPr>
          <w:rFonts w:ascii="Verdana" w:hAnsi="Verdana"/>
          <w:b/>
          <w:sz w:val="20"/>
          <w:lang w:val="es-MX"/>
        </w:rPr>
      </w:pPr>
    </w:p>
    <w:p w:rsidR="008740E4" w:rsidRPr="002160E3" w:rsidRDefault="008740E4" w:rsidP="000F1E4F">
      <w:pPr>
        <w:jc w:val="center"/>
        <w:rPr>
          <w:rFonts w:ascii="Verdana" w:hAnsi="Verdana"/>
          <w:b/>
          <w:sz w:val="20"/>
          <w:lang w:val="es-MX"/>
        </w:rPr>
      </w:pPr>
      <w:r w:rsidRPr="002160E3">
        <w:rPr>
          <w:rFonts w:ascii="Verdana" w:hAnsi="Verdana"/>
          <w:b/>
          <w:sz w:val="20"/>
          <w:lang w:val="es-MX"/>
        </w:rPr>
        <w:t>SUPERVISIÓN DE CUMPLIMIENTO DE SENTENCIA</w:t>
      </w:r>
    </w:p>
    <w:p w:rsidR="008740E4" w:rsidRDefault="008740E4" w:rsidP="008740E4">
      <w:pPr>
        <w:jc w:val="both"/>
        <w:rPr>
          <w:rFonts w:ascii="Verdana" w:hAnsi="Verdana"/>
          <w:b/>
          <w:sz w:val="20"/>
          <w:szCs w:val="22"/>
          <w:lang w:val="es-MX"/>
        </w:rPr>
      </w:pPr>
    </w:p>
    <w:p w:rsidR="0009778E" w:rsidRDefault="0009778E" w:rsidP="008740E4">
      <w:pPr>
        <w:jc w:val="both"/>
        <w:rPr>
          <w:rFonts w:ascii="Verdana" w:hAnsi="Verdana"/>
          <w:b/>
          <w:sz w:val="20"/>
          <w:szCs w:val="22"/>
          <w:lang w:val="es-MX"/>
        </w:rPr>
      </w:pPr>
    </w:p>
    <w:p w:rsidR="0009778E" w:rsidRDefault="0009778E" w:rsidP="008740E4">
      <w:pPr>
        <w:jc w:val="both"/>
        <w:rPr>
          <w:rFonts w:ascii="Verdana" w:hAnsi="Verdana"/>
          <w:b/>
          <w:sz w:val="20"/>
          <w:szCs w:val="22"/>
          <w:lang w:val="es-MX"/>
        </w:rPr>
      </w:pPr>
    </w:p>
    <w:p w:rsidR="0009778E" w:rsidRPr="002160E3" w:rsidRDefault="0009778E" w:rsidP="008740E4">
      <w:pPr>
        <w:jc w:val="both"/>
        <w:rPr>
          <w:rFonts w:ascii="Verdana" w:hAnsi="Verdana"/>
          <w:b/>
          <w:sz w:val="20"/>
          <w:szCs w:val="22"/>
          <w:lang w:val="es-MX"/>
        </w:rPr>
      </w:pPr>
    </w:p>
    <w:p w:rsidR="00451930" w:rsidRPr="002160E3" w:rsidRDefault="00451930" w:rsidP="008740E4">
      <w:pPr>
        <w:jc w:val="both"/>
        <w:rPr>
          <w:rFonts w:ascii="Verdana" w:hAnsi="Verdana"/>
          <w:b/>
          <w:sz w:val="20"/>
          <w:szCs w:val="22"/>
          <w:lang w:val="es-MX"/>
        </w:rPr>
      </w:pPr>
    </w:p>
    <w:p w:rsidR="00E707EC" w:rsidRPr="002160E3" w:rsidRDefault="008740E4" w:rsidP="00E707EC">
      <w:pPr>
        <w:jc w:val="both"/>
        <w:rPr>
          <w:rFonts w:ascii="Verdana" w:hAnsi="Verdana"/>
          <w:b/>
          <w:sz w:val="20"/>
          <w:lang w:val="es-MX"/>
        </w:rPr>
      </w:pPr>
      <w:r w:rsidRPr="002160E3">
        <w:rPr>
          <w:rFonts w:ascii="Verdana" w:hAnsi="Verdana"/>
          <w:b/>
          <w:sz w:val="20"/>
          <w:lang w:val="es-MX"/>
        </w:rPr>
        <w:t>VISTO:</w:t>
      </w:r>
    </w:p>
    <w:p w:rsidR="00E707EC" w:rsidRPr="002160E3" w:rsidRDefault="00E707EC" w:rsidP="00E707EC">
      <w:pPr>
        <w:jc w:val="both"/>
        <w:rPr>
          <w:rFonts w:ascii="Verdana" w:hAnsi="Verdana"/>
          <w:b/>
          <w:sz w:val="20"/>
          <w:lang w:val="es-MX"/>
        </w:rPr>
      </w:pPr>
    </w:p>
    <w:p w:rsidR="00E707EC" w:rsidRPr="002160E3" w:rsidRDefault="00E707EC" w:rsidP="00E707EC">
      <w:pPr>
        <w:jc w:val="both"/>
        <w:rPr>
          <w:rFonts w:ascii="Verdana" w:hAnsi="Verdana"/>
          <w:b/>
          <w:sz w:val="20"/>
          <w:lang w:val="es-MX"/>
        </w:rPr>
      </w:pPr>
    </w:p>
    <w:p w:rsidR="00864047" w:rsidRPr="00E75210" w:rsidRDefault="008740E4" w:rsidP="008266C8">
      <w:pPr>
        <w:numPr>
          <w:ilvl w:val="0"/>
          <w:numId w:val="45"/>
        </w:numPr>
        <w:tabs>
          <w:tab w:val="left" w:pos="709"/>
        </w:tabs>
        <w:ind w:left="0" w:firstLine="0"/>
        <w:jc w:val="both"/>
        <w:rPr>
          <w:rFonts w:ascii="Verdana" w:hAnsi="Verdana" w:cs="Arial"/>
          <w:b/>
          <w:sz w:val="20"/>
          <w:lang w:val="es-MX"/>
        </w:rPr>
      </w:pPr>
      <w:bookmarkStart w:id="1" w:name="_Ref437587851"/>
      <w:r w:rsidRPr="002160E3">
        <w:rPr>
          <w:rFonts w:ascii="Verdana" w:hAnsi="Verdana"/>
          <w:sz w:val="20"/>
          <w:lang w:val="es-MX"/>
        </w:rPr>
        <w:t xml:space="preserve">La Sentencia de </w:t>
      </w:r>
      <w:r w:rsidR="007F4D7A" w:rsidRPr="002160E3">
        <w:rPr>
          <w:rFonts w:ascii="Verdana" w:hAnsi="Verdana"/>
          <w:sz w:val="20"/>
          <w:lang w:val="es-MX"/>
        </w:rPr>
        <w:t>excepci</w:t>
      </w:r>
      <w:r w:rsidR="00C27BDE" w:rsidRPr="002160E3">
        <w:rPr>
          <w:rFonts w:ascii="Verdana" w:hAnsi="Verdana"/>
          <w:sz w:val="20"/>
          <w:lang w:val="es-MX"/>
        </w:rPr>
        <w:t>o</w:t>
      </w:r>
      <w:r w:rsidR="007F4D7A" w:rsidRPr="002160E3">
        <w:rPr>
          <w:rFonts w:ascii="Verdana" w:hAnsi="Verdana"/>
          <w:sz w:val="20"/>
          <w:lang w:val="es-MX"/>
        </w:rPr>
        <w:t>n</w:t>
      </w:r>
      <w:r w:rsidR="00C27BDE" w:rsidRPr="002160E3">
        <w:rPr>
          <w:rFonts w:ascii="Verdana" w:hAnsi="Verdana"/>
          <w:sz w:val="20"/>
          <w:lang w:val="es-MX"/>
        </w:rPr>
        <w:t>es</w:t>
      </w:r>
      <w:r w:rsidR="007F4D7A" w:rsidRPr="002160E3">
        <w:rPr>
          <w:rFonts w:ascii="Verdana" w:hAnsi="Verdana"/>
          <w:sz w:val="20"/>
          <w:lang w:val="es-MX"/>
        </w:rPr>
        <w:t xml:space="preserve"> preliminar</w:t>
      </w:r>
      <w:r w:rsidR="00C27BDE" w:rsidRPr="002160E3">
        <w:rPr>
          <w:rFonts w:ascii="Verdana" w:hAnsi="Verdana"/>
          <w:sz w:val="20"/>
          <w:lang w:val="es-MX"/>
        </w:rPr>
        <w:t>es</w:t>
      </w:r>
      <w:r w:rsidR="007F4D7A" w:rsidRPr="002160E3">
        <w:rPr>
          <w:rFonts w:ascii="Verdana" w:hAnsi="Verdana"/>
          <w:sz w:val="20"/>
          <w:lang w:val="es-MX"/>
        </w:rPr>
        <w:t>, fondo, reparac</w:t>
      </w:r>
      <w:r w:rsidR="00E707EC" w:rsidRPr="002160E3">
        <w:rPr>
          <w:rFonts w:ascii="Verdana" w:hAnsi="Verdana"/>
          <w:sz w:val="20"/>
          <w:lang w:val="es-MX"/>
        </w:rPr>
        <w:t xml:space="preserve">iones y costas (en adelante “la </w:t>
      </w:r>
      <w:r w:rsidR="007F4D7A" w:rsidRPr="002160E3">
        <w:rPr>
          <w:rFonts w:ascii="Verdana" w:hAnsi="Verdana"/>
          <w:sz w:val="20"/>
          <w:lang w:val="es-MX"/>
        </w:rPr>
        <w:t>Sentencia”) dictada por la Corte Interamericana de Derechos Humanos (en adelante “la Corte”, “la Corte Interamericana” o “el Tribunal”)</w:t>
      </w:r>
      <w:r w:rsidR="00E03E70" w:rsidRPr="002160E3">
        <w:rPr>
          <w:rFonts w:ascii="Verdana" w:hAnsi="Verdana"/>
          <w:sz w:val="20"/>
          <w:lang w:val="es-MX"/>
        </w:rPr>
        <w:t xml:space="preserve"> el </w:t>
      </w:r>
      <w:r w:rsidR="002E2F03" w:rsidRPr="002160E3">
        <w:rPr>
          <w:rFonts w:ascii="Verdana" w:hAnsi="Verdana"/>
          <w:sz w:val="20"/>
          <w:lang w:val="es-MX"/>
        </w:rPr>
        <w:t xml:space="preserve">23 de junio </w:t>
      </w:r>
      <w:r w:rsidR="007F4D7A" w:rsidRPr="002160E3">
        <w:rPr>
          <w:rFonts w:ascii="Verdana" w:hAnsi="Verdana"/>
          <w:sz w:val="20"/>
          <w:lang w:val="es-MX"/>
        </w:rPr>
        <w:t>de</w:t>
      </w:r>
      <w:r w:rsidR="00E03E70" w:rsidRPr="002160E3">
        <w:rPr>
          <w:rFonts w:ascii="Verdana" w:hAnsi="Verdana"/>
          <w:sz w:val="20"/>
          <w:lang w:val="es-MX"/>
        </w:rPr>
        <w:t xml:space="preserve"> </w:t>
      </w:r>
      <w:r w:rsidR="001B0CCD" w:rsidRPr="002160E3">
        <w:rPr>
          <w:rFonts w:ascii="Verdana" w:hAnsi="Verdana"/>
          <w:sz w:val="20"/>
          <w:lang w:val="es-MX"/>
        </w:rPr>
        <w:t>2005</w:t>
      </w:r>
      <w:r w:rsidR="007F4D7A" w:rsidRPr="002160E3">
        <w:rPr>
          <w:rStyle w:val="Refdenotaalpie"/>
          <w:rFonts w:ascii="Verdana" w:hAnsi="Verdana"/>
          <w:sz w:val="20"/>
          <w:lang w:val="es-MX"/>
        </w:rPr>
        <w:footnoteReference w:id="1"/>
      </w:r>
      <w:r w:rsidR="001D604A" w:rsidRPr="002160E3">
        <w:rPr>
          <w:rFonts w:ascii="Verdana" w:hAnsi="Verdana"/>
          <w:sz w:val="20"/>
          <w:lang w:val="es-MX"/>
        </w:rPr>
        <w:t xml:space="preserve">. </w:t>
      </w:r>
      <w:r w:rsidR="0007499A" w:rsidRPr="002160E3">
        <w:rPr>
          <w:rFonts w:ascii="Verdana" w:hAnsi="Verdana"/>
          <w:sz w:val="20"/>
          <w:lang w:val="es-MX"/>
        </w:rPr>
        <w:t xml:space="preserve">La Corte </w:t>
      </w:r>
      <w:r w:rsidR="0007499A" w:rsidRPr="002160E3">
        <w:rPr>
          <w:rFonts w:ascii="Verdana" w:hAnsi="Verdana"/>
          <w:sz w:val="20"/>
        </w:rPr>
        <w:t xml:space="preserve">declaró responsable </w:t>
      </w:r>
      <w:r w:rsidR="0007499A" w:rsidRPr="006A61CE">
        <w:rPr>
          <w:rFonts w:ascii="Verdana" w:hAnsi="Verdana"/>
          <w:bCs/>
          <w:sz w:val="20"/>
          <w:lang w:val="es-MX"/>
        </w:rPr>
        <w:t>internacionalmente</w:t>
      </w:r>
      <w:r w:rsidR="0007499A" w:rsidRPr="002160E3">
        <w:rPr>
          <w:rFonts w:ascii="Verdana" w:hAnsi="Verdana"/>
          <w:sz w:val="20"/>
        </w:rPr>
        <w:t xml:space="preserve"> a </w:t>
      </w:r>
      <w:r w:rsidR="005F1EA3" w:rsidRPr="002160E3">
        <w:rPr>
          <w:rFonts w:ascii="Verdana" w:hAnsi="Verdana"/>
          <w:sz w:val="20"/>
        </w:rPr>
        <w:t xml:space="preserve">la República de </w:t>
      </w:r>
      <w:r w:rsidR="002E2F03" w:rsidRPr="002160E3">
        <w:rPr>
          <w:rFonts w:ascii="Verdana" w:hAnsi="Verdana"/>
          <w:sz w:val="20"/>
        </w:rPr>
        <w:t>Nicar</w:t>
      </w:r>
      <w:r w:rsidR="0008208A">
        <w:rPr>
          <w:rFonts w:ascii="Verdana" w:hAnsi="Verdana"/>
          <w:sz w:val="20"/>
        </w:rPr>
        <w:t>a</w:t>
      </w:r>
      <w:r w:rsidR="002E2F03" w:rsidRPr="002160E3">
        <w:rPr>
          <w:rFonts w:ascii="Verdana" w:hAnsi="Verdana"/>
          <w:sz w:val="20"/>
        </w:rPr>
        <w:t xml:space="preserve">gua </w:t>
      </w:r>
      <w:r w:rsidR="0007499A" w:rsidRPr="002160E3">
        <w:rPr>
          <w:rFonts w:ascii="Verdana" w:hAnsi="Verdana"/>
          <w:sz w:val="20"/>
        </w:rPr>
        <w:t>(en adelante “el Estado” o “</w:t>
      </w:r>
      <w:r w:rsidR="002E2F03" w:rsidRPr="002160E3">
        <w:rPr>
          <w:rFonts w:ascii="Verdana" w:hAnsi="Verdana"/>
          <w:sz w:val="20"/>
        </w:rPr>
        <w:t>Nicar</w:t>
      </w:r>
      <w:r w:rsidR="00A93867" w:rsidRPr="002160E3">
        <w:rPr>
          <w:rFonts w:ascii="Verdana" w:hAnsi="Verdana"/>
          <w:sz w:val="20"/>
        </w:rPr>
        <w:t>a</w:t>
      </w:r>
      <w:r w:rsidR="002E2F03" w:rsidRPr="002160E3">
        <w:rPr>
          <w:rFonts w:ascii="Verdana" w:hAnsi="Verdana"/>
          <w:sz w:val="20"/>
        </w:rPr>
        <w:t>gua</w:t>
      </w:r>
      <w:r w:rsidR="0007499A" w:rsidRPr="002160E3">
        <w:rPr>
          <w:rFonts w:ascii="Verdana" w:hAnsi="Verdana"/>
          <w:sz w:val="20"/>
        </w:rPr>
        <w:t>”)</w:t>
      </w:r>
      <w:r w:rsidR="00C27BDE" w:rsidRPr="002160E3">
        <w:rPr>
          <w:rFonts w:ascii="Verdana" w:hAnsi="Verdana"/>
          <w:sz w:val="20"/>
        </w:rPr>
        <w:t xml:space="preserve"> </w:t>
      </w:r>
      <w:r w:rsidR="0078389D">
        <w:rPr>
          <w:rFonts w:ascii="Verdana" w:hAnsi="Verdana"/>
          <w:sz w:val="20"/>
        </w:rPr>
        <w:t>por la violación del</w:t>
      </w:r>
      <w:r w:rsidR="00963133">
        <w:rPr>
          <w:rFonts w:ascii="Verdana" w:hAnsi="Verdana"/>
          <w:sz w:val="20"/>
        </w:rPr>
        <w:t xml:space="preserve"> derecho político a ser elegido</w:t>
      </w:r>
      <w:r w:rsidR="0078389D">
        <w:rPr>
          <w:rFonts w:ascii="Verdana" w:hAnsi="Verdana"/>
          <w:sz w:val="20"/>
        </w:rPr>
        <w:t xml:space="preserve"> de </w:t>
      </w:r>
      <w:r w:rsidR="002E2F03" w:rsidRPr="002160E3">
        <w:rPr>
          <w:rFonts w:ascii="Verdana" w:hAnsi="Verdana"/>
          <w:sz w:val="20"/>
        </w:rPr>
        <w:t xml:space="preserve">los candidatos propuestos por </w:t>
      </w:r>
      <w:r w:rsidR="00963133">
        <w:rPr>
          <w:rFonts w:ascii="Verdana" w:hAnsi="Verdana"/>
          <w:sz w:val="20"/>
        </w:rPr>
        <w:t xml:space="preserve">la organización </w:t>
      </w:r>
      <w:r w:rsidR="002E2F03" w:rsidRPr="002160E3">
        <w:rPr>
          <w:rFonts w:ascii="Verdana" w:hAnsi="Verdana"/>
          <w:sz w:val="20"/>
        </w:rPr>
        <w:t>indígena</w:t>
      </w:r>
      <w:r w:rsidR="00963133">
        <w:rPr>
          <w:rStyle w:val="Refdenotaalpie"/>
          <w:rFonts w:ascii="Verdana" w:hAnsi="Verdana"/>
          <w:sz w:val="20"/>
        </w:rPr>
        <w:footnoteReference w:id="2"/>
      </w:r>
      <w:r w:rsidR="002E2F03" w:rsidRPr="002160E3">
        <w:rPr>
          <w:rFonts w:ascii="Verdana" w:hAnsi="Verdana"/>
          <w:sz w:val="20"/>
        </w:rPr>
        <w:t xml:space="preserve"> Yapti Tasba Masraka Nanih Asla Takanka (en adelante “YATAMA”)</w:t>
      </w:r>
      <w:r w:rsidR="00493D56">
        <w:rPr>
          <w:rStyle w:val="Refdenotaalpie"/>
          <w:rFonts w:ascii="Verdana" w:hAnsi="Verdana"/>
          <w:sz w:val="20"/>
        </w:rPr>
        <w:footnoteReference w:id="3"/>
      </w:r>
      <w:r w:rsidR="002E2F03" w:rsidRPr="002160E3">
        <w:rPr>
          <w:rFonts w:ascii="Verdana" w:hAnsi="Verdana"/>
          <w:sz w:val="20"/>
        </w:rPr>
        <w:t xml:space="preserve"> </w:t>
      </w:r>
      <w:r w:rsidR="00963133">
        <w:rPr>
          <w:rFonts w:ascii="Verdana" w:hAnsi="Verdana"/>
          <w:sz w:val="20"/>
        </w:rPr>
        <w:t xml:space="preserve">porque </w:t>
      </w:r>
      <w:r w:rsidR="002E2F03" w:rsidRPr="002160E3">
        <w:rPr>
          <w:rFonts w:ascii="Verdana" w:hAnsi="Verdana"/>
          <w:sz w:val="20"/>
        </w:rPr>
        <w:t>fueron excluidos de participar en las elecciones municipales d</w:t>
      </w:r>
      <w:r w:rsidR="008302DA">
        <w:rPr>
          <w:rFonts w:ascii="Verdana" w:hAnsi="Verdana"/>
          <w:sz w:val="20"/>
        </w:rPr>
        <w:t>e</w:t>
      </w:r>
      <w:r w:rsidR="002E2F03" w:rsidRPr="002160E3">
        <w:rPr>
          <w:rFonts w:ascii="Verdana" w:hAnsi="Verdana"/>
          <w:sz w:val="20"/>
        </w:rPr>
        <w:t xml:space="preserve"> </w:t>
      </w:r>
      <w:r w:rsidR="008302DA">
        <w:rPr>
          <w:rFonts w:ascii="Verdana" w:hAnsi="Verdana"/>
          <w:sz w:val="20"/>
        </w:rPr>
        <w:t xml:space="preserve">noviembre de </w:t>
      </w:r>
      <w:r w:rsidR="002E2F03" w:rsidRPr="002160E3">
        <w:rPr>
          <w:rFonts w:ascii="Verdana" w:hAnsi="Verdana"/>
          <w:sz w:val="20"/>
        </w:rPr>
        <w:t xml:space="preserve">2000 a consecuencia de decisiones del Consejo Supremo Electoral </w:t>
      </w:r>
      <w:r w:rsidR="00E27828">
        <w:rPr>
          <w:rFonts w:ascii="Verdana" w:hAnsi="Verdana"/>
          <w:sz w:val="20"/>
        </w:rPr>
        <w:t>que</w:t>
      </w:r>
      <w:r w:rsidR="002E2F03" w:rsidRPr="002160E3">
        <w:rPr>
          <w:rFonts w:ascii="Verdana" w:hAnsi="Verdana"/>
          <w:sz w:val="20"/>
        </w:rPr>
        <w:t xml:space="preserve"> no se encontraban debidamente fundamentadas ni se ajustaron a los parámetros consagrados en el artículo 8.1 de la Convención Americana sobre Derechos Humanos (en adelante “la Convención Americana” o “la Convención”), así como por disposiciones de la Ley Electoral No. 331 de </w:t>
      </w:r>
      <w:r w:rsidR="008302DA">
        <w:rPr>
          <w:rFonts w:ascii="Verdana" w:hAnsi="Verdana"/>
          <w:sz w:val="20"/>
        </w:rPr>
        <w:t xml:space="preserve">enero de </w:t>
      </w:r>
      <w:r w:rsidR="002E2F03" w:rsidRPr="002160E3">
        <w:rPr>
          <w:rFonts w:ascii="Verdana" w:hAnsi="Verdana"/>
          <w:sz w:val="20"/>
        </w:rPr>
        <w:t xml:space="preserve">2000 </w:t>
      </w:r>
      <w:r w:rsidR="00E27828">
        <w:rPr>
          <w:rFonts w:ascii="Verdana" w:hAnsi="Verdana"/>
          <w:sz w:val="20"/>
        </w:rPr>
        <w:t>que</w:t>
      </w:r>
      <w:r w:rsidR="00852DFC" w:rsidRPr="002160E3">
        <w:rPr>
          <w:rFonts w:ascii="Verdana" w:hAnsi="Verdana"/>
          <w:sz w:val="20"/>
        </w:rPr>
        <w:t xml:space="preserve"> establec</w:t>
      </w:r>
      <w:r w:rsidR="00E27828">
        <w:rPr>
          <w:rFonts w:ascii="Verdana" w:hAnsi="Verdana"/>
          <w:sz w:val="20"/>
        </w:rPr>
        <w:t>ían</w:t>
      </w:r>
      <w:r w:rsidR="002E2F03" w:rsidRPr="002160E3">
        <w:rPr>
          <w:rFonts w:ascii="Verdana" w:hAnsi="Verdana"/>
          <w:sz w:val="20"/>
        </w:rPr>
        <w:t xml:space="preserve"> una restricción indebida al ejercicio</w:t>
      </w:r>
      <w:r w:rsidR="00852DFC" w:rsidRPr="002160E3">
        <w:rPr>
          <w:rFonts w:ascii="Verdana" w:hAnsi="Verdana"/>
          <w:sz w:val="20"/>
        </w:rPr>
        <w:t xml:space="preserve"> del derecho a ser elegido </w:t>
      </w:r>
      <w:r w:rsidR="00E27828">
        <w:rPr>
          <w:rFonts w:ascii="Verdana" w:hAnsi="Verdana"/>
          <w:sz w:val="20"/>
        </w:rPr>
        <w:t>y lo</w:t>
      </w:r>
      <w:r w:rsidR="00852DFC" w:rsidRPr="002160E3">
        <w:rPr>
          <w:rFonts w:ascii="Verdana" w:hAnsi="Verdana"/>
          <w:sz w:val="20"/>
        </w:rPr>
        <w:t xml:space="preserve"> reglamenta</w:t>
      </w:r>
      <w:r w:rsidR="00E27828">
        <w:rPr>
          <w:rFonts w:ascii="Verdana" w:hAnsi="Verdana"/>
          <w:sz w:val="20"/>
        </w:rPr>
        <w:t>ron</w:t>
      </w:r>
      <w:r w:rsidR="002E2F03" w:rsidRPr="002160E3">
        <w:rPr>
          <w:rFonts w:ascii="Verdana" w:hAnsi="Verdana"/>
          <w:sz w:val="20"/>
        </w:rPr>
        <w:t xml:space="preserve"> de forma discriminatoria. El Tribunal también determinó que no existía </w:t>
      </w:r>
      <w:r w:rsidR="00E27828">
        <w:rPr>
          <w:rFonts w:ascii="Verdana" w:hAnsi="Verdana"/>
          <w:sz w:val="20"/>
        </w:rPr>
        <w:t>algún</w:t>
      </w:r>
      <w:r w:rsidR="002E2F03" w:rsidRPr="002160E3">
        <w:rPr>
          <w:rFonts w:ascii="Verdana" w:hAnsi="Verdana"/>
          <w:sz w:val="20"/>
        </w:rPr>
        <w:t xml:space="preserve"> recurso judicial </w:t>
      </w:r>
      <w:r w:rsidR="00C27BDE" w:rsidRPr="002160E3">
        <w:rPr>
          <w:rFonts w:ascii="Verdana" w:hAnsi="Verdana"/>
          <w:sz w:val="20"/>
        </w:rPr>
        <w:t xml:space="preserve">en </w:t>
      </w:r>
      <w:r w:rsidR="002E2F03" w:rsidRPr="002160E3">
        <w:rPr>
          <w:rFonts w:ascii="Verdana" w:hAnsi="Verdana"/>
          <w:sz w:val="20"/>
        </w:rPr>
        <w:t xml:space="preserve">contra de una de las decisiones emitidas por el Consejo Supremo Electoral. </w:t>
      </w:r>
      <w:r w:rsidR="00864047" w:rsidRPr="00647E50">
        <w:rPr>
          <w:rFonts w:ascii="Verdana" w:hAnsi="Verdana"/>
          <w:sz w:val="20"/>
          <w:lang w:val="es-MX"/>
        </w:rPr>
        <w:t>Adem</w:t>
      </w:r>
      <w:r w:rsidR="00864047">
        <w:rPr>
          <w:rFonts w:ascii="Verdana" w:hAnsi="Verdana"/>
          <w:sz w:val="20"/>
          <w:lang w:val="es-MX"/>
        </w:rPr>
        <w:t>ás de indicar que la Sentencia</w:t>
      </w:r>
      <w:r w:rsidR="00864047" w:rsidRPr="00647E50">
        <w:rPr>
          <w:rFonts w:ascii="Verdana" w:hAnsi="Verdana"/>
          <w:sz w:val="20"/>
          <w:lang w:val="es-MX"/>
        </w:rPr>
        <w:t xml:space="preserve"> </w:t>
      </w:r>
      <w:r w:rsidR="00864047">
        <w:rPr>
          <w:rFonts w:ascii="Verdana" w:hAnsi="Verdana"/>
          <w:sz w:val="20"/>
        </w:rPr>
        <w:t>emitida</w:t>
      </w:r>
      <w:r w:rsidR="00864047" w:rsidRPr="00647E50">
        <w:rPr>
          <w:rFonts w:ascii="Verdana" w:hAnsi="Verdana"/>
          <w:sz w:val="20"/>
        </w:rPr>
        <w:t xml:space="preserve"> en el presente caso </w:t>
      </w:r>
      <w:r w:rsidR="00864047">
        <w:rPr>
          <w:rFonts w:ascii="Verdana" w:hAnsi="Verdana"/>
          <w:sz w:val="20"/>
          <w:lang w:val="es-MX"/>
        </w:rPr>
        <w:t>constituye</w:t>
      </w:r>
      <w:r w:rsidR="00864047" w:rsidRPr="00647E50">
        <w:rPr>
          <w:rFonts w:ascii="Verdana" w:hAnsi="Verdana"/>
          <w:sz w:val="20"/>
          <w:lang w:val="es-MX"/>
        </w:rPr>
        <w:t xml:space="preserve"> </w:t>
      </w:r>
      <w:r w:rsidR="00864047" w:rsidRPr="00647E50">
        <w:rPr>
          <w:rFonts w:ascii="Verdana" w:hAnsi="Verdana"/>
          <w:i/>
          <w:sz w:val="20"/>
          <w:lang w:val="es-MX"/>
        </w:rPr>
        <w:t>per se</w:t>
      </w:r>
      <w:r w:rsidR="00864047" w:rsidRPr="00647E50">
        <w:rPr>
          <w:rFonts w:ascii="Verdana" w:hAnsi="Verdana"/>
          <w:sz w:val="20"/>
          <w:lang w:val="es-MX"/>
        </w:rPr>
        <w:t xml:space="preserve"> una forma de reparación, la Corte ordenó al Estado determinadas medidas de reparación (</w:t>
      </w:r>
      <w:r w:rsidR="00864047" w:rsidRPr="00647E50">
        <w:rPr>
          <w:rFonts w:ascii="Verdana" w:hAnsi="Verdana"/>
          <w:i/>
          <w:sz w:val="20"/>
          <w:lang w:val="es-MX"/>
        </w:rPr>
        <w:t>i</w:t>
      </w:r>
      <w:r w:rsidR="00864047" w:rsidRPr="00647E50">
        <w:rPr>
          <w:rFonts w:ascii="Verdana" w:hAnsi="Verdana"/>
          <w:i/>
          <w:sz w:val="20"/>
        </w:rPr>
        <w:t>n</w:t>
      </w:r>
      <w:r w:rsidR="00864047" w:rsidRPr="00647E50">
        <w:rPr>
          <w:rFonts w:ascii="Verdana" w:hAnsi="Verdana"/>
          <w:i/>
          <w:sz w:val="20"/>
          <w:lang w:val="es-MX"/>
        </w:rPr>
        <w:t>fra</w:t>
      </w:r>
      <w:r w:rsidR="00864047" w:rsidRPr="00647E50">
        <w:rPr>
          <w:rFonts w:ascii="Verdana" w:hAnsi="Verdana"/>
          <w:sz w:val="20"/>
          <w:lang w:val="es-MX"/>
        </w:rPr>
        <w:t xml:space="preserve"> Considerando </w:t>
      </w:r>
      <w:r w:rsidR="008E473C">
        <w:rPr>
          <w:rFonts w:ascii="Verdana" w:hAnsi="Verdana"/>
          <w:sz w:val="20"/>
          <w:lang w:val="es-MX"/>
        </w:rPr>
        <w:fldChar w:fldCharType="begin"/>
      </w:r>
      <w:r w:rsidR="008E473C">
        <w:rPr>
          <w:rFonts w:ascii="Verdana" w:hAnsi="Verdana"/>
          <w:sz w:val="20"/>
          <w:lang w:val="es-MX"/>
        </w:rPr>
        <w:instrText xml:space="preserve"> REF _Ref437586335 \r \h </w:instrText>
      </w:r>
      <w:r w:rsidR="008E473C">
        <w:rPr>
          <w:rFonts w:ascii="Verdana" w:hAnsi="Verdana"/>
          <w:sz w:val="20"/>
          <w:lang w:val="es-MX"/>
        </w:rPr>
      </w:r>
      <w:r w:rsidR="008E473C">
        <w:rPr>
          <w:rFonts w:ascii="Verdana" w:hAnsi="Verdana"/>
          <w:sz w:val="20"/>
          <w:lang w:val="es-MX"/>
        </w:rPr>
        <w:fldChar w:fldCharType="separate"/>
      </w:r>
      <w:r w:rsidR="00EA6956">
        <w:rPr>
          <w:rFonts w:ascii="Verdana" w:hAnsi="Verdana"/>
          <w:sz w:val="20"/>
          <w:lang w:val="es-MX"/>
        </w:rPr>
        <w:t>1</w:t>
      </w:r>
      <w:r w:rsidR="008E473C">
        <w:rPr>
          <w:rFonts w:ascii="Verdana" w:hAnsi="Verdana"/>
          <w:sz w:val="20"/>
          <w:lang w:val="es-MX"/>
        </w:rPr>
        <w:fldChar w:fldCharType="end"/>
      </w:r>
      <w:r w:rsidR="00864047" w:rsidRPr="00647E50">
        <w:rPr>
          <w:rFonts w:ascii="Verdana" w:hAnsi="Verdana"/>
          <w:sz w:val="20"/>
          <w:lang w:val="es-MX"/>
        </w:rPr>
        <w:t>).</w:t>
      </w:r>
      <w:bookmarkEnd w:id="1"/>
    </w:p>
    <w:p w:rsidR="0068216F" w:rsidRPr="002160E3" w:rsidRDefault="0068216F" w:rsidP="00B5072C">
      <w:pPr>
        <w:jc w:val="both"/>
        <w:rPr>
          <w:rStyle w:val="Textoennegrita"/>
          <w:rFonts w:ascii="Verdana" w:hAnsi="Verdana"/>
          <w:b w:val="0"/>
          <w:bCs w:val="0"/>
          <w:sz w:val="20"/>
          <w:lang w:val="es-VE"/>
        </w:rPr>
      </w:pPr>
    </w:p>
    <w:p w:rsidR="00FB5CB1" w:rsidRPr="002160E3" w:rsidRDefault="00FB5CB1" w:rsidP="00C27BDE">
      <w:pPr>
        <w:numPr>
          <w:ilvl w:val="0"/>
          <w:numId w:val="45"/>
        </w:numPr>
        <w:ind w:left="0" w:firstLine="0"/>
        <w:jc w:val="both"/>
        <w:rPr>
          <w:rFonts w:ascii="Verdana" w:hAnsi="Verdana"/>
          <w:sz w:val="20"/>
          <w:lang w:val="es-MX"/>
        </w:rPr>
      </w:pPr>
      <w:bookmarkStart w:id="2" w:name="_Ref437587895"/>
      <w:r w:rsidRPr="002160E3">
        <w:rPr>
          <w:rFonts w:ascii="Verdana" w:hAnsi="Verdana"/>
          <w:bCs/>
          <w:sz w:val="20"/>
          <w:lang w:val="es-MX"/>
        </w:rPr>
        <w:t xml:space="preserve">Las </w:t>
      </w:r>
      <w:r w:rsidRPr="002160E3">
        <w:rPr>
          <w:rFonts w:ascii="Verdana" w:hAnsi="Verdana"/>
          <w:sz w:val="20"/>
          <w:lang w:val="es-MX"/>
        </w:rPr>
        <w:t>Resoluciones</w:t>
      </w:r>
      <w:r w:rsidRPr="002160E3">
        <w:rPr>
          <w:rFonts w:ascii="Verdana" w:hAnsi="Verdana"/>
          <w:bCs/>
          <w:sz w:val="20"/>
          <w:lang w:val="es-MX"/>
        </w:rPr>
        <w:t xml:space="preserve"> de supervisión de </w:t>
      </w:r>
      <w:r w:rsidR="002D5A76" w:rsidRPr="002160E3">
        <w:rPr>
          <w:rFonts w:ascii="Verdana" w:hAnsi="Verdana"/>
          <w:bCs/>
          <w:sz w:val="20"/>
          <w:lang w:val="es-MX"/>
        </w:rPr>
        <w:t>cumplimiento de</w:t>
      </w:r>
      <w:r w:rsidRPr="002160E3">
        <w:rPr>
          <w:rFonts w:ascii="Verdana" w:hAnsi="Verdana"/>
          <w:bCs/>
          <w:sz w:val="20"/>
          <w:lang w:val="es-MX"/>
        </w:rPr>
        <w:t xml:space="preserve"> </w:t>
      </w:r>
      <w:r w:rsidR="00FC1D56">
        <w:rPr>
          <w:rFonts w:ascii="Verdana" w:hAnsi="Verdana"/>
          <w:bCs/>
          <w:sz w:val="20"/>
          <w:lang w:val="es-MX"/>
        </w:rPr>
        <w:t>s</w:t>
      </w:r>
      <w:r w:rsidRPr="002160E3">
        <w:rPr>
          <w:rFonts w:ascii="Verdana" w:hAnsi="Verdana"/>
          <w:bCs/>
          <w:sz w:val="20"/>
          <w:lang w:val="es-MX"/>
        </w:rPr>
        <w:t>entencia dictadas por la Co</w:t>
      </w:r>
      <w:r w:rsidR="00E2395C" w:rsidRPr="002160E3">
        <w:rPr>
          <w:rFonts w:ascii="Verdana" w:hAnsi="Verdana"/>
          <w:bCs/>
          <w:sz w:val="20"/>
          <w:lang w:val="es-MX"/>
        </w:rPr>
        <w:t xml:space="preserve">rte </w:t>
      </w:r>
      <w:r w:rsidR="00F02016">
        <w:rPr>
          <w:rFonts w:ascii="Verdana" w:hAnsi="Verdana"/>
          <w:bCs/>
          <w:sz w:val="20"/>
          <w:lang w:val="es-MX"/>
        </w:rPr>
        <w:t>los</w:t>
      </w:r>
      <w:r w:rsidR="002D5A76" w:rsidRPr="002160E3">
        <w:rPr>
          <w:rFonts w:ascii="Verdana" w:hAnsi="Verdana"/>
          <w:bCs/>
          <w:sz w:val="20"/>
          <w:lang w:val="es-MX"/>
        </w:rPr>
        <w:t xml:space="preserve"> </w:t>
      </w:r>
      <w:r w:rsidR="00F02016">
        <w:rPr>
          <w:rFonts w:ascii="Verdana" w:hAnsi="Verdana"/>
          <w:bCs/>
          <w:sz w:val="20"/>
          <w:lang w:val="es-MX"/>
        </w:rPr>
        <w:t xml:space="preserve">días </w:t>
      </w:r>
      <w:r w:rsidR="002D5A76" w:rsidRPr="002160E3">
        <w:rPr>
          <w:rFonts w:ascii="Verdana" w:hAnsi="Verdana"/>
          <w:bCs/>
          <w:sz w:val="20"/>
          <w:lang w:val="es-MX"/>
        </w:rPr>
        <w:t xml:space="preserve">29 de </w:t>
      </w:r>
      <w:r w:rsidR="002D5A76" w:rsidRPr="00B5072C">
        <w:rPr>
          <w:rFonts w:ascii="Verdana" w:hAnsi="Verdana"/>
          <w:sz w:val="20"/>
          <w:lang w:val="es-MX"/>
        </w:rPr>
        <w:t>noviembre</w:t>
      </w:r>
      <w:r w:rsidR="002D5A76" w:rsidRPr="002160E3">
        <w:rPr>
          <w:rFonts w:ascii="Verdana" w:hAnsi="Verdana"/>
          <w:bCs/>
          <w:sz w:val="20"/>
          <w:lang w:val="es-MX"/>
        </w:rPr>
        <w:t xml:space="preserve"> de 2006, 4 de agosto de 2008,  28 de mayo de 2010</w:t>
      </w:r>
      <w:r w:rsidR="00F02016">
        <w:rPr>
          <w:rFonts w:ascii="Verdana" w:hAnsi="Verdana"/>
          <w:bCs/>
          <w:sz w:val="20"/>
          <w:lang w:val="es-MX"/>
        </w:rPr>
        <w:t xml:space="preserve"> y</w:t>
      </w:r>
      <w:r w:rsidR="002D5A76" w:rsidRPr="002160E3">
        <w:rPr>
          <w:rFonts w:ascii="Verdana" w:hAnsi="Verdana"/>
          <w:bCs/>
          <w:sz w:val="20"/>
          <w:lang w:val="es-MX"/>
        </w:rPr>
        <w:t xml:space="preserve"> 30 de junio de 2011</w:t>
      </w:r>
      <w:r w:rsidR="006A61CE">
        <w:rPr>
          <w:rStyle w:val="Refdenotaalpie"/>
          <w:rFonts w:ascii="Verdana" w:hAnsi="Verdana"/>
          <w:bCs/>
          <w:sz w:val="20"/>
          <w:lang w:val="es-MX"/>
        </w:rPr>
        <w:footnoteReference w:id="4"/>
      </w:r>
      <w:r w:rsidR="006A61CE">
        <w:rPr>
          <w:rFonts w:ascii="Verdana" w:hAnsi="Verdana"/>
          <w:bCs/>
          <w:sz w:val="20"/>
          <w:lang w:val="es-MX"/>
        </w:rPr>
        <w:t>.</w:t>
      </w:r>
      <w:bookmarkEnd w:id="2"/>
    </w:p>
    <w:p w:rsidR="003D6AB7" w:rsidRPr="002160E3" w:rsidRDefault="003D6AB7" w:rsidP="003D6AB7">
      <w:pPr>
        <w:pStyle w:val="Sombreadovistoso-nfasis3"/>
        <w:rPr>
          <w:rFonts w:ascii="Verdana" w:hAnsi="Verdana"/>
          <w:sz w:val="20"/>
          <w:lang w:val="es-MX"/>
        </w:rPr>
      </w:pPr>
    </w:p>
    <w:p w:rsidR="003D6AB7" w:rsidRPr="002160E3" w:rsidRDefault="003D6AB7" w:rsidP="00C27BDE">
      <w:pPr>
        <w:numPr>
          <w:ilvl w:val="0"/>
          <w:numId w:val="45"/>
        </w:numPr>
        <w:ind w:left="0" w:firstLine="0"/>
        <w:jc w:val="both"/>
        <w:rPr>
          <w:rFonts w:ascii="Verdana" w:hAnsi="Verdana"/>
          <w:sz w:val="20"/>
          <w:lang w:val="es-MX"/>
        </w:rPr>
      </w:pPr>
      <w:bookmarkStart w:id="3" w:name="_Ref437595890"/>
      <w:r w:rsidRPr="002160E3">
        <w:rPr>
          <w:rFonts w:ascii="Verdana" w:hAnsi="Verdana"/>
          <w:sz w:val="20"/>
          <w:lang w:val="es-MX"/>
        </w:rPr>
        <w:t xml:space="preserve">La </w:t>
      </w:r>
      <w:r w:rsidRPr="002160E3">
        <w:rPr>
          <w:rFonts w:ascii="Verdana" w:hAnsi="Verdana"/>
          <w:bCs/>
          <w:sz w:val="20"/>
          <w:lang w:val="es-MX"/>
        </w:rPr>
        <w:t>audiencia</w:t>
      </w:r>
      <w:r w:rsidR="0041641F">
        <w:rPr>
          <w:rFonts w:ascii="Verdana" w:hAnsi="Verdana"/>
          <w:bCs/>
          <w:sz w:val="20"/>
          <w:lang w:val="es-MX"/>
        </w:rPr>
        <w:t xml:space="preserve"> privada</w:t>
      </w:r>
      <w:r w:rsidRPr="002160E3">
        <w:rPr>
          <w:rFonts w:ascii="Verdana" w:hAnsi="Verdana"/>
          <w:sz w:val="20"/>
          <w:lang w:val="es-MX"/>
        </w:rPr>
        <w:t xml:space="preserve"> de supervisión de cumplimiento de la Sentencia </w:t>
      </w:r>
      <w:r w:rsidR="0041641F">
        <w:rPr>
          <w:rFonts w:ascii="Verdana" w:hAnsi="Verdana"/>
          <w:sz w:val="20"/>
          <w:lang w:val="es-MX"/>
        </w:rPr>
        <w:t>celebrada el</w:t>
      </w:r>
      <w:r w:rsidR="00903DD8" w:rsidRPr="002160E3">
        <w:rPr>
          <w:rFonts w:ascii="Verdana" w:hAnsi="Verdana"/>
          <w:sz w:val="20"/>
          <w:lang w:val="es-MX"/>
        </w:rPr>
        <w:t xml:space="preserve"> 28 de mayo de 2013</w:t>
      </w:r>
      <w:r w:rsidR="0041641F">
        <w:rPr>
          <w:rFonts w:ascii="Verdana" w:hAnsi="Verdana"/>
          <w:sz w:val="20"/>
          <w:lang w:val="es-MX"/>
        </w:rPr>
        <w:t>, en la sede del Tribunal</w:t>
      </w:r>
      <w:r w:rsidR="0041641F">
        <w:rPr>
          <w:rStyle w:val="Refdenotaalpie"/>
          <w:rFonts w:ascii="Verdana" w:hAnsi="Verdana"/>
          <w:sz w:val="20"/>
          <w:lang w:val="es-MX"/>
        </w:rPr>
        <w:footnoteReference w:id="5"/>
      </w:r>
      <w:r w:rsidR="00F64501" w:rsidRPr="002160E3">
        <w:rPr>
          <w:rFonts w:ascii="Verdana" w:hAnsi="Verdana"/>
          <w:sz w:val="20"/>
          <w:lang w:val="es-MX"/>
        </w:rPr>
        <w:t>.</w:t>
      </w:r>
      <w:bookmarkEnd w:id="3"/>
    </w:p>
    <w:p w:rsidR="007E14AA" w:rsidRPr="002160E3" w:rsidRDefault="007E14AA" w:rsidP="007E14AA">
      <w:pPr>
        <w:ind w:right="-36"/>
        <w:jc w:val="both"/>
        <w:rPr>
          <w:rFonts w:ascii="Verdana" w:hAnsi="Verdana" w:cs="Arial"/>
          <w:sz w:val="20"/>
          <w:lang w:val="es-MX"/>
        </w:rPr>
      </w:pPr>
    </w:p>
    <w:p w:rsidR="00D7670F" w:rsidRPr="00D7670F" w:rsidRDefault="008D41B9" w:rsidP="00C27BDE">
      <w:pPr>
        <w:numPr>
          <w:ilvl w:val="0"/>
          <w:numId w:val="45"/>
        </w:numPr>
        <w:ind w:left="0" w:firstLine="0"/>
        <w:jc w:val="both"/>
        <w:rPr>
          <w:rFonts w:ascii="Verdana" w:hAnsi="Verdana"/>
          <w:sz w:val="20"/>
          <w:lang w:val="es-MX"/>
        </w:rPr>
      </w:pPr>
      <w:bookmarkStart w:id="4" w:name="_Ref437587001"/>
      <w:r>
        <w:rPr>
          <w:rFonts w:ascii="Verdana" w:hAnsi="Verdana"/>
          <w:bCs/>
          <w:sz w:val="20"/>
          <w:lang w:val="es-MX"/>
        </w:rPr>
        <w:t xml:space="preserve">La Resolución </w:t>
      </w:r>
      <w:r w:rsidR="00FC1D56">
        <w:rPr>
          <w:rFonts w:ascii="Verdana" w:hAnsi="Verdana"/>
          <w:bCs/>
          <w:sz w:val="20"/>
          <w:lang w:val="es-MX"/>
        </w:rPr>
        <w:t xml:space="preserve">de supervisión de cumplimiento de sentencia </w:t>
      </w:r>
      <w:r>
        <w:rPr>
          <w:rFonts w:ascii="Verdana" w:hAnsi="Verdana"/>
          <w:bCs/>
          <w:sz w:val="20"/>
          <w:lang w:val="es-MX"/>
        </w:rPr>
        <w:t xml:space="preserve">dictada por la Corte el </w:t>
      </w:r>
      <w:r w:rsidR="00D7670F" w:rsidRPr="002160E3">
        <w:rPr>
          <w:rFonts w:ascii="Verdana" w:hAnsi="Verdana"/>
          <w:bCs/>
          <w:sz w:val="20"/>
          <w:lang w:val="es-MX"/>
        </w:rPr>
        <w:t>22 de agosto de 2013</w:t>
      </w:r>
      <w:r w:rsidR="00B62AAD">
        <w:rPr>
          <w:rStyle w:val="Refdenotaalpie"/>
          <w:rFonts w:ascii="Verdana" w:hAnsi="Verdana"/>
          <w:bCs/>
          <w:sz w:val="20"/>
          <w:lang w:val="es-MX"/>
        </w:rPr>
        <w:footnoteReference w:id="6"/>
      </w:r>
      <w:r w:rsidR="003415DC">
        <w:rPr>
          <w:rFonts w:ascii="Verdana" w:hAnsi="Verdana"/>
          <w:bCs/>
          <w:sz w:val="20"/>
          <w:lang w:val="es-MX"/>
        </w:rPr>
        <w:t>.</w:t>
      </w:r>
      <w:bookmarkEnd w:id="4"/>
    </w:p>
    <w:p w:rsidR="00D7670F" w:rsidRDefault="00D7670F" w:rsidP="00D7670F">
      <w:pPr>
        <w:jc w:val="both"/>
        <w:rPr>
          <w:rFonts w:ascii="Verdana" w:hAnsi="Verdana" w:cs="Arial"/>
          <w:sz w:val="20"/>
          <w:lang w:val="es-MX"/>
        </w:rPr>
      </w:pPr>
    </w:p>
    <w:p w:rsidR="00A42719" w:rsidRPr="002160E3" w:rsidRDefault="00A42719" w:rsidP="00C27BDE">
      <w:pPr>
        <w:numPr>
          <w:ilvl w:val="0"/>
          <w:numId w:val="45"/>
        </w:numPr>
        <w:ind w:left="0" w:firstLine="0"/>
        <w:jc w:val="both"/>
        <w:rPr>
          <w:rFonts w:ascii="Verdana" w:hAnsi="Verdana"/>
          <w:sz w:val="20"/>
          <w:lang w:val="es-MX"/>
        </w:rPr>
      </w:pPr>
      <w:bookmarkStart w:id="5" w:name="_Ref437595978"/>
      <w:r w:rsidRPr="002160E3">
        <w:rPr>
          <w:rFonts w:ascii="Verdana" w:hAnsi="Verdana" w:cs="Arial"/>
          <w:sz w:val="20"/>
          <w:lang w:val="es-MX"/>
        </w:rPr>
        <w:t>Las notas de la Secretaría de la Corte d</w:t>
      </w:r>
      <w:r w:rsidR="00AD4DF9" w:rsidRPr="002160E3">
        <w:rPr>
          <w:rFonts w:ascii="Verdana" w:hAnsi="Verdana" w:cs="Arial"/>
          <w:sz w:val="20"/>
          <w:lang w:val="es-MX"/>
        </w:rPr>
        <w:t>e</w:t>
      </w:r>
      <w:r w:rsidR="00E043F9" w:rsidRPr="002160E3">
        <w:rPr>
          <w:rFonts w:ascii="Verdana" w:hAnsi="Verdana" w:cs="Arial"/>
          <w:sz w:val="20"/>
          <w:lang w:val="es-MX"/>
        </w:rPr>
        <w:t xml:space="preserve"> 17 de enero de 2014</w:t>
      </w:r>
      <w:r w:rsidR="00AD4DF9" w:rsidRPr="002160E3">
        <w:rPr>
          <w:rFonts w:ascii="Verdana" w:hAnsi="Verdana" w:cs="Arial"/>
          <w:b/>
          <w:sz w:val="20"/>
          <w:lang w:val="es-MX"/>
        </w:rPr>
        <w:t xml:space="preserve"> </w:t>
      </w:r>
      <w:r w:rsidR="0041641F">
        <w:rPr>
          <w:rFonts w:ascii="Verdana" w:hAnsi="Verdana" w:cs="Arial"/>
          <w:sz w:val="20"/>
          <w:lang w:val="es-MX"/>
        </w:rPr>
        <w:t xml:space="preserve">y </w:t>
      </w:r>
      <w:r w:rsidR="00623488" w:rsidRPr="002160E3">
        <w:rPr>
          <w:rFonts w:ascii="Verdana" w:hAnsi="Verdana" w:cs="Arial"/>
          <w:sz w:val="20"/>
          <w:lang w:val="es-MX"/>
        </w:rPr>
        <w:t>de 12 de marzo de 2015</w:t>
      </w:r>
      <w:r w:rsidR="00185088">
        <w:rPr>
          <w:rFonts w:ascii="Verdana" w:hAnsi="Verdana" w:cs="Arial"/>
          <w:sz w:val="20"/>
          <w:lang w:val="es-MX"/>
        </w:rPr>
        <w:t>,</w:t>
      </w:r>
      <w:r w:rsidR="00AD4DF9" w:rsidRPr="002160E3">
        <w:rPr>
          <w:rFonts w:ascii="Verdana" w:hAnsi="Verdana" w:cs="Arial"/>
          <w:sz w:val="20"/>
          <w:lang w:val="es-MX"/>
        </w:rPr>
        <w:t xml:space="preserve"> </w:t>
      </w:r>
      <w:r w:rsidRPr="002160E3">
        <w:rPr>
          <w:rFonts w:ascii="Verdana" w:hAnsi="Verdana" w:cs="Arial"/>
          <w:sz w:val="20"/>
          <w:lang w:val="es-MX"/>
        </w:rPr>
        <w:t>mediante la</w:t>
      </w:r>
      <w:r w:rsidR="00E509F9" w:rsidRPr="002160E3">
        <w:rPr>
          <w:rFonts w:ascii="Verdana" w:hAnsi="Verdana" w:cs="Arial"/>
          <w:sz w:val="20"/>
          <w:lang w:val="es-MX"/>
        </w:rPr>
        <w:t>s</w:t>
      </w:r>
      <w:r w:rsidRPr="002160E3">
        <w:rPr>
          <w:rFonts w:ascii="Verdana" w:hAnsi="Verdana" w:cs="Arial"/>
          <w:sz w:val="20"/>
          <w:lang w:val="es-MX"/>
        </w:rPr>
        <w:t xml:space="preserve"> cuales</w:t>
      </w:r>
      <w:r w:rsidR="00AF3F16" w:rsidRPr="002160E3">
        <w:rPr>
          <w:rFonts w:ascii="Verdana" w:hAnsi="Verdana" w:cs="Arial"/>
          <w:sz w:val="20"/>
          <w:lang w:val="es-MX"/>
        </w:rPr>
        <w:t>, siguiendo instrucciones del Presidente</w:t>
      </w:r>
      <w:r w:rsidR="00185088">
        <w:rPr>
          <w:rFonts w:ascii="Verdana" w:hAnsi="Verdana" w:cs="Arial"/>
          <w:sz w:val="20"/>
          <w:lang w:val="es-MX"/>
        </w:rPr>
        <w:t xml:space="preserve"> del Tribunal</w:t>
      </w:r>
      <w:r w:rsidR="00AF3F16" w:rsidRPr="002160E3">
        <w:rPr>
          <w:rFonts w:ascii="Verdana" w:hAnsi="Verdana" w:cs="Arial"/>
          <w:sz w:val="20"/>
          <w:lang w:val="es-MX"/>
        </w:rPr>
        <w:t>,</w:t>
      </w:r>
      <w:r w:rsidRPr="002160E3">
        <w:rPr>
          <w:rFonts w:ascii="Verdana" w:hAnsi="Verdana" w:cs="Arial"/>
          <w:sz w:val="20"/>
          <w:lang w:val="es-MX"/>
        </w:rPr>
        <w:t xml:space="preserve"> </w:t>
      </w:r>
      <w:r w:rsidRPr="002160E3">
        <w:rPr>
          <w:rFonts w:ascii="Verdana" w:hAnsi="Verdana"/>
          <w:sz w:val="20"/>
          <w:lang w:val="es-MX"/>
        </w:rPr>
        <w:t xml:space="preserve">se </w:t>
      </w:r>
      <w:r w:rsidR="00185088">
        <w:rPr>
          <w:rFonts w:ascii="Verdana" w:hAnsi="Verdana"/>
          <w:sz w:val="20"/>
          <w:lang w:val="es-MX"/>
        </w:rPr>
        <w:t>reiteró</w:t>
      </w:r>
      <w:r w:rsidRPr="002160E3">
        <w:rPr>
          <w:rFonts w:ascii="Verdana" w:hAnsi="Verdana"/>
          <w:sz w:val="20"/>
          <w:lang w:val="es-MX"/>
        </w:rPr>
        <w:t xml:space="preserve"> al Estado</w:t>
      </w:r>
      <w:r w:rsidR="00623488" w:rsidRPr="002160E3">
        <w:rPr>
          <w:rFonts w:ascii="Verdana" w:hAnsi="Verdana"/>
          <w:sz w:val="20"/>
          <w:lang w:val="es-MX"/>
        </w:rPr>
        <w:t xml:space="preserve"> </w:t>
      </w:r>
      <w:r w:rsidRPr="002160E3">
        <w:rPr>
          <w:rFonts w:ascii="Verdana" w:hAnsi="Verdana"/>
          <w:sz w:val="20"/>
          <w:lang w:val="es-MX"/>
        </w:rPr>
        <w:t>que</w:t>
      </w:r>
      <w:r w:rsidR="0037703E" w:rsidRPr="002160E3">
        <w:rPr>
          <w:rFonts w:ascii="Verdana" w:hAnsi="Verdana"/>
          <w:sz w:val="20"/>
          <w:lang w:val="es-MX"/>
        </w:rPr>
        <w:t xml:space="preserve"> </w:t>
      </w:r>
      <w:r w:rsidR="00683E4F">
        <w:rPr>
          <w:rFonts w:ascii="Verdana" w:hAnsi="Verdana"/>
          <w:sz w:val="20"/>
          <w:lang w:val="es-MX"/>
        </w:rPr>
        <w:t xml:space="preserve">debía </w:t>
      </w:r>
      <w:r w:rsidR="00623488" w:rsidRPr="002160E3">
        <w:rPr>
          <w:rFonts w:ascii="Verdana" w:hAnsi="Verdana"/>
          <w:sz w:val="20"/>
          <w:lang w:val="es-MX"/>
        </w:rPr>
        <w:t>present</w:t>
      </w:r>
      <w:r w:rsidR="00185088">
        <w:rPr>
          <w:rFonts w:ascii="Verdana" w:hAnsi="Verdana"/>
          <w:sz w:val="20"/>
          <w:lang w:val="es-MX"/>
        </w:rPr>
        <w:t>ar</w:t>
      </w:r>
      <w:r w:rsidR="00623488" w:rsidRPr="002160E3">
        <w:rPr>
          <w:rFonts w:ascii="Verdana" w:hAnsi="Verdana"/>
          <w:sz w:val="20"/>
          <w:lang w:val="es-MX"/>
        </w:rPr>
        <w:t xml:space="preserve"> </w:t>
      </w:r>
      <w:r w:rsidR="00185088">
        <w:rPr>
          <w:rFonts w:ascii="Verdana" w:hAnsi="Verdana"/>
          <w:sz w:val="20"/>
          <w:lang w:val="es-MX"/>
        </w:rPr>
        <w:t>el</w:t>
      </w:r>
      <w:r w:rsidR="00623488" w:rsidRPr="002160E3">
        <w:rPr>
          <w:rFonts w:ascii="Verdana" w:hAnsi="Verdana"/>
          <w:sz w:val="20"/>
          <w:lang w:val="es-MX"/>
        </w:rPr>
        <w:t xml:space="preserve"> informe </w:t>
      </w:r>
      <w:r w:rsidR="00185088">
        <w:rPr>
          <w:rFonts w:ascii="Verdana" w:hAnsi="Verdana"/>
          <w:sz w:val="20"/>
          <w:lang w:val="es-MX"/>
        </w:rPr>
        <w:t xml:space="preserve">sobre el </w:t>
      </w:r>
      <w:r w:rsidR="00E2150F">
        <w:rPr>
          <w:rFonts w:ascii="Verdana" w:hAnsi="Verdana"/>
          <w:sz w:val="20"/>
          <w:lang w:val="es-MX"/>
        </w:rPr>
        <w:t>cumpli</w:t>
      </w:r>
      <w:r w:rsidR="00185088">
        <w:rPr>
          <w:rFonts w:ascii="Verdana" w:hAnsi="Verdana"/>
          <w:sz w:val="20"/>
          <w:lang w:val="es-MX"/>
        </w:rPr>
        <w:t>miento de</w:t>
      </w:r>
      <w:r w:rsidR="00E2150F">
        <w:rPr>
          <w:rFonts w:ascii="Verdana" w:hAnsi="Verdana"/>
          <w:sz w:val="20"/>
          <w:lang w:val="es-MX"/>
        </w:rPr>
        <w:t xml:space="preserve"> las reparaciones </w:t>
      </w:r>
      <w:r w:rsidR="007634C9" w:rsidRPr="002160E3">
        <w:rPr>
          <w:rFonts w:ascii="Verdana" w:hAnsi="Verdana"/>
          <w:sz w:val="20"/>
          <w:lang w:val="es-MX"/>
        </w:rPr>
        <w:t>requerid</w:t>
      </w:r>
      <w:r w:rsidR="00FD5791">
        <w:rPr>
          <w:rFonts w:ascii="Verdana" w:hAnsi="Verdana"/>
          <w:sz w:val="20"/>
          <w:lang w:val="es-MX"/>
        </w:rPr>
        <w:t>o</w:t>
      </w:r>
      <w:r w:rsidR="00C27BDE" w:rsidRPr="002160E3">
        <w:rPr>
          <w:rFonts w:ascii="Verdana" w:hAnsi="Verdana"/>
          <w:sz w:val="20"/>
          <w:lang w:val="es-MX"/>
        </w:rPr>
        <w:t xml:space="preserve"> </w:t>
      </w:r>
      <w:r w:rsidR="00E2150F">
        <w:rPr>
          <w:rFonts w:ascii="Verdana" w:hAnsi="Verdana"/>
          <w:sz w:val="20"/>
          <w:lang w:val="es-MX"/>
        </w:rPr>
        <w:t>en la R</w:t>
      </w:r>
      <w:r w:rsidR="00C27BDE" w:rsidRPr="002160E3">
        <w:rPr>
          <w:rFonts w:ascii="Verdana" w:hAnsi="Verdana"/>
          <w:sz w:val="20"/>
          <w:lang w:val="es-MX"/>
        </w:rPr>
        <w:t>esolución de 22 de agosto de 2013</w:t>
      </w:r>
      <w:r w:rsidR="00E2150F">
        <w:rPr>
          <w:rFonts w:ascii="Verdana" w:hAnsi="Verdana"/>
          <w:sz w:val="20"/>
          <w:lang w:val="es-MX"/>
        </w:rPr>
        <w:t xml:space="preserve"> (</w:t>
      </w:r>
      <w:r w:rsidR="00E2150F">
        <w:rPr>
          <w:rFonts w:ascii="Verdana" w:hAnsi="Verdana"/>
          <w:i/>
          <w:sz w:val="20"/>
          <w:lang w:val="es-MX"/>
        </w:rPr>
        <w:t xml:space="preserve">supra </w:t>
      </w:r>
      <w:r w:rsidR="00E2150F" w:rsidRPr="00E2150F">
        <w:rPr>
          <w:rFonts w:ascii="Verdana" w:hAnsi="Verdana"/>
          <w:sz w:val="20"/>
          <w:lang w:val="es-MX"/>
        </w:rPr>
        <w:t>Visto</w:t>
      </w:r>
      <w:r w:rsidR="00E2150F">
        <w:rPr>
          <w:rFonts w:ascii="Verdana" w:hAnsi="Verdana"/>
          <w:sz w:val="20"/>
          <w:lang w:val="es-MX"/>
        </w:rPr>
        <w:t xml:space="preserve"> </w:t>
      </w:r>
      <w:r w:rsidR="00683E4F">
        <w:rPr>
          <w:rFonts w:ascii="Verdana" w:hAnsi="Verdana"/>
          <w:sz w:val="20"/>
          <w:lang w:val="es-MX"/>
        </w:rPr>
        <w:fldChar w:fldCharType="begin"/>
      </w:r>
      <w:r w:rsidR="00683E4F">
        <w:rPr>
          <w:rFonts w:ascii="Verdana" w:hAnsi="Verdana"/>
          <w:sz w:val="20"/>
          <w:lang w:val="es-MX"/>
        </w:rPr>
        <w:instrText xml:space="preserve"> REF _Ref437587001 \r \h </w:instrText>
      </w:r>
      <w:r w:rsidR="00683E4F">
        <w:rPr>
          <w:rFonts w:ascii="Verdana" w:hAnsi="Verdana"/>
          <w:sz w:val="20"/>
          <w:lang w:val="es-MX"/>
        </w:rPr>
      </w:r>
      <w:r w:rsidR="00683E4F">
        <w:rPr>
          <w:rFonts w:ascii="Verdana" w:hAnsi="Verdana"/>
          <w:sz w:val="20"/>
          <w:lang w:val="es-MX"/>
        </w:rPr>
        <w:fldChar w:fldCharType="separate"/>
      </w:r>
      <w:r w:rsidR="00EA6956">
        <w:rPr>
          <w:rFonts w:ascii="Verdana" w:hAnsi="Verdana"/>
          <w:sz w:val="20"/>
          <w:lang w:val="es-MX"/>
        </w:rPr>
        <w:t>4</w:t>
      </w:r>
      <w:r w:rsidR="00683E4F">
        <w:rPr>
          <w:rFonts w:ascii="Verdana" w:hAnsi="Verdana"/>
          <w:sz w:val="20"/>
          <w:lang w:val="es-MX"/>
        </w:rPr>
        <w:fldChar w:fldCharType="end"/>
      </w:r>
      <w:r w:rsidR="00E2150F">
        <w:rPr>
          <w:rFonts w:ascii="Verdana" w:hAnsi="Verdana"/>
          <w:sz w:val="20"/>
          <w:lang w:val="es-MX"/>
        </w:rPr>
        <w:t>)</w:t>
      </w:r>
      <w:r w:rsidR="00FD5791">
        <w:rPr>
          <w:rFonts w:ascii="Verdana" w:hAnsi="Verdana"/>
          <w:sz w:val="20"/>
          <w:lang w:val="es-MX"/>
        </w:rPr>
        <w:t xml:space="preserve">, ya que el plazo para su presentación venció </w:t>
      </w:r>
      <w:r w:rsidR="00FD5791" w:rsidRPr="002160E3">
        <w:rPr>
          <w:rFonts w:ascii="Verdana" w:hAnsi="Verdana"/>
          <w:sz w:val="20"/>
          <w:lang w:val="es-MX"/>
        </w:rPr>
        <w:t>el 25 de noviembre de 2013</w:t>
      </w:r>
      <w:r w:rsidR="00D05FEA">
        <w:rPr>
          <w:rFonts w:ascii="Verdana" w:hAnsi="Verdana"/>
          <w:sz w:val="20"/>
          <w:lang w:val="es-MX"/>
        </w:rPr>
        <w:t xml:space="preserve"> sin que lo hubiere presentado</w:t>
      </w:r>
      <w:r w:rsidR="00092E33" w:rsidRPr="002160E3">
        <w:rPr>
          <w:rFonts w:ascii="Verdana" w:hAnsi="Verdana"/>
          <w:sz w:val="20"/>
          <w:lang w:val="es-MX"/>
        </w:rPr>
        <w:t>.</w:t>
      </w:r>
      <w:bookmarkEnd w:id="5"/>
    </w:p>
    <w:p w:rsidR="00FC2FDA" w:rsidRPr="002160E3" w:rsidRDefault="00FC2FDA" w:rsidP="00492C18">
      <w:pPr>
        <w:ind w:right="-36"/>
        <w:jc w:val="both"/>
        <w:rPr>
          <w:rFonts w:ascii="Verdana" w:hAnsi="Verdana"/>
          <w:sz w:val="20"/>
          <w:lang w:val="es-MX"/>
        </w:rPr>
      </w:pPr>
    </w:p>
    <w:p w:rsidR="009F30EF" w:rsidRPr="002160E3" w:rsidRDefault="00FC2FDA" w:rsidP="00C27BDE">
      <w:pPr>
        <w:numPr>
          <w:ilvl w:val="0"/>
          <w:numId w:val="45"/>
        </w:numPr>
        <w:ind w:left="0" w:firstLine="0"/>
        <w:jc w:val="both"/>
        <w:rPr>
          <w:rFonts w:ascii="Verdana" w:hAnsi="Verdana"/>
          <w:sz w:val="20"/>
          <w:lang w:val="es-MX"/>
        </w:rPr>
      </w:pPr>
      <w:bookmarkStart w:id="6" w:name="_Ref437852461"/>
      <w:r w:rsidRPr="002160E3">
        <w:rPr>
          <w:rFonts w:ascii="Verdana" w:hAnsi="Verdana"/>
          <w:sz w:val="20"/>
          <w:lang w:val="es-MX"/>
        </w:rPr>
        <w:t xml:space="preserve">El </w:t>
      </w:r>
      <w:r w:rsidRPr="002160E3">
        <w:rPr>
          <w:rFonts w:ascii="Verdana" w:hAnsi="Verdana" w:cs="Arial"/>
          <w:sz w:val="20"/>
          <w:lang w:val="es-MX"/>
        </w:rPr>
        <w:t>escrito</w:t>
      </w:r>
      <w:r w:rsidRPr="002160E3">
        <w:rPr>
          <w:rFonts w:ascii="Verdana" w:hAnsi="Verdana"/>
          <w:sz w:val="20"/>
          <w:lang w:val="es-MX"/>
        </w:rPr>
        <w:t xml:space="preserve"> presentado por los representantes de las víctimas el 5 de diciembre de 2014</w:t>
      </w:r>
      <w:r w:rsidR="00FF3536">
        <w:rPr>
          <w:rFonts w:ascii="Verdana" w:hAnsi="Verdana"/>
          <w:sz w:val="20"/>
          <w:lang w:val="es-MX"/>
        </w:rPr>
        <w:t>,</w:t>
      </w:r>
      <w:r w:rsidR="001974B3" w:rsidRPr="002160E3">
        <w:rPr>
          <w:rFonts w:ascii="Verdana" w:hAnsi="Verdana"/>
          <w:sz w:val="20"/>
          <w:lang w:val="es-MX"/>
        </w:rPr>
        <w:t xml:space="preserve"> (</w:t>
      </w:r>
      <w:r w:rsidR="001974B3" w:rsidRPr="002160E3">
        <w:rPr>
          <w:rFonts w:ascii="Verdana" w:hAnsi="Verdana"/>
          <w:i/>
          <w:sz w:val="20"/>
          <w:lang w:val="es-MX"/>
        </w:rPr>
        <w:t>infra</w:t>
      </w:r>
      <w:r w:rsidR="001974B3" w:rsidRPr="002160E3">
        <w:rPr>
          <w:rFonts w:ascii="Verdana" w:hAnsi="Verdana"/>
          <w:sz w:val="20"/>
          <w:lang w:val="es-MX"/>
        </w:rPr>
        <w:t xml:space="preserve"> </w:t>
      </w:r>
      <w:r w:rsidR="001974B3" w:rsidRPr="002160E3">
        <w:rPr>
          <w:rFonts w:ascii="Verdana" w:hAnsi="Verdana" w:cs="Arial"/>
          <w:sz w:val="20"/>
          <w:lang w:val="es-MX"/>
        </w:rPr>
        <w:t>Considerando</w:t>
      </w:r>
      <w:r w:rsidR="001974B3" w:rsidRPr="002160E3">
        <w:rPr>
          <w:rFonts w:ascii="Verdana" w:hAnsi="Verdana"/>
          <w:sz w:val="20"/>
          <w:lang w:val="es-MX"/>
        </w:rPr>
        <w:t xml:space="preserve"> </w:t>
      </w:r>
      <w:r w:rsidR="00683E4F">
        <w:rPr>
          <w:rFonts w:ascii="Verdana" w:hAnsi="Verdana"/>
          <w:sz w:val="20"/>
          <w:lang w:val="es-MX"/>
        </w:rPr>
        <w:fldChar w:fldCharType="begin"/>
      </w:r>
      <w:r w:rsidR="00683E4F">
        <w:rPr>
          <w:rFonts w:ascii="Verdana" w:hAnsi="Verdana"/>
          <w:sz w:val="20"/>
          <w:lang w:val="es-MX"/>
        </w:rPr>
        <w:instrText xml:space="preserve"> REF _Ref437587155 \r \h </w:instrText>
      </w:r>
      <w:r w:rsidR="00683E4F">
        <w:rPr>
          <w:rFonts w:ascii="Verdana" w:hAnsi="Verdana"/>
          <w:sz w:val="20"/>
          <w:lang w:val="es-MX"/>
        </w:rPr>
      </w:r>
      <w:r w:rsidR="00683E4F">
        <w:rPr>
          <w:rFonts w:ascii="Verdana" w:hAnsi="Verdana"/>
          <w:sz w:val="20"/>
          <w:lang w:val="es-MX"/>
        </w:rPr>
        <w:fldChar w:fldCharType="separate"/>
      </w:r>
      <w:r w:rsidR="00EA6956">
        <w:rPr>
          <w:rFonts w:ascii="Verdana" w:hAnsi="Verdana"/>
          <w:sz w:val="20"/>
          <w:lang w:val="es-MX"/>
        </w:rPr>
        <w:t>8</w:t>
      </w:r>
      <w:r w:rsidR="00683E4F">
        <w:rPr>
          <w:rFonts w:ascii="Verdana" w:hAnsi="Verdana"/>
          <w:sz w:val="20"/>
          <w:lang w:val="es-MX"/>
        </w:rPr>
        <w:fldChar w:fldCharType="end"/>
      </w:r>
      <w:r w:rsidR="008D4B65" w:rsidRPr="002160E3">
        <w:rPr>
          <w:rFonts w:ascii="Verdana" w:hAnsi="Verdana"/>
          <w:sz w:val="20"/>
          <w:lang w:val="es-MX"/>
        </w:rPr>
        <w:t>) en el que insisten en “la total ausencia de respuesta estatal a los múltiples requerimientos hechos por la Corte”</w:t>
      </w:r>
      <w:r w:rsidR="00E2150F">
        <w:rPr>
          <w:rFonts w:ascii="Verdana" w:hAnsi="Verdana"/>
          <w:sz w:val="20"/>
          <w:lang w:val="es-MX"/>
        </w:rPr>
        <w:t>, y</w:t>
      </w:r>
      <w:r w:rsidR="008D4B65" w:rsidRPr="002160E3">
        <w:rPr>
          <w:rFonts w:ascii="Verdana" w:hAnsi="Verdana"/>
          <w:sz w:val="20"/>
          <w:lang w:val="es-MX"/>
        </w:rPr>
        <w:t xml:space="preserve"> solicitan</w:t>
      </w:r>
      <w:r w:rsidR="00E2150F">
        <w:rPr>
          <w:rFonts w:ascii="Verdana" w:hAnsi="Verdana"/>
          <w:sz w:val="20"/>
          <w:lang w:val="es-MX"/>
        </w:rPr>
        <w:t xml:space="preserve"> </w:t>
      </w:r>
      <w:r w:rsidR="008D4B65" w:rsidRPr="002160E3">
        <w:rPr>
          <w:rFonts w:ascii="Verdana" w:hAnsi="Verdana"/>
          <w:sz w:val="20"/>
          <w:lang w:val="es-MX"/>
        </w:rPr>
        <w:t>que</w:t>
      </w:r>
      <w:r w:rsidR="000A07F1">
        <w:rPr>
          <w:rFonts w:ascii="Verdana" w:hAnsi="Verdana"/>
          <w:sz w:val="20"/>
          <w:lang w:val="es-MX"/>
        </w:rPr>
        <w:t xml:space="preserve"> se</w:t>
      </w:r>
      <w:r w:rsidR="008D4B65" w:rsidRPr="002160E3">
        <w:rPr>
          <w:rFonts w:ascii="Verdana" w:hAnsi="Verdana"/>
          <w:sz w:val="20"/>
          <w:lang w:val="es-MX"/>
        </w:rPr>
        <w:t xml:space="preserve"> “convoque a una audiencia pública” sobre el cumplimiento de Sentencia.</w:t>
      </w:r>
      <w:bookmarkEnd w:id="6"/>
      <w:r w:rsidR="008D4B65" w:rsidRPr="002160E3">
        <w:rPr>
          <w:rFonts w:ascii="Verdana" w:hAnsi="Verdana"/>
          <w:sz w:val="20"/>
          <w:lang w:val="es-MX"/>
        </w:rPr>
        <w:t xml:space="preserve"> </w:t>
      </w:r>
    </w:p>
    <w:p w:rsidR="009F30EF" w:rsidRPr="002160E3" w:rsidRDefault="009F30EF" w:rsidP="009F30EF">
      <w:pPr>
        <w:jc w:val="both"/>
        <w:rPr>
          <w:rFonts w:ascii="Verdana" w:hAnsi="Verdana"/>
          <w:sz w:val="20"/>
          <w:lang w:val="es-MX"/>
        </w:rPr>
      </w:pPr>
    </w:p>
    <w:p w:rsidR="00C27BDE" w:rsidRPr="002160E3" w:rsidRDefault="00C27BDE" w:rsidP="00C27BDE">
      <w:pPr>
        <w:numPr>
          <w:ilvl w:val="0"/>
          <w:numId w:val="45"/>
        </w:numPr>
        <w:ind w:left="0" w:firstLine="0"/>
        <w:jc w:val="both"/>
        <w:rPr>
          <w:rFonts w:ascii="Verdana" w:hAnsi="Verdana"/>
          <w:sz w:val="20"/>
          <w:lang w:val="es-MX"/>
        </w:rPr>
      </w:pPr>
      <w:bookmarkStart w:id="7" w:name="_Ref437587304"/>
      <w:r w:rsidRPr="002160E3">
        <w:rPr>
          <w:rFonts w:ascii="Verdana" w:hAnsi="Verdana"/>
          <w:sz w:val="20"/>
          <w:lang w:val="es-MX"/>
        </w:rPr>
        <w:t>El escrito presentado por los representantes de las víctimas el 22 de mayo de 2015, en el que hicieron referencia a obstáculos en el ejercicio de su “labor de seguimiento al cumplimiento de la sentencia” de este caso</w:t>
      </w:r>
      <w:r w:rsidR="00E2150F">
        <w:rPr>
          <w:rFonts w:ascii="Verdana" w:hAnsi="Verdana"/>
          <w:sz w:val="20"/>
          <w:lang w:val="es-MX"/>
        </w:rPr>
        <w:t xml:space="preserve"> (</w:t>
      </w:r>
      <w:r w:rsidR="00E2150F">
        <w:rPr>
          <w:rFonts w:ascii="Verdana" w:hAnsi="Verdana"/>
          <w:i/>
          <w:sz w:val="20"/>
          <w:lang w:val="es-MX"/>
        </w:rPr>
        <w:t>infra</w:t>
      </w:r>
      <w:r w:rsidR="00E2150F">
        <w:rPr>
          <w:rFonts w:ascii="Verdana" w:hAnsi="Verdana"/>
          <w:sz w:val="20"/>
          <w:lang w:val="es-MX"/>
        </w:rPr>
        <w:t xml:space="preserve"> Considerando </w:t>
      </w:r>
      <w:r w:rsidR="00683E4F">
        <w:rPr>
          <w:rFonts w:ascii="Verdana" w:hAnsi="Verdana"/>
          <w:sz w:val="20"/>
          <w:lang w:val="es-MX"/>
        </w:rPr>
        <w:fldChar w:fldCharType="begin"/>
      </w:r>
      <w:r w:rsidR="00683E4F">
        <w:rPr>
          <w:rFonts w:ascii="Verdana" w:hAnsi="Verdana"/>
          <w:sz w:val="20"/>
          <w:lang w:val="es-MX"/>
        </w:rPr>
        <w:instrText xml:space="preserve"> REF _Ref437587240 \r \h </w:instrText>
      </w:r>
      <w:r w:rsidR="00683E4F">
        <w:rPr>
          <w:rFonts w:ascii="Verdana" w:hAnsi="Verdana"/>
          <w:sz w:val="20"/>
          <w:lang w:val="es-MX"/>
        </w:rPr>
      </w:r>
      <w:r w:rsidR="00683E4F">
        <w:rPr>
          <w:rFonts w:ascii="Verdana" w:hAnsi="Verdana"/>
          <w:sz w:val="20"/>
          <w:lang w:val="es-MX"/>
        </w:rPr>
        <w:fldChar w:fldCharType="separate"/>
      </w:r>
      <w:r w:rsidR="00EA6956">
        <w:rPr>
          <w:rFonts w:ascii="Verdana" w:hAnsi="Verdana"/>
          <w:sz w:val="20"/>
          <w:lang w:val="es-MX"/>
        </w:rPr>
        <w:t>9</w:t>
      </w:r>
      <w:r w:rsidR="00683E4F">
        <w:rPr>
          <w:rFonts w:ascii="Verdana" w:hAnsi="Verdana"/>
          <w:sz w:val="20"/>
          <w:lang w:val="es-MX"/>
        </w:rPr>
        <w:fldChar w:fldCharType="end"/>
      </w:r>
      <w:r w:rsidR="00E2150F">
        <w:rPr>
          <w:rFonts w:ascii="Verdana" w:hAnsi="Verdana"/>
          <w:sz w:val="20"/>
          <w:lang w:val="es-MX"/>
        </w:rPr>
        <w:t>)</w:t>
      </w:r>
      <w:r w:rsidRPr="002160E3">
        <w:rPr>
          <w:rFonts w:ascii="Verdana" w:hAnsi="Verdana"/>
          <w:sz w:val="20"/>
          <w:lang w:val="es-MX"/>
        </w:rPr>
        <w:t>.</w:t>
      </w:r>
      <w:bookmarkEnd w:id="7"/>
      <w:r w:rsidRPr="002160E3">
        <w:rPr>
          <w:rFonts w:ascii="Verdana" w:hAnsi="Verdana"/>
          <w:sz w:val="20"/>
          <w:lang w:val="es-MX"/>
        </w:rPr>
        <w:t xml:space="preserve"> </w:t>
      </w:r>
    </w:p>
    <w:p w:rsidR="00C27BDE" w:rsidRPr="002160E3" w:rsidRDefault="00C27BDE" w:rsidP="009F30EF">
      <w:pPr>
        <w:jc w:val="both"/>
        <w:rPr>
          <w:rFonts w:ascii="Verdana" w:hAnsi="Verdana"/>
          <w:sz w:val="20"/>
          <w:lang w:val="es-MX"/>
        </w:rPr>
      </w:pPr>
    </w:p>
    <w:p w:rsidR="009F30EF" w:rsidRDefault="00C27BDE" w:rsidP="00C27BDE">
      <w:pPr>
        <w:numPr>
          <w:ilvl w:val="0"/>
          <w:numId w:val="45"/>
        </w:numPr>
        <w:ind w:left="0" w:firstLine="0"/>
        <w:jc w:val="both"/>
        <w:rPr>
          <w:rFonts w:ascii="Verdana" w:hAnsi="Verdana"/>
          <w:sz w:val="20"/>
          <w:lang w:val="es-MX"/>
        </w:rPr>
      </w:pPr>
      <w:bookmarkStart w:id="8" w:name="_Ref437597571"/>
      <w:r w:rsidRPr="002160E3">
        <w:rPr>
          <w:rFonts w:ascii="Verdana" w:hAnsi="Verdana"/>
          <w:sz w:val="20"/>
          <w:lang w:val="es-MX"/>
        </w:rPr>
        <w:t>La nota de la Secretaría de la Corte de 29 de mayo de 2015, en la cual, siguiendo instrucciones del Presidente, se otorgó</w:t>
      </w:r>
      <w:r w:rsidR="00E2150F">
        <w:rPr>
          <w:rFonts w:ascii="Verdana" w:hAnsi="Verdana"/>
          <w:sz w:val="20"/>
          <w:lang w:val="es-MX"/>
        </w:rPr>
        <w:t xml:space="preserve"> un</w:t>
      </w:r>
      <w:r w:rsidRPr="002160E3">
        <w:rPr>
          <w:rFonts w:ascii="Verdana" w:hAnsi="Verdana"/>
          <w:sz w:val="20"/>
          <w:lang w:val="es-MX"/>
        </w:rPr>
        <w:t xml:space="preserve"> plazo al Estado hasta el 10 de junio de 2015 para que </w:t>
      </w:r>
      <w:r w:rsidR="002C10DE">
        <w:rPr>
          <w:rFonts w:ascii="Verdana" w:hAnsi="Verdana"/>
          <w:sz w:val="20"/>
          <w:lang w:val="es-MX"/>
        </w:rPr>
        <w:t xml:space="preserve">presentara observaciones </w:t>
      </w:r>
      <w:r w:rsidRPr="002160E3">
        <w:rPr>
          <w:rFonts w:ascii="Verdana" w:hAnsi="Verdana"/>
          <w:sz w:val="20"/>
          <w:lang w:val="es-MX"/>
        </w:rPr>
        <w:t>al escrito presentado por los representantes el 22 de mayo de 2015</w:t>
      </w:r>
      <w:r w:rsidR="00E2150F">
        <w:rPr>
          <w:rFonts w:ascii="Verdana" w:hAnsi="Verdana"/>
          <w:sz w:val="20"/>
          <w:lang w:val="es-MX"/>
        </w:rPr>
        <w:t xml:space="preserve"> (</w:t>
      </w:r>
      <w:r w:rsidR="00E2150F">
        <w:rPr>
          <w:rFonts w:ascii="Verdana" w:hAnsi="Verdana"/>
          <w:i/>
          <w:sz w:val="20"/>
          <w:lang w:val="es-MX"/>
        </w:rPr>
        <w:t>supra</w:t>
      </w:r>
      <w:r w:rsidR="00E2150F">
        <w:rPr>
          <w:rFonts w:ascii="Verdana" w:hAnsi="Verdana"/>
          <w:sz w:val="20"/>
          <w:lang w:val="es-MX"/>
        </w:rPr>
        <w:t xml:space="preserve"> Visto </w:t>
      </w:r>
      <w:r w:rsidR="00011166">
        <w:rPr>
          <w:rFonts w:ascii="Verdana" w:hAnsi="Verdana"/>
          <w:sz w:val="20"/>
          <w:lang w:val="es-MX"/>
        </w:rPr>
        <w:fldChar w:fldCharType="begin"/>
      </w:r>
      <w:r w:rsidR="00011166">
        <w:rPr>
          <w:rFonts w:ascii="Verdana" w:hAnsi="Verdana"/>
          <w:sz w:val="20"/>
          <w:lang w:val="es-MX"/>
        </w:rPr>
        <w:instrText xml:space="preserve"> REF _Ref437587304 \r \h </w:instrText>
      </w:r>
      <w:r w:rsidR="00011166">
        <w:rPr>
          <w:rFonts w:ascii="Verdana" w:hAnsi="Verdana"/>
          <w:sz w:val="20"/>
          <w:lang w:val="es-MX"/>
        </w:rPr>
      </w:r>
      <w:r w:rsidR="00011166">
        <w:rPr>
          <w:rFonts w:ascii="Verdana" w:hAnsi="Verdana"/>
          <w:sz w:val="20"/>
          <w:lang w:val="es-MX"/>
        </w:rPr>
        <w:fldChar w:fldCharType="separate"/>
      </w:r>
      <w:r w:rsidR="00EA6956">
        <w:rPr>
          <w:rFonts w:ascii="Verdana" w:hAnsi="Verdana"/>
          <w:sz w:val="20"/>
          <w:lang w:val="es-MX"/>
        </w:rPr>
        <w:t>7</w:t>
      </w:r>
      <w:r w:rsidR="00011166">
        <w:rPr>
          <w:rFonts w:ascii="Verdana" w:hAnsi="Verdana"/>
          <w:sz w:val="20"/>
          <w:lang w:val="es-MX"/>
        </w:rPr>
        <w:fldChar w:fldCharType="end"/>
      </w:r>
      <w:r w:rsidR="00E2150F">
        <w:rPr>
          <w:rFonts w:ascii="Verdana" w:hAnsi="Verdana"/>
          <w:sz w:val="20"/>
          <w:lang w:val="es-MX"/>
        </w:rPr>
        <w:t>)</w:t>
      </w:r>
      <w:r w:rsidRPr="002160E3">
        <w:rPr>
          <w:rFonts w:ascii="Verdana" w:hAnsi="Verdana"/>
          <w:sz w:val="20"/>
          <w:lang w:val="es-MX"/>
        </w:rPr>
        <w:t>.</w:t>
      </w:r>
      <w:bookmarkEnd w:id="8"/>
      <w:r w:rsidRPr="002160E3">
        <w:rPr>
          <w:rFonts w:ascii="Verdana" w:hAnsi="Verdana"/>
          <w:sz w:val="20"/>
          <w:lang w:val="es-MX"/>
        </w:rPr>
        <w:t xml:space="preserve"> </w:t>
      </w:r>
    </w:p>
    <w:p w:rsidR="00684790" w:rsidRDefault="00684790" w:rsidP="00684790">
      <w:pPr>
        <w:pStyle w:val="Prrafodelista"/>
        <w:rPr>
          <w:rFonts w:ascii="Verdana" w:hAnsi="Verdana"/>
          <w:sz w:val="20"/>
          <w:lang w:val="es-MX"/>
        </w:rPr>
      </w:pPr>
    </w:p>
    <w:p w:rsidR="00684790" w:rsidRPr="002160E3" w:rsidRDefault="00684790" w:rsidP="00C27BDE">
      <w:pPr>
        <w:numPr>
          <w:ilvl w:val="0"/>
          <w:numId w:val="45"/>
        </w:numPr>
        <w:ind w:left="0" w:firstLine="0"/>
        <w:jc w:val="both"/>
        <w:rPr>
          <w:rFonts w:ascii="Verdana" w:hAnsi="Verdana"/>
          <w:sz w:val="20"/>
          <w:lang w:val="es-MX"/>
        </w:rPr>
      </w:pPr>
      <w:bookmarkStart w:id="9" w:name="_Ref437598628"/>
      <w:r>
        <w:rPr>
          <w:rFonts w:ascii="Verdana" w:hAnsi="Verdana"/>
          <w:sz w:val="20"/>
          <w:lang w:val="es-MX"/>
        </w:rPr>
        <w:t>El escrito presentado por los representantes de las víctimas el 2 de octubre de 2015, mediante el cual solicitaron que se “convoque a una audiencia pública de supervisión de cumplimiento […] con el objeto de que el Estado de Nicaragua present</w:t>
      </w:r>
      <w:r w:rsidR="007C4C25">
        <w:rPr>
          <w:rFonts w:ascii="Verdana" w:hAnsi="Verdana"/>
          <w:sz w:val="20"/>
          <w:lang w:val="es-MX"/>
        </w:rPr>
        <w:t>e</w:t>
      </w:r>
      <w:r>
        <w:rPr>
          <w:rFonts w:ascii="Verdana" w:hAnsi="Verdana"/>
          <w:sz w:val="20"/>
          <w:lang w:val="es-MX"/>
        </w:rPr>
        <w:t xml:space="preserve"> información actualizada sobre el cumplimiento de lo dispuesto por este Tribunal”.</w:t>
      </w:r>
      <w:bookmarkEnd w:id="9"/>
      <w:r>
        <w:rPr>
          <w:rFonts w:ascii="Verdana" w:hAnsi="Verdana"/>
          <w:sz w:val="20"/>
          <w:lang w:val="es-MX"/>
        </w:rPr>
        <w:t xml:space="preserve"> </w:t>
      </w:r>
    </w:p>
    <w:p w:rsidR="00C671BA" w:rsidRPr="002160E3" w:rsidRDefault="00C270DD" w:rsidP="00917E47">
      <w:pPr>
        <w:tabs>
          <w:tab w:val="left" w:pos="6831"/>
        </w:tabs>
        <w:ind w:right="-36"/>
        <w:jc w:val="both"/>
        <w:rPr>
          <w:rFonts w:ascii="Verdana" w:hAnsi="Verdana" w:cs="Arial"/>
          <w:sz w:val="20"/>
          <w:lang w:val="es-MX"/>
        </w:rPr>
      </w:pPr>
      <w:r w:rsidRPr="002160E3">
        <w:rPr>
          <w:rFonts w:ascii="Verdana" w:hAnsi="Verdana" w:cs="Arial"/>
          <w:sz w:val="20"/>
          <w:lang w:val="es-MX"/>
        </w:rPr>
        <w:tab/>
      </w:r>
    </w:p>
    <w:p w:rsidR="00047C27" w:rsidRDefault="00047C27" w:rsidP="00302709">
      <w:pPr>
        <w:jc w:val="both"/>
        <w:rPr>
          <w:rFonts w:ascii="Verdana" w:hAnsi="Verdana"/>
          <w:b/>
          <w:sz w:val="20"/>
          <w:lang w:val="es-MX"/>
        </w:rPr>
      </w:pPr>
    </w:p>
    <w:p w:rsidR="0009778E" w:rsidRDefault="0009778E" w:rsidP="00302709">
      <w:pPr>
        <w:jc w:val="both"/>
        <w:rPr>
          <w:rFonts w:ascii="Verdana" w:hAnsi="Verdana"/>
          <w:b/>
          <w:sz w:val="20"/>
          <w:lang w:val="es-MX"/>
        </w:rPr>
      </w:pPr>
    </w:p>
    <w:p w:rsidR="0009778E" w:rsidRDefault="0009778E" w:rsidP="00302709">
      <w:pPr>
        <w:jc w:val="both"/>
        <w:rPr>
          <w:rFonts w:ascii="Verdana" w:hAnsi="Verdana"/>
          <w:b/>
          <w:sz w:val="20"/>
          <w:lang w:val="es-MX"/>
        </w:rPr>
      </w:pPr>
    </w:p>
    <w:p w:rsidR="0009778E" w:rsidRPr="002160E3" w:rsidRDefault="0009778E" w:rsidP="00302709">
      <w:pPr>
        <w:jc w:val="both"/>
        <w:rPr>
          <w:rFonts w:ascii="Verdana" w:hAnsi="Verdana"/>
          <w:b/>
          <w:sz w:val="20"/>
          <w:lang w:val="es-MX"/>
        </w:rPr>
      </w:pPr>
    </w:p>
    <w:p w:rsidR="0087260A" w:rsidRPr="002160E3" w:rsidRDefault="008740E4" w:rsidP="00302709">
      <w:pPr>
        <w:jc w:val="both"/>
        <w:rPr>
          <w:rFonts w:ascii="Verdana" w:hAnsi="Verdana"/>
          <w:b/>
          <w:sz w:val="20"/>
          <w:lang w:val="es-MX"/>
        </w:rPr>
      </w:pPr>
      <w:r w:rsidRPr="002160E3">
        <w:rPr>
          <w:rFonts w:ascii="Verdana" w:hAnsi="Verdana"/>
          <w:b/>
          <w:sz w:val="20"/>
          <w:lang w:val="es-MX"/>
        </w:rPr>
        <w:t>CONSIDERANDO QUE:</w:t>
      </w:r>
      <w:r w:rsidR="0087260A" w:rsidRPr="002160E3">
        <w:rPr>
          <w:rFonts w:ascii="Verdana" w:hAnsi="Verdana"/>
          <w:b/>
          <w:sz w:val="20"/>
          <w:lang w:val="es-MX"/>
        </w:rPr>
        <w:t xml:space="preserve"> </w:t>
      </w:r>
    </w:p>
    <w:p w:rsidR="00FA288B" w:rsidRPr="002160E3" w:rsidRDefault="00FA288B" w:rsidP="00302709">
      <w:pPr>
        <w:jc w:val="both"/>
        <w:rPr>
          <w:rFonts w:ascii="Verdana" w:hAnsi="Verdana"/>
          <w:b/>
          <w:sz w:val="20"/>
          <w:lang w:val="es-MX"/>
        </w:rPr>
      </w:pPr>
    </w:p>
    <w:p w:rsidR="00D06491" w:rsidRPr="00BA0C22" w:rsidRDefault="00917E47" w:rsidP="00C206D8">
      <w:pPr>
        <w:numPr>
          <w:ilvl w:val="0"/>
          <w:numId w:val="46"/>
        </w:numPr>
        <w:ind w:left="0" w:firstLine="0"/>
        <w:jc w:val="both"/>
        <w:rPr>
          <w:rFonts w:ascii="Verdana" w:hAnsi="Verdana"/>
          <w:sz w:val="20"/>
          <w:lang w:val="es-MX"/>
        </w:rPr>
      </w:pPr>
      <w:bookmarkStart w:id="10" w:name="_Ref437586335"/>
      <w:r w:rsidRPr="002160E3">
        <w:rPr>
          <w:rFonts w:ascii="Verdana" w:hAnsi="Verdana"/>
          <w:sz w:val="20"/>
        </w:rPr>
        <w:t xml:space="preserve">En el ejercicio de </w:t>
      </w:r>
      <w:r w:rsidRPr="002160E3">
        <w:rPr>
          <w:rFonts w:ascii="Verdana" w:hAnsi="Verdana"/>
          <w:sz w:val="20"/>
          <w:lang w:val="es-ES"/>
        </w:rPr>
        <w:t xml:space="preserve">su función jurisdiccional de </w:t>
      </w:r>
      <w:r w:rsidRPr="002160E3">
        <w:rPr>
          <w:rFonts w:ascii="Verdana" w:hAnsi="Verdana"/>
          <w:sz w:val="20"/>
        </w:rPr>
        <w:t>supervisar el cumplimiento de sus decisiones</w:t>
      </w:r>
      <w:r w:rsidRPr="002160E3">
        <w:rPr>
          <w:rStyle w:val="Refdenotaalpie"/>
          <w:rFonts w:ascii="Verdana" w:hAnsi="Verdana"/>
          <w:sz w:val="20"/>
        </w:rPr>
        <w:footnoteReference w:id="7"/>
      </w:r>
      <w:r w:rsidRPr="002160E3">
        <w:rPr>
          <w:rFonts w:ascii="Verdana" w:hAnsi="Verdana"/>
          <w:sz w:val="20"/>
        </w:rPr>
        <w:t>, l</w:t>
      </w:r>
      <w:r w:rsidR="00200046" w:rsidRPr="002160E3">
        <w:rPr>
          <w:rFonts w:ascii="Verdana" w:hAnsi="Verdana"/>
          <w:sz w:val="20"/>
        </w:rPr>
        <w:t xml:space="preserve">a Corte ha venido </w:t>
      </w:r>
      <w:r w:rsidR="00C27BDE" w:rsidRPr="002160E3">
        <w:rPr>
          <w:rFonts w:ascii="Verdana" w:hAnsi="Verdana"/>
          <w:sz w:val="20"/>
        </w:rPr>
        <w:t>supervisando</w:t>
      </w:r>
      <w:r w:rsidR="00551C6B" w:rsidRPr="002160E3">
        <w:rPr>
          <w:rFonts w:ascii="Verdana" w:hAnsi="Verdana"/>
          <w:sz w:val="20"/>
        </w:rPr>
        <w:t xml:space="preserve"> </w:t>
      </w:r>
      <w:r w:rsidR="00575B65" w:rsidRPr="002160E3">
        <w:rPr>
          <w:rFonts w:ascii="Verdana" w:hAnsi="Verdana"/>
          <w:sz w:val="20"/>
        </w:rPr>
        <w:t xml:space="preserve">el cumplimiento de la Sentencia emitida </w:t>
      </w:r>
      <w:r w:rsidR="00575B65" w:rsidRPr="002160E3">
        <w:rPr>
          <w:rFonts w:ascii="Verdana" w:hAnsi="Verdana"/>
          <w:sz w:val="20"/>
          <w:lang w:val="es-MX"/>
        </w:rPr>
        <w:t>en el presente caso</w:t>
      </w:r>
      <w:r w:rsidR="009635D6" w:rsidRPr="002160E3">
        <w:rPr>
          <w:rFonts w:ascii="Verdana" w:hAnsi="Verdana"/>
          <w:sz w:val="20"/>
          <w:lang w:val="es-MX"/>
        </w:rPr>
        <w:t xml:space="preserve"> </w:t>
      </w:r>
      <w:r w:rsidR="00D4508B">
        <w:rPr>
          <w:rFonts w:ascii="Verdana" w:hAnsi="Verdana"/>
          <w:sz w:val="20"/>
          <w:lang w:val="es-MX"/>
        </w:rPr>
        <w:t xml:space="preserve">desde </w:t>
      </w:r>
      <w:r w:rsidR="00575B65" w:rsidRPr="002160E3">
        <w:rPr>
          <w:rFonts w:ascii="Verdana" w:hAnsi="Verdana"/>
          <w:sz w:val="20"/>
          <w:lang w:val="es-MX"/>
        </w:rPr>
        <w:t>hace</w:t>
      </w:r>
      <w:r w:rsidR="00D4508B">
        <w:rPr>
          <w:rFonts w:ascii="Verdana" w:hAnsi="Verdana"/>
          <w:sz w:val="20"/>
          <w:lang w:val="es-MX"/>
        </w:rPr>
        <w:t xml:space="preserve"> </w:t>
      </w:r>
      <w:r w:rsidR="00A3074B" w:rsidRPr="002160E3">
        <w:rPr>
          <w:rFonts w:ascii="Verdana" w:hAnsi="Verdana"/>
          <w:sz w:val="20"/>
          <w:lang w:val="es-MX"/>
        </w:rPr>
        <w:t>diez años</w:t>
      </w:r>
      <w:r w:rsidR="00CA2297">
        <w:rPr>
          <w:rFonts w:ascii="Verdana" w:hAnsi="Verdana"/>
          <w:sz w:val="20"/>
          <w:lang w:val="es-MX"/>
        </w:rPr>
        <w:t xml:space="preserve"> y cinco meses</w:t>
      </w:r>
      <w:r w:rsidR="00A3074B" w:rsidRPr="002160E3">
        <w:rPr>
          <w:rFonts w:ascii="Verdana" w:hAnsi="Verdana"/>
          <w:sz w:val="20"/>
          <w:lang w:val="es-MX"/>
        </w:rPr>
        <w:t xml:space="preserve"> </w:t>
      </w:r>
      <w:r w:rsidR="00575B65" w:rsidRPr="002160E3">
        <w:rPr>
          <w:rFonts w:ascii="Verdana" w:hAnsi="Verdana"/>
          <w:sz w:val="20"/>
          <w:lang w:val="es-MX"/>
        </w:rPr>
        <w:t>(</w:t>
      </w:r>
      <w:r w:rsidR="00575B65" w:rsidRPr="002160E3">
        <w:rPr>
          <w:rFonts w:ascii="Verdana" w:hAnsi="Verdana"/>
          <w:i/>
          <w:sz w:val="20"/>
          <w:lang w:val="es-MX"/>
        </w:rPr>
        <w:t>supra</w:t>
      </w:r>
      <w:r w:rsidR="00575B65" w:rsidRPr="002160E3">
        <w:rPr>
          <w:rFonts w:ascii="Verdana" w:hAnsi="Verdana"/>
          <w:sz w:val="20"/>
          <w:lang w:val="es-MX"/>
        </w:rPr>
        <w:t xml:space="preserve"> Visto</w:t>
      </w:r>
      <w:r w:rsidR="009635D6" w:rsidRPr="002160E3">
        <w:rPr>
          <w:rFonts w:ascii="Verdana" w:hAnsi="Verdana"/>
          <w:sz w:val="20"/>
          <w:lang w:val="es-MX"/>
        </w:rPr>
        <w:t xml:space="preserve"> </w:t>
      </w:r>
      <w:r w:rsidR="00B00AEE">
        <w:rPr>
          <w:rFonts w:ascii="Verdana" w:hAnsi="Verdana"/>
          <w:sz w:val="20"/>
          <w:lang w:val="es-MX"/>
        </w:rPr>
        <w:fldChar w:fldCharType="begin"/>
      </w:r>
      <w:r w:rsidR="00B00AEE">
        <w:rPr>
          <w:rFonts w:ascii="Verdana" w:hAnsi="Verdana"/>
          <w:sz w:val="20"/>
          <w:lang w:val="es-MX"/>
        </w:rPr>
        <w:instrText xml:space="preserve"> REF _Ref437587851 \r \h </w:instrText>
      </w:r>
      <w:r w:rsidR="00B00AEE">
        <w:rPr>
          <w:rFonts w:ascii="Verdana" w:hAnsi="Verdana"/>
          <w:sz w:val="20"/>
          <w:lang w:val="es-MX"/>
        </w:rPr>
      </w:r>
      <w:r w:rsidR="00B00AEE">
        <w:rPr>
          <w:rFonts w:ascii="Verdana" w:hAnsi="Verdana"/>
          <w:sz w:val="20"/>
          <w:lang w:val="es-MX"/>
        </w:rPr>
        <w:fldChar w:fldCharType="separate"/>
      </w:r>
      <w:r w:rsidR="00EA6956">
        <w:rPr>
          <w:rFonts w:ascii="Verdana" w:hAnsi="Verdana"/>
          <w:sz w:val="20"/>
          <w:lang w:val="es-MX"/>
        </w:rPr>
        <w:t>1</w:t>
      </w:r>
      <w:r w:rsidR="00B00AEE">
        <w:rPr>
          <w:rFonts w:ascii="Verdana" w:hAnsi="Verdana"/>
          <w:sz w:val="20"/>
          <w:lang w:val="es-MX"/>
        </w:rPr>
        <w:fldChar w:fldCharType="end"/>
      </w:r>
      <w:r w:rsidR="00575B65" w:rsidRPr="002160E3">
        <w:rPr>
          <w:rFonts w:ascii="Verdana" w:hAnsi="Verdana"/>
          <w:sz w:val="20"/>
          <w:lang w:val="es-MX"/>
        </w:rPr>
        <w:t xml:space="preserve">). </w:t>
      </w:r>
      <w:r w:rsidR="00CC2677">
        <w:rPr>
          <w:rFonts w:ascii="Verdana" w:hAnsi="Verdana"/>
          <w:sz w:val="20"/>
          <w:lang w:val="es-MX"/>
        </w:rPr>
        <w:t xml:space="preserve">En las resoluciones </w:t>
      </w:r>
      <w:r w:rsidR="00CC2677">
        <w:rPr>
          <w:rFonts w:ascii="Verdana" w:hAnsi="Verdana"/>
          <w:sz w:val="20"/>
          <w:lang w:val="es-MX"/>
        </w:rPr>
        <w:lastRenderedPageBreak/>
        <w:t>emitidas entre el 2006 y el 201</w:t>
      </w:r>
      <w:r w:rsidR="00B00AEE">
        <w:rPr>
          <w:rFonts w:ascii="Verdana" w:hAnsi="Verdana"/>
          <w:sz w:val="20"/>
          <w:lang w:val="es-MX"/>
        </w:rPr>
        <w:t>0</w:t>
      </w:r>
      <w:r w:rsidR="00D428DC">
        <w:rPr>
          <w:rFonts w:ascii="Verdana" w:hAnsi="Verdana"/>
          <w:sz w:val="20"/>
          <w:lang w:val="es-MX"/>
        </w:rPr>
        <w:t xml:space="preserve"> (</w:t>
      </w:r>
      <w:r w:rsidR="00D428DC" w:rsidRPr="00D428DC">
        <w:rPr>
          <w:rFonts w:ascii="Verdana" w:hAnsi="Verdana"/>
          <w:i/>
          <w:sz w:val="20"/>
          <w:lang w:val="es-MX"/>
        </w:rPr>
        <w:t>supra</w:t>
      </w:r>
      <w:r w:rsidR="00D428DC">
        <w:rPr>
          <w:rFonts w:ascii="Verdana" w:hAnsi="Verdana"/>
          <w:sz w:val="20"/>
          <w:lang w:val="es-MX"/>
        </w:rPr>
        <w:t xml:space="preserve"> Visto </w:t>
      </w:r>
      <w:r w:rsidR="00B00AEE">
        <w:rPr>
          <w:rFonts w:ascii="Verdana" w:hAnsi="Verdana"/>
          <w:sz w:val="20"/>
          <w:lang w:val="es-MX"/>
        </w:rPr>
        <w:fldChar w:fldCharType="begin"/>
      </w:r>
      <w:r w:rsidR="00B00AEE">
        <w:rPr>
          <w:rFonts w:ascii="Verdana" w:hAnsi="Verdana"/>
          <w:sz w:val="20"/>
          <w:lang w:val="es-MX"/>
        </w:rPr>
        <w:instrText xml:space="preserve"> REF _Ref437587895 \r \h </w:instrText>
      </w:r>
      <w:r w:rsidR="00B00AEE">
        <w:rPr>
          <w:rFonts w:ascii="Verdana" w:hAnsi="Verdana"/>
          <w:sz w:val="20"/>
          <w:lang w:val="es-MX"/>
        </w:rPr>
      </w:r>
      <w:r w:rsidR="00B00AEE">
        <w:rPr>
          <w:rFonts w:ascii="Verdana" w:hAnsi="Verdana"/>
          <w:sz w:val="20"/>
          <w:lang w:val="es-MX"/>
        </w:rPr>
        <w:fldChar w:fldCharType="separate"/>
      </w:r>
      <w:r w:rsidR="00EA6956">
        <w:rPr>
          <w:rFonts w:ascii="Verdana" w:hAnsi="Verdana"/>
          <w:sz w:val="20"/>
          <w:lang w:val="es-MX"/>
        </w:rPr>
        <w:t>2</w:t>
      </w:r>
      <w:r w:rsidR="00B00AEE">
        <w:rPr>
          <w:rFonts w:ascii="Verdana" w:hAnsi="Verdana"/>
          <w:sz w:val="20"/>
          <w:lang w:val="es-MX"/>
        </w:rPr>
        <w:fldChar w:fldCharType="end"/>
      </w:r>
      <w:r w:rsidR="00D428DC">
        <w:rPr>
          <w:rFonts w:ascii="Verdana" w:hAnsi="Verdana"/>
          <w:sz w:val="20"/>
          <w:lang w:val="es-MX"/>
        </w:rPr>
        <w:t>)</w:t>
      </w:r>
      <w:r w:rsidR="00CC2677">
        <w:rPr>
          <w:rFonts w:ascii="Verdana" w:hAnsi="Verdana"/>
          <w:sz w:val="20"/>
          <w:lang w:val="es-MX"/>
        </w:rPr>
        <w:t xml:space="preserve">, la Corte </w:t>
      </w:r>
      <w:r w:rsidR="00C3794F">
        <w:rPr>
          <w:rFonts w:ascii="Verdana" w:hAnsi="Verdana"/>
          <w:sz w:val="20"/>
          <w:lang w:val="es-MX"/>
        </w:rPr>
        <w:t xml:space="preserve">declaró que Nicaragua había dado cumplimiento total o parcial a </w:t>
      </w:r>
      <w:r w:rsidR="00641397">
        <w:rPr>
          <w:rFonts w:ascii="Verdana" w:hAnsi="Verdana"/>
          <w:sz w:val="20"/>
          <w:lang w:val="es-MX"/>
        </w:rPr>
        <w:t>cuatro</w:t>
      </w:r>
      <w:r w:rsidR="00C3794F">
        <w:rPr>
          <w:rFonts w:ascii="Verdana" w:hAnsi="Verdana"/>
          <w:sz w:val="20"/>
          <w:lang w:val="es-MX"/>
        </w:rPr>
        <w:t xml:space="preserve"> reparaciones ordenadas</w:t>
      </w:r>
      <w:r w:rsidR="00864047">
        <w:rPr>
          <w:rStyle w:val="Refdenotaalpie"/>
          <w:rFonts w:ascii="Verdana" w:hAnsi="Verdana"/>
          <w:sz w:val="20"/>
          <w:lang w:val="es-MX"/>
        </w:rPr>
        <w:footnoteReference w:id="8"/>
      </w:r>
      <w:r w:rsidR="00C3794F">
        <w:rPr>
          <w:rFonts w:ascii="Verdana" w:hAnsi="Verdana"/>
          <w:sz w:val="20"/>
          <w:lang w:val="es-MX"/>
        </w:rPr>
        <w:t xml:space="preserve"> y que continuaban pendientes de cumplimiento las </w:t>
      </w:r>
      <w:r w:rsidR="00F20D0B">
        <w:rPr>
          <w:rFonts w:ascii="Verdana" w:hAnsi="Verdana"/>
          <w:sz w:val="20"/>
          <w:lang w:val="es-MX"/>
        </w:rPr>
        <w:t xml:space="preserve">reparaciones </w:t>
      </w:r>
      <w:r w:rsidR="00C3794F">
        <w:rPr>
          <w:rFonts w:ascii="Verdana" w:hAnsi="Verdana"/>
          <w:sz w:val="20"/>
          <w:lang w:val="es-MX"/>
        </w:rPr>
        <w:t>relativas a</w:t>
      </w:r>
      <w:r w:rsidR="00F20D0B">
        <w:rPr>
          <w:rFonts w:ascii="Verdana" w:hAnsi="Verdana"/>
          <w:sz w:val="20"/>
          <w:lang w:val="es-MX"/>
        </w:rPr>
        <w:t>:</w:t>
      </w:r>
      <w:r w:rsidR="00C3794F">
        <w:rPr>
          <w:rFonts w:ascii="Verdana" w:hAnsi="Verdana"/>
          <w:sz w:val="20"/>
          <w:lang w:val="es-MX"/>
        </w:rPr>
        <w:t xml:space="preserve"> </w:t>
      </w:r>
      <w:r w:rsidR="00641397">
        <w:rPr>
          <w:rFonts w:ascii="Verdana" w:hAnsi="Verdana"/>
          <w:sz w:val="20"/>
          <w:lang w:val="es-MX"/>
        </w:rPr>
        <w:t xml:space="preserve">i) </w:t>
      </w:r>
      <w:r w:rsidR="00C3794F">
        <w:rPr>
          <w:rFonts w:ascii="Verdana" w:hAnsi="Verdana"/>
          <w:sz w:val="20"/>
          <w:lang w:val="es-MX"/>
        </w:rPr>
        <w:t>reformar la Ley Electoral No. 331</w:t>
      </w:r>
      <w:r w:rsidR="00F20D0B">
        <w:rPr>
          <w:rStyle w:val="Refdenotaalpie"/>
          <w:rFonts w:ascii="Verdana" w:hAnsi="Verdana"/>
          <w:sz w:val="20"/>
          <w:lang w:val="es-MX"/>
        </w:rPr>
        <w:footnoteReference w:id="9"/>
      </w:r>
      <w:r w:rsidR="00F20D0B">
        <w:rPr>
          <w:rFonts w:ascii="Verdana" w:hAnsi="Verdana"/>
          <w:sz w:val="20"/>
          <w:lang w:val="es-MX"/>
        </w:rPr>
        <w:t>;</w:t>
      </w:r>
      <w:r w:rsidR="00C3794F">
        <w:rPr>
          <w:rFonts w:ascii="Verdana" w:hAnsi="Verdana"/>
          <w:sz w:val="20"/>
          <w:lang w:val="es-MX"/>
        </w:rPr>
        <w:t xml:space="preserve"> </w:t>
      </w:r>
      <w:r w:rsidR="00641397">
        <w:rPr>
          <w:rFonts w:ascii="Verdana" w:hAnsi="Verdana"/>
          <w:sz w:val="20"/>
          <w:lang w:val="es-MX"/>
        </w:rPr>
        <w:t xml:space="preserve">ii) </w:t>
      </w:r>
      <w:r w:rsidR="00F20D0B">
        <w:rPr>
          <w:rFonts w:ascii="Verdana" w:hAnsi="Verdana"/>
          <w:sz w:val="20"/>
          <w:lang w:val="es-MX"/>
        </w:rPr>
        <w:t xml:space="preserve">adoptar las medidas necesarias para que los </w:t>
      </w:r>
      <w:r w:rsidR="00F6527B">
        <w:rPr>
          <w:rFonts w:ascii="Verdana" w:hAnsi="Verdana"/>
          <w:sz w:val="20"/>
          <w:lang w:val="es-MX"/>
        </w:rPr>
        <w:t>miembros de las comunidades indígenas y étnicas puedan participar en los procesos electorales en forma efectiva y tomando en cuenta sus tradiciones, usos y costumbres</w:t>
      </w:r>
      <w:r w:rsidR="00F35777">
        <w:rPr>
          <w:rStyle w:val="Refdenotaalpie"/>
          <w:rFonts w:ascii="Verdana" w:hAnsi="Verdana"/>
          <w:sz w:val="20"/>
          <w:lang w:val="es-MX"/>
        </w:rPr>
        <w:footnoteReference w:id="10"/>
      </w:r>
      <w:r w:rsidR="00F35777">
        <w:rPr>
          <w:rFonts w:ascii="Verdana" w:hAnsi="Verdana"/>
          <w:sz w:val="20"/>
          <w:lang w:val="es-MX"/>
        </w:rPr>
        <w:t>;</w:t>
      </w:r>
      <w:r w:rsidR="00F6527B">
        <w:rPr>
          <w:rFonts w:ascii="Verdana" w:hAnsi="Verdana"/>
          <w:sz w:val="20"/>
          <w:lang w:val="es-MX"/>
        </w:rPr>
        <w:t xml:space="preserve"> </w:t>
      </w:r>
      <w:r w:rsidR="00641397">
        <w:rPr>
          <w:rFonts w:ascii="Verdana" w:hAnsi="Verdana"/>
          <w:sz w:val="20"/>
          <w:lang w:val="es-MX"/>
        </w:rPr>
        <w:t xml:space="preserve">iii) </w:t>
      </w:r>
      <w:r w:rsidR="00C3794F">
        <w:rPr>
          <w:rFonts w:ascii="Verdana" w:hAnsi="Verdana"/>
          <w:sz w:val="20"/>
          <w:lang w:val="es-MX"/>
        </w:rPr>
        <w:t>establecer un recurso que permita controlar</w:t>
      </w:r>
      <w:r w:rsidR="00864047">
        <w:rPr>
          <w:rFonts w:ascii="Verdana" w:hAnsi="Verdana"/>
          <w:sz w:val="20"/>
          <w:lang w:val="es-MX"/>
        </w:rPr>
        <w:t xml:space="preserve"> judicialmente</w:t>
      </w:r>
      <w:r w:rsidR="00C3794F">
        <w:rPr>
          <w:rFonts w:ascii="Verdana" w:hAnsi="Verdana"/>
          <w:sz w:val="20"/>
          <w:lang w:val="es-MX"/>
        </w:rPr>
        <w:t xml:space="preserve"> las decisiones del Consejo Supremo Electoral</w:t>
      </w:r>
      <w:r w:rsidR="00772131">
        <w:rPr>
          <w:rStyle w:val="Refdenotaalpie"/>
          <w:rFonts w:ascii="Verdana" w:hAnsi="Verdana"/>
          <w:sz w:val="20"/>
          <w:lang w:val="es-MX"/>
        </w:rPr>
        <w:footnoteReference w:id="11"/>
      </w:r>
      <w:r w:rsidR="00F35777" w:rsidRPr="00641397">
        <w:rPr>
          <w:rStyle w:val="Refdecomentario"/>
          <w:rFonts w:ascii="Verdana" w:hAnsi="Verdana"/>
          <w:sz w:val="20"/>
          <w:szCs w:val="20"/>
          <w:lang w:eastAsia="x-none"/>
        </w:rPr>
        <w:t>;</w:t>
      </w:r>
      <w:r w:rsidR="00F35777">
        <w:rPr>
          <w:rFonts w:ascii="Verdana" w:hAnsi="Verdana"/>
          <w:sz w:val="20"/>
          <w:lang w:val="es-MX"/>
        </w:rPr>
        <w:t xml:space="preserve"> </w:t>
      </w:r>
      <w:r w:rsidR="00641397">
        <w:rPr>
          <w:rFonts w:ascii="Verdana" w:hAnsi="Verdana"/>
          <w:sz w:val="20"/>
          <w:lang w:val="es-MX"/>
        </w:rPr>
        <w:t xml:space="preserve">iv) </w:t>
      </w:r>
      <w:r w:rsidR="00F35777">
        <w:rPr>
          <w:rFonts w:ascii="Verdana" w:hAnsi="Verdana"/>
          <w:sz w:val="20"/>
          <w:lang w:val="es-MX"/>
        </w:rPr>
        <w:t>pag</w:t>
      </w:r>
      <w:r w:rsidR="00641397">
        <w:rPr>
          <w:rFonts w:ascii="Verdana" w:hAnsi="Verdana"/>
          <w:sz w:val="20"/>
          <w:lang w:val="es-MX"/>
        </w:rPr>
        <w:t>ar</w:t>
      </w:r>
      <w:r w:rsidR="00F35777">
        <w:rPr>
          <w:rFonts w:ascii="Verdana" w:hAnsi="Verdana"/>
          <w:sz w:val="20"/>
          <w:lang w:val="es-MX"/>
        </w:rPr>
        <w:t xml:space="preserve"> los intereses devengados </w:t>
      </w:r>
      <w:r w:rsidR="00641397">
        <w:rPr>
          <w:rFonts w:ascii="Verdana" w:hAnsi="Verdana"/>
          <w:sz w:val="20"/>
          <w:lang w:val="es-MX"/>
        </w:rPr>
        <w:t xml:space="preserve">por el </w:t>
      </w:r>
      <w:r w:rsidR="00F35777">
        <w:rPr>
          <w:rFonts w:ascii="Verdana" w:hAnsi="Verdana"/>
          <w:sz w:val="20"/>
          <w:lang w:val="es-MX"/>
        </w:rPr>
        <w:t xml:space="preserve">retraso en el pago de las indemnizaciones correspondientes a daño material e inmaterial, al igual que de las costas y gastos, </w:t>
      </w:r>
      <w:r w:rsidR="00772131">
        <w:rPr>
          <w:rFonts w:ascii="Verdana" w:hAnsi="Verdana"/>
          <w:sz w:val="20"/>
          <w:lang w:val="es-MX"/>
        </w:rPr>
        <w:t xml:space="preserve">y </w:t>
      </w:r>
      <w:r w:rsidR="00641397">
        <w:rPr>
          <w:rFonts w:ascii="Verdana" w:hAnsi="Verdana"/>
          <w:sz w:val="20"/>
          <w:lang w:val="es-MX"/>
        </w:rPr>
        <w:t xml:space="preserve">v) </w:t>
      </w:r>
      <w:r w:rsidR="00F35777">
        <w:rPr>
          <w:rFonts w:ascii="Verdana" w:hAnsi="Verdana"/>
          <w:sz w:val="20"/>
          <w:lang w:val="es-MX"/>
        </w:rPr>
        <w:t>la publicidad de la Sentencia por medios radiales</w:t>
      </w:r>
      <w:r w:rsidR="00772131">
        <w:rPr>
          <w:rStyle w:val="Refdenotaalpie"/>
          <w:rFonts w:ascii="Verdana" w:hAnsi="Verdana"/>
          <w:sz w:val="20"/>
          <w:lang w:val="es-MX"/>
        </w:rPr>
        <w:footnoteReference w:id="12"/>
      </w:r>
      <w:r w:rsidR="00C3794F">
        <w:rPr>
          <w:rFonts w:ascii="Verdana" w:hAnsi="Verdana"/>
          <w:sz w:val="20"/>
          <w:lang w:val="es-MX"/>
        </w:rPr>
        <w:t>.</w:t>
      </w:r>
      <w:r w:rsidR="00E71F34">
        <w:rPr>
          <w:rFonts w:ascii="Verdana" w:hAnsi="Verdana"/>
          <w:sz w:val="20"/>
          <w:lang w:val="es-MX"/>
        </w:rPr>
        <w:t xml:space="preserve"> </w:t>
      </w:r>
      <w:r w:rsidR="00E71F34" w:rsidRPr="00BA0C22">
        <w:rPr>
          <w:rFonts w:ascii="Verdana" w:hAnsi="Verdana"/>
          <w:sz w:val="20"/>
          <w:lang w:val="es-MX"/>
        </w:rPr>
        <w:t xml:space="preserve">Debe destacarse que las primeras tres medidas de reparación </w:t>
      </w:r>
      <w:r w:rsidR="00B6569A" w:rsidRPr="00BA0C22">
        <w:rPr>
          <w:rFonts w:ascii="Verdana" w:hAnsi="Verdana"/>
          <w:sz w:val="20"/>
          <w:lang w:val="es-MX"/>
        </w:rPr>
        <w:t xml:space="preserve">pendientes de ejecución </w:t>
      </w:r>
      <w:r w:rsidR="00E71F34" w:rsidRPr="00BA0C22">
        <w:rPr>
          <w:rFonts w:ascii="Verdana" w:hAnsi="Verdana"/>
          <w:sz w:val="20"/>
          <w:lang w:val="es-MX"/>
        </w:rPr>
        <w:t>tienen un carácter más general, y</w:t>
      </w:r>
      <w:r w:rsidR="00BA0C22" w:rsidRPr="00BA0C22">
        <w:rPr>
          <w:rFonts w:ascii="Verdana" w:hAnsi="Verdana"/>
          <w:sz w:val="20"/>
          <w:lang w:val="es-MX"/>
        </w:rPr>
        <w:t>a que</w:t>
      </w:r>
      <w:r w:rsidR="00E71F34" w:rsidRPr="00BA0C22">
        <w:rPr>
          <w:rFonts w:ascii="Verdana" w:hAnsi="Verdana"/>
          <w:sz w:val="20"/>
          <w:lang w:val="es-MX"/>
        </w:rPr>
        <w:t xml:space="preserve"> están dirigidas a cambiar la situación estructural o jurídica que causó o incidió en que se configurara la violación a los derechos humanos en el caso concreto.</w:t>
      </w:r>
      <w:bookmarkEnd w:id="10"/>
      <w:r w:rsidR="00E71F34" w:rsidRPr="00BA0C22">
        <w:rPr>
          <w:rFonts w:ascii="Verdana" w:hAnsi="Verdana"/>
          <w:sz w:val="20"/>
          <w:lang w:val="es-MX"/>
        </w:rPr>
        <w:t xml:space="preserve"> </w:t>
      </w:r>
    </w:p>
    <w:p w:rsidR="00D06491" w:rsidRDefault="00D06491" w:rsidP="00D06491">
      <w:pPr>
        <w:jc w:val="both"/>
        <w:rPr>
          <w:rFonts w:ascii="Verdana" w:hAnsi="Verdana"/>
          <w:sz w:val="20"/>
          <w:lang w:val="es-MX"/>
        </w:rPr>
      </w:pPr>
    </w:p>
    <w:p w:rsidR="00975310" w:rsidRPr="00C206D8" w:rsidRDefault="00D06491" w:rsidP="00C206D8">
      <w:pPr>
        <w:numPr>
          <w:ilvl w:val="0"/>
          <w:numId w:val="46"/>
        </w:numPr>
        <w:ind w:left="0" w:firstLine="0"/>
        <w:jc w:val="both"/>
        <w:rPr>
          <w:rFonts w:ascii="Verdana" w:hAnsi="Verdana"/>
          <w:sz w:val="20"/>
          <w:lang w:val="es-MX"/>
        </w:rPr>
      </w:pPr>
      <w:bookmarkStart w:id="11" w:name="_Ref437596545"/>
      <w:r>
        <w:rPr>
          <w:rFonts w:ascii="Verdana" w:hAnsi="Verdana"/>
          <w:sz w:val="20"/>
          <w:lang w:val="es-MX"/>
        </w:rPr>
        <w:t>E</w:t>
      </w:r>
      <w:r w:rsidR="00C206D8">
        <w:rPr>
          <w:rFonts w:ascii="Verdana" w:hAnsi="Verdana"/>
          <w:sz w:val="20"/>
          <w:lang w:val="es-MX"/>
        </w:rPr>
        <w:t xml:space="preserve">n </w:t>
      </w:r>
      <w:r w:rsidR="00B5072C" w:rsidRPr="00C206D8">
        <w:rPr>
          <w:rFonts w:ascii="Verdana" w:hAnsi="Verdana"/>
          <w:sz w:val="20"/>
          <w:lang w:val="es-MX"/>
        </w:rPr>
        <w:t xml:space="preserve">su Resolución de </w:t>
      </w:r>
      <w:r w:rsidR="00C206D8">
        <w:rPr>
          <w:rFonts w:ascii="Verdana" w:hAnsi="Verdana"/>
          <w:sz w:val="20"/>
          <w:lang w:val="es-MX"/>
        </w:rPr>
        <w:t xml:space="preserve">agosto de </w:t>
      </w:r>
      <w:r w:rsidR="00B5072C" w:rsidRPr="00C206D8">
        <w:rPr>
          <w:rFonts w:ascii="Verdana" w:hAnsi="Verdana"/>
          <w:sz w:val="20"/>
          <w:lang w:val="es-MX"/>
        </w:rPr>
        <w:t>2013 (</w:t>
      </w:r>
      <w:r w:rsidR="00B5072C" w:rsidRPr="00C206D8">
        <w:rPr>
          <w:rFonts w:ascii="Verdana" w:hAnsi="Verdana"/>
          <w:i/>
          <w:sz w:val="20"/>
          <w:lang w:val="es-MX"/>
        </w:rPr>
        <w:t>supra</w:t>
      </w:r>
      <w:r w:rsidR="00B5072C" w:rsidRPr="00C206D8">
        <w:rPr>
          <w:rFonts w:ascii="Verdana" w:hAnsi="Verdana"/>
          <w:sz w:val="20"/>
          <w:lang w:val="es-MX"/>
        </w:rPr>
        <w:t xml:space="preserve"> Visto </w:t>
      </w:r>
      <w:r w:rsidR="00A07561">
        <w:rPr>
          <w:rFonts w:ascii="Verdana" w:hAnsi="Verdana"/>
          <w:sz w:val="20"/>
          <w:lang w:val="es-MX"/>
        </w:rPr>
        <w:fldChar w:fldCharType="begin"/>
      </w:r>
      <w:r w:rsidR="00A07561">
        <w:rPr>
          <w:rFonts w:ascii="Verdana" w:hAnsi="Verdana"/>
          <w:sz w:val="20"/>
          <w:lang w:val="es-MX"/>
        </w:rPr>
        <w:instrText xml:space="preserve"> REF _Ref437587001 \r \h </w:instrText>
      </w:r>
      <w:r w:rsidR="00A07561">
        <w:rPr>
          <w:rFonts w:ascii="Verdana" w:hAnsi="Verdana"/>
          <w:sz w:val="20"/>
          <w:lang w:val="es-MX"/>
        </w:rPr>
      </w:r>
      <w:r w:rsidR="00A07561">
        <w:rPr>
          <w:rFonts w:ascii="Verdana" w:hAnsi="Verdana"/>
          <w:sz w:val="20"/>
          <w:lang w:val="es-MX"/>
        </w:rPr>
        <w:fldChar w:fldCharType="separate"/>
      </w:r>
      <w:r w:rsidR="00EA6956">
        <w:rPr>
          <w:rFonts w:ascii="Verdana" w:hAnsi="Verdana"/>
          <w:sz w:val="20"/>
          <w:lang w:val="es-MX"/>
        </w:rPr>
        <w:t>4</w:t>
      </w:r>
      <w:r w:rsidR="00A07561">
        <w:rPr>
          <w:rFonts w:ascii="Verdana" w:hAnsi="Verdana"/>
          <w:sz w:val="20"/>
          <w:lang w:val="es-MX"/>
        </w:rPr>
        <w:fldChar w:fldCharType="end"/>
      </w:r>
      <w:r w:rsidR="00B5072C" w:rsidRPr="00C206D8">
        <w:rPr>
          <w:rFonts w:ascii="Verdana" w:hAnsi="Verdana"/>
          <w:sz w:val="20"/>
          <w:lang w:val="es-MX"/>
        </w:rPr>
        <w:t>),</w:t>
      </w:r>
      <w:r w:rsidR="00C00496" w:rsidRPr="00C206D8">
        <w:rPr>
          <w:rFonts w:ascii="Verdana" w:hAnsi="Verdana"/>
          <w:sz w:val="20"/>
          <w:lang w:val="es-MX"/>
        </w:rPr>
        <w:t xml:space="preserve"> </w:t>
      </w:r>
      <w:r w:rsidR="00C206D8">
        <w:rPr>
          <w:rFonts w:ascii="Verdana" w:hAnsi="Verdana"/>
          <w:sz w:val="20"/>
          <w:lang w:val="es-MX"/>
        </w:rPr>
        <w:t xml:space="preserve">el Tribunal hizo constar </w:t>
      </w:r>
      <w:r w:rsidR="00C00496" w:rsidRPr="00C206D8">
        <w:rPr>
          <w:rFonts w:ascii="Verdana" w:hAnsi="Verdana"/>
          <w:sz w:val="20"/>
          <w:lang w:val="es-MX"/>
        </w:rPr>
        <w:t xml:space="preserve">que </w:t>
      </w:r>
      <w:r w:rsidR="00C206D8">
        <w:rPr>
          <w:rFonts w:ascii="Verdana" w:hAnsi="Verdana"/>
          <w:sz w:val="20"/>
          <w:lang w:val="es-MX"/>
        </w:rPr>
        <w:t xml:space="preserve">desde el año </w:t>
      </w:r>
      <w:r w:rsidR="00271A7B">
        <w:rPr>
          <w:rFonts w:ascii="Verdana" w:hAnsi="Verdana"/>
          <w:sz w:val="20"/>
          <w:lang w:val="es-MX"/>
        </w:rPr>
        <w:t>2010</w:t>
      </w:r>
      <w:r w:rsidR="00C206D8">
        <w:rPr>
          <w:rFonts w:ascii="Verdana" w:hAnsi="Verdana"/>
          <w:sz w:val="20"/>
          <w:lang w:val="es-MX"/>
        </w:rPr>
        <w:t xml:space="preserve"> </w:t>
      </w:r>
      <w:r w:rsidR="00C00496" w:rsidRPr="00C206D8">
        <w:rPr>
          <w:rFonts w:ascii="Verdana" w:hAnsi="Verdana"/>
          <w:sz w:val="20"/>
          <w:lang w:val="es-MX"/>
        </w:rPr>
        <w:t xml:space="preserve">el Estado no había presentado </w:t>
      </w:r>
      <w:r w:rsidR="00271A7B">
        <w:rPr>
          <w:rFonts w:ascii="Verdana" w:hAnsi="Verdana"/>
          <w:sz w:val="20"/>
          <w:lang w:val="es-MX"/>
        </w:rPr>
        <w:t xml:space="preserve">los </w:t>
      </w:r>
      <w:r w:rsidR="00C00496" w:rsidRPr="00C206D8">
        <w:rPr>
          <w:rFonts w:ascii="Verdana" w:hAnsi="Verdana"/>
          <w:sz w:val="20"/>
          <w:lang w:val="es-MX"/>
        </w:rPr>
        <w:t>informe</w:t>
      </w:r>
      <w:r w:rsidR="00271A7B">
        <w:rPr>
          <w:rFonts w:ascii="Verdana" w:hAnsi="Verdana"/>
          <w:sz w:val="20"/>
          <w:lang w:val="es-MX"/>
        </w:rPr>
        <w:t>s</w:t>
      </w:r>
      <w:r w:rsidR="00C00496" w:rsidRPr="00C206D8">
        <w:rPr>
          <w:rFonts w:ascii="Verdana" w:hAnsi="Verdana"/>
          <w:sz w:val="20"/>
          <w:lang w:val="es-MX"/>
        </w:rPr>
        <w:t xml:space="preserve"> </w:t>
      </w:r>
      <w:r w:rsidR="00271A7B">
        <w:rPr>
          <w:rFonts w:ascii="Verdana" w:hAnsi="Verdana"/>
          <w:sz w:val="20"/>
          <w:lang w:val="es-MX"/>
        </w:rPr>
        <w:t>requeridos</w:t>
      </w:r>
      <w:r w:rsidR="00EC7512">
        <w:rPr>
          <w:rStyle w:val="Refdenotaalpie"/>
          <w:rFonts w:ascii="Verdana" w:hAnsi="Verdana"/>
          <w:sz w:val="20"/>
          <w:lang w:val="es-MX"/>
        </w:rPr>
        <w:footnoteReference w:id="13"/>
      </w:r>
      <w:r w:rsidR="00271A7B">
        <w:rPr>
          <w:rFonts w:ascii="Verdana" w:hAnsi="Verdana"/>
          <w:sz w:val="20"/>
          <w:lang w:val="es-MX"/>
        </w:rPr>
        <w:t xml:space="preserve"> </w:t>
      </w:r>
      <w:r w:rsidR="00C00496" w:rsidRPr="00C206D8">
        <w:rPr>
          <w:rFonts w:ascii="Verdana" w:hAnsi="Verdana"/>
          <w:sz w:val="20"/>
          <w:lang w:val="es-MX"/>
        </w:rPr>
        <w:t xml:space="preserve">sobre las medidas que estaría adoptando para cumplir con </w:t>
      </w:r>
      <w:r w:rsidR="00A65236">
        <w:rPr>
          <w:rFonts w:ascii="Verdana" w:hAnsi="Verdana"/>
          <w:sz w:val="20"/>
          <w:lang w:val="es-MX"/>
        </w:rPr>
        <w:t xml:space="preserve">esas reparaciones pendientes de cumplimiento </w:t>
      </w:r>
      <w:r w:rsidR="002F1399">
        <w:rPr>
          <w:rFonts w:ascii="Verdana" w:hAnsi="Verdana"/>
          <w:sz w:val="20"/>
          <w:lang w:val="es-MX"/>
        </w:rPr>
        <w:t xml:space="preserve">y que tampoco había comparecido a </w:t>
      </w:r>
      <w:r w:rsidR="00B5072C" w:rsidRPr="00C206D8">
        <w:rPr>
          <w:rFonts w:ascii="Verdana" w:hAnsi="Verdana"/>
          <w:sz w:val="20"/>
          <w:lang w:val="es-MX"/>
        </w:rPr>
        <w:t xml:space="preserve">la audiencia privada de supervisión de cumplimiento de </w:t>
      </w:r>
      <w:r w:rsidR="002C6328">
        <w:rPr>
          <w:rFonts w:ascii="Verdana" w:hAnsi="Verdana"/>
          <w:sz w:val="20"/>
          <w:lang w:val="es-MX"/>
        </w:rPr>
        <w:t>s</w:t>
      </w:r>
      <w:r w:rsidR="00B5072C" w:rsidRPr="00C206D8">
        <w:rPr>
          <w:rFonts w:ascii="Verdana" w:hAnsi="Verdana"/>
          <w:sz w:val="20"/>
          <w:lang w:val="es-MX"/>
        </w:rPr>
        <w:t xml:space="preserve">entencia realizada en la sede de la Corte </w:t>
      </w:r>
      <w:r w:rsidR="00EC7512">
        <w:rPr>
          <w:rFonts w:ascii="Verdana" w:hAnsi="Verdana"/>
          <w:sz w:val="20"/>
          <w:lang w:val="es-MX"/>
        </w:rPr>
        <w:t xml:space="preserve">en </w:t>
      </w:r>
      <w:r w:rsidR="00B5072C" w:rsidRPr="00C206D8">
        <w:rPr>
          <w:rFonts w:ascii="Verdana" w:hAnsi="Verdana"/>
          <w:sz w:val="20"/>
          <w:lang w:val="es-MX"/>
        </w:rPr>
        <w:t>mayo de 2013 (</w:t>
      </w:r>
      <w:r w:rsidR="00B5072C" w:rsidRPr="00C206D8">
        <w:rPr>
          <w:rFonts w:ascii="Verdana" w:hAnsi="Verdana"/>
          <w:i/>
          <w:sz w:val="20"/>
          <w:lang w:val="es-MX"/>
        </w:rPr>
        <w:t xml:space="preserve">supra </w:t>
      </w:r>
      <w:r w:rsidR="00B5072C" w:rsidRPr="00C206D8">
        <w:rPr>
          <w:rFonts w:ascii="Verdana" w:hAnsi="Verdana"/>
          <w:sz w:val="20"/>
          <w:lang w:val="es-MX"/>
        </w:rPr>
        <w:t xml:space="preserve">Visto </w:t>
      </w:r>
      <w:r w:rsidR="00A07561">
        <w:rPr>
          <w:rFonts w:ascii="Verdana" w:hAnsi="Verdana"/>
          <w:sz w:val="20"/>
          <w:lang w:val="es-MX"/>
        </w:rPr>
        <w:fldChar w:fldCharType="begin"/>
      </w:r>
      <w:r w:rsidR="00A07561">
        <w:rPr>
          <w:rFonts w:ascii="Verdana" w:hAnsi="Verdana"/>
          <w:sz w:val="20"/>
          <w:lang w:val="es-MX"/>
        </w:rPr>
        <w:instrText xml:space="preserve"> REF _Ref437595890 \r \h </w:instrText>
      </w:r>
      <w:r w:rsidR="00A07561">
        <w:rPr>
          <w:rFonts w:ascii="Verdana" w:hAnsi="Verdana"/>
          <w:sz w:val="20"/>
          <w:lang w:val="es-MX"/>
        </w:rPr>
      </w:r>
      <w:r w:rsidR="00A07561">
        <w:rPr>
          <w:rFonts w:ascii="Verdana" w:hAnsi="Verdana"/>
          <w:sz w:val="20"/>
          <w:lang w:val="es-MX"/>
        </w:rPr>
        <w:fldChar w:fldCharType="separate"/>
      </w:r>
      <w:r w:rsidR="00EA6956">
        <w:rPr>
          <w:rFonts w:ascii="Verdana" w:hAnsi="Verdana"/>
          <w:sz w:val="20"/>
          <w:lang w:val="es-MX"/>
        </w:rPr>
        <w:t>3</w:t>
      </w:r>
      <w:r w:rsidR="00A07561">
        <w:rPr>
          <w:rFonts w:ascii="Verdana" w:hAnsi="Verdana"/>
          <w:sz w:val="20"/>
          <w:lang w:val="es-MX"/>
        </w:rPr>
        <w:fldChar w:fldCharType="end"/>
      </w:r>
      <w:r w:rsidR="00B5072C" w:rsidRPr="00C206D8">
        <w:rPr>
          <w:rFonts w:ascii="Verdana" w:hAnsi="Verdana"/>
          <w:sz w:val="20"/>
          <w:lang w:val="es-MX"/>
        </w:rPr>
        <w:t>)</w:t>
      </w:r>
      <w:r w:rsidR="002F1399">
        <w:rPr>
          <w:rFonts w:ascii="Verdana" w:hAnsi="Verdana"/>
          <w:sz w:val="20"/>
          <w:lang w:val="es-MX"/>
        </w:rPr>
        <w:t xml:space="preserve">. La Corte </w:t>
      </w:r>
      <w:r w:rsidR="002F1399" w:rsidRPr="00C206D8">
        <w:rPr>
          <w:rFonts w:ascii="Verdana" w:hAnsi="Verdana"/>
          <w:sz w:val="20"/>
          <w:lang w:val="es-MX"/>
        </w:rPr>
        <w:t>determinó</w:t>
      </w:r>
      <w:r w:rsidR="002F1399">
        <w:rPr>
          <w:rFonts w:ascii="Verdana" w:hAnsi="Verdana"/>
          <w:sz w:val="20"/>
          <w:lang w:val="es-MX"/>
        </w:rPr>
        <w:t xml:space="preserve"> que lo anterior </w:t>
      </w:r>
      <w:r w:rsidR="00C00496" w:rsidRPr="00C206D8">
        <w:rPr>
          <w:rFonts w:ascii="Verdana" w:hAnsi="Verdana"/>
          <w:sz w:val="20"/>
          <w:lang w:val="es-MX"/>
        </w:rPr>
        <w:t>constit</w:t>
      </w:r>
      <w:r w:rsidR="002F1399">
        <w:rPr>
          <w:rFonts w:ascii="Verdana" w:hAnsi="Verdana"/>
          <w:sz w:val="20"/>
          <w:lang w:val="es-MX"/>
        </w:rPr>
        <w:t>uía “</w:t>
      </w:r>
      <w:r w:rsidR="00C00496" w:rsidRPr="00C206D8">
        <w:rPr>
          <w:rFonts w:ascii="Verdana" w:hAnsi="Verdana"/>
          <w:sz w:val="20"/>
          <w:lang w:val="es-MX"/>
        </w:rPr>
        <w:t>un frontal desconocimiento a las obligaciones emanadas de la Sentencia dictada por el Tribunal y los compromisos convencionales del Estado Parte, lo cual impide que se reparen las violaciones a los derechos humanos declaradas en el Fallo y despoja el efecto útil de la Convención en el caso concreto”</w:t>
      </w:r>
      <w:r w:rsidR="00C00496">
        <w:rPr>
          <w:rStyle w:val="Refdenotaalpie"/>
          <w:rFonts w:ascii="Verdana" w:hAnsi="Verdana"/>
          <w:sz w:val="20"/>
          <w:lang w:val="es-MX"/>
        </w:rPr>
        <w:footnoteReference w:id="14"/>
      </w:r>
      <w:r w:rsidR="00C00496" w:rsidRPr="00C206D8">
        <w:rPr>
          <w:rFonts w:ascii="Verdana" w:hAnsi="Verdana"/>
          <w:sz w:val="20"/>
          <w:lang w:val="es-MX"/>
        </w:rPr>
        <w:t>.</w:t>
      </w:r>
      <w:bookmarkEnd w:id="11"/>
    </w:p>
    <w:p w:rsidR="00975310" w:rsidRPr="002160E3" w:rsidRDefault="00975310" w:rsidP="00975310">
      <w:pPr>
        <w:jc w:val="both"/>
        <w:rPr>
          <w:rFonts w:ascii="Verdana" w:hAnsi="Verdana"/>
          <w:sz w:val="20"/>
          <w:lang w:val="es-MX"/>
        </w:rPr>
      </w:pPr>
    </w:p>
    <w:p w:rsidR="00975310" w:rsidRPr="002160E3" w:rsidRDefault="00975310" w:rsidP="00975310">
      <w:pPr>
        <w:numPr>
          <w:ilvl w:val="0"/>
          <w:numId w:val="46"/>
        </w:numPr>
        <w:ind w:left="0" w:firstLine="0"/>
        <w:jc w:val="both"/>
        <w:rPr>
          <w:rFonts w:ascii="Verdana" w:hAnsi="Verdana"/>
          <w:sz w:val="20"/>
          <w:lang w:val="es-MX"/>
        </w:rPr>
      </w:pPr>
      <w:bookmarkStart w:id="12" w:name="_Ref437596496"/>
      <w:r w:rsidRPr="002160E3">
        <w:rPr>
          <w:rFonts w:ascii="Verdana" w:hAnsi="Verdana"/>
          <w:sz w:val="20"/>
          <w:lang w:val="es-MX"/>
        </w:rPr>
        <w:t xml:space="preserve">En la referida </w:t>
      </w:r>
      <w:r w:rsidR="00314A43" w:rsidRPr="002160E3">
        <w:rPr>
          <w:rFonts w:ascii="Verdana" w:hAnsi="Verdana"/>
          <w:sz w:val="20"/>
          <w:lang w:val="es-MX"/>
        </w:rPr>
        <w:t>R</w:t>
      </w:r>
      <w:r w:rsidRPr="002160E3">
        <w:rPr>
          <w:rFonts w:ascii="Verdana" w:hAnsi="Verdana"/>
          <w:sz w:val="20"/>
          <w:lang w:val="es-MX"/>
        </w:rPr>
        <w:t xml:space="preserve">esolución de </w:t>
      </w:r>
      <w:r w:rsidR="000D279A">
        <w:rPr>
          <w:rFonts w:ascii="Verdana" w:hAnsi="Verdana"/>
          <w:sz w:val="20"/>
          <w:lang w:val="es-MX"/>
        </w:rPr>
        <w:t xml:space="preserve">agosto de </w:t>
      </w:r>
      <w:r w:rsidRPr="002160E3">
        <w:rPr>
          <w:rFonts w:ascii="Verdana" w:hAnsi="Verdana"/>
          <w:sz w:val="20"/>
          <w:lang w:val="es-MX"/>
        </w:rPr>
        <w:t>2013 (</w:t>
      </w:r>
      <w:r w:rsidRPr="002160E3">
        <w:rPr>
          <w:rFonts w:ascii="Verdana" w:hAnsi="Verdana"/>
          <w:i/>
          <w:sz w:val="20"/>
          <w:lang w:val="es-MX"/>
        </w:rPr>
        <w:t>supra</w:t>
      </w:r>
      <w:r w:rsidRPr="002160E3">
        <w:rPr>
          <w:rFonts w:ascii="Verdana" w:hAnsi="Verdana"/>
          <w:sz w:val="20"/>
          <w:lang w:val="es-MX"/>
        </w:rPr>
        <w:t xml:space="preserve"> </w:t>
      </w:r>
      <w:r w:rsidR="00C00496">
        <w:rPr>
          <w:rFonts w:ascii="Verdana" w:hAnsi="Verdana"/>
          <w:sz w:val="20"/>
          <w:lang w:val="es-MX"/>
        </w:rPr>
        <w:t>Visto</w:t>
      </w:r>
      <w:r w:rsidRPr="002160E3">
        <w:rPr>
          <w:rFonts w:ascii="Verdana" w:hAnsi="Verdana"/>
          <w:sz w:val="20"/>
          <w:lang w:val="es-MX"/>
        </w:rPr>
        <w:t xml:space="preserve"> </w:t>
      </w:r>
      <w:r w:rsidR="00A07561">
        <w:rPr>
          <w:rFonts w:ascii="Verdana" w:hAnsi="Verdana"/>
          <w:sz w:val="20"/>
          <w:lang w:val="es-MX"/>
        </w:rPr>
        <w:fldChar w:fldCharType="begin"/>
      </w:r>
      <w:r w:rsidR="00A07561">
        <w:rPr>
          <w:rFonts w:ascii="Verdana" w:hAnsi="Verdana"/>
          <w:sz w:val="20"/>
          <w:lang w:val="es-MX"/>
        </w:rPr>
        <w:instrText xml:space="preserve"> REF _Ref437587001 \r \h </w:instrText>
      </w:r>
      <w:r w:rsidR="00A07561">
        <w:rPr>
          <w:rFonts w:ascii="Verdana" w:hAnsi="Verdana"/>
          <w:sz w:val="20"/>
          <w:lang w:val="es-MX"/>
        </w:rPr>
      </w:r>
      <w:r w:rsidR="00A07561">
        <w:rPr>
          <w:rFonts w:ascii="Verdana" w:hAnsi="Verdana"/>
          <w:sz w:val="20"/>
          <w:lang w:val="es-MX"/>
        </w:rPr>
        <w:fldChar w:fldCharType="separate"/>
      </w:r>
      <w:r w:rsidR="00EA6956">
        <w:rPr>
          <w:rFonts w:ascii="Verdana" w:hAnsi="Verdana"/>
          <w:sz w:val="20"/>
          <w:lang w:val="es-MX"/>
        </w:rPr>
        <w:t>4</w:t>
      </w:r>
      <w:r w:rsidR="00A07561">
        <w:rPr>
          <w:rFonts w:ascii="Verdana" w:hAnsi="Verdana"/>
          <w:sz w:val="20"/>
          <w:lang w:val="es-MX"/>
        </w:rPr>
        <w:fldChar w:fldCharType="end"/>
      </w:r>
      <w:r w:rsidRPr="002160E3">
        <w:rPr>
          <w:rFonts w:ascii="Verdana" w:hAnsi="Verdana"/>
          <w:sz w:val="20"/>
          <w:lang w:val="es-MX"/>
        </w:rPr>
        <w:t>), la Corte</w:t>
      </w:r>
      <w:r w:rsidR="007C4C25">
        <w:rPr>
          <w:rFonts w:ascii="Verdana" w:hAnsi="Verdana"/>
          <w:sz w:val="20"/>
          <w:lang w:val="es-MX"/>
        </w:rPr>
        <w:t xml:space="preserve"> “a fin de evaluar oportunamente y de manera adecuada la información remitida por los representantes, así como la solicitud de la aplicación del artículo 65 de la Convención en el presente caso”</w:t>
      </w:r>
      <w:r w:rsidR="00C00496">
        <w:rPr>
          <w:rFonts w:ascii="Verdana" w:hAnsi="Verdana"/>
          <w:sz w:val="20"/>
          <w:lang w:val="es-MX"/>
        </w:rPr>
        <w:t xml:space="preserve"> </w:t>
      </w:r>
      <w:r w:rsidRPr="002160E3">
        <w:rPr>
          <w:rFonts w:ascii="Verdana" w:hAnsi="Verdana"/>
          <w:sz w:val="20"/>
          <w:lang w:val="es-MX"/>
        </w:rPr>
        <w:t>otorgó</w:t>
      </w:r>
      <w:r w:rsidR="00C00496">
        <w:rPr>
          <w:rFonts w:ascii="Verdana" w:hAnsi="Verdana"/>
          <w:sz w:val="20"/>
          <w:lang w:val="es-MX"/>
        </w:rPr>
        <w:t xml:space="preserve"> un</w:t>
      </w:r>
      <w:r w:rsidRPr="002160E3">
        <w:rPr>
          <w:rFonts w:ascii="Verdana" w:hAnsi="Verdana"/>
          <w:sz w:val="20"/>
          <w:lang w:val="es-MX"/>
        </w:rPr>
        <w:t xml:space="preserve"> plazo </w:t>
      </w:r>
      <w:r w:rsidR="00B6569A">
        <w:rPr>
          <w:rFonts w:ascii="Verdana" w:hAnsi="Verdana"/>
          <w:sz w:val="20"/>
          <w:lang w:val="es-MX"/>
        </w:rPr>
        <w:t xml:space="preserve">a Nicaragua </w:t>
      </w:r>
      <w:r w:rsidR="000D279A" w:rsidRPr="002160E3">
        <w:rPr>
          <w:rFonts w:ascii="Verdana" w:hAnsi="Verdana"/>
          <w:sz w:val="20"/>
          <w:lang w:val="es-MX"/>
        </w:rPr>
        <w:t>hasta el 25 de noviembre de 2013</w:t>
      </w:r>
      <w:r w:rsidR="000D279A">
        <w:rPr>
          <w:rFonts w:ascii="Verdana" w:hAnsi="Verdana"/>
          <w:sz w:val="20"/>
          <w:lang w:val="es-MX"/>
        </w:rPr>
        <w:t xml:space="preserve"> </w:t>
      </w:r>
      <w:r w:rsidRPr="002160E3">
        <w:rPr>
          <w:rFonts w:ascii="Verdana" w:hAnsi="Verdana"/>
          <w:sz w:val="20"/>
          <w:lang w:val="es-MX"/>
        </w:rPr>
        <w:t xml:space="preserve">para </w:t>
      </w:r>
      <w:r w:rsidR="000D279A">
        <w:rPr>
          <w:rFonts w:ascii="Verdana" w:hAnsi="Verdana"/>
          <w:sz w:val="20"/>
          <w:lang w:val="es-MX"/>
        </w:rPr>
        <w:t xml:space="preserve">que </w:t>
      </w:r>
      <w:r w:rsidRPr="002160E3">
        <w:rPr>
          <w:rFonts w:ascii="Verdana" w:hAnsi="Verdana"/>
          <w:sz w:val="20"/>
          <w:lang w:val="es-MX"/>
        </w:rPr>
        <w:t>presentar</w:t>
      </w:r>
      <w:r w:rsidR="000D279A">
        <w:rPr>
          <w:rFonts w:ascii="Verdana" w:hAnsi="Verdana"/>
          <w:sz w:val="20"/>
          <w:lang w:val="es-MX"/>
        </w:rPr>
        <w:t>a</w:t>
      </w:r>
      <w:r w:rsidRPr="002160E3">
        <w:rPr>
          <w:rFonts w:ascii="Verdana" w:hAnsi="Verdana"/>
          <w:sz w:val="20"/>
          <w:lang w:val="es-MX"/>
        </w:rPr>
        <w:t xml:space="preserve"> información </w:t>
      </w:r>
      <w:r w:rsidR="000D279A">
        <w:rPr>
          <w:rFonts w:ascii="Verdana" w:hAnsi="Verdana"/>
          <w:sz w:val="20"/>
          <w:lang w:val="es-MX"/>
        </w:rPr>
        <w:t xml:space="preserve">sobre el </w:t>
      </w:r>
      <w:r w:rsidRPr="002160E3">
        <w:rPr>
          <w:rFonts w:ascii="Verdana" w:hAnsi="Verdana"/>
          <w:sz w:val="20"/>
          <w:lang w:val="es-MX"/>
        </w:rPr>
        <w:t xml:space="preserve">cumplimiento de los puntos pendientes de la Sentencia. A </w:t>
      </w:r>
      <w:r w:rsidRPr="002160E3">
        <w:rPr>
          <w:rFonts w:ascii="Verdana" w:hAnsi="Verdana"/>
          <w:sz w:val="20"/>
          <w:lang w:val="es-MX"/>
        </w:rPr>
        <w:lastRenderedPageBreak/>
        <w:t>pesar de los recordatorios realizados</w:t>
      </w:r>
      <w:r w:rsidR="00486FE4">
        <w:rPr>
          <w:rFonts w:ascii="Verdana" w:hAnsi="Verdana"/>
          <w:sz w:val="20"/>
          <w:lang w:val="es-MX"/>
        </w:rPr>
        <w:t>,</w:t>
      </w:r>
      <w:r w:rsidRPr="002160E3">
        <w:rPr>
          <w:rFonts w:ascii="Verdana" w:hAnsi="Verdana"/>
          <w:sz w:val="20"/>
          <w:lang w:val="es-MX"/>
        </w:rPr>
        <w:t xml:space="preserve"> siguiendo instrucciones del Presidente del Tribunal (</w:t>
      </w:r>
      <w:r w:rsidRPr="002160E3">
        <w:rPr>
          <w:rFonts w:ascii="Verdana" w:hAnsi="Verdana"/>
          <w:i/>
          <w:sz w:val="20"/>
          <w:lang w:val="es-MX"/>
        </w:rPr>
        <w:t>supra</w:t>
      </w:r>
      <w:r w:rsidRPr="002160E3">
        <w:rPr>
          <w:rFonts w:ascii="Verdana" w:hAnsi="Verdana"/>
          <w:sz w:val="20"/>
          <w:lang w:val="es-MX"/>
        </w:rPr>
        <w:t xml:space="preserve"> </w:t>
      </w:r>
      <w:r w:rsidR="00EA2728">
        <w:rPr>
          <w:rFonts w:ascii="Verdana" w:hAnsi="Verdana"/>
          <w:sz w:val="20"/>
          <w:lang w:val="es-MX"/>
        </w:rPr>
        <w:t>Visto</w:t>
      </w:r>
      <w:r w:rsidRPr="002160E3">
        <w:rPr>
          <w:rFonts w:ascii="Verdana" w:hAnsi="Verdana"/>
          <w:sz w:val="20"/>
          <w:lang w:val="es-MX"/>
        </w:rPr>
        <w:t xml:space="preserve"> </w:t>
      </w:r>
      <w:r w:rsidR="00A07561">
        <w:rPr>
          <w:rFonts w:ascii="Verdana" w:hAnsi="Verdana"/>
          <w:sz w:val="20"/>
          <w:lang w:val="es-MX"/>
        </w:rPr>
        <w:fldChar w:fldCharType="begin"/>
      </w:r>
      <w:r w:rsidR="00A07561">
        <w:rPr>
          <w:rFonts w:ascii="Verdana" w:hAnsi="Verdana"/>
          <w:sz w:val="20"/>
          <w:lang w:val="es-MX"/>
        </w:rPr>
        <w:instrText xml:space="preserve"> REF _Ref437595978 \r \h </w:instrText>
      </w:r>
      <w:r w:rsidR="00A07561">
        <w:rPr>
          <w:rFonts w:ascii="Verdana" w:hAnsi="Verdana"/>
          <w:sz w:val="20"/>
          <w:lang w:val="es-MX"/>
        </w:rPr>
      </w:r>
      <w:r w:rsidR="00A07561">
        <w:rPr>
          <w:rFonts w:ascii="Verdana" w:hAnsi="Verdana"/>
          <w:sz w:val="20"/>
          <w:lang w:val="es-MX"/>
        </w:rPr>
        <w:fldChar w:fldCharType="separate"/>
      </w:r>
      <w:r w:rsidR="00EA6956">
        <w:rPr>
          <w:rFonts w:ascii="Verdana" w:hAnsi="Verdana"/>
          <w:sz w:val="20"/>
          <w:lang w:val="es-MX"/>
        </w:rPr>
        <w:t>5</w:t>
      </w:r>
      <w:r w:rsidR="00A07561">
        <w:rPr>
          <w:rFonts w:ascii="Verdana" w:hAnsi="Verdana"/>
          <w:sz w:val="20"/>
          <w:lang w:val="es-MX"/>
        </w:rPr>
        <w:fldChar w:fldCharType="end"/>
      </w:r>
      <w:r w:rsidRPr="002160E3">
        <w:rPr>
          <w:rFonts w:ascii="Verdana" w:hAnsi="Verdana"/>
          <w:sz w:val="20"/>
          <w:lang w:val="es-MX"/>
        </w:rPr>
        <w:t xml:space="preserve">), el Estado no </w:t>
      </w:r>
      <w:r w:rsidR="007206A9">
        <w:rPr>
          <w:rFonts w:ascii="Verdana" w:hAnsi="Verdana"/>
          <w:sz w:val="20"/>
          <w:lang w:val="es-MX"/>
        </w:rPr>
        <w:t xml:space="preserve">presentó el informe </w:t>
      </w:r>
      <w:r w:rsidRPr="002160E3">
        <w:rPr>
          <w:rFonts w:ascii="Verdana" w:hAnsi="Verdana"/>
          <w:sz w:val="20"/>
          <w:lang w:val="es-MX"/>
        </w:rPr>
        <w:t>solicitad</w:t>
      </w:r>
      <w:r w:rsidR="007206A9">
        <w:rPr>
          <w:rFonts w:ascii="Verdana" w:hAnsi="Verdana"/>
          <w:sz w:val="20"/>
          <w:lang w:val="es-MX"/>
        </w:rPr>
        <w:t>o</w:t>
      </w:r>
      <w:r w:rsidRPr="002160E3">
        <w:rPr>
          <w:rFonts w:ascii="Verdana" w:hAnsi="Verdana"/>
          <w:sz w:val="20"/>
          <w:lang w:val="es-MX"/>
        </w:rPr>
        <w:t>.</w:t>
      </w:r>
      <w:bookmarkEnd w:id="12"/>
      <w:r w:rsidRPr="002160E3">
        <w:rPr>
          <w:rFonts w:ascii="Verdana" w:hAnsi="Verdana"/>
          <w:sz w:val="20"/>
          <w:lang w:val="es-MX"/>
        </w:rPr>
        <w:t xml:space="preserve"> </w:t>
      </w:r>
    </w:p>
    <w:p w:rsidR="00975310" w:rsidRPr="002160E3" w:rsidRDefault="00975310" w:rsidP="00EB7F26">
      <w:pPr>
        <w:jc w:val="both"/>
        <w:rPr>
          <w:rFonts w:ascii="Verdana" w:hAnsi="Verdana"/>
          <w:sz w:val="20"/>
          <w:lang w:val="es-MX"/>
        </w:rPr>
      </w:pPr>
    </w:p>
    <w:p w:rsidR="00B3412F" w:rsidRDefault="00BB4F63" w:rsidP="00975310">
      <w:pPr>
        <w:numPr>
          <w:ilvl w:val="0"/>
          <w:numId w:val="46"/>
        </w:numPr>
        <w:ind w:left="0" w:firstLine="0"/>
        <w:jc w:val="both"/>
        <w:rPr>
          <w:rFonts w:ascii="Verdana" w:eastAsia="Times New Roman" w:hAnsi="Verdana"/>
          <w:sz w:val="20"/>
          <w:shd w:val="clear" w:color="auto" w:fill="FFFFFF"/>
        </w:rPr>
      </w:pPr>
      <w:bookmarkStart w:id="13" w:name="_Ref437596883"/>
      <w:r>
        <w:rPr>
          <w:rFonts w:ascii="Verdana" w:hAnsi="Verdana"/>
          <w:sz w:val="20"/>
          <w:lang w:val="es-MX"/>
        </w:rPr>
        <w:t>D</w:t>
      </w:r>
      <w:r>
        <w:rPr>
          <w:rFonts w:ascii="Verdana" w:hAnsi="Verdana"/>
          <w:sz w:val="20"/>
        </w:rPr>
        <w:t xml:space="preserve">e conformidad con lo establecido en el artículo </w:t>
      </w:r>
      <w:r>
        <w:rPr>
          <w:rFonts w:ascii="Verdana" w:hAnsi="Verdana"/>
          <w:color w:val="000000"/>
          <w:sz w:val="20"/>
          <w:lang w:val="es-CO"/>
        </w:rPr>
        <w:t>68.1 de la Convención Americana, “[l]os Estados Partes en la Convención se comprometen a cumplir la decisión de la Corte en todo caso en que sean partes”</w:t>
      </w:r>
      <w:r>
        <w:rPr>
          <w:rFonts w:ascii="Verdana" w:hAnsi="Verdana" w:cs="Verdana"/>
          <w:sz w:val="20"/>
        </w:rPr>
        <w:t xml:space="preserve">. </w:t>
      </w:r>
      <w:r>
        <w:rPr>
          <w:rFonts w:ascii="Verdana" w:hAnsi="Verdana"/>
          <w:sz w:val="20"/>
        </w:rPr>
        <w:t>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rPr>
        <w:footnoteReference w:id="15"/>
      </w:r>
      <w:r>
        <w:rPr>
          <w:rFonts w:ascii="Verdana" w:hAnsi="Verdana"/>
          <w:sz w:val="20"/>
        </w:rPr>
        <w:t>.</w:t>
      </w:r>
      <w:r w:rsidR="00DA5528" w:rsidRPr="002160E3">
        <w:rPr>
          <w:rFonts w:ascii="Verdana" w:eastAsia="Times New Roman" w:hAnsi="Verdana"/>
          <w:sz w:val="20"/>
          <w:shd w:val="clear" w:color="auto" w:fill="FFFFFF"/>
        </w:rPr>
        <w:t xml:space="preserve"> Al efecto, cabe tener presente, además, que, según el artículo 67 de la Convención Americana, “[e]</w:t>
      </w:r>
      <w:r w:rsidR="00DA5528" w:rsidRPr="002160E3">
        <w:rPr>
          <w:rFonts w:ascii="Verdana" w:eastAsia="Calibri" w:hAnsi="Verdana" w:cs="Tahoma"/>
          <w:sz w:val="20"/>
          <w:lang w:val="es-CL"/>
        </w:rPr>
        <w:t xml:space="preserve">l fallo de la Corte será definitivo e inapelable”, de </w:t>
      </w:r>
      <w:r w:rsidR="00BD3D09">
        <w:rPr>
          <w:rFonts w:ascii="Verdana" w:eastAsia="Calibri" w:hAnsi="Verdana" w:cs="Tahoma"/>
          <w:sz w:val="20"/>
          <w:lang w:val="es-CL"/>
        </w:rPr>
        <w:t>m</w:t>
      </w:r>
      <w:r w:rsidR="00BE290D">
        <w:rPr>
          <w:rFonts w:ascii="Verdana" w:eastAsia="Calibri" w:hAnsi="Verdana" w:cs="Tahoma"/>
          <w:sz w:val="20"/>
          <w:lang w:val="es-CL"/>
        </w:rPr>
        <w:t>a</w:t>
      </w:r>
      <w:r w:rsidR="00BD3D09">
        <w:rPr>
          <w:rFonts w:ascii="Verdana" w:eastAsia="Calibri" w:hAnsi="Verdana" w:cs="Tahoma"/>
          <w:sz w:val="20"/>
          <w:lang w:val="es-CL"/>
        </w:rPr>
        <w:t xml:space="preserve">nera </w:t>
      </w:r>
      <w:r w:rsidR="00DA5528" w:rsidRPr="002160E3">
        <w:rPr>
          <w:rFonts w:ascii="Verdana" w:eastAsia="Calibri" w:hAnsi="Verdana" w:cs="Tahoma"/>
          <w:sz w:val="20"/>
          <w:lang w:val="es-CL"/>
        </w:rPr>
        <w:t xml:space="preserve">que, </w:t>
      </w:r>
      <w:r w:rsidR="00EA2728">
        <w:rPr>
          <w:rFonts w:ascii="Verdana" w:eastAsia="Times New Roman" w:hAnsi="Verdana"/>
          <w:sz w:val="20"/>
          <w:shd w:val="clear" w:color="auto" w:fill="FFFFFF"/>
        </w:rPr>
        <w:t>una</w:t>
      </w:r>
      <w:r w:rsidR="00DA5528" w:rsidRPr="002160E3">
        <w:rPr>
          <w:rFonts w:ascii="Verdana" w:eastAsia="Times New Roman" w:hAnsi="Verdana"/>
          <w:sz w:val="20"/>
          <w:lang w:val="es-CO"/>
        </w:rPr>
        <w:t xml:space="preserve"> vez que este Tribunal dicta sentencia, ella produce los efectos de cosa juzgada</w:t>
      </w:r>
      <w:r w:rsidR="00815E06" w:rsidRPr="002160E3">
        <w:rPr>
          <w:rFonts w:ascii="Verdana" w:eastAsia="Times New Roman" w:hAnsi="Verdana"/>
          <w:sz w:val="20"/>
        </w:rPr>
        <w:t xml:space="preserve"> y</w:t>
      </w:r>
      <w:r w:rsidR="0006663A" w:rsidRPr="002160E3">
        <w:rPr>
          <w:rFonts w:ascii="Verdana" w:eastAsia="Times New Roman" w:hAnsi="Verdana"/>
          <w:sz w:val="20"/>
          <w:shd w:val="clear" w:color="auto" w:fill="FFFFFF"/>
        </w:rPr>
        <w:t xml:space="preserve"> </w:t>
      </w:r>
      <w:r w:rsidR="00815E06" w:rsidRPr="002160E3">
        <w:rPr>
          <w:rFonts w:ascii="Verdana" w:eastAsia="Times New Roman" w:hAnsi="Verdana"/>
          <w:sz w:val="20"/>
          <w:shd w:val="clear" w:color="auto" w:fill="FFFFFF"/>
        </w:rPr>
        <w:t>debe ser prontamente cumplida por el Estado en forma íntegra.</w:t>
      </w:r>
      <w:bookmarkEnd w:id="13"/>
    </w:p>
    <w:p w:rsidR="00837440" w:rsidRPr="002160E3" w:rsidRDefault="00837440" w:rsidP="00837440">
      <w:pPr>
        <w:jc w:val="both"/>
        <w:rPr>
          <w:rFonts w:ascii="Verdana" w:eastAsia="Times New Roman" w:hAnsi="Verdana"/>
          <w:sz w:val="20"/>
          <w:shd w:val="clear" w:color="auto" w:fill="FFFFFF"/>
        </w:rPr>
      </w:pPr>
    </w:p>
    <w:p w:rsidR="005B0D20" w:rsidRDefault="005B0D20" w:rsidP="005B0D20">
      <w:pPr>
        <w:pStyle w:val="Cuadrculamedia1-nfasis2"/>
        <w:numPr>
          <w:ilvl w:val="0"/>
          <w:numId w:val="46"/>
        </w:numPr>
        <w:tabs>
          <w:tab w:val="left" w:pos="567"/>
        </w:tabs>
        <w:ind w:left="0" w:right="4" w:firstLine="0"/>
        <w:contextualSpacing/>
        <w:jc w:val="both"/>
        <w:rPr>
          <w:rFonts w:ascii="Verdana" w:hAnsi="Verdana"/>
          <w:sz w:val="18"/>
          <w:szCs w:val="18"/>
        </w:rPr>
      </w:pPr>
      <w:r w:rsidRPr="0045566C">
        <w:rPr>
          <w:rFonts w:ascii="Verdana" w:eastAsia="Times New Roman" w:hAnsi="Verdana"/>
          <w:color w:val="000000"/>
          <w:sz w:val="20"/>
          <w:lang w:val="es-CO"/>
        </w:rPr>
        <w:t xml:space="preserve">De modo, entonces, los Estados Partes de la Convención Americana tienen la obligación convencional de implementar tanto a nivel internacional como interno y </w:t>
      </w:r>
      <w:r w:rsidRPr="0045566C">
        <w:rPr>
          <w:rFonts w:ascii="Verdana" w:eastAsia="Times New Roman" w:hAnsi="Verdana"/>
          <w:color w:val="000000"/>
          <w:sz w:val="20"/>
        </w:rPr>
        <w:t xml:space="preserve">de forma pronta e íntegra, lo </w:t>
      </w:r>
      <w:r w:rsidRPr="0045566C">
        <w:rPr>
          <w:rFonts w:ascii="Verdana" w:eastAsia="Times New Roman" w:hAnsi="Verdana"/>
          <w:color w:val="000000"/>
          <w:sz w:val="20"/>
          <w:lang w:val="es-CO"/>
        </w:rPr>
        <w:t>dispuesto por el Tribunal en las Sentencias que a ellos conciernan, obligación que, como lo señala el derecho internacional consuetudinario y lo ha recordado la Corte, vincula a todos los poderes y órganos estatales</w:t>
      </w:r>
      <w:r w:rsidRPr="005321C0">
        <w:rPr>
          <w:rStyle w:val="Refdenotaalpie"/>
          <w:rFonts w:ascii="Verdana" w:hAnsi="Verdana" w:cs="Verdana"/>
          <w:sz w:val="20"/>
        </w:rPr>
        <w:footnoteReference w:id="16"/>
      </w:r>
      <w:r w:rsidRPr="0045566C">
        <w:rPr>
          <w:rFonts w:ascii="Verdana" w:eastAsia="Times New Roman" w:hAnsi="Verdana"/>
          <w:color w:val="000000"/>
          <w:sz w:val="20"/>
        </w:rPr>
        <w:t xml:space="preserve"> y, de no cumplirse, se incurre en un ilícito internacional</w:t>
      </w:r>
      <w:r w:rsidRPr="0045566C">
        <w:rPr>
          <w:rFonts w:ascii="Verdana" w:eastAsia="Times New Roman" w:hAnsi="Verdana"/>
          <w:color w:val="000000"/>
          <w:sz w:val="20"/>
          <w:lang w:val="pl-PL"/>
        </w:rPr>
        <w:t>. Al r</w:t>
      </w:r>
      <w:r>
        <w:rPr>
          <w:rFonts w:ascii="Verdana" w:eastAsia="Times New Roman" w:hAnsi="Verdana"/>
          <w:color w:val="000000"/>
          <w:sz w:val="20"/>
          <w:lang w:val="pl-PL"/>
        </w:rPr>
        <w:t>especto, es menester añadir que</w:t>
      </w:r>
      <w:r w:rsidRPr="0045566C">
        <w:rPr>
          <w:rFonts w:ascii="Verdana" w:eastAsia="Times New Roman" w:hAnsi="Verdana"/>
          <w:color w:val="000000"/>
          <w:sz w:val="20"/>
          <w:lang w:val="pl-PL"/>
        </w:rPr>
        <w:t xml:space="preserve"> siempre</w:t>
      </w:r>
      <w:r>
        <w:rPr>
          <w:rFonts w:ascii="Verdana" w:eastAsia="Times New Roman" w:hAnsi="Verdana"/>
          <w:color w:val="000000"/>
          <w:sz w:val="20"/>
          <w:lang w:val="pl-PL"/>
        </w:rPr>
        <w:t>,</w:t>
      </w:r>
      <w:r w:rsidRPr="0045566C">
        <w:rPr>
          <w:rFonts w:ascii="Verdana" w:eastAsia="Times New Roman" w:hAnsi="Verdana"/>
          <w:color w:val="000000"/>
          <w:sz w:val="20"/>
          <w:lang w:val="pl-PL"/>
        </w:rPr>
        <w:t xml:space="preserv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r w:rsidRPr="003C1848">
        <w:rPr>
          <w:rStyle w:val="Refdenotaalpie"/>
          <w:rFonts w:ascii="Verdana" w:hAnsi="Verdana"/>
          <w:sz w:val="20"/>
        </w:rPr>
        <w:footnoteReference w:id="17"/>
      </w:r>
      <w:r w:rsidRPr="0045566C">
        <w:rPr>
          <w:rFonts w:ascii="Verdana" w:eastAsia="Times New Roman" w:hAnsi="Verdana"/>
          <w:color w:val="000000"/>
          <w:sz w:val="20"/>
          <w:lang w:val="pl-PL"/>
        </w:rPr>
        <w:t>.</w:t>
      </w:r>
      <w:r>
        <w:rPr>
          <w:rFonts w:ascii="Verdana" w:eastAsia="Times New Roman" w:hAnsi="Verdana"/>
          <w:color w:val="000000"/>
          <w:sz w:val="20"/>
          <w:lang w:val="pl-PL"/>
        </w:rPr>
        <w:t xml:space="preserve"> </w:t>
      </w:r>
      <w:r w:rsidRPr="009946D7">
        <w:rPr>
          <w:rFonts w:ascii="Verdana" w:hAnsi="Verdana"/>
          <w:sz w:val="20"/>
          <w:lang w:val="pl-PL"/>
        </w:rPr>
        <w:t>Tal como ha indicado la Corte</w:t>
      </w:r>
      <w:r w:rsidRPr="009946D7">
        <w:rPr>
          <w:rStyle w:val="Refdenotaalpie"/>
          <w:rFonts w:ascii="Verdana" w:hAnsi="Verdana"/>
          <w:sz w:val="20"/>
        </w:rPr>
        <w:footnoteReference w:id="18"/>
      </w:r>
      <w:r w:rsidRPr="009946D7">
        <w:rPr>
          <w:rFonts w:ascii="Verdana" w:hAnsi="Verdana"/>
          <w:sz w:val="20"/>
          <w:lang w:val="pl-PL"/>
        </w:rPr>
        <w:t>, el artículo 63.1 de la Convención reproduce el texto de una norma consuetudinaria que constituye uno de los principios fundamentales del derecho de la responsabilidad internacional de los Estados</w:t>
      </w:r>
      <w:r w:rsidRPr="009946D7">
        <w:rPr>
          <w:rStyle w:val="Refdenotaalpie"/>
          <w:rFonts w:ascii="Verdana" w:hAnsi="Verdana"/>
          <w:sz w:val="20"/>
        </w:rPr>
        <w:footnoteReference w:id="19"/>
      </w:r>
      <w:r w:rsidRPr="009946D7">
        <w:rPr>
          <w:rFonts w:ascii="Verdana" w:hAnsi="Verdana"/>
          <w:sz w:val="20"/>
          <w:lang w:val="pl-PL"/>
        </w:rPr>
        <w:t>.</w:t>
      </w:r>
      <w:r w:rsidR="007C4C25">
        <w:rPr>
          <w:rFonts w:ascii="Verdana" w:hAnsi="Verdana"/>
          <w:sz w:val="20"/>
          <w:lang w:val="pl-PL"/>
        </w:rPr>
        <w:t xml:space="preserve"> La falta de la ejecución de las reparaciones en el ámbito interno implica la negación al derecho de acceso a la justicia internacional</w:t>
      </w:r>
      <w:r w:rsidR="007C4C25">
        <w:rPr>
          <w:rStyle w:val="Refdenotaalpie"/>
          <w:rFonts w:ascii="Verdana" w:hAnsi="Verdana"/>
          <w:sz w:val="20"/>
          <w:lang w:val="pl-PL"/>
        </w:rPr>
        <w:footnoteReference w:id="20"/>
      </w:r>
      <w:r w:rsidR="007C4C25">
        <w:rPr>
          <w:rFonts w:ascii="Verdana" w:hAnsi="Verdana"/>
          <w:sz w:val="20"/>
          <w:lang w:val="pl-PL"/>
        </w:rPr>
        <w:t>.</w:t>
      </w:r>
    </w:p>
    <w:p w:rsidR="00A911E2" w:rsidRPr="002160E3" w:rsidRDefault="00A911E2" w:rsidP="00A911E2">
      <w:pPr>
        <w:pStyle w:val="Sombreadovistoso-nfasis3"/>
        <w:rPr>
          <w:rFonts w:ascii="Verdana" w:hAnsi="Verdana"/>
          <w:sz w:val="20"/>
          <w:lang w:val="es-MX"/>
        </w:rPr>
      </w:pPr>
    </w:p>
    <w:p w:rsidR="008E3E3F" w:rsidRPr="002160E3" w:rsidRDefault="00E75B6D" w:rsidP="00975310">
      <w:pPr>
        <w:numPr>
          <w:ilvl w:val="0"/>
          <w:numId w:val="46"/>
        </w:numPr>
        <w:ind w:left="0" w:firstLine="0"/>
        <w:jc w:val="both"/>
        <w:rPr>
          <w:rFonts w:ascii="Verdana" w:hAnsi="Verdana"/>
          <w:sz w:val="20"/>
          <w:lang w:val="es-MX"/>
        </w:rPr>
      </w:pPr>
      <w:bookmarkStart w:id="14" w:name="_Ref437597947"/>
      <w:r>
        <w:rPr>
          <w:rFonts w:ascii="Verdana" w:eastAsia="Calibri" w:hAnsi="Verdana" w:cs="Verdana"/>
          <w:sz w:val="20"/>
          <w:lang w:eastAsia="es-CR"/>
        </w:rPr>
        <w:t>L</w:t>
      </w:r>
      <w:r w:rsidR="00C671BA" w:rsidRPr="002160E3">
        <w:rPr>
          <w:rFonts w:ascii="Verdana" w:hAnsi="Verdana"/>
          <w:sz w:val="20"/>
          <w:lang w:val="es-MX"/>
        </w:rPr>
        <w:t xml:space="preserve">a </w:t>
      </w:r>
      <w:r w:rsidR="00624499" w:rsidRPr="002160E3">
        <w:rPr>
          <w:rFonts w:ascii="Verdana" w:hAnsi="Verdana"/>
          <w:sz w:val="20"/>
          <w:lang w:val="es-MX"/>
        </w:rPr>
        <w:t xml:space="preserve">falta de </w:t>
      </w:r>
      <w:r w:rsidR="00C671BA" w:rsidRPr="002160E3">
        <w:rPr>
          <w:rFonts w:ascii="Verdana" w:hAnsi="Verdana"/>
          <w:sz w:val="20"/>
          <w:lang w:val="es-MX"/>
        </w:rPr>
        <w:t>presentación del informe de cumplimiento</w:t>
      </w:r>
      <w:r w:rsidR="00572581" w:rsidRPr="002160E3">
        <w:rPr>
          <w:rFonts w:ascii="Verdana" w:hAnsi="Verdana"/>
          <w:sz w:val="20"/>
          <w:lang w:val="es-MX"/>
        </w:rPr>
        <w:t xml:space="preserve">, habiendo transcurrido </w:t>
      </w:r>
      <w:r w:rsidR="00630BAA">
        <w:rPr>
          <w:rFonts w:ascii="Verdana" w:hAnsi="Verdana"/>
          <w:sz w:val="20"/>
          <w:lang w:val="es-MX"/>
        </w:rPr>
        <w:t xml:space="preserve">más de </w:t>
      </w:r>
      <w:r w:rsidR="00D4508B">
        <w:rPr>
          <w:rFonts w:ascii="Verdana" w:hAnsi="Verdana"/>
          <w:sz w:val="20"/>
          <w:lang w:val="es-MX"/>
        </w:rPr>
        <w:t>cinco</w:t>
      </w:r>
      <w:r w:rsidR="005B0D20" w:rsidRPr="009B4333">
        <w:rPr>
          <w:rFonts w:ascii="Verdana" w:hAnsi="Verdana"/>
          <w:sz w:val="20"/>
          <w:lang w:val="es-MX"/>
        </w:rPr>
        <w:t xml:space="preserve"> </w:t>
      </w:r>
      <w:r w:rsidR="005B0D20" w:rsidRPr="00D4508B">
        <w:rPr>
          <w:rFonts w:ascii="Verdana" w:hAnsi="Verdana"/>
          <w:sz w:val="20"/>
          <w:lang w:val="es-MX"/>
        </w:rPr>
        <w:t>años</w:t>
      </w:r>
      <w:r w:rsidR="005B0D20" w:rsidRPr="009B4333">
        <w:rPr>
          <w:rFonts w:ascii="Verdana" w:hAnsi="Verdana"/>
          <w:sz w:val="20"/>
          <w:lang w:val="es-MX"/>
        </w:rPr>
        <w:t xml:space="preserve"> desde el vencimiento del</w:t>
      </w:r>
      <w:r w:rsidR="00CE1688">
        <w:rPr>
          <w:rFonts w:ascii="Verdana" w:hAnsi="Verdana"/>
          <w:sz w:val="20"/>
          <w:lang w:val="es-MX"/>
        </w:rPr>
        <w:t xml:space="preserve"> primer</w:t>
      </w:r>
      <w:r w:rsidR="005B0D20" w:rsidRPr="009B4333">
        <w:rPr>
          <w:rFonts w:ascii="Verdana" w:hAnsi="Verdana"/>
          <w:sz w:val="20"/>
          <w:lang w:val="es-MX"/>
        </w:rPr>
        <w:t xml:space="preserve"> plazo dispuesto en la Resolución de </w:t>
      </w:r>
      <w:r w:rsidR="005B0BCA" w:rsidRPr="009B4333">
        <w:rPr>
          <w:rFonts w:ascii="Verdana" w:hAnsi="Verdana"/>
          <w:sz w:val="20"/>
          <w:lang w:val="es-MX"/>
        </w:rPr>
        <w:t>mayo</w:t>
      </w:r>
      <w:r w:rsidR="005B0D20" w:rsidRPr="009B4333">
        <w:rPr>
          <w:rFonts w:ascii="Verdana" w:hAnsi="Verdana"/>
          <w:sz w:val="20"/>
          <w:lang w:val="es-MX"/>
        </w:rPr>
        <w:t xml:space="preserve"> de </w:t>
      </w:r>
      <w:r w:rsidR="005B0BCA" w:rsidRPr="009B4333">
        <w:rPr>
          <w:rFonts w:ascii="Verdana" w:hAnsi="Verdana"/>
          <w:sz w:val="20"/>
          <w:lang w:val="es-MX"/>
        </w:rPr>
        <w:t>2010</w:t>
      </w:r>
      <w:r w:rsidR="005B0D20" w:rsidRPr="009B4333">
        <w:rPr>
          <w:rFonts w:ascii="Verdana" w:hAnsi="Verdana"/>
          <w:sz w:val="20"/>
          <w:lang w:val="es-MX"/>
        </w:rPr>
        <w:t xml:space="preserve"> (</w:t>
      </w:r>
      <w:r w:rsidR="005B0D20" w:rsidRPr="009B4333">
        <w:rPr>
          <w:rFonts w:ascii="Verdana" w:hAnsi="Verdana"/>
          <w:i/>
          <w:sz w:val="20"/>
          <w:lang w:val="es-MX"/>
        </w:rPr>
        <w:t>supra</w:t>
      </w:r>
      <w:r w:rsidR="005B0D20" w:rsidRPr="009B4333">
        <w:rPr>
          <w:rFonts w:ascii="Verdana" w:hAnsi="Verdana"/>
          <w:sz w:val="20"/>
          <w:lang w:val="es-MX"/>
        </w:rPr>
        <w:t xml:space="preserve"> </w:t>
      </w:r>
      <w:r w:rsidR="00832E5B">
        <w:rPr>
          <w:rFonts w:ascii="Verdana" w:hAnsi="Verdana"/>
          <w:sz w:val="20"/>
          <w:lang w:val="es-MX"/>
        </w:rPr>
        <w:t>Considerando</w:t>
      </w:r>
      <w:r w:rsidR="00CE1688">
        <w:rPr>
          <w:rFonts w:ascii="Verdana" w:hAnsi="Verdana"/>
          <w:sz w:val="20"/>
          <w:lang w:val="es-MX"/>
        </w:rPr>
        <w:t xml:space="preserve"> </w:t>
      </w:r>
      <w:r w:rsidR="00CE1688">
        <w:rPr>
          <w:rFonts w:ascii="Verdana" w:hAnsi="Verdana"/>
          <w:sz w:val="20"/>
          <w:lang w:val="es-MX"/>
        </w:rPr>
        <w:fldChar w:fldCharType="begin"/>
      </w:r>
      <w:r w:rsidR="00CE1688">
        <w:rPr>
          <w:rFonts w:ascii="Verdana" w:hAnsi="Verdana"/>
          <w:sz w:val="20"/>
          <w:lang w:val="es-MX"/>
        </w:rPr>
        <w:instrText xml:space="preserve"> REF _Ref437596545 \r \h </w:instrText>
      </w:r>
      <w:r w:rsidR="00CE1688">
        <w:rPr>
          <w:rFonts w:ascii="Verdana" w:hAnsi="Verdana"/>
          <w:sz w:val="20"/>
          <w:lang w:val="es-MX"/>
        </w:rPr>
      </w:r>
      <w:r w:rsidR="00CE1688">
        <w:rPr>
          <w:rFonts w:ascii="Verdana" w:hAnsi="Verdana"/>
          <w:sz w:val="20"/>
          <w:lang w:val="es-MX"/>
        </w:rPr>
        <w:fldChar w:fldCharType="separate"/>
      </w:r>
      <w:r w:rsidR="00EA6956">
        <w:rPr>
          <w:rFonts w:ascii="Verdana" w:hAnsi="Verdana"/>
          <w:sz w:val="20"/>
          <w:lang w:val="es-MX"/>
        </w:rPr>
        <w:t>2</w:t>
      </w:r>
      <w:r w:rsidR="00CE1688">
        <w:rPr>
          <w:rFonts w:ascii="Verdana" w:hAnsi="Verdana"/>
          <w:sz w:val="20"/>
          <w:lang w:val="es-MX"/>
        </w:rPr>
        <w:fldChar w:fldCharType="end"/>
      </w:r>
      <w:r w:rsidR="005B0D20" w:rsidRPr="009B4333">
        <w:rPr>
          <w:rFonts w:ascii="Verdana" w:hAnsi="Verdana"/>
          <w:sz w:val="20"/>
          <w:lang w:val="es-MX"/>
        </w:rPr>
        <w:t>)</w:t>
      </w:r>
      <w:r w:rsidR="00480DC4">
        <w:rPr>
          <w:rFonts w:ascii="Verdana" w:hAnsi="Verdana"/>
          <w:sz w:val="20"/>
          <w:lang w:val="es-MX"/>
        </w:rPr>
        <w:t xml:space="preserve">, sumado a </w:t>
      </w:r>
      <w:r w:rsidR="0063512B">
        <w:rPr>
          <w:rFonts w:ascii="Verdana" w:hAnsi="Verdana"/>
          <w:sz w:val="20"/>
          <w:lang w:val="es-MX"/>
        </w:rPr>
        <w:t>la</w:t>
      </w:r>
      <w:r w:rsidR="00480DC4">
        <w:rPr>
          <w:rFonts w:ascii="Verdana" w:hAnsi="Verdana"/>
          <w:sz w:val="20"/>
          <w:lang w:val="es-MX"/>
        </w:rPr>
        <w:t xml:space="preserve"> incomparecencia a la audiencia de supervisión de 2013, sin brindar explicación alguna al respecto</w:t>
      </w:r>
      <w:r w:rsidR="00C671BA" w:rsidRPr="009B4333">
        <w:rPr>
          <w:rFonts w:ascii="Verdana" w:hAnsi="Verdana"/>
          <w:sz w:val="20"/>
          <w:lang w:val="es-MX"/>
        </w:rPr>
        <w:t>,</w:t>
      </w:r>
      <w:r w:rsidR="00C671BA" w:rsidRPr="002160E3">
        <w:rPr>
          <w:rFonts w:ascii="Verdana" w:hAnsi="Verdana"/>
          <w:sz w:val="20"/>
          <w:lang w:val="es-MX"/>
        </w:rPr>
        <w:t xml:space="preserve"> </w:t>
      </w:r>
      <w:r w:rsidR="0063512B">
        <w:rPr>
          <w:rFonts w:ascii="Verdana" w:hAnsi="Verdana"/>
          <w:sz w:val="20"/>
          <w:lang w:val="es-MX"/>
        </w:rPr>
        <w:t>configuran</w:t>
      </w:r>
      <w:r w:rsidR="00624499" w:rsidRPr="002160E3">
        <w:rPr>
          <w:rFonts w:ascii="Verdana" w:hAnsi="Verdana"/>
          <w:sz w:val="20"/>
          <w:lang w:val="es-MX"/>
        </w:rPr>
        <w:t xml:space="preserve"> un</w:t>
      </w:r>
      <w:r w:rsidR="00EA2728">
        <w:rPr>
          <w:rFonts w:ascii="Verdana" w:hAnsi="Verdana"/>
          <w:sz w:val="20"/>
          <w:lang w:val="es-MX"/>
        </w:rPr>
        <w:t xml:space="preserve"> </w:t>
      </w:r>
      <w:r w:rsidR="00624499" w:rsidRPr="002160E3">
        <w:rPr>
          <w:rFonts w:ascii="Verdana" w:hAnsi="Verdana"/>
          <w:sz w:val="20"/>
          <w:lang w:val="es-MX"/>
        </w:rPr>
        <w:t xml:space="preserve">incumplimiento </w:t>
      </w:r>
      <w:r w:rsidR="00480DC4">
        <w:rPr>
          <w:rFonts w:ascii="Verdana" w:hAnsi="Verdana"/>
          <w:sz w:val="20"/>
          <w:lang w:val="es-MX"/>
        </w:rPr>
        <w:t xml:space="preserve">grave </w:t>
      </w:r>
      <w:r w:rsidR="00624499" w:rsidRPr="002160E3">
        <w:rPr>
          <w:rFonts w:ascii="Verdana" w:hAnsi="Verdana"/>
          <w:sz w:val="20"/>
          <w:lang w:val="es-MX"/>
        </w:rPr>
        <w:t xml:space="preserve">de </w:t>
      </w:r>
      <w:r w:rsidR="00AA06D7" w:rsidRPr="002160E3">
        <w:rPr>
          <w:rFonts w:ascii="Verdana" w:hAnsi="Verdana"/>
          <w:sz w:val="20"/>
          <w:lang w:val="es-MX"/>
        </w:rPr>
        <w:t>Nicaragua</w:t>
      </w:r>
      <w:r w:rsidR="00B3412F" w:rsidRPr="002160E3">
        <w:rPr>
          <w:rFonts w:ascii="Verdana" w:hAnsi="Verdana"/>
          <w:sz w:val="20"/>
          <w:lang w:val="es-MX"/>
        </w:rPr>
        <w:t xml:space="preserve"> </w:t>
      </w:r>
      <w:r w:rsidR="00672285">
        <w:rPr>
          <w:rFonts w:ascii="Verdana" w:hAnsi="Verdana"/>
          <w:sz w:val="20"/>
          <w:lang w:val="es-MX"/>
        </w:rPr>
        <w:t xml:space="preserve">de la </w:t>
      </w:r>
      <w:r w:rsidR="00624499" w:rsidRPr="002160E3">
        <w:rPr>
          <w:rFonts w:ascii="Verdana" w:hAnsi="Verdana"/>
          <w:sz w:val="20"/>
          <w:lang w:val="es-MX"/>
        </w:rPr>
        <w:t xml:space="preserve">obligación de informar al Tribunal. </w:t>
      </w:r>
      <w:r w:rsidR="0063512B">
        <w:rPr>
          <w:rFonts w:ascii="Verdana" w:hAnsi="Verdana"/>
          <w:sz w:val="20"/>
          <w:lang w:val="es-MX"/>
        </w:rPr>
        <w:t xml:space="preserve">A ello </w:t>
      </w:r>
      <w:r w:rsidR="00AA0507">
        <w:rPr>
          <w:rFonts w:ascii="Verdana" w:hAnsi="Verdana"/>
          <w:sz w:val="20"/>
          <w:lang w:val="es-MX"/>
        </w:rPr>
        <w:t xml:space="preserve">se agrega la </w:t>
      </w:r>
      <w:r w:rsidR="00B767C8" w:rsidRPr="002160E3">
        <w:rPr>
          <w:rFonts w:ascii="Verdana" w:hAnsi="Verdana"/>
          <w:sz w:val="20"/>
          <w:lang w:val="es-MX"/>
        </w:rPr>
        <w:t xml:space="preserve">falta </w:t>
      </w:r>
      <w:r w:rsidR="00186262">
        <w:rPr>
          <w:rFonts w:ascii="Verdana" w:hAnsi="Verdana"/>
          <w:sz w:val="20"/>
          <w:lang w:val="es-MX"/>
        </w:rPr>
        <w:t xml:space="preserve">de respuesta </w:t>
      </w:r>
      <w:r w:rsidR="00AA0507">
        <w:rPr>
          <w:rFonts w:ascii="Verdana" w:hAnsi="Verdana"/>
          <w:sz w:val="20"/>
          <w:lang w:val="es-MX"/>
        </w:rPr>
        <w:t xml:space="preserve">del Estado </w:t>
      </w:r>
      <w:r w:rsidR="00186262">
        <w:rPr>
          <w:rFonts w:ascii="Verdana" w:hAnsi="Verdana"/>
          <w:sz w:val="20"/>
          <w:lang w:val="es-MX"/>
        </w:rPr>
        <w:t xml:space="preserve">ante los múltiples requerimientos de la Corte y su Presidencia </w:t>
      </w:r>
      <w:r w:rsidR="00B767C8" w:rsidRPr="002160E3">
        <w:rPr>
          <w:rFonts w:ascii="Verdana" w:hAnsi="Verdana"/>
          <w:sz w:val="20"/>
          <w:lang w:val="es-MX"/>
        </w:rPr>
        <w:t xml:space="preserve">de presentación de información </w:t>
      </w:r>
      <w:r w:rsidR="00D21DD3">
        <w:rPr>
          <w:rFonts w:ascii="Verdana" w:hAnsi="Verdana"/>
          <w:sz w:val="20"/>
          <w:lang w:val="es-MX"/>
        </w:rPr>
        <w:t xml:space="preserve">efectuados mediante </w:t>
      </w:r>
      <w:r w:rsidR="00AA0507">
        <w:rPr>
          <w:rFonts w:ascii="Verdana" w:hAnsi="Verdana"/>
          <w:sz w:val="20"/>
          <w:lang w:val="es-MX"/>
        </w:rPr>
        <w:t xml:space="preserve">la </w:t>
      </w:r>
      <w:r w:rsidR="00D21DD3">
        <w:rPr>
          <w:rFonts w:ascii="Verdana" w:hAnsi="Verdana"/>
          <w:sz w:val="20"/>
          <w:lang w:val="es-MX"/>
        </w:rPr>
        <w:t>R</w:t>
      </w:r>
      <w:r w:rsidR="00186262">
        <w:rPr>
          <w:rFonts w:ascii="Verdana" w:hAnsi="Verdana"/>
          <w:sz w:val="20"/>
          <w:lang w:val="es-MX"/>
        </w:rPr>
        <w:t xml:space="preserve">esolución de 2013 y a través de posteriores notas de la Secretaría </w:t>
      </w:r>
      <w:r w:rsidR="00B767C8" w:rsidRPr="002160E3">
        <w:rPr>
          <w:rFonts w:ascii="Verdana" w:hAnsi="Verdana"/>
          <w:sz w:val="20"/>
          <w:lang w:val="es-MX"/>
        </w:rPr>
        <w:t>(</w:t>
      </w:r>
      <w:r w:rsidR="00B767C8" w:rsidRPr="002160E3">
        <w:rPr>
          <w:rFonts w:ascii="Verdana" w:hAnsi="Verdana"/>
          <w:i/>
          <w:sz w:val="20"/>
          <w:lang w:val="es-MX"/>
        </w:rPr>
        <w:t xml:space="preserve">supra </w:t>
      </w:r>
      <w:r w:rsidR="00186262" w:rsidRPr="00186262">
        <w:rPr>
          <w:rFonts w:ascii="Verdana" w:hAnsi="Verdana"/>
          <w:sz w:val="20"/>
          <w:lang w:val="es-MX"/>
        </w:rPr>
        <w:t xml:space="preserve">Vistos </w:t>
      </w:r>
      <w:r w:rsidR="00CE1688">
        <w:rPr>
          <w:rFonts w:ascii="Verdana" w:hAnsi="Verdana"/>
          <w:sz w:val="20"/>
          <w:lang w:val="es-MX"/>
        </w:rPr>
        <w:fldChar w:fldCharType="begin"/>
      </w:r>
      <w:r w:rsidR="00CE1688">
        <w:rPr>
          <w:rFonts w:ascii="Verdana" w:hAnsi="Verdana"/>
          <w:sz w:val="20"/>
          <w:lang w:val="es-MX"/>
        </w:rPr>
        <w:instrText xml:space="preserve"> REF _Ref437587001 \r \h </w:instrText>
      </w:r>
      <w:r w:rsidR="00CE1688">
        <w:rPr>
          <w:rFonts w:ascii="Verdana" w:hAnsi="Verdana"/>
          <w:sz w:val="20"/>
          <w:lang w:val="es-MX"/>
        </w:rPr>
      </w:r>
      <w:r w:rsidR="00CE1688">
        <w:rPr>
          <w:rFonts w:ascii="Verdana" w:hAnsi="Verdana"/>
          <w:sz w:val="20"/>
          <w:lang w:val="es-MX"/>
        </w:rPr>
        <w:fldChar w:fldCharType="separate"/>
      </w:r>
      <w:r w:rsidR="00EA6956">
        <w:rPr>
          <w:rFonts w:ascii="Verdana" w:hAnsi="Verdana"/>
          <w:sz w:val="20"/>
          <w:lang w:val="es-MX"/>
        </w:rPr>
        <w:t>4</w:t>
      </w:r>
      <w:r w:rsidR="00CE1688">
        <w:rPr>
          <w:rFonts w:ascii="Verdana" w:hAnsi="Verdana"/>
          <w:sz w:val="20"/>
          <w:lang w:val="es-MX"/>
        </w:rPr>
        <w:fldChar w:fldCharType="end"/>
      </w:r>
      <w:r w:rsidR="00186262">
        <w:rPr>
          <w:rFonts w:ascii="Verdana" w:hAnsi="Verdana"/>
          <w:sz w:val="20"/>
          <w:lang w:val="es-MX"/>
        </w:rPr>
        <w:t xml:space="preserve"> y </w:t>
      </w:r>
      <w:r w:rsidR="00CE1688">
        <w:rPr>
          <w:rFonts w:ascii="Verdana" w:hAnsi="Verdana"/>
          <w:sz w:val="20"/>
          <w:lang w:val="es-MX"/>
        </w:rPr>
        <w:fldChar w:fldCharType="begin"/>
      </w:r>
      <w:r w:rsidR="00CE1688">
        <w:rPr>
          <w:rFonts w:ascii="Verdana" w:hAnsi="Verdana"/>
          <w:sz w:val="20"/>
          <w:lang w:val="es-MX"/>
        </w:rPr>
        <w:instrText xml:space="preserve"> REF _Ref437595978 \r \h </w:instrText>
      </w:r>
      <w:r w:rsidR="00CE1688">
        <w:rPr>
          <w:rFonts w:ascii="Verdana" w:hAnsi="Verdana"/>
          <w:sz w:val="20"/>
          <w:lang w:val="es-MX"/>
        </w:rPr>
      </w:r>
      <w:r w:rsidR="00CE1688">
        <w:rPr>
          <w:rFonts w:ascii="Verdana" w:hAnsi="Verdana"/>
          <w:sz w:val="20"/>
          <w:lang w:val="es-MX"/>
        </w:rPr>
        <w:fldChar w:fldCharType="separate"/>
      </w:r>
      <w:r w:rsidR="00EA6956">
        <w:rPr>
          <w:rFonts w:ascii="Verdana" w:hAnsi="Verdana"/>
          <w:sz w:val="20"/>
          <w:lang w:val="es-MX"/>
        </w:rPr>
        <w:t>5</w:t>
      </w:r>
      <w:r w:rsidR="00CE1688">
        <w:rPr>
          <w:rFonts w:ascii="Verdana" w:hAnsi="Verdana"/>
          <w:sz w:val="20"/>
          <w:lang w:val="es-MX"/>
        </w:rPr>
        <w:fldChar w:fldCharType="end"/>
      </w:r>
      <w:r w:rsidR="00186262">
        <w:rPr>
          <w:rFonts w:ascii="Verdana" w:hAnsi="Verdana"/>
          <w:sz w:val="20"/>
          <w:lang w:val="es-MX"/>
        </w:rPr>
        <w:t xml:space="preserve"> </w:t>
      </w:r>
      <w:r w:rsidR="00186262" w:rsidRPr="00186262">
        <w:rPr>
          <w:rFonts w:ascii="Verdana" w:hAnsi="Verdana"/>
          <w:sz w:val="20"/>
          <w:lang w:val="es-MX"/>
        </w:rPr>
        <w:t>y</w:t>
      </w:r>
      <w:r w:rsidR="00186262">
        <w:rPr>
          <w:rFonts w:ascii="Verdana" w:hAnsi="Verdana"/>
          <w:i/>
          <w:sz w:val="20"/>
          <w:lang w:val="es-MX"/>
        </w:rPr>
        <w:t xml:space="preserve"> </w:t>
      </w:r>
      <w:r w:rsidR="00B767C8" w:rsidRPr="002160E3">
        <w:rPr>
          <w:rFonts w:ascii="Verdana" w:hAnsi="Verdana"/>
          <w:sz w:val="20"/>
          <w:lang w:val="es-MX"/>
        </w:rPr>
        <w:t>Considerando</w:t>
      </w:r>
      <w:r w:rsidR="00186262">
        <w:rPr>
          <w:rFonts w:ascii="Verdana" w:hAnsi="Verdana"/>
          <w:sz w:val="20"/>
          <w:lang w:val="es-MX"/>
        </w:rPr>
        <w:t>s</w:t>
      </w:r>
      <w:r w:rsidR="00B767C8" w:rsidRPr="002160E3">
        <w:rPr>
          <w:rFonts w:ascii="Verdana" w:hAnsi="Verdana"/>
          <w:sz w:val="20"/>
          <w:lang w:val="es-MX"/>
        </w:rPr>
        <w:t xml:space="preserve"> </w:t>
      </w:r>
      <w:r w:rsidR="00CE1688">
        <w:rPr>
          <w:rFonts w:ascii="Verdana" w:hAnsi="Verdana"/>
          <w:sz w:val="20"/>
          <w:lang w:val="es-MX"/>
        </w:rPr>
        <w:fldChar w:fldCharType="begin"/>
      </w:r>
      <w:r w:rsidR="00CE1688">
        <w:rPr>
          <w:rFonts w:ascii="Verdana" w:hAnsi="Verdana"/>
          <w:sz w:val="20"/>
          <w:lang w:val="es-MX"/>
        </w:rPr>
        <w:instrText xml:space="preserve"> REF _Ref437596545 \r \h </w:instrText>
      </w:r>
      <w:r w:rsidR="00CE1688">
        <w:rPr>
          <w:rFonts w:ascii="Verdana" w:hAnsi="Verdana"/>
          <w:sz w:val="20"/>
          <w:lang w:val="es-MX"/>
        </w:rPr>
      </w:r>
      <w:r w:rsidR="00CE1688">
        <w:rPr>
          <w:rFonts w:ascii="Verdana" w:hAnsi="Verdana"/>
          <w:sz w:val="20"/>
          <w:lang w:val="es-MX"/>
        </w:rPr>
        <w:fldChar w:fldCharType="separate"/>
      </w:r>
      <w:r w:rsidR="00EA6956">
        <w:rPr>
          <w:rFonts w:ascii="Verdana" w:hAnsi="Verdana"/>
          <w:sz w:val="20"/>
          <w:lang w:val="es-MX"/>
        </w:rPr>
        <w:t>2</w:t>
      </w:r>
      <w:r w:rsidR="00CE1688">
        <w:rPr>
          <w:rFonts w:ascii="Verdana" w:hAnsi="Verdana"/>
          <w:sz w:val="20"/>
          <w:lang w:val="es-MX"/>
        </w:rPr>
        <w:fldChar w:fldCharType="end"/>
      </w:r>
      <w:r w:rsidR="00186262">
        <w:rPr>
          <w:rFonts w:ascii="Verdana" w:hAnsi="Verdana"/>
          <w:sz w:val="20"/>
          <w:lang w:val="es-MX"/>
        </w:rPr>
        <w:t xml:space="preserve"> y </w:t>
      </w:r>
      <w:r w:rsidR="00CE1688">
        <w:rPr>
          <w:rFonts w:ascii="Verdana" w:hAnsi="Verdana"/>
          <w:sz w:val="20"/>
          <w:lang w:val="es-MX"/>
        </w:rPr>
        <w:fldChar w:fldCharType="begin"/>
      </w:r>
      <w:r w:rsidR="00CE1688">
        <w:rPr>
          <w:rFonts w:ascii="Verdana" w:hAnsi="Verdana"/>
          <w:sz w:val="20"/>
          <w:lang w:val="es-MX"/>
        </w:rPr>
        <w:instrText xml:space="preserve"> REF _Ref437596496 \r \h </w:instrText>
      </w:r>
      <w:r w:rsidR="00CE1688">
        <w:rPr>
          <w:rFonts w:ascii="Verdana" w:hAnsi="Verdana"/>
          <w:sz w:val="20"/>
          <w:lang w:val="es-MX"/>
        </w:rPr>
      </w:r>
      <w:r w:rsidR="00CE1688">
        <w:rPr>
          <w:rFonts w:ascii="Verdana" w:hAnsi="Verdana"/>
          <w:sz w:val="20"/>
          <w:lang w:val="es-MX"/>
        </w:rPr>
        <w:fldChar w:fldCharType="separate"/>
      </w:r>
      <w:r w:rsidR="00EA6956">
        <w:rPr>
          <w:rFonts w:ascii="Verdana" w:hAnsi="Verdana"/>
          <w:sz w:val="20"/>
          <w:lang w:val="es-MX"/>
        </w:rPr>
        <w:t>3</w:t>
      </w:r>
      <w:r w:rsidR="00CE1688">
        <w:rPr>
          <w:rFonts w:ascii="Verdana" w:hAnsi="Verdana"/>
          <w:sz w:val="20"/>
          <w:lang w:val="es-MX"/>
        </w:rPr>
        <w:fldChar w:fldCharType="end"/>
      </w:r>
      <w:r w:rsidR="00B767C8" w:rsidRPr="002160E3">
        <w:rPr>
          <w:rFonts w:ascii="Verdana" w:hAnsi="Verdana"/>
          <w:sz w:val="20"/>
          <w:lang w:val="es-MX"/>
        </w:rPr>
        <w:t>).</w:t>
      </w:r>
      <w:r w:rsidR="00A97066">
        <w:rPr>
          <w:rFonts w:ascii="Verdana" w:hAnsi="Verdana"/>
          <w:sz w:val="20"/>
          <w:lang w:val="es-MX"/>
        </w:rPr>
        <w:t xml:space="preserve"> </w:t>
      </w:r>
      <w:r w:rsidR="00A97066" w:rsidRPr="00E719FB">
        <w:rPr>
          <w:rFonts w:ascii="Verdana" w:hAnsi="Verdana"/>
          <w:sz w:val="20"/>
          <w:lang w:val="es-MX"/>
        </w:rPr>
        <w:t>Este Tribunal reitera</w:t>
      </w:r>
      <w:r w:rsidR="00A97066" w:rsidRPr="00E719FB">
        <w:rPr>
          <w:rFonts w:ascii="Verdana" w:hAnsi="Verdana" w:cs="Arial"/>
          <w:sz w:val="20"/>
          <w:lang w:val="es-ES"/>
        </w:rPr>
        <w:t xml:space="preserve"> que la </w:t>
      </w:r>
      <w:r w:rsidR="00A97066" w:rsidRPr="00E719FB">
        <w:rPr>
          <w:rFonts w:ascii="Verdana" w:hAnsi="Verdana" w:cs="Arial"/>
          <w:sz w:val="20"/>
          <w:lang w:val="es-ES"/>
        </w:rPr>
        <w:lastRenderedPageBreak/>
        <w:t>inactividad de un Estado ante una jurisdicción internacional de derechos humanos es contraria al objetivo, fin y espíritu de la Convención Americana.</w:t>
      </w:r>
      <w:bookmarkEnd w:id="14"/>
    </w:p>
    <w:p w:rsidR="00B3412F" w:rsidRPr="002160E3" w:rsidRDefault="00B3412F" w:rsidP="00B3412F">
      <w:pPr>
        <w:pStyle w:val="Sombreadovistoso-nfasis3"/>
        <w:ind w:left="0"/>
        <w:jc w:val="both"/>
        <w:rPr>
          <w:rFonts w:ascii="Verdana" w:hAnsi="Verdana"/>
          <w:sz w:val="20"/>
          <w:lang w:val="es-MX"/>
        </w:rPr>
      </w:pPr>
    </w:p>
    <w:p w:rsidR="004B7546" w:rsidRPr="00A97066" w:rsidRDefault="004D3568" w:rsidP="00A97066">
      <w:pPr>
        <w:numPr>
          <w:ilvl w:val="0"/>
          <w:numId w:val="46"/>
        </w:numPr>
        <w:ind w:left="0" w:firstLine="0"/>
        <w:jc w:val="both"/>
        <w:rPr>
          <w:rFonts w:ascii="Verdana" w:hAnsi="Verdana"/>
          <w:sz w:val="20"/>
          <w:lang w:val="es-MX"/>
        </w:rPr>
      </w:pPr>
      <w:bookmarkStart w:id="15" w:name="_Ref437598619"/>
      <w:r w:rsidRPr="00A97066">
        <w:rPr>
          <w:rFonts w:ascii="Verdana" w:hAnsi="Verdana"/>
          <w:sz w:val="20"/>
          <w:lang w:val="es-MX"/>
        </w:rPr>
        <w:t>En este sentido</w:t>
      </w:r>
      <w:r w:rsidR="003227AD" w:rsidRPr="00A97066">
        <w:rPr>
          <w:rFonts w:ascii="Verdana" w:hAnsi="Verdana"/>
          <w:sz w:val="20"/>
          <w:lang w:val="es-MX"/>
        </w:rPr>
        <w:t xml:space="preserve">, en la etapa de supervisión de cumplimiento de </w:t>
      </w:r>
      <w:r w:rsidR="00800647" w:rsidRPr="00A97066">
        <w:rPr>
          <w:rFonts w:ascii="Verdana" w:hAnsi="Verdana"/>
          <w:sz w:val="20"/>
          <w:lang w:val="es-MX"/>
        </w:rPr>
        <w:t>Sentencia</w:t>
      </w:r>
      <w:r w:rsidR="0006663A" w:rsidRPr="00A97066">
        <w:rPr>
          <w:rFonts w:ascii="Verdana" w:hAnsi="Verdana"/>
          <w:sz w:val="20"/>
          <w:lang w:val="es-MX"/>
        </w:rPr>
        <w:t>s</w:t>
      </w:r>
      <w:r w:rsidR="00800647" w:rsidRPr="00A97066">
        <w:rPr>
          <w:rFonts w:ascii="Verdana" w:hAnsi="Verdana"/>
          <w:sz w:val="20"/>
          <w:lang w:val="es-MX"/>
        </w:rPr>
        <w:t xml:space="preserve"> de </w:t>
      </w:r>
      <w:r w:rsidR="003227AD" w:rsidRPr="00A97066">
        <w:rPr>
          <w:rFonts w:ascii="Verdana" w:hAnsi="Verdana"/>
          <w:sz w:val="20"/>
          <w:lang w:val="es-MX"/>
        </w:rPr>
        <w:t>otros casos</w:t>
      </w:r>
      <w:r w:rsidR="00800647" w:rsidRPr="00A97066">
        <w:rPr>
          <w:rStyle w:val="Refdenotaalpie"/>
          <w:rFonts w:ascii="Verdana" w:hAnsi="Verdana"/>
          <w:sz w:val="20"/>
          <w:lang w:val="es-MX"/>
        </w:rPr>
        <w:footnoteReference w:id="21"/>
      </w:r>
      <w:r w:rsidR="003227AD" w:rsidRPr="00A97066">
        <w:rPr>
          <w:rFonts w:ascii="Verdana" w:hAnsi="Verdana"/>
          <w:sz w:val="20"/>
          <w:lang w:val="es-MX"/>
        </w:rPr>
        <w:t xml:space="preserve">, la Corte ha establecido que la falta del Estado </w:t>
      </w:r>
      <w:r w:rsidR="0006663A" w:rsidRPr="00A97066">
        <w:rPr>
          <w:rFonts w:ascii="Verdana" w:hAnsi="Verdana"/>
          <w:sz w:val="20"/>
          <w:lang w:val="es-MX"/>
        </w:rPr>
        <w:t xml:space="preserve">a </w:t>
      </w:r>
      <w:r w:rsidR="003227AD" w:rsidRPr="00A97066">
        <w:rPr>
          <w:rFonts w:ascii="Verdana" w:hAnsi="Verdana"/>
          <w:sz w:val="20"/>
          <w:lang w:val="es-MX"/>
        </w:rPr>
        <w:t>su deber de informar</w:t>
      </w:r>
      <w:r w:rsidR="00800647" w:rsidRPr="00A97066">
        <w:rPr>
          <w:rFonts w:ascii="Verdana" w:hAnsi="Verdana"/>
          <w:sz w:val="20"/>
          <w:lang w:val="es-MX"/>
        </w:rPr>
        <w:t xml:space="preserve"> </w:t>
      </w:r>
      <w:r w:rsidR="0006663A" w:rsidRPr="00A97066">
        <w:rPr>
          <w:rFonts w:ascii="Verdana" w:hAnsi="Verdana"/>
          <w:sz w:val="20"/>
          <w:lang w:val="es-MX"/>
        </w:rPr>
        <w:t xml:space="preserve">constituye </w:t>
      </w:r>
      <w:r w:rsidR="00800647" w:rsidRPr="00A97066">
        <w:rPr>
          <w:rFonts w:ascii="Verdana" w:hAnsi="Verdana"/>
          <w:sz w:val="20"/>
          <w:lang w:val="es-MX"/>
        </w:rPr>
        <w:t xml:space="preserve">un incumplimiento de </w:t>
      </w:r>
      <w:r w:rsidR="003F5ED5" w:rsidRPr="00A97066">
        <w:rPr>
          <w:rFonts w:ascii="Verdana" w:hAnsi="Verdana"/>
          <w:sz w:val="20"/>
          <w:lang w:val="es-MX"/>
        </w:rPr>
        <w:t>las</w:t>
      </w:r>
      <w:r w:rsidR="00800647" w:rsidRPr="00A97066">
        <w:rPr>
          <w:rFonts w:ascii="Verdana" w:hAnsi="Verdana"/>
          <w:sz w:val="20"/>
          <w:lang w:val="es-MX"/>
        </w:rPr>
        <w:t xml:space="preserve"> obligaciones convencionales establecidas en los artículos 67 y 68.1</w:t>
      </w:r>
      <w:r w:rsidR="00B524A5" w:rsidRPr="00A97066">
        <w:rPr>
          <w:rFonts w:ascii="Verdana" w:hAnsi="Verdana"/>
          <w:sz w:val="20"/>
          <w:lang w:val="es-MX"/>
        </w:rPr>
        <w:t xml:space="preserve"> (</w:t>
      </w:r>
      <w:r w:rsidR="00B524A5" w:rsidRPr="00A97066">
        <w:rPr>
          <w:rFonts w:ascii="Verdana" w:hAnsi="Verdana"/>
          <w:i/>
          <w:sz w:val="20"/>
          <w:lang w:val="es-MX"/>
        </w:rPr>
        <w:t>supra</w:t>
      </w:r>
      <w:r w:rsidR="00E43691" w:rsidRPr="00A97066">
        <w:rPr>
          <w:rFonts w:ascii="Verdana" w:hAnsi="Verdana"/>
          <w:sz w:val="20"/>
          <w:lang w:val="es-MX"/>
        </w:rPr>
        <w:t xml:space="preserve"> Considerando </w:t>
      </w:r>
      <w:r w:rsidR="00CE1688">
        <w:rPr>
          <w:rFonts w:ascii="Verdana" w:hAnsi="Verdana"/>
          <w:sz w:val="20"/>
          <w:lang w:val="es-MX"/>
        </w:rPr>
        <w:fldChar w:fldCharType="begin"/>
      </w:r>
      <w:r w:rsidR="00CE1688">
        <w:rPr>
          <w:rFonts w:ascii="Verdana" w:hAnsi="Verdana"/>
          <w:sz w:val="20"/>
          <w:lang w:val="es-MX"/>
        </w:rPr>
        <w:instrText xml:space="preserve"> REF _Ref437596883 \r \h </w:instrText>
      </w:r>
      <w:r w:rsidR="00CE1688">
        <w:rPr>
          <w:rFonts w:ascii="Verdana" w:hAnsi="Verdana"/>
          <w:sz w:val="20"/>
          <w:lang w:val="es-MX"/>
        </w:rPr>
      </w:r>
      <w:r w:rsidR="00CE1688">
        <w:rPr>
          <w:rFonts w:ascii="Verdana" w:hAnsi="Verdana"/>
          <w:sz w:val="20"/>
          <w:lang w:val="es-MX"/>
        </w:rPr>
        <w:fldChar w:fldCharType="separate"/>
      </w:r>
      <w:r w:rsidR="00EA6956">
        <w:rPr>
          <w:rFonts w:ascii="Verdana" w:hAnsi="Verdana"/>
          <w:sz w:val="20"/>
          <w:lang w:val="es-MX"/>
        </w:rPr>
        <w:t>4</w:t>
      </w:r>
      <w:r w:rsidR="00CE1688">
        <w:rPr>
          <w:rFonts w:ascii="Verdana" w:hAnsi="Verdana"/>
          <w:sz w:val="20"/>
          <w:lang w:val="es-MX"/>
        </w:rPr>
        <w:fldChar w:fldCharType="end"/>
      </w:r>
      <w:r w:rsidR="00B524A5" w:rsidRPr="00A97066">
        <w:rPr>
          <w:rFonts w:ascii="Verdana" w:hAnsi="Verdana"/>
          <w:sz w:val="20"/>
          <w:lang w:val="es-MX"/>
        </w:rPr>
        <w:t>)</w:t>
      </w:r>
      <w:r w:rsidR="00800647" w:rsidRPr="00A97066">
        <w:rPr>
          <w:rFonts w:ascii="Verdana" w:hAnsi="Verdana"/>
          <w:sz w:val="20"/>
          <w:lang w:val="es-MX"/>
        </w:rPr>
        <w:t>.</w:t>
      </w:r>
      <w:bookmarkEnd w:id="15"/>
      <w:r w:rsidR="00C40CD8" w:rsidRPr="00A97066">
        <w:rPr>
          <w:rFonts w:ascii="Verdana" w:hAnsi="Verdana"/>
          <w:sz w:val="20"/>
          <w:lang w:val="es-MX"/>
        </w:rPr>
        <w:t xml:space="preserve"> </w:t>
      </w:r>
    </w:p>
    <w:p w:rsidR="00C40CD8" w:rsidRDefault="00C40CD8" w:rsidP="00C40CD8">
      <w:pPr>
        <w:pStyle w:val="Cuadrculaclara-nfasis3"/>
        <w:rPr>
          <w:rFonts w:ascii="Verdana" w:hAnsi="Verdana"/>
          <w:sz w:val="20"/>
          <w:lang w:val="es-MX"/>
        </w:rPr>
      </w:pPr>
    </w:p>
    <w:p w:rsidR="006163C1" w:rsidRPr="006163C1" w:rsidRDefault="0086197E" w:rsidP="00525572">
      <w:pPr>
        <w:numPr>
          <w:ilvl w:val="0"/>
          <w:numId w:val="46"/>
        </w:numPr>
        <w:ind w:left="0" w:firstLine="0"/>
        <w:jc w:val="both"/>
        <w:rPr>
          <w:rFonts w:ascii="Verdana" w:hAnsi="Verdana"/>
          <w:sz w:val="20"/>
          <w:lang w:val="es-MX"/>
        </w:rPr>
      </w:pPr>
      <w:bookmarkStart w:id="16" w:name="_Ref437587155"/>
      <w:r w:rsidRPr="005B0BCA">
        <w:rPr>
          <w:rFonts w:ascii="Verdana" w:hAnsi="Verdana"/>
          <w:sz w:val="20"/>
          <w:lang w:val="es-MX"/>
        </w:rPr>
        <w:t>Además de dicho</w:t>
      </w:r>
      <w:r w:rsidR="00C40CD8" w:rsidRPr="005B0BCA">
        <w:rPr>
          <w:rFonts w:ascii="Verdana" w:hAnsi="Verdana"/>
          <w:sz w:val="20"/>
          <w:lang w:val="es-MX"/>
        </w:rPr>
        <w:t xml:space="preserve"> incumplimiento al deber de informar</w:t>
      </w:r>
      <w:r w:rsidRPr="005B0BCA">
        <w:rPr>
          <w:rFonts w:ascii="Verdana" w:hAnsi="Verdana"/>
          <w:sz w:val="20"/>
          <w:lang w:val="es-MX"/>
        </w:rPr>
        <w:t>, los escritos allegados por los representantes permiten afirmar que las reparaciones indicadas (</w:t>
      </w:r>
      <w:r w:rsidRPr="002502CA">
        <w:rPr>
          <w:rFonts w:ascii="Verdana" w:hAnsi="Verdana"/>
          <w:i/>
          <w:sz w:val="20"/>
          <w:lang w:val="es-MX"/>
        </w:rPr>
        <w:t>supra</w:t>
      </w:r>
      <w:r w:rsidRPr="005B0BCA">
        <w:rPr>
          <w:rFonts w:ascii="Verdana" w:hAnsi="Verdana"/>
          <w:sz w:val="20"/>
          <w:lang w:val="es-MX"/>
        </w:rPr>
        <w:t xml:space="preserve"> Considerando 1) continúan pendientes de ejecución por Nicaragua. </w:t>
      </w:r>
      <w:r w:rsidR="00C40CD8" w:rsidRPr="005B0BCA">
        <w:rPr>
          <w:rFonts w:ascii="Verdana" w:hAnsi="Verdana"/>
          <w:sz w:val="20"/>
          <w:lang w:val="es-MX"/>
        </w:rPr>
        <w:t>Según lo</w:t>
      </w:r>
      <w:r w:rsidR="006762E2">
        <w:rPr>
          <w:rFonts w:ascii="Verdana" w:hAnsi="Verdana"/>
          <w:sz w:val="20"/>
          <w:lang w:val="es-MX"/>
        </w:rPr>
        <w:t xml:space="preserve"> informado por lo</w:t>
      </w:r>
      <w:r w:rsidR="00C40CD8" w:rsidRPr="005B0BCA">
        <w:rPr>
          <w:rFonts w:ascii="Verdana" w:hAnsi="Verdana"/>
          <w:sz w:val="20"/>
          <w:lang w:val="es-MX"/>
        </w:rPr>
        <w:t>s representantes,</w:t>
      </w:r>
      <w:r w:rsidR="00CE1688">
        <w:rPr>
          <w:rFonts w:ascii="Verdana" w:hAnsi="Verdana"/>
          <w:sz w:val="20"/>
          <w:lang w:val="es-MX"/>
        </w:rPr>
        <w:t xml:space="preserve"> mediante su escrito de </w:t>
      </w:r>
      <w:r w:rsidR="008F4B6E">
        <w:rPr>
          <w:rFonts w:ascii="Verdana" w:hAnsi="Verdana"/>
          <w:sz w:val="20"/>
          <w:lang w:val="es-MX"/>
        </w:rPr>
        <w:t>2014</w:t>
      </w:r>
      <w:r w:rsidR="00CE1688">
        <w:rPr>
          <w:rFonts w:ascii="Verdana" w:hAnsi="Verdana"/>
          <w:sz w:val="20"/>
          <w:lang w:val="es-MX"/>
        </w:rPr>
        <w:t xml:space="preserve"> (</w:t>
      </w:r>
      <w:r w:rsidR="00CE1688">
        <w:rPr>
          <w:rFonts w:ascii="Verdana" w:hAnsi="Verdana"/>
          <w:i/>
          <w:sz w:val="20"/>
          <w:lang w:val="es-MX"/>
        </w:rPr>
        <w:t>supra</w:t>
      </w:r>
      <w:r w:rsidR="00CE1688">
        <w:rPr>
          <w:rFonts w:ascii="Verdana" w:hAnsi="Verdana"/>
          <w:sz w:val="20"/>
          <w:lang w:val="es-MX"/>
        </w:rPr>
        <w:t xml:space="preserve"> Visto </w:t>
      </w:r>
      <w:r w:rsidR="008F4B6E">
        <w:rPr>
          <w:rFonts w:ascii="Verdana" w:hAnsi="Verdana"/>
          <w:sz w:val="20"/>
          <w:lang w:val="es-MX"/>
        </w:rPr>
        <w:fldChar w:fldCharType="begin"/>
      </w:r>
      <w:r w:rsidR="008F4B6E">
        <w:rPr>
          <w:rFonts w:ascii="Verdana" w:hAnsi="Verdana"/>
          <w:sz w:val="20"/>
          <w:lang w:val="es-MX"/>
        </w:rPr>
        <w:instrText xml:space="preserve"> REF _Ref437852461 \r \h </w:instrText>
      </w:r>
      <w:r w:rsidR="008F4B6E">
        <w:rPr>
          <w:rFonts w:ascii="Verdana" w:hAnsi="Verdana"/>
          <w:sz w:val="20"/>
          <w:lang w:val="es-MX"/>
        </w:rPr>
      </w:r>
      <w:r w:rsidR="008F4B6E">
        <w:rPr>
          <w:rFonts w:ascii="Verdana" w:hAnsi="Verdana"/>
          <w:sz w:val="20"/>
          <w:lang w:val="es-MX"/>
        </w:rPr>
        <w:fldChar w:fldCharType="separate"/>
      </w:r>
      <w:r w:rsidR="00EA6956">
        <w:rPr>
          <w:rFonts w:ascii="Verdana" w:hAnsi="Verdana"/>
          <w:sz w:val="20"/>
          <w:lang w:val="es-MX"/>
        </w:rPr>
        <w:t>6</w:t>
      </w:r>
      <w:r w:rsidR="008F4B6E">
        <w:rPr>
          <w:rFonts w:ascii="Verdana" w:hAnsi="Verdana"/>
          <w:sz w:val="20"/>
          <w:lang w:val="es-MX"/>
        </w:rPr>
        <w:fldChar w:fldCharType="end"/>
      </w:r>
      <w:r w:rsidR="00CE1688">
        <w:rPr>
          <w:rFonts w:ascii="Verdana" w:hAnsi="Verdana"/>
          <w:sz w:val="20"/>
          <w:lang w:val="es-MX"/>
        </w:rPr>
        <w:t>),</w:t>
      </w:r>
      <w:r w:rsidR="00C40CD8" w:rsidRPr="005B0BCA">
        <w:rPr>
          <w:rFonts w:ascii="Verdana" w:hAnsi="Verdana"/>
          <w:sz w:val="20"/>
          <w:lang w:val="es-MX"/>
        </w:rPr>
        <w:t xml:space="preserve"> no han existido avances en la publicación radial de la Sentencia ni en el pago de los intereses moratorios, ni tampoco en las modificaciones a la normativa electoral nicaragüense. </w:t>
      </w:r>
      <w:r w:rsidR="00201E8E" w:rsidRPr="005B0BCA">
        <w:rPr>
          <w:rFonts w:ascii="Verdana" w:hAnsi="Verdana"/>
          <w:sz w:val="20"/>
          <w:lang w:val="es-MX"/>
        </w:rPr>
        <w:t>Destacaron que</w:t>
      </w:r>
      <w:r w:rsidR="004B75DD" w:rsidRPr="005B0BCA">
        <w:rPr>
          <w:rFonts w:ascii="Verdana" w:hAnsi="Verdana"/>
          <w:sz w:val="20"/>
          <w:lang w:val="es-MX"/>
        </w:rPr>
        <w:t xml:space="preserve">, como consecuencia de la falta de las referidas modificaciones legislativas, en </w:t>
      </w:r>
      <w:r w:rsidR="00201E8E" w:rsidRPr="005B0BCA">
        <w:rPr>
          <w:rFonts w:ascii="Verdana" w:hAnsi="Verdana"/>
          <w:sz w:val="20"/>
          <w:lang w:val="es-MX"/>
        </w:rPr>
        <w:t xml:space="preserve">los </w:t>
      </w:r>
      <w:r w:rsidR="004B75DD" w:rsidRPr="005B0BCA">
        <w:rPr>
          <w:rFonts w:ascii="Verdana" w:hAnsi="Verdana"/>
          <w:sz w:val="20"/>
          <w:lang w:val="es-MX"/>
        </w:rPr>
        <w:t xml:space="preserve">procesos electorales </w:t>
      </w:r>
      <w:r w:rsidR="00201E8E" w:rsidRPr="005B0BCA">
        <w:rPr>
          <w:rFonts w:ascii="Verdana" w:hAnsi="Verdana"/>
          <w:sz w:val="20"/>
          <w:lang w:val="es-MX"/>
        </w:rPr>
        <w:t xml:space="preserve">municipales </w:t>
      </w:r>
      <w:r w:rsidR="004B75DD" w:rsidRPr="005B0BCA">
        <w:rPr>
          <w:rFonts w:ascii="Verdana" w:hAnsi="Verdana"/>
          <w:sz w:val="20"/>
          <w:lang w:val="es-MX"/>
        </w:rPr>
        <w:t xml:space="preserve">entre 2008 y 2013 </w:t>
      </w:r>
      <w:r w:rsidR="00201E8E" w:rsidRPr="005B0BCA">
        <w:rPr>
          <w:rFonts w:ascii="Verdana" w:hAnsi="Verdana"/>
          <w:sz w:val="20"/>
          <w:lang w:val="es-MX"/>
        </w:rPr>
        <w:t xml:space="preserve">se han presentado </w:t>
      </w:r>
      <w:r w:rsidR="004B75DD" w:rsidRPr="005B0BCA">
        <w:rPr>
          <w:rFonts w:ascii="Verdana" w:hAnsi="Verdana"/>
          <w:sz w:val="20"/>
          <w:lang w:val="es-MX"/>
        </w:rPr>
        <w:t xml:space="preserve">“deficiencias” que “siguen constituyendo fuente de violaciones de derechos humanos”; </w:t>
      </w:r>
      <w:r w:rsidR="00BB5992" w:rsidRPr="005B0BCA">
        <w:rPr>
          <w:rFonts w:ascii="Verdana" w:hAnsi="Verdana"/>
          <w:sz w:val="20"/>
          <w:lang w:val="es-MX"/>
        </w:rPr>
        <w:t xml:space="preserve">afirmaron </w:t>
      </w:r>
      <w:r w:rsidR="004B75DD" w:rsidRPr="005B0BCA">
        <w:rPr>
          <w:rFonts w:ascii="Verdana" w:hAnsi="Verdana"/>
          <w:sz w:val="20"/>
          <w:lang w:val="es-MX"/>
        </w:rPr>
        <w:t>que “[e]l sistema electoral actual condiciona la participación de organizaciones indígenas a alianzas electorales con partidos políticos nacionales no indígenas como única forma de participación en procesos electorales”</w:t>
      </w:r>
      <w:r w:rsidR="00FA6FDD">
        <w:rPr>
          <w:rStyle w:val="Refdenotaalpie"/>
          <w:rFonts w:ascii="Verdana" w:hAnsi="Verdana"/>
          <w:sz w:val="20"/>
          <w:lang w:val="es-MX"/>
        </w:rPr>
        <w:footnoteReference w:id="22"/>
      </w:r>
      <w:r w:rsidR="008B399B" w:rsidRPr="005B0BCA">
        <w:rPr>
          <w:rFonts w:ascii="Verdana" w:hAnsi="Verdana"/>
          <w:sz w:val="20"/>
          <w:lang w:val="es-MX"/>
        </w:rPr>
        <w:t xml:space="preserve">. </w:t>
      </w:r>
      <w:r w:rsidR="006163C1" w:rsidRPr="007275C8">
        <w:rPr>
          <w:rFonts w:ascii="Verdana" w:hAnsi="Verdana"/>
          <w:sz w:val="20"/>
          <w:lang w:val="es-MX"/>
        </w:rPr>
        <w:t>El Estado, con su sil</w:t>
      </w:r>
      <w:r w:rsidR="007275C8">
        <w:rPr>
          <w:rFonts w:ascii="Verdana" w:hAnsi="Verdana"/>
          <w:sz w:val="20"/>
          <w:lang w:val="es-MX"/>
        </w:rPr>
        <w:t>encio, no contradijo lo sostenido</w:t>
      </w:r>
      <w:r w:rsidR="006163C1" w:rsidRPr="007275C8">
        <w:rPr>
          <w:rFonts w:ascii="Verdana" w:hAnsi="Verdana"/>
          <w:sz w:val="20"/>
          <w:lang w:val="es-MX"/>
        </w:rPr>
        <w:t xml:space="preserve"> por los representantes.</w:t>
      </w:r>
      <w:bookmarkEnd w:id="16"/>
      <w:r w:rsidR="006163C1" w:rsidRPr="007275C8">
        <w:rPr>
          <w:rFonts w:ascii="Verdana" w:hAnsi="Verdana"/>
          <w:sz w:val="20"/>
          <w:lang w:val="es-MX"/>
        </w:rPr>
        <w:t xml:space="preserve"> </w:t>
      </w:r>
    </w:p>
    <w:p w:rsidR="0086197E" w:rsidRDefault="0086197E" w:rsidP="006163C1">
      <w:pPr>
        <w:jc w:val="both"/>
        <w:rPr>
          <w:rFonts w:ascii="Verdana" w:hAnsi="Verdana"/>
          <w:sz w:val="20"/>
          <w:lang w:val="es-MX"/>
        </w:rPr>
      </w:pPr>
    </w:p>
    <w:p w:rsidR="00FA6FDD" w:rsidRDefault="00FA6FDD" w:rsidP="00FA6FDD">
      <w:pPr>
        <w:pStyle w:val="Listavistosa-nfasis1"/>
        <w:rPr>
          <w:rFonts w:ascii="Verdana" w:hAnsi="Verdana"/>
          <w:sz w:val="20"/>
          <w:lang w:val="es-MX"/>
        </w:rPr>
      </w:pPr>
    </w:p>
    <w:p w:rsidR="00FA6FDD" w:rsidRPr="007275C8" w:rsidRDefault="00FA6FDD" w:rsidP="00FA6FDD">
      <w:pPr>
        <w:numPr>
          <w:ilvl w:val="0"/>
          <w:numId w:val="46"/>
        </w:numPr>
        <w:ind w:left="0" w:firstLine="0"/>
        <w:jc w:val="both"/>
        <w:rPr>
          <w:rFonts w:ascii="Verdana" w:hAnsi="Verdana"/>
          <w:sz w:val="20"/>
          <w:lang w:val="es-MX"/>
        </w:rPr>
      </w:pPr>
      <w:bookmarkStart w:id="17" w:name="_Ref437587240"/>
      <w:r w:rsidRPr="007275C8">
        <w:rPr>
          <w:rFonts w:ascii="Verdana" w:hAnsi="Verdana"/>
          <w:sz w:val="20"/>
          <w:lang w:val="es-MX"/>
        </w:rPr>
        <w:t xml:space="preserve">Además, Nicaragua no </w:t>
      </w:r>
      <w:r w:rsidR="006163C1" w:rsidRPr="007275C8">
        <w:rPr>
          <w:rFonts w:ascii="Verdana" w:hAnsi="Verdana"/>
          <w:sz w:val="20"/>
          <w:lang w:val="es-MX"/>
        </w:rPr>
        <w:t xml:space="preserve">presentó </w:t>
      </w:r>
      <w:r w:rsidR="00411DDC" w:rsidRPr="007275C8">
        <w:rPr>
          <w:rFonts w:ascii="Verdana" w:hAnsi="Verdana"/>
          <w:sz w:val="20"/>
          <w:lang w:val="es-MX"/>
        </w:rPr>
        <w:t xml:space="preserve">las </w:t>
      </w:r>
      <w:r w:rsidRPr="007275C8">
        <w:rPr>
          <w:rFonts w:ascii="Verdana" w:hAnsi="Verdana"/>
          <w:sz w:val="20"/>
          <w:lang w:val="es-MX"/>
        </w:rPr>
        <w:t>observaciones que le fueron requeridas (</w:t>
      </w:r>
      <w:r w:rsidRPr="007275C8">
        <w:rPr>
          <w:rFonts w:ascii="Verdana" w:hAnsi="Verdana"/>
          <w:i/>
          <w:sz w:val="20"/>
          <w:lang w:val="es-MX"/>
        </w:rPr>
        <w:t>supra</w:t>
      </w:r>
      <w:r w:rsidRPr="007275C8">
        <w:rPr>
          <w:rFonts w:ascii="Verdana" w:hAnsi="Verdana"/>
          <w:sz w:val="20"/>
          <w:lang w:val="es-MX"/>
        </w:rPr>
        <w:t xml:space="preserve"> Visto </w:t>
      </w:r>
      <w:r w:rsidR="00D93DFA">
        <w:rPr>
          <w:rFonts w:ascii="Verdana" w:hAnsi="Verdana"/>
          <w:sz w:val="20"/>
          <w:lang w:val="es-MX"/>
        </w:rPr>
        <w:fldChar w:fldCharType="begin"/>
      </w:r>
      <w:r w:rsidR="00D93DFA">
        <w:rPr>
          <w:rFonts w:ascii="Verdana" w:hAnsi="Verdana"/>
          <w:sz w:val="20"/>
          <w:lang w:val="es-MX"/>
        </w:rPr>
        <w:instrText xml:space="preserve"> REF _Ref437597571 \r \h </w:instrText>
      </w:r>
      <w:r w:rsidR="00D93DFA">
        <w:rPr>
          <w:rFonts w:ascii="Verdana" w:hAnsi="Verdana"/>
          <w:sz w:val="20"/>
          <w:lang w:val="es-MX"/>
        </w:rPr>
      </w:r>
      <w:r w:rsidR="00D93DFA">
        <w:rPr>
          <w:rFonts w:ascii="Verdana" w:hAnsi="Verdana"/>
          <w:sz w:val="20"/>
          <w:lang w:val="es-MX"/>
        </w:rPr>
        <w:fldChar w:fldCharType="separate"/>
      </w:r>
      <w:r w:rsidR="00EA6956">
        <w:rPr>
          <w:rFonts w:ascii="Verdana" w:hAnsi="Verdana"/>
          <w:sz w:val="20"/>
          <w:lang w:val="es-MX"/>
        </w:rPr>
        <w:t>8</w:t>
      </w:r>
      <w:r w:rsidR="00D93DFA">
        <w:rPr>
          <w:rFonts w:ascii="Verdana" w:hAnsi="Verdana"/>
          <w:sz w:val="20"/>
          <w:lang w:val="es-MX"/>
        </w:rPr>
        <w:fldChar w:fldCharType="end"/>
      </w:r>
      <w:r w:rsidRPr="007275C8">
        <w:rPr>
          <w:rFonts w:ascii="Verdana" w:hAnsi="Verdana"/>
          <w:sz w:val="20"/>
          <w:lang w:val="es-MX"/>
        </w:rPr>
        <w:t>) respecto al escrito de los representantes de 22 de mayo de 2015 (</w:t>
      </w:r>
      <w:r w:rsidRPr="007275C8">
        <w:rPr>
          <w:rFonts w:ascii="Verdana" w:hAnsi="Verdana"/>
          <w:i/>
          <w:sz w:val="20"/>
          <w:lang w:val="es-MX"/>
        </w:rPr>
        <w:t>supra</w:t>
      </w:r>
      <w:r w:rsidRPr="007275C8">
        <w:rPr>
          <w:rFonts w:ascii="Verdana" w:hAnsi="Verdana"/>
          <w:sz w:val="20"/>
          <w:lang w:val="es-MX"/>
        </w:rPr>
        <w:t xml:space="preserve"> Visto </w:t>
      </w:r>
      <w:r w:rsidR="00D93DFA">
        <w:rPr>
          <w:rFonts w:ascii="Verdana" w:hAnsi="Verdana"/>
          <w:sz w:val="20"/>
          <w:lang w:val="es-MX"/>
        </w:rPr>
        <w:fldChar w:fldCharType="begin"/>
      </w:r>
      <w:r w:rsidR="00D93DFA">
        <w:rPr>
          <w:rFonts w:ascii="Verdana" w:hAnsi="Verdana"/>
          <w:sz w:val="20"/>
          <w:lang w:val="es-MX"/>
        </w:rPr>
        <w:instrText xml:space="preserve"> REF _Ref437587304 \r \h </w:instrText>
      </w:r>
      <w:r w:rsidR="00D93DFA">
        <w:rPr>
          <w:rFonts w:ascii="Verdana" w:hAnsi="Verdana"/>
          <w:sz w:val="20"/>
          <w:lang w:val="es-MX"/>
        </w:rPr>
      </w:r>
      <w:r w:rsidR="00D93DFA">
        <w:rPr>
          <w:rFonts w:ascii="Verdana" w:hAnsi="Verdana"/>
          <w:sz w:val="20"/>
          <w:lang w:val="es-MX"/>
        </w:rPr>
        <w:fldChar w:fldCharType="separate"/>
      </w:r>
      <w:r w:rsidR="00EA6956">
        <w:rPr>
          <w:rFonts w:ascii="Verdana" w:hAnsi="Verdana"/>
          <w:sz w:val="20"/>
          <w:lang w:val="es-MX"/>
        </w:rPr>
        <w:t>7</w:t>
      </w:r>
      <w:r w:rsidR="00D93DFA">
        <w:rPr>
          <w:rFonts w:ascii="Verdana" w:hAnsi="Verdana"/>
          <w:sz w:val="20"/>
          <w:lang w:val="es-MX"/>
        </w:rPr>
        <w:fldChar w:fldCharType="end"/>
      </w:r>
      <w:r w:rsidRPr="007275C8">
        <w:rPr>
          <w:rFonts w:ascii="Verdana" w:hAnsi="Verdana"/>
          <w:sz w:val="20"/>
          <w:lang w:val="es-MX"/>
        </w:rPr>
        <w:t xml:space="preserve">), en el que </w:t>
      </w:r>
      <w:r w:rsidR="006163C1" w:rsidRPr="007275C8">
        <w:rPr>
          <w:rFonts w:ascii="Verdana" w:hAnsi="Verdana"/>
          <w:sz w:val="20"/>
          <w:lang w:val="es-MX"/>
        </w:rPr>
        <w:t xml:space="preserve">se refirieron a </w:t>
      </w:r>
      <w:r w:rsidRPr="007275C8">
        <w:rPr>
          <w:rFonts w:ascii="Verdana" w:hAnsi="Verdana"/>
          <w:sz w:val="20"/>
          <w:lang w:val="es-MX"/>
        </w:rPr>
        <w:t>“hechos recientes de agresión [en el aeropuerto de Managua] en contra de dos de los representantes de las víctimas integrantes de CEJIL”</w:t>
      </w:r>
      <w:r w:rsidRPr="007275C8">
        <w:rPr>
          <w:rStyle w:val="Refdenotaalpie"/>
          <w:rFonts w:ascii="Verdana" w:hAnsi="Verdana"/>
          <w:sz w:val="20"/>
          <w:lang w:val="es-CR"/>
        </w:rPr>
        <w:footnoteReference w:id="23"/>
      </w:r>
      <w:r w:rsidRPr="007275C8">
        <w:rPr>
          <w:rFonts w:ascii="Verdana" w:hAnsi="Verdana"/>
          <w:sz w:val="20"/>
          <w:lang w:val="es-CR"/>
        </w:rPr>
        <w:t xml:space="preserve">. </w:t>
      </w:r>
      <w:r w:rsidRPr="007275C8">
        <w:rPr>
          <w:rFonts w:ascii="Verdana" w:hAnsi="Verdana"/>
          <w:sz w:val="20"/>
          <w:lang w:val="es-MX"/>
        </w:rPr>
        <w:t>Como</w:t>
      </w:r>
      <w:r w:rsidR="00411DDC" w:rsidRPr="007275C8">
        <w:rPr>
          <w:rFonts w:ascii="Verdana" w:hAnsi="Verdana"/>
          <w:sz w:val="20"/>
          <w:lang w:val="es-MX"/>
        </w:rPr>
        <w:t xml:space="preserve"> consecuencia de ello, la Corte destaca</w:t>
      </w:r>
      <w:r w:rsidRPr="007275C8">
        <w:rPr>
          <w:rFonts w:ascii="Verdana" w:hAnsi="Verdana"/>
          <w:sz w:val="20"/>
          <w:lang w:val="es-MX"/>
        </w:rPr>
        <w:t xml:space="preserve"> que “la defensa de los derechos humanos sólo puede ejercerse libremente cuando las personas que la realizan no son víctimas de amenazas ni de cualquier tipo de agresiones físicas, psíquicas o morales u otros actos de hostigamiento”</w:t>
      </w:r>
      <w:r w:rsidRPr="007275C8">
        <w:rPr>
          <w:rStyle w:val="Refdenotaalpie"/>
          <w:rFonts w:ascii="Verdana" w:hAnsi="Verdana"/>
          <w:sz w:val="20"/>
          <w:lang w:val="es-MX"/>
        </w:rPr>
        <w:footnoteReference w:id="24"/>
      </w:r>
      <w:r w:rsidRPr="007275C8">
        <w:rPr>
          <w:rFonts w:ascii="Verdana" w:hAnsi="Verdana"/>
          <w:sz w:val="20"/>
          <w:lang w:val="es-MX"/>
        </w:rPr>
        <w:t xml:space="preserve">. Por lo tanto, se </w:t>
      </w:r>
      <w:r w:rsidRPr="00D93DFA">
        <w:rPr>
          <w:rFonts w:ascii="Verdana" w:hAnsi="Verdana"/>
          <w:sz w:val="20"/>
          <w:lang w:val="es-MX"/>
        </w:rPr>
        <w:t>requiere</w:t>
      </w:r>
      <w:r w:rsidRPr="007275C8">
        <w:rPr>
          <w:rFonts w:ascii="Verdana" w:hAnsi="Verdana"/>
          <w:sz w:val="20"/>
          <w:lang w:val="es-MX"/>
        </w:rPr>
        <w:t xml:space="preserve"> al Estado que garantice que los representantes de las víctimas puedan</w:t>
      </w:r>
      <w:r w:rsidR="006163C1" w:rsidRPr="007275C8">
        <w:rPr>
          <w:rFonts w:ascii="Verdana" w:hAnsi="Verdana"/>
          <w:sz w:val="20"/>
          <w:lang w:val="es-MX"/>
        </w:rPr>
        <w:t xml:space="preserve"> ejercer libremente su labor en</w:t>
      </w:r>
      <w:r w:rsidRPr="007275C8">
        <w:rPr>
          <w:rFonts w:ascii="Verdana" w:hAnsi="Verdana"/>
          <w:sz w:val="20"/>
          <w:lang w:val="es-MX"/>
        </w:rPr>
        <w:t xml:space="preserve"> relación con el impulso al cumplimiento de la Sentencia.</w:t>
      </w:r>
      <w:bookmarkEnd w:id="17"/>
      <w:r w:rsidRPr="007275C8">
        <w:rPr>
          <w:rFonts w:ascii="Verdana" w:hAnsi="Verdana"/>
          <w:sz w:val="20"/>
          <w:lang w:val="es-MX"/>
        </w:rPr>
        <w:t xml:space="preserve"> </w:t>
      </w:r>
    </w:p>
    <w:p w:rsidR="00C40CD8" w:rsidRDefault="00C40CD8" w:rsidP="000027CF">
      <w:pPr>
        <w:jc w:val="both"/>
        <w:rPr>
          <w:rFonts w:ascii="Verdana" w:hAnsi="Verdana"/>
          <w:sz w:val="20"/>
          <w:highlight w:val="yellow"/>
          <w:lang w:val="es-MX"/>
        </w:rPr>
      </w:pPr>
    </w:p>
    <w:p w:rsidR="00D5451B" w:rsidRPr="00FA6FDD" w:rsidRDefault="000027CF" w:rsidP="00BA0C22">
      <w:pPr>
        <w:numPr>
          <w:ilvl w:val="0"/>
          <w:numId w:val="46"/>
        </w:numPr>
        <w:ind w:left="0" w:firstLine="0"/>
        <w:jc w:val="both"/>
        <w:rPr>
          <w:rFonts w:ascii="Verdana" w:hAnsi="Verdana"/>
          <w:sz w:val="18"/>
          <w:lang w:val="es-MX"/>
        </w:rPr>
      </w:pPr>
      <w:r w:rsidRPr="003729BE">
        <w:rPr>
          <w:rFonts w:ascii="Verdana" w:hAnsi="Verdana"/>
          <w:sz w:val="20"/>
          <w:lang w:val="es-MX"/>
        </w:rPr>
        <w:t xml:space="preserve">Los incumplimientos constatados por este Tribunal </w:t>
      </w:r>
      <w:r w:rsidR="00753253" w:rsidRPr="003729BE">
        <w:rPr>
          <w:rFonts w:ascii="Verdana" w:hAnsi="Verdana"/>
          <w:sz w:val="20"/>
          <w:lang w:val="es-MX"/>
        </w:rPr>
        <w:t xml:space="preserve">del </w:t>
      </w:r>
      <w:r w:rsidR="00800647" w:rsidRPr="003729BE">
        <w:rPr>
          <w:rFonts w:ascii="Verdana" w:hAnsi="Verdana"/>
          <w:sz w:val="20"/>
          <w:lang w:val="es-MX"/>
        </w:rPr>
        <w:t>deber de informar</w:t>
      </w:r>
      <w:r w:rsidRPr="003729BE">
        <w:rPr>
          <w:rFonts w:ascii="Verdana" w:hAnsi="Verdana"/>
          <w:sz w:val="20"/>
          <w:lang w:val="es-MX"/>
        </w:rPr>
        <w:t xml:space="preserve"> y </w:t>
      </w:r>
      <w:r w:rsidR="002502CA" w:rsidRPr="003729BE">
        <w:rPr>
          <w:rFonts w:ascii="Verdana" w:hAnsi="Verdana"/>
          <w:sz w:val="20"/>
          <w:lang w:val="es-MX"/>
        </w:rPr>
        <w:t xml:space="preserve">de </w:t>
      </w:r>
      <w:r w:rsidR="00753253" w:rsidRPr="003729BE">
        <w:rPr>
          <w:rFonts w:ascii="Verdana" w:hAnsi="Verdana"/>
          <w:sz w:val="20"/>
          <w:lang w:val="es-MX"/>
        </w:rPr>
        <w:t xml:space="preserve">la obligación </w:t>
      </w:r>
      <w:r w:rsidRPr="003729BE">
        <w:rPr>
          <w:rFonts w:ascii="Verdana" w:hAnsi="Verdana"/>
          <w:sz w:val="20"/>
          <w:lang w:val="es-MX"/>
        </w:rPr>
        <w:t xml:space="preserve">de ejecutar </w:t>
      </w:r>
      <w:r w:rsidR="00C40CD8" w:rsidRPr="003729BE">
        <w:rPr>
          <w:rFonts w:ascii="Verdana" w:hAnsi="Verdana"/>
          <w:sz w:val="20"/>
        </w:rPr>
        <w:t>las medidas pendientes</w:t>
      </w:r>
      <w:r w:rsidR="00D04457" w:rsidRPr="003729BE">
        <w:rPr>
          <w:rFonts w:ascii="Verdana" w:hAnsi="Verdana"/>
          <w:sz w:val="20"/>
        </w:rPr>
        <w:t xml:space="preserve"> dispuestas en la Sentencia</w:t>
      </w:r>
      <w:r w:rsidR="00C40CD8" w:rsidRPr="003729BE">
        <w:rPr>
          <w:rFonts w:ascii="Verdana" w:hAnsi="Verdana"/>
          <w:sz w:val="20"/>
        </w:rPr>
        <w:t xml:space="preserve"> (</w:t>
      </w:r>
      <w:r w:rsidR="00C40CD8" w:rsidRPr="003729BE">
        <w:rPr>
          <w:rFonts w:ascii="Verdana" w:hAnsi="Verdana"/>
          <w:i/>
          <w:sz w:val="20"/>
        </w:rPr>
        <w:t>supra</w:t>
      </w:r>
      <w:r w:rsidR="00C40CD8" w:rsidRPr="003729BE">
        <w:rPr>
          <w:rFonts w:ascii="Verdana" w:hAnsi="Verdana"/>
          <w:sz w:val="20"/>
        </w:rPr>
        <w:t xml:space="preserve"> Considerando</w:t>
      </w:r>
      <w:r w:rsidR="002502CA" w:rsidRPr="003729BE">
        <w:rPr>
          <w:rFonts w:ascii="Verdana" w:hAnsi="Verdana"/>
          <w:sz w:val="20"/>
        </w:rPr>
        <w:t>s</w:t>
      </w:r>
      <w:r w:rsidR="00C40CD8" w:rsidRPr="003729BE">
        <w:rPr>
          <w:rFonts w:ascii="Verdana" w:hAnsi="Verdana"/>
          <w:sz w:val="20"/>
        </w:rPr>
        <w:t xml:space="preserve"> </w:t>
      </w:r>
      <w:r w:rsidR="004C04A5">
        <w:rPr>
          <w:rFonts w:ascii="Verdana" w:hAnsi="Verdana"/>
          <w:sz w:val="20"/>
        </w:rPr>
        <w:fldChar w:fldCharType="begin"/>
      </w:r>
      <w:r w:rsidR="004C04A5">
        <w:rPr>
          <w:rFonts w:ascii="Verdana" w:hAnsi="Verdana"/>
          <w:sz w:val="20"/>
        </w:rPr>
        <w:instrText xml:space="preserve"> REF _Ref437597947 \r \h </w:instrText>
      </w:r>
      <w:r w:rsidR="004C04A5">
        <w:rPr>
          <w:rFonts w:ascii="Verdana" w:hAnsi="Verdana"/>
          <w:sz w:val="20"/>
        </w:rPr>
      </w:r>
      <w:r w:rsidR="004C04A5">
        <w:rPr>
          <w:rFonts w:ascii="Verdana" w:hAnsi="Verdana"/>
          <w:sz w:val="20"/>
        </w:rPr>
        <w:fldChar w:fldCharType="separate"/>
      </w:r>
      <w:r w:rsidR="00EA6956">
        <w:rPr>
          <w:rFonts w:ascii="Verdana" w:hAnsi="Verdana"/>
          <w:sz w:val="20"/>
        </w:rPr>
        <w:t>6</w:t>
      </w:r>
      <w:r w:rsidR="004C04A5">
        <w:rPr>
          <w:rFonts w:ascii="Verdana" w:hAnsi="Verdana"/>
          <w:sz w:val="20"/>
        </w:rPr>
        <w:fldChar w:fldCharType="end"/>
      </w:r>
      <w:r w:rsidR="002502CA" w:rsidRPr="003729BE">
        <w:rPr>
          <w:rFonts w:ascii="Verdana" w:hAnsi="Verdana"/>
          <w:sz w:val="20"/>
        </w:rPr>
        <w:t xml:space="preserve"> a </w:t>
      </w:r>
      <w:r w:rsidR="004C04A5">
        <w:rPr>
          <w:rFonts w:ascii="Verdana" w:hAnsi="Verdana"/>
          <w:sz w:val="20"/>
        </w:rPr>
        <w:fldChar w:fldCharType="begin"/>
      </w:r>
      <w:r w:rsidR="004C04A5">
        <w:rPr>
          <w:rFonts w:ascii="Verdana" w:hAnsi="Verdana"/>
          <w:sz w:val="20"/>
        </w:rPr>
        <w:instrText xml:space="preserve"> REF _Ref437587155 \r \h </w:instrText>
      </w:r>
      <w:r w:rsidR="004C04A5">
        <w:rPr>
          <w:rFonts w:ascii="Verdana" w:hAnsi="Verdana"/>
          <w:sz w:val="20"/>
        </w:rPr>
      </w:r>
      <w:r w:rsidR="004C04A5">
        <w:rPr>
          <w:rFonts w:ascii="Verdana" w:hAnsi="Verdana"/>
          <w:sz w:val="20"/>
        </w:rPr>
        <w:fldChar w:fldCharType="separate"/>
      </w:r>
      <w:r w:rsidR="00EA6956">
        <w:rPr>
          <w:rFonts w:ascii="Verdana" w:hAnsi="Verdana"/>
          <w:sz w:val="20"/>
        </w:rPr>
        <w:t>8</w:t>
      </w:r>
      <w:r w:rsidR="004C04A5">
        <w:rPr>
          <w:rFonts w:ascii="Verdana" w:hAnsi="Verdana"/>
          <w:sz w:val="20"/>
        </w:rPr>
        <w:fldChar w:fldCharType="end"/>
      </w:r>
      <w:r w:rsidR="00C40CD8" w:rsidRPr="003729BE">
        <w:rPr>
          <w:rFonts w:ascii="Verdana" w:hAnsi="Verdana"/>
          <w:sz w:val="20"/>
        </w:rPr>
        <w:t>)</w:t>
      </w:r>
      <w:r w:rsidR="00D04457" w:rsidRPr="003729BE">
        <w:rPr>
          <w:rFonts w:ascii="Verdana" w:hAnsi="Verdana"/>
          <w:sz w:val="20"/>
          <w:lang w:val="es-MX"/>
        </w:rPr>
        <w:t>,</w:t>
      </w:r>
      <w:r w:rsidR="00800647" w:rsidRPr="003729BE">
        <w:rPr>
          <w:rFonts w:ascii="Verdana" w:hAnsi="Verdana"/>
          <w:sz w:val="20"/>
          <w:lang w:val="es-MX"/>
        </w:rPr>
        <w:t xml:space="preserve"> resulta</w:t>
      </w:r>
      <w:r w:rsidR="00753253" w:rsidRPr="003729BE">
        <w:rPr>
          <w:rFonts w:ascii="Verdana" w:hAnsi="Verdana"/>
          <w:sz w:val="20"/>
          <w:lang w:val="es-MX"/>
        </w:rPr>
        <w:t>n</w:t>
      </w:r>
      <w:r w:rsidR="00800647" w:rsidRPr="003729BE">
        <w:rPr>
          <w:rFonts w:ascii="Verdana" w:hAnsi="Verdana"/>
          <w:sz w:val="20"/>
          <w:lang w:val="es-MX"/>
        </w:rPr>
        <w:t xml:space="preserve"> particularmente grave</w:t>
      </w:r>
      <w:r w:rsidR="00753253" w:rsidRPr="003729BE">
        <w:rPr>
          <w:rFonts w:ascii="Verdana" w:hAnsi="Verdana"/>
          <w:sz w:val="20"/>
          <w:lang w:val="es-MX"/>
        </w:rPr>
        <w:t>s</w:t>
      </w:r>
      <w:r w:rsidR="00800647" w:rsidRPr="003729BE">
        <w:rPr>
          <w:rFonts w:ascii="Verdana" w:hAnsi="Verdana"/>
          <w:sz w:val="20"/>
          <w:lang w:val="es-MX"/>
        </w:rPr>
        <w:t xml:space="preserve"> tomando en co</w:t>
      </w:r>
      <w:r w:rsidR="00520286" w:rsidRPr="003729BE">
        <w:rPr>
          <w:rFonts w:ascii="Verdana" w:hAnsi="Verdana"/>
          <w:sz w:val="20"/>
          <w:lang w:val="es-MX"/>
        </w:rPr>
        <w:t>n</w:t>
      </w:r>
      <w:r w:rsidR="00800647" w:rsidRPr="003729BE">
        <w:rPr>
          <w:rFonts w:ascii="Verdana" w:hAnsi="Verdana"/>
          <w:sz w:val="20"/>
          <w:lang w:val="es-MX"/>
        </w:rPr>
        <w:t xml:space="preserve">sideración que han transcurrido </w:t>
      </w:r>
      <w:r w:rsidR="00D4508B">
        <w:rPr>
          <w:rFonts w:ascii="Verdana" w:hAnsi="Verdana"/>
          <w:sz w:val="20"/>
          <w:lang w:val="es-MX"/>
        </w:rPr>
        <w:t xml:space="preserve">más de </w:t>
      </w:r>
      <w:r w:rsidR="00C6031A" w:rsidRPr="003729BE">
        <w:rPr>
          <w:rFonts w:ascii="Verdana" w:hAnsi="Verdana"/>
          <w:sz w:val="20"/>
          <w:lang w:val="es-MX"/>
        </w:rPr>
        <w:t>d</w:t>
      </w:r>
      <w:r w:rsidR="00AA06D7" w:rsidRPr="003729BE">
        <w:rPr>
          <w:rFonts w:ascii="Verdana" w:hAnsi="Verdana"/>
          <w:sz w:val="20"/>
          <w:lang w:val="es-MX"/>
        </w:rPr>
        <w:t>iez</w:t>
      </w:r>
      <w:r w:rsidR="00C6031A" w:rsidRPr="003729BE">
        <w:rPr>
          <w:rFonts w:ascii="Verdana" w:hAnsi="Verdana"/>
          <w:sz w:val="20"/>
          <w:lang w:val="es-MX"/>
        </w:rPr>
        <w:t xml:space="preserve"> años </w:t>
      </w:r>
      <w:r w:rsidR="00520286" w:rsidRPr="003729BE">
        <w:rPr>
          <w:rFonts w:ascii="Verdana" w:hAnsi="Verdana"/>
          <w:sz w:val="20"/>
          <w:lang w:val="es-MX"/>
        </w:rPr>
        <w:t>desde la emisión de la Sentencia</w:t>
      </w:r>
      <w:r w:rsidRPr="003729BE">
        <w:rPr>
          <w:rFonts w:ascii="Verdana" w:hAnsi="Verdana"/>
          <w:sz w:val="20"/>
          <w:lang w:val="es-MX"/>
        </w:rPr>
        <w:t xml:space="preserve">, así como porque </w:t>
      </w:r>
      <w:r w:rsidR="00E21C2A" w:rsidRPr="003729BE">
        <w:rPr>
          <w:rFonts w:ascii="Verdana" w:hAnsi="Verdana"/>
          <w:sz w:val="20"/>
          <w:lang w:val="es-MX"/>
        </w:rPr>
        <w:t xml:space="preserve">tres de las reparaciones pendientes </w:t>
      </w:r>
      <w:r w:rsidR="002502CA" w:rsidRPr="003729BE">
        <w:rPr>
          <w:rFonts w:ascii="Verdana" w:hAnsi="Verdana"/>
          <w:sz w:val="20"/>
          <w:lang w:val="es-MX"/>
        </w:rPr>
        <w:t xml:space="preserve">de ejecución </w:t>
      </w:r>
      <w:r w:rsidR="006C316F" w:rsidRPr="003729BE">
        <w:rPr>
          <w:rFonts w:ascii="Verdana" w:hAnsi="Verdana"/>
          <w:sz w:val="20"/>
          <w:lang w:val="es-MX"/>
        </w:rPr>
        <w:t>se trata</w:t>
      </w:r>
      <w:r w:rsidR="004C04A5">
        <w:rPr>
          <w:rFonts w:ascii="Verdana" w:hAnsi="Verdana"/>
          <w:sz w:val="20"/>
          <w:lang w:val="es-MX"/>
        </w:rPr>
        <w:t>n</w:t>
      </w:r>
      <w:r w:rsidR="006C316F" w:rsidRPr="003729BE">
        <w:rPr>
          <w:rFonts w:ascii="Verdana" w:hAnsi="Verdana"/>
          <w:sz w:val="20"/>
          <w:lang w:val="es-MX"/>
        </w:rPr>
        <w:t xml:space="preserve"> de medidas con un carácter de “</w:t>
      </w:r>
      <w:r w:rsidR="00E21C2A" w:rsidRPr="003729BE">
        <w:rPr>
          <w:rFonts w:ascii="Verdana" w:hAnsi="Verdana"/>
          <w:sz w:val="20"/>
          <w:lang w:val="es-MX"/>
        </w:rPr>
        <w:t>garantías de no repetición</w:t>
      </w:r>
      <w:r w:rsidR="006C316F" w:rsidRPr="003729BE">
        <w:rPr>
          <w:rFonts w:ascii="Verdana" w:hAnsi="Verdana"/>
          <w:sz w:val="20"/>
          <w:lang w:val="es-MX"/>
        </w:rPr>
        <w:t>”</w:t>
      </w:r>
      <w:r w:rsidR="00E21C2A" w:rsidRPr="003729BE">
        <w:rPr>
          <w:rFonts w:ascii="Verdana" w:hAnsi="Verdana"/>
          <w:sz w:val="20"/>
          <w:lang w:val="es-MX"/>
        </w:rPr>
        <w:t xml:space="preserve"> </w:t>
      </w:r>
      <w:r w:rsidR="006C316F" w:rsidRPr="003729BE">
        <w:rPr>
          <w:rFonts w:ascii="Verdana" w:hAnsi="Verdana"/>
          <w:sz w:val="20"/>
          <w:lang w:val="es-MX"/>
        </w:rPr>
        <w:t>del tipo de violaciones declaradas en el presente caso</w:t>
      </w:r>
      <w:r w:rsidR="00D65781" w:rsidRPr="003729BE">
        <w:rPr>
          <w:rFonts w:ascii="Verdana" w:hAnsi="Verdana"/>
          <w:sz w:val="20"/>
          <w:lang w:val="es-MX"/>
        </w:rPr>
        <w:t>,</w:t>
      </w:r>
      <w:r w:rsidR="006C316F" w:rsidRPr="003729BE">
        <w:rPr>
          <w:rFonts w:ascii="Verdana" w:hAnsi="Verdana"/>
          <w:sz w:val="20"/>
          <w:lang w:val="es-MX"/>
        </w:rPr>
        <w:t xml:space="preserve"> ya </w:t>
      </w:r>
      <w:r w:rsidR="00E21C2A" w:rsidRPr="003729BE">
        <w:rPr>
          <w:rFonts w:ascii="Verdana" w:hAnsi="Verdana"/>
          <w:sz w:val="20"/>
          <w:lang w:val="es-MX"/>
        </w:rPr>
        <w:t xml:space="preserve">que implican modificaciones </w:t>
      </w:r>
      <w:r w:rsidR="00D65781" w:rsidRPr="003729BE">
        <w:rPr>
          <w:rFonts w:ascii="Verdana" w:hAnsi="Verdana"/>
          <w:sz w:val="20"/>
          <w:lang w:val="es-MX"/>
        </w:rPr>
        <w:t>a nivel</w:t>
      </w:r>
      <w:r w:rsidR="00E21C2A" w:rsidRPr="003729BE">
        <w:rPr>
          <w:rFonts w:ascii="Verdana" w:hAnsi="Verdana"/>
          <w:sz w:val="20"/>
          <w:lang w:val="es-MX"/>
        </w:rPr>
        <w:t xml:space="preserve"> normativ</w:t>
      </w:r>
      <w:r w:rsidR="00D65781" w:rsidRPr="003729BE">
        <w:rPr>
          <w:rFonts w:ascii="Verdana" w:hAnsi="Verdana"/>
          <w:sz w:val="20"/>
          <w:lang w:val="es-MX"/>
        </w:rPr>
        <w:t>o, institucional</w:t>
      </w:r>
      <w:r w:rsidR="00E21C2A" w:rsidRPr="003729BE">
        <w:rPr>
          <w:rFonts w:ascii="Verdana" w:hAnsi="Verdana"/>
          <w:sz w:val="20"/>
          <w:lang w:val="es-MX"/>
        </w:rPr>
        <w:t xml:space="preserve"> y </w:t>
      </w:r>
      <w:r w:rsidR="00D65781" w:rsidRPr="003729BE">
        <w:rPr>
          <w:rFonts w:ascii="Verdana" w:hAnsi="Verdana"/>
          <w:sz w:val="20"/>
          <w:lang w:val="es-MX"/>
        </w:rPr>
        <w:t>de</w:t>
      </w:r>
      <w:r w:rsidR="00E21C2A" w:rsidRPr="003729BE">
        <w:rPr>
          <w:rFonts w:ascii="Verdana" w:hAnsi="Verdana"/>
          <w:sz w:val="20"/>
          <w:lang w:val="es-MX"/>
        </w:rPr>
        <w:t xml:space="preserve"> desarrollo de prácticas conducentes a la </w:t>
      </w:r>
      <w:r w:rsidR="00E21C2A" w:rsidRPr="003729BE">
        <w:rPr>
          <w:rFonts w:ascii="Verdana" w:hAnsi="Verdana"/>
          <w:sz w:val="20"/>
          <w:lang w:val="es-MX"/>
        </w:rPr>
        <w:lastRenderedPageBreak/>
        <w:t xml:space="preserve">efectiva </w:t>
      </w:r>
      <w:r w:rsidR="00F07A65" w:rsidRPr="003729BE">
        <w:rPr>
          <w:rFonts w:ascii="Verdana" w:hAnsi="Verdana"/>
          <w:sz w:val="20"/>
          <w:lang w:val="es-MX"/>
        </w:rPr>
        <w:t xml:space="preserve">protección de derechos protegidos </w:t>
      </w:r>
      <w:r w:rsidR="00E21C2A" w:rsidRPr="003729BE">
        <w:rPr>
          <w:rFonts w:ascii="Verdana" w:hAnsi="Verdana"/>
          <w:sz w:val="20"/>
          <w:lang w:val="es-MX"/>
        </w:rPr>
        <w:t>en la Convención (</w:t>
      </w:r>
      <w:r w:rsidR="00E21C2A" w:rsidRPr="003729BE">
        <w:rPr>
          <w:rFonts w:ascii="Verdana" w:hAnsi="Verdana"/>
          <w:i/>
          <w:sz w:val="20"/>
          <w:lang w:val="es-MX"/>
        </w:rPr>
        <w:t>supra</w:t>
      </w:r>
      <w:r w:rsidR="00E21C2A" w:rsidRPr="003729BE">
        <w:rPr>
          <w:rFonts w:ascii="Verdana" w:hAnsi="Verdana"/>
          <w:sz w:val="20"/>
          <w:lang w:val="es-MX"/>
        </w:rPr>
        <w:t xml:space="preserve"> Considerando </w:t>
      </w:r>
      <w:r w:rsidR="004C04A5">
        <w:rPr>
          <w:rFonts w:ascii="Verdana" w:hAnsi="Verdana"/>
          <w:sz w:val="20"/>
          <w:lang w:val="es-MX"/>
        </w:rPr>
        <w:fldChar w:fldCharType="begin"/>
      </w:r>
      <w:r w:rsidR="004C04A5">
        <w:rPr>
          <w:rFonts w:ascii="Verdana" w:hAnsi="Verdana"/>
          <w:sz w:val="20"/>
          <w:lang w:val="es-MX"/>
        </w:rPr>
        <w:instrText xml:space="preserve"> REF _Ref437586335 \r \h </w:instrText>
      </w:r>
      <w:r w:rsidR="004C04A5">
        <w:rPr>
          <w:rFonts w:ascii="Verdana" w:hAnsi="Verdana"/>
          <w:sz w:val="20"/>
          <w:lang w:val="es-MX"/>
        </w:rPr>
      </w:r>
      <w:r w:rsidR="004C04A5">
        <w:rPr>
          <w:rFonts w:ascii="Verdana" w:hAnsi="Verdana"/>
          <w:sz w:val="20"/>
          <w:lang w:val="es-MX"/>
        </w:rPr>
        <w:fldChar w:fldCharType="separate"/>
      </w:r>
      <w:r w:rsidR="00EA6956">
        <w:rPr>
          <w:rFonts w:ascii="Verdana" w:hAnsi="Verdana"/>
          <w:sz w:val="20"/>
          <w:lang w:val="es-MX"/>
        </w:rPr>
        <w:t>1</w:t>
      </w:r>
      <w:r w:rsidR="004C04A5">
        <w:rPr>
          <w:rFonts w:ascii="Verdana" w:hAnsi="Verdana"/>
          <w:sz w:val="20"/>
          <w:lang w:val="es-MX"/>
        </w:rPr>
        <w:fldChar w:fldCharType="end"/>
      </w:r>
      <w:r w:rsidR="00E21C2A" w:rsidRPr="003729BE">
        <w:rPr>
          <w:rFonts w:ascii="Verdana" w:hAnsi="Verdana"/>
          <w:sz w:val="20"/>
          <w:lang w:val="es-MX"/>
        </w:rPr>
        <w:t>)</w:t>
      </w:r>
      <w:r w:rsidR="00D76730" w:rsidRPr="003729BE">
        <w:rPr>
          <w:rFonts w:ascii="Verdana" w:hAnsi="Verdana"/>
          <w:sz w:val="20"/>
          <w:lang w:val="es-MX"/>
        </w:rPr>
        <w:t xml:space="preserve">. Se trata de medidas </w:t>
      </w:r>
      <w:r w:rsidR="00D65781" w:rsidRPr="003729BE">
        <w:rPr>
          <w:rFonts w:ascii="Verdana" w:hAnsi="Verdana"/>
          <w:sz w:val="20"/>
          <w:lang w:val="es-MX"/>
        </w:rPr>
        <w:t xml:space="preserve">relacionadas con: el </w:t>
      </w:r>
      <w:r w:rsidR="00E21C2A" w:rsidRPr="003729BE">
        <w:rPr>
          <w:rFonts w:ascii="Verdana" w:hAnsi="Verdana"/>
          <w:sz w:val="20"/>
          <w:lang w:val="es-MX"/>
        </w:rPr>
        <w:t>estable</w:t>
      </w:r>
      <w:r w:rsidR="00D65781" w:rsidRPr="003729BE">
        <w:rPr>
          <w:rFonts w:ascii="Verdana" w:hAnsi="Verdana"/>
          <w:sz w:val="20"/>
          <w:lang w:val="es-MX"/>
        </w:rPr>
        <w:t>cimiento de</w:t>
      </w:r>
      <w:r w:rsidR="00E21C2A" w:rsidRPr="003729BE">
        <w:rPr>
          <w:rFonts w:ascii="Verdana" w:hAnsi="Verdana"/>
          <w:sz w:val="20"/>
          <w:lang w:val="es-MX"/>
        </w:rPr>
        <w:t xml:space="preserve"> un recurso judicial sencillo, rápido y efectivo que permita controlar las decisiones del Consejo Supremo Electoral que afecten derechos humanos</w:t>
      </w:r>
      <w:r w:rsidR="00D65781" w:rsidRPr="003729BE">
        <w:rPr>
          <w:rFonts w:ascii="Verdana" w:hAnsi="Verdana"/>
          <w:sz w:val="20"/>
          <w:lang w:val="es-MX"/>
        </w:rPr>
        <w:t xml:space="preserve">; la reforma a </w:t>
      </w:r>
      <w:r w:rsidR="00F6038D">
        <w:rPr>
          <w:rFonts w:ascii="Verdana" w:hAnsi="Verdana"/>
          <w:sz w:val="20"/>
          <w:lang w:val="es-MX"/>
        </w:rPr>
        <w:t>la Ley Electoral No. 331 de 2000 de manera que se regule</w:t>
      </w:r>
      <w:r w:rsidR="002B5F63">
        <w:rPr>
          <w:rFonts w:ascii="Verdana" w:hAnsi="Verdana"/>
          <w:sz w:val="20"/>
          <w:lang w:val="es-MX"/>
        </w:rPr>
        <w:t>n</w:t>
      </w:r>
      <w:r w:rsidR="00F6038D">
        <w:rPr>
          <w:rFonts w:ascii="Verdana" w:hAnsi="Verdana"/>
          <w:sz w:val="20"/>
          <w:lang w:val="es-MX"/>
        </w:rPr>
        <w:t xml:space="preserve"> con claridad </w:t>
      </w:r>
      <w:r w:rsidR="00D65781" w:rsidRPr="003729BE">
        <w:rPr>
          <w:rFonts w:ascii="Verdana" w:hAnsi="Verdana"/>
          <w:sz w:val="20"/>
          <w:lang w:val="es-MX"/>
        </w:rPr>
        <w:t xml:space="preserve">determinados requisitos dispuestos en </w:t>
      </w:r>
      <w:r w:rsidR="00E719FB">
        <w:rPr>
          <w:rFonts w:ascii="Verdana" w:hAnsi="Verdana"/>
          <w:sz w:val="20"/>
          <w:lang w:val="es-MX"/>
        </w:rPr>
        <w:t>dicha ley</w:t>
      </w:r>
      <w:r w:rsidR="00D65781" w:rsidRPr="003729BE">
        <w:rPr>
          <w:rFonts w:ascii="Verdana" w:hAnsi="Verdana"/>
          <w:sz w:val="20"/>
          <w:lang w:val="es-MX"/>
        </w:rPr>
        <w:t xml:space="preserve"> que limitan la participaci</w:t>
      </w:r>
      <w:r w:rsidR="002A3EA0" w:rsidRPr="003729BE">
        <w:rPr>
          <w:rFonts w:ascii="Verdana" w:hAnsi="Verdana"/>
          <w:sz w:val="20"/>
          <w:lang w:val="es-MX"/>
        </w:rPr>
        <w:t>ó</w:t>
      </w:r>
      <w:r w:rsidR="00D65781" w:rsidRPr="003729BE">
        <w:rPr>
          <w:rFonts w:ascii="Verdana" w:hAnsi="Verdana"/>
          <w:sz w:val="20"/>
          <w:lang w:val="es-MX"/>
        </w:rPr>
        <w:t>n pol</w:t>
      </w:r>
      <w:r w:rsidR="002A3EA0" w:rsidRPr="003729BE">
        <w:rPr>
          <w:rFonts w:ascii="Verdana" w:hAnsi="Verdana"/>
          <w:sz w:val="20"/>
          <w:lang w:val="es-MX"/>
        </w:rPr>
        <w:t>ítica de for</w:t>
      </w:r>
      <w:r w:rsidR="00D65781" w:rsidRPr="003729BE">
        <w:rPr>
          <w:rFonts w:ascii="Verdana" w:hAnsi="Verdana"/>
          <w:sz w:val="20"/>
          <w:lang w:val="es-MX"/>
        </w:rPr>
        <w:t>ma discriminatoria,</w:t>
      </w:r>
      <w:r w:rsidR="002B5F63">
        <w:rPr>
          <w:rFonts w:ascii="Verdana" w:hAnsi="Verdana"/>
          <w:sz w:val="20"/>
          <w:lang w:val="es-MX"/>
        </w:rPr>
        <w:t xml:space="preserve"> y que permitan y fomenten que los miembros de esas comunidades cuenten con una representación adecuada que les permita intervenir en los procesos de decisión sobre las cuestiones nacionales, que conciernen a la sociedad en su conjunto, y los asuntos particulares que atañen a dichas comunidades,</w:t>
      </w:r>
      <w:r w:rsidR="00D65781" w:rsidRPr="003729BE">
        <w:rPr>
          <w:rFonts w:ascii="Verdana" w:hAnsi="Verdana"/>
          <w:sz w:val="20"/>
          <w:lang w:val="es-MX"/>
        </w:rPr>
        <w:t xml:space="preserve"> así</w:t>
      </w:r>
      <w:r w:rsidR="00E21C2A" w:rsidRPr="003729BE">
        <w:rPr>
          <w:rFonts w:ascii="Verdana" w:hAnsi="Verdana"/>
          <w:sz w:val="20"/>
          <w:lang w:val="es-MX"/>
        </w:rPr>
        <w:t xml:space="preserve"> como </w:t>
      </w:r>
      <w:r w:rsidR="00D65781" w:rsidRPr="003729BE">
        <w:rPr>
          <w:rFonts w:ascii="Verdana" w:hAnsi="Verdana"/>
          <w:sz w:val="20"/>
          <w:lang w:val="es-MX"/>
        </w:rPr>
        <w:t xml:space="preserve">con otras medidas </w:t>
      </w:r>
      <w:r w:rsidR="00E21C2A" w:rsidRPr="003729BE">
        <w:rPr>
          <w:rFonts w:ascii="Verdana" w:hAnsi="Verdana"/>
          <w:sz w:val="20"/>
          <w:lang w:val="es-MX"/>
        </w:rPr>
        <w:t>para garantizar que los integrantes de las comunidades indígenas y étnicas puedan participar en los procesos electorales en forma efectiva y tomando en cuenta sus tradiciones, usos y costumbres, en el marco de una sociedad democrática.</w:t>
      </w:r>
      <w:r w:rsidR="00DF7980" w:rsidRPr="003729BE">
        <w:rPr>
          <w:rFonts w:ascii="Verdana" w:hAnsi="Verdana"/>
          <w:sz w:val="20"/>
        </w:rPr>
        <w:t xml:space="preserve"> </w:t>
      </w:r>
    </w:p>
    <w:p w:rsidR="00FA6FDD" w:rsidRPr="002B5F63" w:rsidRDefault="00FA6FDD" w:rsidP="00FA6FDD">
      <w:pPr>
        <w:jc w:val="both"/>
        <w:rPr>
          <w:rFonts w:ascii="Verdana" w:hAnsi="Verdana"/>
          <w:sz w:val="18"/>
          <w:lang w:val="es-MX"/>
        </w:rPr>
      </w:pPr>
    </w:p>
    <w:p w:rsidR="00FA6FDD" w:rsidRPr="003729BE" w:rsidRDefault="00FA6FDD" w:rsidP="00FA6FDD">
      <w:pPr>
        <w:numPr>
          <w:ilvl w:val="0"/>
          <w:numId w:val="46"/>
        </w:numPr>
        <w:ind w:left="0" w:firstLine="0"/>
        <w:jc w:val="both"/>
        <w:rPr>
          <w:rFonts w:ascii="Verdana" w:hAnsi="Verdana"/>
          <w:sz w:val="20"/>
          <w:lang w:val="es-MX"/>
        </w:rPr>
      </w:pPr>
      <w:r w:rsidRPr="003729BE">
        <w:rPr>
          <w:rFonts w:ascii="Verdana" w:hAnsi="Verdana" w:cs="Arial"/>
          <w:sz w:val="20"/>
          <w:lang w:val="es-ES"/>
        </w:rPr>
        <w:t xml:space="preserve">La Corte considera que dicho incumplimiento constituye un desconocimiento de las obligaciones emanadas de la Sentencia dictada por el Tribunal y de los compromisos convencionales del Estado, impide que se reparen las violaciones a los derechos humanos declaradas en el Fallo y despoja el efecto útil </w:t>
      </w:r>
      <w:r w:rsidRPr="003729BE">
        <w:rPr>
          <w:rFonts w:ascii="Verdana" w:hAnsi="Verdana" w:cs="Arial"/>
          <w:i/>
          <w:sz w:val="20"/>
          <w:lang w:val="es-ES"/>
        </w:rPr>
        <w:t>(effet utile)</w:t>
      </w:r>
      <w:r w:rsidRPr="003729BE">
        <w:rPr>
          <w:rFonts w:ascii="Verdana" w:hAnsi="Verdana" w:cs="Arial"/>
          <w:sz w:val="20"/>
          <w:lang w:val="es-ES"/>
        </w:rPr>
        <w:t xml:space="preserve"> de la Convención en el caso concreto</w:t>
      </w:r>
      <w:r w:rsidRPr="003729BE">
        <w:rPr>
          <w:rStyle w:val="Refdenotaalpie"/>
          <w:rFonts w:ascii="Verdana" w:hAnsi="Verdana" w:cs="Arial"/>
          <w:sz w:val="20"/>
          <w:lang w:val="es-ES"/>
        </w:rPr>
        <w:footnoteReference w:id="25"/>
      </w:r>
      <w:r w:rsidRPr="003729BE">
        <w:rPr>
          <w:rFonts w:ascii="Verdana" w:hAnsi="Verdana" w:cs="Arial"/>
          <w:sz w:val="20"/>
          <w:lang w:val="es-ES"/>
        </w:rPr>
        <w:t xml:space="preserve">. </w:t>
      </w:r>
    </w:p>
    <w:p w:rsidR="002A3EA0" w:rsidRPr="00FA6FDD" w:rsidRDefault="002A3EA0" w:rsidP="00BA0C22">
      <w:pPr>
        <w:pStyle w:val="Cuadrculaclara-nfasis3"/>
        <w:ind w:left="567" w:right="4"/>
        <w:jc w:val="both"/>
        <w:rPr>
          <w:rFonts w:ascii="Verdana" w:hAnsi="Verdana"/>
          <w:sz w:val="20"/>
          <w:lang w:val="es-MX"/>
        </w:rPr>
      </w:pPr>
    </w:p>
    <w:p w:rsidR="00E0409A" w:rsidRPr="00A97066" w:rsidRDefault="00365660" w:rsidP="00A97066">
      <w:pPr>
        <w:numPr>
          <w:ilvl w:val="0"/>
          <w:numId w:val="46"/>
        </w:numPr>
        <w:ind w:left="0" w:firstLine="0"/>
        <w:jc w:val="both"/>
        <w:rPr>
          <w:rFonts w:ascii="Verdana" w:hAnsi="Verdana"/>
          <w:sz w:val="20"/>
          <w:lang w:val="es-MX"/>
        </w:rPr>
      </w:pPr>
      <w:r w:rsidRPr="003729BE">
        <w:rPr>
          <w:rFonts w:ascii="Verdana" w:hAnsi="Verdana"/>
          <w:sz w:val="20"/>
          <w:lang w:val="es-MX"/>
        </w:rPr>
        <w:t>Con base en la situación constatada</w:t>
      </w:r>
      <w:r w:rsidR="00027ADA" w:rsidRPr="003729BE">
        <w:rPr>
          <w:rFonts w:ascii="Verdana" w:hAnsi="Verdana"/>
          <w:sz w:val="20"/>
          <w:lang w:val="es-MX"/>
        </w:rPr>
        <w:t>,</w:t>
      </w:r>
      <w:r w:rsidRPr="003729BE">
        <w:rPr>
          <w:rFonts w:ascii="Verdana" w:hAnsi="Verdana"/>
          <w:sz w:val="20"/>
          <w:lang w:val="es-MX"/>
        </w:rPr>
        <w:t xml:space="preserve"> e</w:t>
      </w:r>
      <w:r w:rsidR="002E31AD" w:rsidRPr="003729BE">
        <w:rPr>
          <w:rFonts w:ascii="Verdana" w:hAnsi="Verdana"/>
          <w:sz w:val="20"/>
          <w:lang w:val="es-MX"/>
        </w:rPr>
        <w:t xml:space="preserve">l Tribunal </w:t>
      </w:r>
      <w:r w:rsidRPr="003729BE">
        <w:rPr>
          <w:rFonts w:ascii="Verdana" w:hAnsi="Verdana"/>
          <w:sz w:val="20"/>
          <w:lang w:val="es-MX"/>
        </w:rPr>
        <w:t xml:space="preserve">considera necesario dar aplicación a lo dispuesto en </w:t>
      </w:r>
      <w:r w:rsidR="002E31AD" w:rsidRPr="003729BE">
        <w:rPr>
          <w:rFonts w:ascii="Verdana" w:hAnsi="Verdana"/>
          <w:sz w:val="20"/>
          <w:lang w:val="es-MX"/>
        </w:rPr>
        <w:t>los artículos 65 de la Convención Americana</w:t>
      </w:r>
      <w:r w:rsidR="002E31AD" w:rsidRPr="003729BE">
        <w:rPr>
          <w:rStyle w:val="Refdenotaalpie"/>
          <w:rFonts w:ascii="Verdana" w:hAnsi="Verdana"/>
          <w:sz w:val="20"/>
          <w:lang w:val="es-MX"/>
        </w:rPr>
        <w:footnoteReference w:id="26"/>
      </w:r>
      <w:r w:rsidR="002E31AD" w:rsidRPr="003729BE">
        <w:rPr>
          <w:rFonts w:ascii="Verdana" w:hAnsi="Verdana"/>
          <w:sz w:val="20"/>
          <w:lang w:val="es-MX"/>
        </w:rPr>
        <w:t xml:space="preserve"> y 30 de su Estatuto</w:t>
      </w:r>
      <w:r w:rsidR="002E31AD" w:rsidRPr="003729BE">
        <w:rPr>
          <w:rStyle w:val="Refdenotaalpie"/>
          <w:rFonts w:ascii="Verdana" w:hAnsi="Verdana"/>
          <w:sz w:val="20"/>
          <w:lang w:val="es-MX"/>
        </w:rPr>
        <w:footnoteReference w:id="27"/>
      </w:r>
      <w:r w:rsidR="002E31AD" w:rsidRPr="003729BE">
        <w:rPr>
          <w:rFonts w:ascii="Verdana" w:hAnsi="Verdana"/>
          <w:sz w:val="20"/>
          <w:lang w:val="es-MX"/>
        </w:rPr>
        <w:t xml:space="preserve">, </w:t>
      </w:r>
      <w:r w:rsidRPr="003729BE">
        <w:rPr>
          <w:rFonts w:ascii="Verdana" w:hAnsi="Verdana"/>
          <w:sz w:val="20"/>
          <w:lang w:val="es-MX"/>
        </w:rPr>
        <w:t xml:space="preserve">de manera que en el </w:t>
      </w:r>
      <w:r w:rsidR="005C0B43">
        <w:rPr>
          <w:rFonts w:ascii="Verdana" w:hAnsi="Verdana"/>
          <w:sz w:val="20"/>
          <w:lang w:val="es-MX"/>
        </w:rPr>
        <w:t>Informe Anual</w:t>
      </w:r>
      <w:r w:rsidRPr="003729BE">
        <w:rPr>
          <w:rFonts w:ascii="Verdana" w:hAnsi="Verdana"/>
          <w:sz w:val="20"/>
          <w:lang w:val="es-MX"/>
        </w:rPr>
        <w:t xml:space="preserve"> de labores del 2015</w:t>
      </w:r>
      <w:r w:rsidR="00027ADA" w:rsidRPr="003729BE">
        <w:rPr>
          <w:rFonts w:ascii="Verdana" w:hAnsi="Verdana"/>
          <w:sz w:val="20"/>
          <w:lang w:val="es-MX"/>
        </w:rPr>
        <w:t>,</w:t>
      </w:r>
      <w:r w:rsidRPr="003729BE">
        <w:rPr>
          <w:rFonts w:ascii="Verdana" w:hAnsi="Verdana"/>
          <w:sz w:val="20"/>
          <w:lang w:val="es-MX"/>
        </w:rPr>
        <w:t xml:space="preserve"> que </w:t>
      </w:r>
      <w:r w:rsidR="002E31AD" w:rsidRPr="003729BE">
        <w:rPr>
          <w:rFonts w:ascii="Verdana" w:hAnsi="Verdana"/>
          <w:sz w:val="20"/>
        </w:rPr>
        <w:t>someter</w:t>
      </w:r>
      <w:r w:rsidR="00D5451B" w:rsidRPr="003729BE">
        <w:rPr>
          <w:rFonts w:ascii="Verdana" w:hAnsi="Verdana"/>
          <w:sz w:val="20"/>
        </w:rPr>
        <w:t>á</w:t>
      </w:r>
      <w:r w:rsidR="002E31AD" w:rsidRPr="003729BE">
        <w:rPr>
          <w:rFonts w:ascii="Verdana" w:hAnsi="Verdana"/>
          <w:sz w:val="20"/>
        </w:rPr>
        <w:t xml:space="preserve"> a la consideración de la Asamblea General de la Organización de los Estados Americanos</w:t>
      </w:r>
      <w:r w:rsidR="00027ADA" w:rsidRPr="003729BE">
        <w:rPr>
          <w:rFonts w:ascii="Verdana" w:hAnsi="Verdana"/>
          <w:sz w:val="20"/>
        </w:rPr>
        <w:t>,</w:t>
      </w:r>
      <w:r w:rsidRPr="003729BE">
        <w:rPr>
          <w:rFonts w:ascii="Verdana" w:hAnsi="Verdana"/>
          <w:sz w:val="20"/>
        </w:rPr>
        <w:t xml:space="preserve"> </w:t>
      </w:r>
      <w:r w:rsidR="002E31AD" w:rsidRPr="003729BE">
        <w:rPr>
          <w:rFonts w:ascii="Verdana" w:hAnsi="Verdana"/>
          <w:sz w:val="20"/>
        </w:rPr>
        <w:t xml:space="preserve">señalará </w:t>
      </w:r>
      <w:r w:rsidRPr="003729BE">
        <w:rPr>
          <w:rFonts w:ascii="Verdana" w:hAnsi="Verdana"/>
          <w:sz w:val="20"/>
        </w:rPr>
        <w:t xml:space="preserve">que Nicaragua ha incumplido sus obligaciones de ejecutar determinadas reparaciones ordenadas en la Sentencia así como de informar desde el 2010 sobre las medidas adoptadas para ese fin. </w:t>
      </w:r>
      <w:r w:rsidR="007F5AF0" w:rsidRPr="003729BE">
        <w:rPr>
          <w:rFonts w:ascii="Verdana" w:hAnsi="Verdana"/>
          <w:sz w:val="20"/>
        </w:rPr>
        <w:t>Ante esta situación los Estados Americanos han dispuesto un sistema de garantía colectiva en donde todos los Estados Parte deben realizar todos los esfuerzos para que no haya un evidente abandono</w:t>
      </w:r>
      <w:r w:rsidR="0043549F">
        <w:rPr>
          <w:rFonts w:ascii="Verdana" w:hAnsi="Verdana"/>
          <w:sz w:val="20"/>
        </w:rPr>
        <w:t xml:space="preserve"> por parte de los Estados de su obligación</w:t>
      </w:r>
      <w:r w:rsidR="007F5AF0" w:rsidRPr="003729BE">
        <w:rPr>
          <w:rFonts w:ascii="Verdana" w:hAnsi="Verdana"/>
          <w:sz w:val="20"/>
        </w:rPr>
        <w:t xml:space="preserve"> de cumplir y acatar las Sentencias de la Corte.</w:t>
      </w:r>
      <w:r w:rsidR="007F5AF0" w:rsidRPr="007F5AF0">
        <w:rPr>
          <w:rFonts w:ascii="Verdana" w:hAnsi="Verdana"/>
          <w:sz w:val="20"/>
        </w:rPr>
        <w:t xml:space="preserve"> </w:t>
      </w:r>
      <w:r>
        <w:rPr>
          <w:rFonts w:ascii="Verdana" w:hAnsi="Verdana"/>
          <w:sz w:val="20"/>
        </w:rPr>
        <w:t xml:space="preserve"> </w:t>
      </w:r>
    </w:p>
    <w:p w:rsidR="00870FF6" w:rsidRPr="00A05157" w:rsidRDefault="00870FF6" w:rsidP="00870FF6">
      <w:pPr>
        <w:pStyle w:val="Cuadrculamedia1-nfasis2"/>
        <w:rPr>
          <w:rFonts w:ascii="Verdana" w:hAnsi="Verdana"/>
          <w:sz w:val="20"/>
        </w:rPr>
      </w:pPr>
    </w:p>
    <w:p w:rsidR="007F5AF0" w:rsidRPr="00A05157" w:rsidRDefault="00E75B6D" w:rsidP="007F5AF0">
      <w:pPr>
        <w:numPr>
          <w:ilvl w:val="0"/>
          <w:numId w:val="46"/>
        </w:numPr>
        <w:tabs>
          <w:tab w:val="num" w:pos="0"/>
        </w:tabs>
        <w:ind w:left="0" w:firstLine="0"/>
        <w:jc w:val="both"/>
        <w:rPr>
          <w:rFonts w:ascii="Verdana" w:hAnsi="Verdana"/>
          <w:sz w:val="20"/>
          <w:lang w:val="es-ES"/>
        </w:rPr>
      </w:pPr>
      <w:r>
        <w:rPr>
          <w:rFonts w:ascii="Verdana" w:hAnsi="Verdana"/>
          <w:spacing w:val="-3"/>
          <w:sz w:val="20"/>
          <w:lang w:val="es-CO"/>
        </w:rPr>
        <w:t>E</w:t>
      </w:r>
      <w:r w:rsidR="007F5AF0" w:rsidRPr="00A05157">
        <w:rPr>
          <w:rFonts w:ascii="Verdana" w:hAnsi="Verdana"/>
          <w:spacing w:val="-3"/>
          <w:sz w:val="20"/>
          <w:lang w:val="es-CO"/>
        </w:rPr>
        <w:t xml:space="preserve">ste Tribunal ha señalado que la Convención Americana, así como los demás tratados de derechos </w:t>
      </w:r>
      <w:r w:rsidR="007F5AF0" w:rsidRPr="00A05157">
        <w:rPr>
          <w:rFonts w:ascii="Verdana" w:hAnsi="Verdana"/>
          <w:sz w:val="20"/>
        </w:rPr>
        <w:t>humanos</w:t>
      </w:r>
      <w:r w:rsidR="007F5AF0" w:rsidRPr="00A05157">
        <w:rPr>
          <w:rFonts w:ascii="Verdana" w:hAnsi="Verdana"/>
          <w:spacing w:val="-3"/>
          <w:sz w:val="20"/>
          <w:lang w:val="es-CO"/>
        </w:rPr>
        <w:t>, se aplican de conformidad con la noción de garantía colectiva y tienen una naturaleza especial, que los diferencian de los demás tratados, los cuales reglamentan intereses recíprocos entre los Estados Partes</w:t>
      </w:r>
      <w:r w:rsidR="007F5AF0" w:rsidRPr="00A05157">
        <w:rPr>
          <w:rStyle w:val="Refdenotaalpie"/>
          <w:rFonts w:ascii="Verdana" w:hAnsi="Verdana"/>
          <w:spacing w:val="-3"/>
          <w:sz w:val="20"/>
        </w:rPr>
        <w:footnoteReference w:id="28"/>
      </w:r>
      <w:r w:rsidR="007F5AF0" w:rsidRPr="00A05157">
        <w:rPr>
          <w:rFonts w:ascii="Verdana" w:hAnsi="Verdana"/>
          <w:spacing w:val="-3"/>
          <w:sz w:val="20"/>
          <w:lang w:val="es-CO"/>
        </w:rPr>
        <w:t xml:space="preserve">. Dicha noción de </w:t>
      </w:r>
      <w:r w:rsidR="007F5AF0" w:rsidRPr="00A05157">
        <w:rPr>
          <w:rFonts w:ascii="Verdana" w:hAnsi="Verdana"/>
          <w:sz w:val="20"/>
          <w:lang w:val="es-CO"/>
        </w:rPr>
        <w:t xml:space="preserve">garantía colectiva se encuentra estrechamente relacionada con el efecto útil de las Sentencias de la Corte Interamericana, por cuanto </w:t>
      </w:r>
      <w:r w:rsidR="007F5AF0" w:rsidRPr="00A05157">
        <w:rPr>
          <w:rFonts w:ascii="Verdana" w:hAnsi="Verdana"/>
          <w:sz w:val="20"/>
          <w:lang w:val="es-ES"/>
        </w:rPr>
        <w:t>la Convención Americana consagra un sistema que constituye un verdadero orden público regional, cuyo mantenimiento es de interés de todos y cada uno de los Estados Partes. El interés de los Estados signatarios es el mantenimiento del sistema de protección de los derechos humanos que ellos mismos han creado, y si un Estado viola su obligación de acatar lo resuelto por el único órgano jurisdiccional sobre la materia se está quebrantando el compromiso asumido hacia los otros Estados de cumplir con las sentencias de la Corte. Por tanto, la labor de la Asamblea General de la Organización de los Estados Americanos</w:t>
      </w:r>
      <w:r>
        <w:rPr>
          <w:rFonts w:ascii="Verdana" w:hAnsi="Verdana"/>
          <w:sz w:val="20"/>
          <w:lang w:val="es-ES"/>
        </w:rPr>
        <w:t>,</w:t>
      </w:r>
      <w:r w:rsidR="007F5AF0" w:rsidRPr="00A05157">
        <w:rPr>
          <w:rFonts w:ascii="Verdana" w:hAnsi="Verdana"/>
          <w:sz w:val="20"/>
          <w:lang w:val="es-ES"/>
        </w:rPr>
        <w:t xml:space="preserve"> cuando se le presenta un incumplimiento manifiesto por parte de uno de los Estados de una Sentencia emitida por la Corte Interamericana, es precisamente la de </w:t>
      </w:r>
      <w:r w:rsidR="007F5AF0" w:rsidRPr="00A05157">
        <w:rPr>
          <w:rFonts w:ascii="Verdana" w:hAnsi="Verdana"/>
          <w:sz w:val="20"/>
          <w:lang w:val="es-ES"/>
        </w:rPr>
        <w:lastRenderedPageBreak/>
        <w:t>proteger el efecto útil de la Convención Americana y evitar que la justicia interamericana se torne ilusoria al quedar al arbitrio de las decisiones internas de un Estado.</w:t>
      </w:r>
    </w:p>
    <w:p w:rsidR="0001225D" w:rsidRPr="007275C8" w:rsidRDefault="0001225D" w:rsidP="00E0409A">
      <w:pPr>
        <w:jc w:val="both"/>
        <w:rPr>
          <w:rFonts w:ascii="Verdana" w:hAnsi="Verdana"/>
          <w:sz w:val="20"/>
          <w:lang w:val="es-ES"/>
        </w:rPr>
      </w:pPr>
    </w:p>
    <w:p w:rsidR="00AC7FE3" w:rsidRPr="007976D9" w:rsidRDefault="008D1F9D" w:rsidP="007F5AF0">
      <w:pPr>
        <w:numPr>
          <w:ilvl w:val="0"/>
          <w:numId w:val="46"/>
        </w:numPr>
        <w:tabs>
          <w:tab w:val="num" w:pos="0"/>
        </w:tabs>
        <w:ind w:left="0" w:firstLine="0"/>
        <w:jc w:val="both"/>
        <w:rPr>
          <w:rFonts w:ascii="Verdana" w:hAnsi="Verdana"/>
          <w:sz w:val="18"/>
          <w:szCs w:val="18"/>
          <w:lang w:val="es-MX"/>
        </w:rPr>
      </w:pPr>
      <w:r w:rsidRPr="007275C8">
        <w:rPr>
          <w:rFonts w:ascii="Verdana" w:hAnsi="Verdana"/>
          <w:sz w:val="20"/>
          <w:lang w:val="es-CO"/>
        </w:rPr>
        <w:t>Una vez que ha determinado la aplicación de los referidos</w:t>
      </w:r>
      <w:r w:rsidR="0019550F" w:rsidRPr="007275C8">
        <w:rPr>
          <w:rFonts w:ascii="Verdana" w:hAnsi="Verdana"/>
          <w:sz w:val="20"/>
          <w:lang w:val="es-CO"/>
        </w:rPr>
        <w:t xml:space="preserve"> artículos </w:t>
      </w:r>
      <w:r w:rsidRPr="007275C8">
        <w:rPr>
          <w:rFonts w:ascii="Verdana" w:hAnsi="Verdana"/>
          <w:sz w:val="20"/>
          <w:lang w:val="es-CO"/>
        </w:rPr>
        <w:t xml:space="preserve">en casos de incumplimiento de sus Sentencias, y así lo haya informado mediante su </w:t>
      </w:r>
      <w:r w:rsidR="005C0B43">
        <w:rPr>
          <w:rFonts w:ascii="Verdana" w:hAnsi="Verdana"/>
          <w:sz w:val="20"/>
          <w:lang w:val="es-CO"/>
        </w:rPr>
        <w:t>Informe Anual</w:t>
      </w:r>
      <w:r w:rsidRPr="007275C8">
        <w:rPr>
          <w:rFonts w:ascii="Verdana" w:hAnsi="Verdana"/>
          <w:sz w:val="20"/>
          <w:lang w:val="es-CO"/>
        </w:rPr>
        <w:t xml:space="preserve"> para la consideración de la Asamblea General de la Organización de los Estados Americanos, la</w:t>
      </w:r>
      <w:r w:rsidRPr="00F70115">
        <w:rPr>
          <w:rFonts w:ascii="Verdana" w:hAnsi="Verdana"/>
          <w:sz w:val="20"/>
          <w:lang w:val="es-CO"/>
        </w:rPr>
        <w:t xml:space="preserve"> Corte </w:t>
      </w:r>
      <w:r w:rsidR="0019550F" w:rsidRPr="00F70115">
        <w:rPr>
          <w:rFonts w:ascii="Verdana" w:hAnsi="Verdana"/>
          <w:sz w:val="20"/>
          <w:lang w:val="es-CO"/>
        </w:rPr>
        <w:t xml:space="preserve">continuará incluyendo dicho incumplimiento cada año, al presentar su </w:t>
      </w:r>
      <w:r w:rsidR="005C0B43">
        <w:rPr>
          <w:rFonts w:ascii="Verdana" w:hAnsi="Verdana"/>
          <w:sz w:val="20"/>
          <w:lang w:val="es-CO"/>
        </w:rPr>
        <w:t>Informe Anual</w:t>
      </w:r>
      <w:r w:rsidR="0019550F" w:rsidRPr="00F70115">
        <w:rPr>
          <w:rFonts w:ascii="Verdana" w:hAnsi="Verdana"/>
          <w:sz w:val="20"/>
          <w:lang w:val="es-CO"/>
        </w:rPr>
        <w:t>, a menos que el Estado acredite que está adoptando las medidas necesarias para cumplir con las reparaciones ordenadas en la Sentencia, o que los representantes de las víctimas o la Comisión acompañen información sobre la implementación y cumplimiento de los puntos de la Sentencia que requiera ser valorada por este Tribunal</w:t>
      </w:r>
      <w:r w:rsidR="00BB7798" w:rsidRPr="002160E3">
        <w:rPr>
          <w:rStyle w:val="Refdenotaalpie"/>
          <w:rFonts w:ascii="Verdana" w:hAnsi="Verdana"/>
          <w:sz w:val="20"/>
          <w:lang w:val="es-CO"/>
        </w:rPr>
        <w:footnoteReference w:id="29"/>
      </w:r>
      <w:r w:rsidR="0019550F" w:rsidRPr="00F70115">
        <w:rPr>
          <w:rFonts w:ascii="Verdana" w:hAnsi="Verdana"/>
          <w:sz w:val="20"/>
          <w:lang w:val="es-CO"/>
        </w:rPr>
        <w:t xml:space="preserve">. </w:t>
      </w:r>
      <w:r w:rsidR="008F4B6E">
        <w:rPr>
          <w:rFonts w:ascii="Verdana" w:hAnsi="Verdana"/>
          <w:sz w:val="20"/>
          <w:lang w:val="es-CO"/>
        </w:rPr>
        <w:t xml:space="preserve"> </w:t>
      </w:r>
    </w:p>
    <w:p w:rsidR="002E31AD" w:rsidRPr="002160E3" w:rsidRDefault="002E31AD" w:rsidP="002E31AD">
      <w:pPr>
        <w:jc w:val="both"/>
        <w:rPr>
          <w:rFonts w:ascii="Verdana" w:hAnsi="Verdana"/>
          <w:sz w:val="20"/>
        </w:rPr>
      </w:pPr>
    </w:p>
    <w:p w:rsidR="002E31AD" w:rsidRPr="00CD571E" w:rsidRDefault="006C18A8" w:rsidP="002E31AD">
      <w:pPr>
        <w:numPr>
          <w:ilvl w:val="0"/>
          <w:numId w:val="46"/>
        </w:numPr>
        <w:ind w:left="0" w:firstLine="0"/>
        <w:jc w:val="both"/>
        <w:rPr>
          <w:rFonts w:ascii="Verdana" w:hAnsi="Verdana"/>
          <w:sz w:val="20"/>
          <w:lang w:val="es-MX"/>
        </w:rPr>
      </w:pPr>
      <w:r w:rsidRPr="00CD571E">
        <w:rPr>
          <w:rFonts w:ascii="Verdana" w:hAnsi="Verdana"/>
          <w:sz w:val="20"/>
          <w:lang w:val="es-MX"/>
        </w:rPr>
        <w:t>En cuanto a las solicitudes planteadas por los represen</w:t>
      </w:r>
      <w:r w:rsidR="00932548">
        <w:rPr>
          <w:rFonts w:ascii="Verdana" w:hAnsi="Verdana"/>
          <w:sz w:val="20"/>
          <w:lang w:val="es-MX"/>
        </w:rPr>
        <w:t>t</w:t>
      </w:r>
      <w:r w:rsidRPr="00CD571E">
        <w:rPr>
          <w:rFonts w:ascii="Verdana" w:hAnsi="Verdana"/>
          <w:sz w:val="20"/>
          <w:lang w:val="es-MX"/>
        </w:rPr>
        <w:t>antes en diciembre de 2014 y mayo</w:t>
      </w:r>
      <w:r w:rsidR="00684790">
        <w:rPr>
          <w:rFonts w:ascii="Verdana" w:hAnsi="Verdana"/>
          <w:sz w:val="20"/>
          <w:lang w:val="es-MX"/>
        </w:rPr>
        <w:t xml:space="preserve"> y octubre</w:t>
      </w:r>
      <w:r w:rsidRPr="00CD571E">
        <w:rPr>
          <w:rFonts w:ascii="Verdana" w:hAnsi="Verdana"/>
          <w:sz w:val="20"/>
          <w:lang w:val="es-MX"/>
        </w:rPr>
        <w:t xml:space="preserve"> de 2015 en el sentido de que la Corte convoque a una audiencia pública de supervisión</w:t>
      </w:r>
      <w:r w:rsidR="0059332F" w:rsidRPr="00CD571E">
        <w:rPr>
          <w:rStyle w:val="Refdenotaalpie"/>
          <w:rFonts w:ascii="Verdana" w:hAnsi="Verdana"/>
          <w:sz w:val="20"/>
          <w:lang w:val="es-MX"/>
        </w:rPr>
        <w:footnoteReference w:id="30"/>
      </w:r>
      <w:r w:rsidRPr="00CD571E">
        <w:rPr>
          <w:rFonts w:ascii="Verdana" w:hAnsi="Verdana"/>
          <w:sz w:val="20"/>
          <w:lang w:val="es-MX"/>
        </w:rPr>
        <w:t xml:space="preserve"> (</w:t>
      </w:r>
      <w:r w:rsidRPr="00CD571E">
        <w:rPr>
          <w:rFonts w:ascii="Verdana" w:hAnsi="Verdana"/>
          <w:i/>
          <w:sz w:val="20"/>
          <w:lang w:val="es-MX"/>
        </w:rPr>
        <w:t>supra</w:t>
      </w:r>
      <w:r w:rsidRPr="00CD571E">
        <w:rPr>
          <w:rFonts w:ascii="Verdana" w:hAnsi="Verdana"/>
          <w:sz w:val="20"/>
          <w:lang w:val="es-MX"/>
        </w:rPr>
        <w:t xml:space="preserve"> Vistos </w:t>
      </w:r>
      <w:r w:rsidR="00684790">
        <w:rPr>
          <w:rFonts w:ascii="Verdana" w:hAnsi="Verdana"/>
          <w:sz w:val="20"/>
          <w:lang w:val="es-MX"/>
        </w:rPr>
        <w:fldChar w:fldCharType="begin"/>
      </w:r>
      <w:r w:rsidR="00684790">
        <w:rPr>
          <w:rFonts w:ascii="Verdana" w:hAnsi="Verdana"/>
          <w:sz w:val="20"/>
          <w:lang w:val="es-MX"/>
        </w:rPr>
        <w:instrText xml:space="preserve"> REF _Ref437597947 \r \h </w:instrText>
      </w:r>
      <w:r w:rsidR="00684790">
        <w:rPr>
          <w:rFonts w:ascii="Verdana" w:hAnsi="Verdana"/>
          <w:sz w:val="20"/>
          <w:lang w:val="es-MX"/>
        </w:rPr>
      </w:r>
      <w:r w:rsidR="00684790">
        <w:rPr>
          <w:rFonts w:ascii="Verdana" w:hAnsi="Verdana"/>
          <w:sz w:val="20"/>
          <w:lang w:val="es-MX"/>
        </w:rPr>
        <w:fldChar w:fldCharType="separate"/>
      </w:r>
      <w:r w:rsidR="00EA6956">
        <w:rPr>
          <w:rFonts w:ascii="Verdana" w:hAnsi="Verdana"/>
          <w:sz w:val="20"/>
          <w:lang w:val="es-MX"/>
        </w:rPr>
        <w:t>6</w:t>
      </w:r>
      <w:r w:rsidR="00684790">
        <w:rPr>
          <w:rFonts w:ascii="Verdana" w:hAnsi="Verdana"/>
          <w:sz w:val="20"/>
          <w:lang w:val="es-MX"/>
        </w:rPr>
        <w:fldChar w:fldCharType="end"/>
      </w:r>
      <w:r w:rsidR="00684790">
        <w:rPr>
          <w:rFonts w:ascii="Verdana" w:hAnsi="Verdana"/>
          <w:sz w:val="20"/>
          <w:lang w:val="es-MX"/>
        </w:rPr>
        <w:t xml:space="preserve">, </w:t>
      </w:r>
      <w:r w:rsidR="005C0B43">
        <w:rPr>
          <w:rFonts w:ascii="Verdana" w:hAnsi="Verdana"/>
          <w:sz w:val="20"/>
          <w:lang w:val="es-MX"/>
        </w:rPr>
        <w:fldChar w:fldCharType="begin"/>
      </w:r>
      <w:r w:rsidR="005C0B43">
        <w:rPr>
          <w:rFonts w:ascii="Verdana" w:hAnsi="Verdana"/>
          <w:sz w:val="20"/>
          <w:lang w:val="es-MX"/>
        </w:rPr>
        <w:instrText xml:space="preserve"> REF _Ref437587304 \r \h </w:instrText>
      </w:r>
      <w:r w:rsidR="005C0B43">
        <w:rPr>
          <w:rFonts w:ascii="Verdana" w:hAnsi="Verdana"/>
          <w:sz w:val="20"/>
          <w:lang w:val="es-MX"/>
        </w:rPr>
      </w:r>
      <w:r w:rsidR="005C0B43">
        <w:rPr>
          <w:rFonts w:ascii="Verdana" w:hAnsi="Verdana"/>
          <w:sz w:val="20"/>
          <w:lang w:val="es-MX"/>
        </w:rPr>
        <w:fldChar w:fldCharType="separate"/>
      </w:r>
      <w:r w:rsidR="00EA6956">
        <w:rPr>
          <w:rFonts w:ascii="Verdana" w:hAnsi="Verdana"/>
          <w:sz w:val="20"/>
          <w:lang w:val="es-MX"/>
        </w:rPr>
        <w:t>7</w:t>
      </w:r>
      <w:r w:rsidR="005C0B43">
        <w:rPr>
          <w:rFonts w:ascii="Verdana" w:hAnsi="Verdana"/>
          <w:sz w:val="20"/>
          <w:lang w:val="es-MX"/>
        </w:rPr>
        <w:fldChar w:fldCharType="end"/>
      </w:r>
      <w:r w:rsidR="00684790">
        <w:rPr>
          <w:rFonts w:ascii="Verdana" w:hAnsi="Verdana"/>
          <w:sz w:val="20"/>
          <w:lang w:val="es-MX"/>
        </w:rPr>
        <w:t xml:space="preserve"> </w:t>
      </w:r>
      <w:r w:rsidRPr="00CD571E">
        <w:rPr>
          <w:rFonts w:ascii="Verdana" w:hAnsi="Verdana"/>
          <w:sz w:val="20"/>
          <w:lang w:val="es-MX"/>
        </w:rPr>
        <w:t xml:space="preserve">y </w:t>
      </w:r>
      <w:r w:rsidR="00684790">
        <w:rPr>
          <w:rFonts w:ascii="Verdana" w:hAnsi="Verdana"/>
          <w:sz w:val="20"/>
          <w:lang w:val="es-MX"/>
        </w:rPr>
        <w:fldChar w:fldCharType="begin"/>
      </w:r>
      <w:r w:rsidR="00684790">
        <w:rPr>
          <w:rFonts w:ascii="Verdana" w:hAnsi="Verdana"/>
          <w:sz w:val="20"/>
          <w:lang w:val="es-MX"/>
        </w:rPr>
        <w:instrText xml:space="preserve"> REF _Ref437598628 \r \h </w:instrText>
      </w:r>
      <w:r w:rsidR="00684790">
        <w:rPr>
          <w:rFonts w:ascii="Verdana" w:hAnsi="Verdana"/>
          <w:sz w:val="20"/>
          <w:lang w:val="es-MX"/>
        </w:rPr>
      </w:r>
      <w:r w:rsidR="00684790">
        <w:rPr>
          <w:rFonts w:ascii="Verdana" w:hAnsi="Verdana"/>
          <w:sz w:val="20"/>
          <w:lang w:val="es-MX"/>
        </w:rPr>
        <w:fldChar w:fldCharType="separate"/>
      </w:r>
      <w:r w:rsidR="00EA6956">
        <w:rPr>
          <w:rFonts w:ascii="Verdana" w:hAnsi="Verdana"/>
          <w:sz w:val="20"/>
          <w:lang w:val="es-MX"/>
        </w:rPr>
        <w:t>9</w:t>
      </w:r>
      <w:r w:rsidR="00684790">
        <w:rPr>
          <w:rFonts w:ascii="Verdana" w:hAnsi="Verdana"/>
          <w:sz w:val="20"/>
          <w:lang w:val="es-MX"/>
        </w:rPr>
        <w:fldChar w:fldCharType="end"/>
      </w:r>
      <w:r w:rsidRPr="00CD571E">
        <w:rPr>
          <w:rFonts w:ascii="Verdana" w:hAnsi="Verdana"/>
          <w:sz w:val="20"/>
          <w:lang w:val="es-MX"/>
        </w:rPr>
        <w:t>),</w:t>
      </w:r>
      <w:r w:rsidRPr="00CD571E">
        <w:rPr>
          <w:rFonts w:ascii="Verdana" w:hAnsi="Verdana"/>
          <w:b/>
          <w:sz w:val="20"/>
          <w:lang w:val="es-MX"/>
        </w:rPr>
        <w:t xml:space="preserve"> </w:t>
      </w:r>
      <w:r w:rsidR="00F01AB5" w:rsidRPr="00CD571E">
        <w:rPr>
          <w:rFonts w:ascii="Verdana" w:hAnsi="Verdana"/>
          <w:sz w:val="20"/>
          <w:lang w:val="es-MX"/>
        </w:rPr>
        <w:t>la Corte estima que</w:t>
      </w:r>
      <w:r w:rsidR="00701170">
        <w:rPr>
          <w:rFonts w:ascii="Verdana" w:hAnsi="Verdana"/>
          <w:sz w:val="20"/>
          <w:lang w:val="es-MX"/>
        </w:rPr>
        <w:t>,</w:t>
      </w:r>
      <w:r w:rsidR="00F01AB5" w:rsidRPr="00CD571E">
        <w:rPr>
          <w:rFonts w:ascii="Verdana" w:hAnsi="Verdana"/>
          <w:sz w:val="20"/>
          <w:lang w:val="es-MX"/>
        </w:rPr>
        <w:t xml:space="preserve"> ante </w:t>
      </w:r>
      <w:r w:rsidR="0059332F" w:rsidRPr="00CD571E">
        <w:rPr>
          <w:rFonts w:ascii="Verdana" w:hAnsi="Verdana"/>
          <w:sz w:val="20"/>
          <w:lang w:val="es-MX"/>
        </w:rPr>
        <w:t>la actual posición de Nicaragua</w:t>
      </w:r>
      <w:r w:rsidR="00F01AB5" w:rsidRPr="00CD571E">
        <w:rPr>
          <w:rFonts w:ascii="Verdana" w:hAnsi="Verdana"/>
          <w:sz w:val="20"/>
          <w:lang w:val="es-MX"/>
        </w:rPr>
        <w:t xml:space="preserve"> de desacato a su deber de informar</w:t>
      </w:r>
      <w:r w:rsidR="00701170">
        <w:rPr>
          <w:rFonts w:ascii="Verdana" w:hAnsi="Verdana"/>
          <w:sz w:val="20"/>
          <w:lang w:val="es-MX"/>
        </w:rPr>
        <w:t>,</w:t>
      </w:r>
      <w:r w:rsidR="0059332F" w:rsidRPr="00CD571E">
        <w:rPr>
          <w:rFonts w:ascii="Verdana" w:hAnsi="Verdana"/>
          <w:sz w:val="20"/>
          <w:lang w:val="es-MX"/>
        </w:rPr>
        <w:t xml:space="preserve"> la consecuencia que corresponde aplicar es incluir tal referencia en el </w:t>
      </w:r>
      <w:r w:rsidR="005C0B43">
        <w:rPr>
          <w:rFonts w:ascii="Verdana" w:hAnsi="Verdana"/>
          <w:sz w:val="20"/>
          <w:lang w:val="es-MX"/>
        </w:rPr>
        <w:t>Informe Anual</w:t>
      </w:r>
      <w:r w:rsidR="00C67ADD">
        <w:rPr>
          <w:rFonts w:ascii="Verdana" w:hAnsi="Verdana"/>
          <w:sz w:val="20"/>
          <w:lang w:val="es-MX"/>
        </w:rPr>
        <w:t>, sin perjuicio de que en el futuro la misma sea convocada.</w:t>
      </w:r>
      <w:r w:rsidR="00C67ADD" w:rsidRPr="00CD571E">
        <w:rPr>
          <w:rFonts w:ascii="Verdana" w:hAnsi="Verdana"/>
          <w:sz w:val="20"/>
          <w:lang w:val="es-MX"/>
        </w:rPr>
        <w:t xml:space="preserve"> </w:t>
      </w:r>
    </w:p>
    <w:p w:rsidR="002E31AD" w:rsidRDefault="002E31AD" w:rsidP="002E31AD">
      <w:pPr>
        <w:jc w:val="both"/>
        <w:rPr>
          <w:rFonts w:ascii="Verdana" w:hAnsi="Verdana"/>
          <w:sz w:val="20"/>
          <w:lang w:val="es-MX"/>
        </w:rPr>
      </w:pPr>
    </w:p>
    <w:p w:rsidR="008740E4" w:rsidRPr="002160E3" w:rsidRDefault="008740E4" w:rsidP="00302709">
      <w:pPr>
        <w:jc w:val="both"/>
        <w:rPr>
          <w:rFonts w:ascii="Verdana" w:hAnsi="Verdana"/>
          <w:b/>
          <w:sz w:val="20"/>
          <w:lang w:val="es-MX"/>
        </w:rPr>
      </w:pPr>
      <w:r w:rsidRPr="002160E3">
        <w:rPr>
          <w:rFonts w:ascii="Verdana" w:hAnsi="Verdana"/>
          <w:b/>
          <w:sz w:val="20"/>
          <w:lang w:val="es-MX"/>
        </w:rPr>
        <w:t>POR TANTO</w:t>
      </w:r>
    </w:p>
    <w:p w:rsidR="008740E4" w:rsidRPr="002160E3" w:rsidRDefault="008740E4" w:rsidP="00302709">
      <w:pPr>
        <w:jc w:val="both"/>
        <w:rPr>
          <w:rFonts w:ascii="Verdana" w:hAnsi="Verdana"/>
          <w:b/>
          <w:sz w:val="20"/>
          <w:lang w:val="es-MX"/>
        </w:rPr>
      </w:pPr>
    </w:p>
    <w:p w:rsidR="008740E4" w:rsidRPr="002160E3" w:rsidRDefault="008740E4" w:rsidP="00302709">
      <w:pPr>
        <w:jc w:val="both"/>
        <w:rPr>
          <w:rFonts w:ascii="Verdana" w:hAnsi="Verdana"/>
          <w:b/>
          <w:sz w:val="20"/>
          <w:lang w:val="es-MX"/>
        </w:rPr>
      </w:pPr>
      <w:r w:rsidRPr="002160E3">
        <w:rPr>
          <w:rFonts w:ascii="Verdana" w:hAnsi="Verdana"/>
          <w:b/>
          <w:sz w:val="20"/>
          <w:lang w:val="es-MX"/>
        </w:rPr>
        <w:t>LA CORTE INTERAMERICANA DE DERECHOS HUMANOS,</w:t>
      </w:r>
    </w:p>
    <w:p w:rsidR="0009778E" w:rsidRPr="002160E3" w:rsidRDefault="0009778E" w:rsidP="00302709">
      <w:pPr>
        <w:jc w:val="both"/>
        <w:rPr>
          <w:rFonts w:ascii="Verdana" w:hAnsi="Verdana"/>
          <w:sz w:val="20"/>
          <w:lang w:val="es-MX"/>
        </w:rPr>
      </w:pPr>
    </w:p>
    <w:p w:rsidR="008740E4" w:rsidRDefault="00011166" w:rsidP="00302709">
      <w:pPr>
        <w:jc w:val="both"/>
        <w:rPr>
          <w:rFonts w:ascii="Verdana" w:hAnsi="Verdana"/>
          <w:sz w:val="20"/>
          <w:lang w:val="es-MX"/>
        </w:rPr>
      </w:pPr>
      <w:r w:rsidRPr="00011166">
        <w:rPr>
          <w:rFonts w:ascii="Verdana" w:hAnsi="Verdana"/>
          <w:sz w:val="20"/>
          <w:lang w:val="es-MX"/>
        </w:rPr>
        <w:t>En ejercicio de sus atribuciones de supervisión del cumplimiento de sus decisiones, de conformidad con los artículos 33, 62.1, 62.3, 65, 67 y 68.1 de la Convención Americana sobre Derechos Humanos, 24, 25 y 30 del Estatuto y 31 y 69 del Reglamento,</w:t>
      </w:r>
    </w:p>
    <w:p w:rsidR="0009778E" w:rsidRPr="002160E3" w:rsidRDefault="0009778E" w:rsidP="00302709">
      <w:pPr>
        <w:jc w:val="both"/>
        <w:rPr>
          <w:rFonts w:ascii="Verdana" w:hAnsi="Verdana"/>
          <w:sz w:val="20"/>
          <w:lang w:val="es-MX"/>
        </w:rPr>
      </w:pPr>
    </w:p>
    <w:p w:rsidR="00007307" w:rsidRPr="002160E3" w:rsidRDefault="003B3026" w:rsidP="00007307">
      <w:pPr>
        <w:jc w:val="both"/>
        <w:rPr>
          <w:rFonts w:ascii="Verdana" w:hAnsi="Verdana"/>
          <w:b/>
          <w:sz w:val="20"/>
          <w:lang w:val="es-MX"/>
        </w:rPr>
      </w:pPr>
      <w:r>
        <w:rPr>
          <w:rFonts w:ascii="Verdana" w:hAnsi="Verdana"/>
          <w:b/>
          <w:sz w:val="20"/>
          <w:lang w:val="es-MX"/>
        </w:rPr>
        <w:t>DECLARA QUE</w:t>
      </w:r>
      <w:r w:rsidR="00007307" w:rsidRPr="002160E3">
        <w:rPr>
          <w:rFonts w:ascii="Verdana" w:hAnsi="Verdana"/>
          <w:b/>
          <w:sz w:val="20"/>
          <w:lang w:val="es-MX"/>
        </w:rPr>
        <w:t>:</w:t>
      </w:r>
    </w:p>
    <w:p w:rsidR="0009778E" w:rsidRPr="002160E3" w:rsidRDefault="0009778E" w:rsidP="00302709">
      <w:pPr>
        <w:jc w:val="both"/>
        <w:rPr>
          <w:rFonts w:ascii="Verdana" w:hAnsi="Verdana"/>
          <w:b/>
          <w:sz w:val="20"/>
          <w:lang w:val="es-MX"/>
        </w:rPr>
      </w:pPr>
    </w:p>
    <w:p w:rsidR="006D0BBB" w:rsidRPr="002160E3" w:rsidRDefault="003B3026" w:rsidP="005C1460">
      <w:pPr>
        <w:numPr>
          <w:ilvl w:val="0"/>
          <w:numId w:val="30"/>
        </w:numPr>
        <w:ind w:left="0" w:hanging="11"/>
        <w:jc w:val="both"/>
        <w:rPr>
          <w:rFonts w:ascii="Verdana" w:hAnsi="Verdana"/>
          <w:sz w:val="20"/>
          <w:lang w:val="es-MX"/>
        </w:rPr>
      </w:pPr>
      <w:bookmarkStart w:id="18" w:name="_Ref437598975"/>
      <w:r>
        <w:rPr>
          <w:rFonts w:ascii="Verdana" w:hAnsi="Verdana"/>
          <w:sz w:val="20"/>
          <w:lang w:val="es-CR"/>
        </w:rPr>
        <w:t>E</w:t>
      </w:r>
      <w:r w:rsidR="005C1460" w:rsidRPr="002160E3">
        <w:rPr>
          <w:rFonts w:ascii="Verdana" w:hAnsi="Verdana"/>
          <w:sz w:val="20"/>
          <w:lang w:val="es-CR"/>
        </w:rPr>
        <w:t xml:space="preserve">l Estado </w:t>
      </w:r>
      <w:r w:rsidR="00D80147">
        <w:rPr>
          <w:rFonts w:ascii="Verdana" w:hAnsi="Verdana"/>
          <w:sz w:val="20"/>
          <w:lang w:val="es-CR"/>
        </w:rPr>
        <w:t xml:space="preserve">ha incumplido durante </w:t>
      </w:r>
      <w:r w:rsidR="00630BAA">
        <w:rPr>
          <w:rFonts w:ascii="Verdana" w:hAnsi="Verdana"/>
          <w:sz w:val="20"/>
          <w:lang w:val="es-CR"/>
        </w:rPr>
        <w:t xml:space="preserve">más de </w:t>
      </w:r>
      <w:r w:rsidR="00D4508B">
        <w:rPr>
          <w:rFonts w:ascii="Verdana" w:hAnsi="Verdana"/>
          <w:sz w:val="20"/>
          <w:lang w:val="es-CR"/>
        </w:rPr>
        <w:t>cinco</w:t>
      </w:r>
      <w:r w:rsidR="00D80147">
        <w:rPr>
          <w:rFonts w:ascii="Verdana" w:hAnsi="Verdana"/>
          <w:sz w:val="20"/>
          <w:lang w:val="es-CR"/>
        </w:rPr>
        <w:t xml:space="preserve"> años </w:t>
      </w:r>
      <w:r w:rsidR="005C1460" w:rsidRPr="002160E3">
        <w:rPr>
          <w:rFonts w:ascii="Verdana" w:hAnsi="Verdana"/>
          <w:sz w:val="20"/>
          <w:lang w:val="es-CR"/>
        </w:rPr>
        <w:t>su obligación de informar a esta Corte</w:t>
      </w:r>
      <w:r w:rsidR="00D80147">
        <w:rPr>
          <w:rFonts w:ascii="Verdana" w:hAnsi="Verdana"/>
          <w:sz w:val="20"/>
          <w:lang w:val="es-CR"/>
        </w:rPr>
        <w:t xml:space="preserve"> </w:t>
      </w:r>
      <w:r w:rsidR="00C92B35" w:rsidRPr="002160E3">
        <w:rPr>
          <w:rFonts w:ascii="Verdana" w:hAnsi="Verdana"/>
          <w:sz w:val="20"/>
          <w:lang w:val="es-MX"/>
        </w:rPr>
        <w:t xml:space="preserve">sobre las medidas adoptadas para dar cumplimiento a </w:t>
      </w:r>
      <w:r w:rsidR="00C62497">
        <w:rPr>
          <w:rFonts w:ascii="Verdana" w:hAnsi="Verdana"/>
          <w:sz w:val="20"/>
          <w:lang w:val="es-MX"/>
        </w:rPr>
        <w:t>las reparaciones pendientes de cumplimiento</w:t>
      </w:r>
      <w:r w:rsidR="0099396F" w:rsidRPr="002160E3">
        <w:rPr>
          <w:rFonts w:ascii="Verdana" w:hAnsi="Verdana"/>
          <w:sz w:val="20"/>
          <w:lang w:val="es-MX"/>
        </w:rPr>
        <w:t xml:space="preserve"> </w:t>
      </w:r>
      <w:r w:rsidR="00C62497">
        <w:rPr>
          <w:rFonts w:ascii="Verdana" w:hAnsi="Verdana"/>
          <w:sz w:val="20"/>
          <w:lang w:val="es-MX"/>
        </w:rPr>
        <w:t>de</w:t>
      </w:r>
      <w:r w:rsidR="0099396F" w:rsidRPr="002160E3">
        <w:rPr>
          <w:rFonts w:ascii="Verdana" w:hAnsi="Verdana"/>
          <w:sz w:val="20"/>
          <w:lang w:val="es-MX"/>
        </w:rPr>
        <w:t xml:space="preserve"> </w:t>
      </w:r>
      <w:r w:rsidR="00C92B35" w:rsidRPr="002160E3">
        <w:rPr>
          <w:rFonts w:ascii="Verdana" w:hAnsi="Verdana"/>
          <w:sz w:val="20"/>
          <w:lang w:val="es-MX"/>
        </w:rPr>
        <w:t xml:space="preserve">la Sentencia emitida </w:t>
      </w:r>
      <w:r w:rsidR="00A86407">
        <w:rPr>
          <w:rFonts w:ascii="Verdana" w:hAnsi="Verdana"/>
          <w:sz w:val="20"/>
          <w:lang w:val="es-MX"/>
        </w:rPr>
        <w:t xml:space="preserve">el 23 de junio de 2005 </w:t>
      </w:r>
      <w:r w:rsidR="00C92B35" w:rsidRPr="002160E3">
        <w:rPr>
          <w:rFonts w:ascii="Verdana" w:hAnsi="Verdana"/>
          <w:sz w:val="20"/>
          <w:lang w:val="es-MX"/>
        </w:rPr>
        <w:t>en el presente caso</w:t>
      </w:r>
      <w:r w:rsidR="00D80147">
        <w:rPr>
          <w:rFonts w:ascii="Verdana" w:hAnsi="Verdana"/>
          <w:sz w:val="20"/>
          <w:lang w:val="es-MX"/>
        </w:rPr>
        <w:t>, de conformidad con lo indicado en la parte considerativa de la presente Resolución</w:t>
      </w:r>
      <w:r w:rsidR="00C92B35" w:rsidRPr="002160E3">
        <w:rPr>
          <w:rFonts w:ascii="Verdana" w:hAnsi="Verdana"/>
          <w:sz w:val="20"/>
          <w:lang w:val="es-MX"/>
        </w:rPr>
        <w:t>.</w:t>
      </w:r>
      <w:bookmarkEnd w:id="18"/>
    </w:p>
    <w:p w:rsidR="00C92B35" w:rsidRPr="002160E3" w:rsidRDefault="00C92B35" w:rsidP="00C92B35">
      <w:pPr>
        <w:jc w:val="both"/>
        <w:rPr>
          <w:rFonts w:ascii="Verdana" w:hAnsi="Verdana"/>
          <w:sz w:val="20"/>
          <w:lang w:val="es-MX"/>
        </w:rPr>
      </w:pPr>
    </w:p>
    <w:p w:rsidR="00E0409A" w:rsidRPr="00E0409A" w:rsidRDefault="000535CE" w:rsidP="00192FD7">
      <w:pPr>
        <w:numPr>
          <w:ilvl w:val="0"/>
          <w:numId w:val="30"/>
        </w:numPr>
        <w:ind w:left="0" w:hanging="11"/>
        <w:jc w:val="both"/>
        <w:rPr>
          <w:rFonts w:ascii="Verdana" w:hAnsi="Verdana"/>
          <w:sz w:val="20"/>
          <w:lang w:val="es-MX"/>
        </w:rPr>
      </w:pPr>
      <w:bookmarkStart w:id="19" w:name="_Ref437598981"/>
      <w:r>
        <w:rPr>
          <w:rFonts w:ascii="Verdana" w:hAnsi="Verdana"/>
          <w:sz w:val="20"/>
          <w:lang w:val="es-MX"/>
        </w:rPr>
        <w:t xml:space="preserve">El Estado no ha dado </w:t>
      </w:r>
      <w:r w:rsidR="00C92B35" w:rsidRPr="002160E3">
        <w:rPr>
          <w:rFonts w:ascii="Verdana" w:hAnsi="Verdana"/>
          <w:sz w:val="20"/>
          <w:lang w:val="es-MX"/>
        </w:rPr>
        <w:t xml:space="preserve">cumplimiento </w:t>
      </w:r>
      <w:r>
        <w:rPr>
          <w:rFonts w:ascii="Verdana" w:hAnsi="Verdana"/>
          <w:sz w:val="20"/>
          <w:lang w:val="es-MX"/>
        </w:rPr>
        <w:t xml:space="preserve">a las siguientes reparaciones ordenadas en </w:t>
      </w:r>
      <w:r w:rsidR="00E0409A">
        <w:rPr>
          <w:rFonts w:ascii="Verdana" w:hAnsi="Verdana"/>
          <w:sz w:val="20"/>
        </w:rPr>
        <w:t>la Sentencia:</w:t>
      </w:r>
      <w:bookmarkEnd w:id="19"/>
    </w:p>
    <w:p w:rsidR="00E0409A" w:rsidRDefault="00E0409A" w:rsidP="00E0409A">
      <w:pPr>
        <w:pStyle w:val="Cuadrculaclara-nfasis3"/>
        <w:rPr>
          <w:rFonts w:ascii="Verdana" w:hAnsi="Verdana"/>
          <w:sz w:val="20"/>
        </w:rPr>
      </w:pPr>
    </w:p>
    <w:p w:rsidR="00E0409A" w:rsidRDefault="00E0409A" w:rsidP="00E0409A">
      <w:pPr>
        <w:pStyle w:val="Cuadrculaclara-nfasis3"/>
        <w:ind w:left="567" w:right="4"/>
        <w:jc w:val="both"/>
        <w:rPr>
          <w:rFonts w:ascii="Verdana" w:hAnsi="Verdana"/>
          <w:sz w:val="20"/>
        </w:rPr>
      </w:pPr>
      <w:r w:rsidRPr="00B514AE">
        <w:rPr>
          <w:rFonts w:ascii="Verdana" w:hAnsi="Verdana"/>
          <w:sz w:val="20"/>
        </w:rPr>
        <w:t>a)</w:t>
      </w:r>
      <w:r w:rsidRPr="00B514AE">
        <w:rPr>
          <w:rFonts w:ascii="Verdana" w:hAnsi="Verdana"/>
          <w:sz w:val="20"/>
        </w:rPr>
        <w:tab/>
      </w:r>
      <w:r w:rsidRPr="00744090">
        <w:rPr>
          <w:rFonts w:ascii="Verdana" w:hAnsi="Verdana"/>
          <w:sz w:val="20"/>
        </w:rPr>
        <w:t>dar publicidad, a través de una emisora radial de amplia cobertura en la Costa Atlántica, a los párrafos indicados del capítulo VII (Hechos Probados), de los capítulos IX y X y los puntos resolutivos de la Sentencia (</w:t>
      </w:r>
      <w:r w:rsidRPr="00744090">
        <w:rPr>
          <w:rFonts w:ascii="Verdana" w:hAnsi="Verdana"/>
          <w:i/>
          <w:sz w:val="20"/>
        </w:rPr>
        <w:t>punto resolutivo octavo de la Sentencia</w:t>
      </w:r>
      <w:r w:rsidRPr="00744090">
        <w:rPr>
          <w:rFonts w:ascii="Verdana" w:hAnsi="Verdana"/>
          <w:sz w:val="20"/>
        </w:rPr>
        <w:t>);</w:t>
      </w:r>
    </w:p>
    <w:p w:rsidR="00E0409A" w:rsidRDefault="00E0409A" w:rsidP="00E0409A">
      <w:pPr>
        <w:pStyle w:val="Cuadrculaclara-nfasis3"/>
        <w:ind w:left="567" w:right="4"/>
        <w:jc w:val="both"/>
        <w:rPr>
          <w:rFonts w:ascii="Verdana" w:hAnsi="Verdana"/>
          <w:sz w:val="20"/>
        </w:rPr>
      </w:pPr>
    </w:p>
    <w:p w:rsidR="00E0409A" w:rsidRDefault="00E0409A" w:rsidP="00E0409A">
      <w:pPr>
        <w:pStyle w:val="Cuadrculaclara-nfasis3"/>
        <w:ind w:left="567" w:right="4"/>
        <w:jc w:val="both"/>
        <w:rPr>
          <w:rFonts w:ascii="Verdana" w:hAnsi="Verdana"/>
          <w:sz w:val="20"/>
        </w:rPr>
      </w:pPr>
      <w:r>
        <w:rPr>
          <w:rFonts w:ascii="Verdana" w:hAnsi="Verdana"/>
          <w:sz w:val="20"/>
        </w:rPr>
        <w:t xml:space="preserve">b) </w:t>
      </w:r>
      <w:r>
        <w:rPr>
          <w:rFonts w:ascii="Verdana" w:hAnsi="Verdana"/>
          <w:sz w:val="20"/>
        </w:rPr>
        <w:tab/>
      </w:r>
      <w:r w:rsidRPr="00B514AE">
        <w:rPr>
          <w:rFonts w:ascii="Verdana" w:hAnsi="Verdana"/>
          <w:sz w:val="20"/>
        </w:rPr>
        <w:t xml:space="preserve">adoptar, dentro de un plazo razonable, las medidas legislativas necesarias para establecer un recurso judicial sencillo, rápido y efectivo que permita controlar las decisiones del Consejo Supremo Electoral que afecten derechos humanos, tales como los derechos políticos, con observancia de las garantías legales y convencionales </w:t>
      </w:r>
      <w:r w:rsidRPr="00B514AE">
        <w:rPr>
          <w:rFonts w:ascii="Verdana" w:hAnsi="Verdana"/>
          <w:sz w:val="20"/>
        </w:rPr>
        <w:lastRenderedPageBreak/>
        <w:t>respectivas, y derogar las normas que impidan la interposición de ese recurso (</w:t>
      </w:r>
      <w:r w:rsidRPr="00B514AE">
        <w:rPr>
          <w:rFonts w:ascii="Verdana" w:hAnsi="Verdana"/>
          <w:i/>
          <w:sz w:val="20"/>
        </w:rPr>
        <w:t>punto resolutivo noveno de la Sentencia</w:t>
      </w:r>
      <w:r w:rsidRPr="00B514AE">
        <w:rPr>
          <w:rFonts w:ascii="Verdana" w:hAnsi="Verdana"/>
          <w:sz w:val="20"/>
        </w:rPr>
        <w:t>);</w:t>
      </w:r>
    </w:p>
    <w:p w:rsidR="00E0409A" w:rsidRDefault="00E0409A" w:rsidP="00E0409A">
      <w:pPr>
        <w:pStyle w:val="Cuadrculaclara-nfasis3"/>
        <w:ind w:left="0" w:right="810"/>
        <w:jc w:val="both"/>
        <w:rPr>
          <w:rFonts w:ascii="Verdana" w:hAnsi="Verdana"/>
          <w:sz w:val="20"/>
        </w:rPr>
      </w:pPr>
    </w:p>
    <w:p w:rsidR="00E0409A" w:rsidRDefault="00E0409A" w:rsidP="00E0409A">
      <w:pPr>
        <w:pStyle w:val="Cuadrculaclara-nfasis3"/>
        <w:ind w:left="567" w:right="4"/>
        <w:jc w:val="both"/>
        <w:rPr>
          <w:rFonts w:ascii="Verdana" w:hAnsi="Verdana"/>
          <w:sz w:val="20"/>
        </w:rPr>
      </w:pPr>
      <w:r>
        <w:rPr>
          <w:rFonts w:ascii="Verdana" w:hAnsi="Verdana"/>
          <w:sz w:val="20"/>
        </w:rPr>
        <w:t>c</w:t>
      </w:r>
      <w:r w:rsidRPr="00B514AE">
        <w:rPr>
          <w:rFonts w:ascii="Verdana" w:hAnsi="Verdana"/>
          <w:sz w:val="20"/>
        </w:rPr>
        <w:t>)</w:t>
      </w:r>
      <w:r w:rsidRPr="00B514AE">
        <w:rPr>
          <w:rFonts w:ascii="Verdana" w:hAnsi="Verdana"/>
          <w:sz w:val="20"/>
        </w:rPr>
        <w:tab/>
        <w:t>reformar la Ley Electoral No. 331 de 2000 de manera que regule con claridad las consecuencias del incumplimiento de los requisitos de participación electoral, los procedimientos que debe observar el Consejo Supremo Electoral al determinar tal incumplimiento y las</w:t>
      </w:r>
      <w:r w:rsidRPr="00B514AE">
        <w:rPr>
          <w:rFonts w:ascii="Verdana" w:hAnsi="Verdana"/>
          <w:b/>
          <w:sz w:val="20"/>
        </w:rPr>
        <w:t xml:space="preserve"> </w:t>
      </w:r>
      <w:r w:rsidRPr="00B514AE">
        <w:rPr>
          <w:rFonts w:ascii="Verdana" w:hAnsi="Verdana"/>
          <w:sz w:val="20"/>
        </w:rPr>
        <w:t>decisiones fundamentadas que al respecto debe adoptar dicho Consejo, así como los derechos de las personas cuya participación se vea afectada por una decisión del Estado (</w:t>
      </w:r>
      <w:r w:rsidRPr="00B514AE">
        <w:rPr>
          <w:rFonts w:ascii="Verdana" w:hAnsi="Verdana"/>
          <w:i/>
          <w:sz w:val="20"/>
        </w:rPr>
        <w:t>punto resolutivo décimo de la Sentencia</w:t>
      </w:r>
      <w:r w:rsidRPr="00B514AE">
        <w:rPr>
          <w:rFonts w:ascii="Verdana" w:hAnsi="Verdana"/>
          <w:sz w:val="20"/>
        </w:rPr>
        <w:t>);</w:t>
      </w:r>
    </w:p>
    <w:p w:rsidR="00E0409A" w:rsidRDefault="00E0409A" w:rsidP="00E0409A">
      <w:pPr>
        <w:pStyle w:val="Cuadrculaclara-nfasis3"/>
        <w:ind w:left="0" w:right="810"/>
        <w:jc w:val="both"/>
        <w:rPr>
          <w:rFonts w:ascii="Verdana" w:hAnsi="Verdana"/>
          <w:sz w:val="20"/>
        </w:rPr>
      </w:pPr>
    </w:p>
    <w:p w:rsidR="00E0409A" w:rsidRDefault="00E0409A" w:rsidP="00E0409A">
      <w:pPr>
        <w:pStyle w:val="Cuadrculaclara-nfasis3"/>
        <w:ind w:left="567" w:right="4"/>
        <w:jc w:val="both"/>
        <w:rPr>
          <w:rFonts w:ascii="Verdana" w:hAnsi="Verdana"/>
          <w:sz w:val="20"/>
        </w:rPr>
      </w:pPr>
      <w:r>
        <w:rPr>
          <w:rFonts w:ascii="Verdana" w:hAnsi="Verdana"/>
          <w:sz w:val="20"/>
        </w:rPr>
        <w:t>d</w:t>
      </w:r>
      <w:r w:rsidRPr="00B514AE">
        <w:rPr>
          <w:rFonts w:ascii="Verdana" w:hAnsi="Verdana"/>
          <w:sz w:val="20"/>
        </w:rPr>
        <w:t>)</w:t>
      </w:r>
      <w:r w:rsidRPr="00B514AE">
        <w:rPr>
          <w:rFonts w:ascii="Verdana" w:hAnsi="Verdana"/>
          <w:sz w:val="20"/>
        </w:rPr>
        <w:tab/>
        <w:t>reformar la regulación de los requisitos dispuestos en la Ley Electoral No. 331 de 2000 declarados violatorios de la Convención Americana y adoptar las medidas necesarias para que los miembros de las comunidades indígenas y étnicas puedan participar en los procesos electorales en forma efectiva y tomando en cuenta sus tradiciones, usos y costumbres (</w:t>
      </w:r>
      <w:r w:rsidRPr="00B514AE">
        <w:rPr>
          <w:rFonts w:ascii="Verdana" w:hAnsi="Verdana"/>
          <w:i/>
          <w:sz w:val="20"/>
        </w:rPr>
        <w:t>punto resolutivo undécimo de la Sentencia</w:t>
      </w:r>
      <w:r w:rsidRPr="00B514AE">
        <w:rPr>
          <w:rFonts w:ascii="Verdana" w:hAnsi="Verdana"/>
          <w:sz w:val="20"/>
        </w:rPr>
        <w:t>);</w:t>
      </w:r>
    </w:p>
    <w:p w:rsidR="00E0409A" w:rsidRDefault="00E0409A" w:rsidP="00E0409A">
      <w:pPr>
        <w:pStyle w:val="Cuadrculaclara-nfasis3"/>
        <w:ind w:left="0" w:right="810"/>
        <w:jc w:val="both"/>
        <w:rPr>
          <w:rFonts w:ascii="Verdana" w:hAnsi="Verdana"/>
          <w:sz w:val="20"/>
        </w:rPr>
      </w:pPr>
    </w:p>
    <w:p w:rsidR="00E0409A" w:rsidRDefault="00E0409A" w:rsidP="00E0409A">
      <w:pPr>
        <w:pStyle w:val="Cuadrculaclara-nfasis3"/>
        <w:ind w:left="567" w:right="4"/>
        <w:jc w:val="both"/>
        <w:rPr>
          <w:rFonts w:ascii="Verdana" w:hAnsi="Verdana"/>
          <w:sz w:val="20"/>
        </w:rPr>
      </w:pPr>
      <w:r w:rsidRPr="00744090">
        <w:rPr>
          <w:rFonts w:ascii="Verdana" w:hAnsi="Verdana"/>
          <w:sz w:val="20"/>
        </w:rPr>
        <w:t xml:space="preserve">e) </w:t>
      </w:r>
      <w:r w:rsidRPr="00744090">
        <w:rPr>
          <w:rFonts w:ascii="Verdana" w:hAnsi="Verdana"/>
          <w:sz w:val="20"/>
        </w:rPr>
        <w:tab/>
      </w:r>
      <w:r w:rsidR="00A97066">
        <w:rPr>
          <w:rFonts w:ascii="Verdana" w:hAnsi="Verdana"/>
          <w:sz w:val="20"/>
        </w:rPr>
        <w:t xml:space="preserve">en relación con </w:t>
      </w:r>
      <w:r w:rsidRPr="00744090">
        <w:rPr>
          <w:rFonts w:ascii="Verdana" w:hAnsi="Verdana"/>
          <w:sz w:val="20"/>
        </w:rPr>
        <w:t>la indemnización por concepto de los daños material</w:t>
      </w:r>
      <w:r w:rsidR="00A97066">
        <w:rPr>
          <w:rFonts w:ascii="Verdana" w:hAnsi="Verdana"/>
          <w:sz w:val="20"/>
        </w:rPr>
        <w:t>es</w:t>
      </w:r>
      <w:r w:rsidRPr="00744090">
        <w:rPr>
          <w:rFonts w:ascii="Verdana" w:hAnsi="Verdana"/>
          <w:sz w:val="20"/>
        </w:rPr>
        <w:t xml:space="preserve"> e inmaterial</w:t>
      </w:r>
      <w:r w:rsidR="00A97066">
        <w:rPr>
          <w:rFonts w:ascii="Verdana" w:hAnsi="Verdana"/>
          <w:sz w:val="20"/>
        </w:rPr>
        <w:t>es</w:t>
      </w:r>
      <w:r w:rsidRPr="00744090">
        <w:rPr>
          <w:rFonts w:ascii="Verdana" w:hAnsi="Verdana"/>
          <w:sz w:val="20"/>
        </w:rPr>
        <w:t xml:space="preserve">, </w:t>
      </w:r>
      <w:r w:rsidR="00A97066">
        <w:rPr>
          <w:rFonts w:ascii="Verdana" w:hAnsi="Verdana"/>
          <w:sz w:val="20"/>
        </w:rPr>
        <w:t xml:space="preserve">pagar los intereses que se hayan generado desde el 1 de enero al 25 de noviembre de 2008, </w:t>
      </w:r>
      <w:r w:rsidRPr="00744090">
        <w:rPr>
          <w:rFonts w:ascii="Verdana" w:hAnsi="Verdana"/>
          <w:sz w:val="20"/>
        </w:rPr>
        <w:t>la cual deberá ser entregada a la organización YATAMA, que deberá distribuirla según corresponda (</w:t>
      </w:r>
      <w:r w:rsidRPr="00744090">
        <w:rPr>
          <w:rFonts w:ascii="Verdana" w:hAnsi="Verdana"/>
          <w:i/>
          <w:sz w:val="20"/>
        </w:rPr>
        <w:t>punto resolutivo duodécimo de la Sentencia</w:t>
      </w:r>
      <w:r>
        <w:rPr>
          <w:rFonts w:ascii="Verdana" w:hAnsi="Verdana"/>
          <w:sz w:val="20"/>
        </w:rPr>
        <w:t>), y</w:t>
      </w:r>
    </w:p>
    <w:p w:rsidR="00E0409A" w:rsidRDefault="00E0409A" w:rsidP="00E0409A">
      <w:pPr>
        <w:pStyle w:val="Cuadrculaclara-nfasis3"/>
        <w:ind w:left="567" w:right="4"/>
        <w:jc w:val="both"/>
        <w:rPr>
          <w:rFonts w:ascii="Verdana" w:hAnsi="Verdana"/>
          <w:sz w:val="20"/>
        </w:rPr>
      </w:pPr>
    </w:p>
    <w:p w:rsidR="00E0409A" w:rsidRDefault="00E0409A" w:rsidP="00E0409A">
      <w:pPr>
        <w:pStyle w:val="Cuadrculaclara-nfasis3"/>
        <w:ind w:left="567" w:right="4"/>
        <w:jc w:val="both"/>
        <w:rPr>
          <w:rFonts w:ascii="Verdana" w:hAnsi="Verdana"/>
          <w:sz w:val="20"/>
        </w:rPr>
      </w:pPr>
      <w:r w:rsidRPr="00744090">
        <w:rPr>
          <w:rFonts w:ascii="Verdana" w:hAnsi="Verdana"/>
          <w:sz w:val="20"/>
        </w:rPr>
        <w:t xml:space="preserve">f) </w:t>
      </w:r>
      <w:r>
        <w:rPr>
          <w:rFonts w:ascii="Verdana" w:hAnsi="Verdana"/>
          <w:sz w:val="20"/>
        </w:rPr>
        <w:tab/>
      </w:r>
      <w:r w:rsidR="00A97066">
        <w:rPr>
          <w:rFonts w:ascii="Verdana" w:hAnsi="Verdana"/>
          <w:sz w:val="20"/>
        </w:rPr>
        <w:t>en relación con</w:t>
      </w:r>
      <w:r w:rsidRPr="00744090">
        <w:rPr>
          <w:rFonts w:ascii="Verdana" w:hAnsi="Verdana"/>
          <w:sz w:val="20"/>
        </w:rPr>
        <w:t xml:space="preserve"> la cantidad dispuesta por concepto de costas y gastos generados en el ámbito interno y en el proceso internacional ante el sistema interamericano de protección de los derechos humanos,</w:t>
      </w:r>
      <w:r w:rsidR="00DF7980">
        <w:rPr>
          <w:rFonts w:ascii="Verdana" w:hAnsi="Verdana"/>
          <w:sz w:val="20"/>
        </w:rPr>
        <w:t xml:space="preserve"> pagar los intereses que se hayan generado desde el 1 de enero al 25 de noviembre de 2008</w:t>
      </w:r>
      <w:r w:rsidRPr="00744090">
        <w:rPr>
          <w:rFonts w:ascii="Verdana" w:hAnsi="Verdana"/>
          <w:sz w:val="20"/>
        </w:rPr>
        <w:t xml:space="preserve"> a favor de la organización YATAMA, la cual entregará a CENIDH y CEJIL la parte que </w:t>
      </w:r>
      <w:r w:rsidR="00DF7980">
        <w:rPr>
          <w:rFonts w:ascii="Verdana" w:hAnsi="Verdana"/>
          <w:sz w:val="20"/>
        </w:rPr>
        <w:t xml:space="preserve">les </w:t>
      </w:r>
      <w:r w:rsidRPr="00744090">
        <w:rPr>
          <w:rFonts w:ascii="Verdana" w:hAnsi="Verdana"/>
          <w:sz w:val="20"/>
        </w:rPr>
        <w:t>corresponda (</w:t>
      </w:r>
      <w:r w:rsidRPr="00744090">
        <w:rPr>
          <w:rFonts w:ascii="Verdana" w:hAnsi="Verdana"/>
          <w:i/>
          <w:sz w:val="20"/>
        </w:rPr>
        <w:t>punto resolutivo décimo tercero de la Sentencia</w:t>
      </w:r>
      <w:r w:rsidRPr="00744090">
        <w:rPr>
          <w:rFonts w:ascii="Verdana" w:hAnsi="Verdana"/>
          <w:sz w:val="20"/>
        </w:rPr>
        <w:t>).</w:t>
      </w:r>
    </w:p>
    <w:p w:rsidR="00192FD7" w:rsidRPr="002160E3" w:rsidRDefault="005B4FC1" w:rsidP="00E0409A">
      <w:pPr>
        <w:ind w:left="1140"/>
        <w:jc w:val="both"/>
        <w:rPr>
          <w:rFonts w:ascii="Verdana" w:hAnsi="Verdana"/>
          <w:sz w:val="20"/>
          <w:lang w:val="es-MX"/>
        </w:rPr>
      </w:pPr>
      <w:r w:rsidRPr="002160E3">
        <w:rPr>
          <w:rFonts w:ascii="Verdana" w:hAnsi="Verdana"/>
          <w:sz w:val="20"/>
        </w:rPr>
        <w:t xml:space="preserve"> </w:t>
      </w:r>
    </w:p>
    <w:p w:rsidR="00CD1E4F" w:rsidRPr="00CD1E4F" w:rsidRDefault="00CD1E4F" w:rsidP="00CD1E4F">
      <w:pPr>
        <w:jc w:val="both"/>
        <w:rPr>
          <w:rFonts w:ascii="Verdana" w:hAnsi="Verdana"/>
          <w:b/>
          <w:sz w:val="20"/>
          <w:lang w:val="es-MX"/>
        </w:rPr>
      </w:pPr>
      <w:r w:rsidRPr="00CD1E4F">
        <w:rPr>
          <w:rFonts w:ascii="Verdana" w:hAnsi="Verdana"/>
          <w:b/>
          <w:sz w:val="20"/>
          <w:lang w:val="es-MX"/>
        </w:rPr>
        <w:t xml:space="preserve">Y RESUELVE: </w:t>
      </w:r>
    </w:p>
    <w:p w:rsidR="00CD1E4F" w:rsidRPr="00CD1E4F" w:rsidRDefault="00CD1E4F" w:rsidP="00CD1E4F">
      <w:pPr>
        <w:jc w:val="both"/>
        <w:rPr>
          <w:rFonts w:ascii="Verdana" w:hAnsi="Verdana"/>
          <w:sz w:val="20"/>
          <w:lang w:val="es-MX"/>
        </w:rPr>
      </w:pPr>
    </w:p>
    <w:p w:rsidR="008F4B6E" w:rsidRPr="00FA63DC" w:rsidRDefault="008F4B6E" w:rsidP="008F4B6E">
      <w:pPr>
        <w:numPr>
          <w:ilvl w:val="0"/>
          <w:numId w:val="30"/>
        </w:numPr>
        <w:ind w:left="0" w:hanging="11"/>
        <w:jc w:val="both"/>
        <w:rPr>
          <w:rFonts w:ascii="Verdana" w:hAnsi="Verdana"/>
          <w:sz w:val="20"/>
        </w:rPr>
      </w:pPr>
      <w:r w:rsidRPr="00FA63DC">
        <w:rPr>
          <w:rFonts w:ascii="Verdana" w:hAnsi="Verdana"/>
          <w:sz w:val="20"/>
        </w:rPr>
        <w:t>Mantener abierto el procedimiento de supervisión de cumplimiento respecto de todas las medidas de reparación ordenadas en la Sentencia</w:t>
      </w:r>
      <w:r w:rsidR="00FA63DC" w:rsidRPr="00FA63DC">
        <w:rPr>
          <w:rFonts w:ascii="Verdana" w:hAnsi="Verdana"/>
          <w:sz w:val="20"/>
        </w:rPr>
        <w:t>, en los términos del Considerando 14 de la presente Resolución</w:t>
      </w:r>
      <w:r w:rsidRPr="00FA63DC">
        <w:rPr>
          <w:rFonts w:ascii="Verdana" w:hAnsi="Verdana"/>
          <w:sz w:val="20"/>
        </w:rPr>
        <w:t>.</w:t>
      </w:r>
    </w:p>
    <w:p w:rsidR="008F4B6E" w:rsidRPr="008F4B6E" w:rsidRDefault="008F4B6E" w:rsidP="008F4B6E">
      <w:pPr>
        <w:jc w:val="both"/>
        <w:rPr>
          <w:rFonts w:ascii="Verdana" w:hAnsi="Verdana"/>
          <w:sz w:val="20"/>
          <w:lang w:val="es-MX"/>
        </w:rPr>
      </w:pPr>
    </w:p>
    <w:p w:rsidR="00192FD7" w:rsidRPr="002160E3" w:rsidRDefault="00C92B35" w:rsidP="00192FD7">
      <w:pPr>
        <w:numPr>
          <w:ilvl w:val="0"/>
          <w:numId w:val="30"/>
        </w:numPr>
        <w:ind w:left="0" w:hanging="11"/>
        <w:jc w:val="both"/>
        <w:rPr>
          <w:rFonts w:ascii="Verdana" w:hAnsi="Verdana"/>
          <w:sz w:val="20"/>
          <w:lang w:val="es-MX"/>
        </w:rPr>
      </w:pPr>
      <w:r w:rsidRPr="002160E3">
        <w:rPr>
          <w:rFonts w:ascii="Verdana" w:hAnsi="Verdana"/>
          <w:sz w:val="20"/>
        </w:rPr>
        <w:t>Disponer</w:t>
      </w:r>
      <w:r w:rsidR="005B4FC1" w:rsidRPr="002160E3">
        <w:rPr>
          <w:rFonts w:ascii="Verdana" w:hAnsi="Verdana"/>
          <w:sz w:val="20"/>
        </w:rPr>
        <w:t xml:space="preserve"> que </w:t>
      </w:r>
      <w:r w:rsidR="00D93517" w:rsidRPr="002160E3">
        <w:rPr>
          <w:rFonts w:ascii="Verdana" w:hAnsi="Verdana"/>
          <w:sz w:val="20"/>
        </w:rPr>
        <w:t>Nicaragua</w:t>
      </w:r>
      <w:r w:rsidR="00E96BC7" w:rsidRPr="002160E3">
        <w:rPr>
          <w:rFonts w:ascii="Verdana" w:hAnsi="Verdana"/>
          <w:sz w:val="20"/>
        </w:rPr>
        <w:t xml:space="preserve"> </w:t>
      </w:r>
      <w:r w:rsidR="00192FD7" w:rsidRPr="002160E3">
        <w:rPr>
          <w:rFonts w:ascii="Verdana" w:hAnsi="Verdana"/>
          <w:sz w:val="20"/>
        </w:rPr>
        <w:t xml:space="preserve">adopte, en definitiva y a la mayor brevedad posible, todas las medidas que sean necesarias para dar efectivo y pronto acatamiento a los puntos resolutivos </w:t>
      </w:r>
      <w:r w:rsidR="00034A99">
        <w:rPr>
          <w:rFonts w:ascii="Verdana" w:hAnsi="Verdana"/>
          <w:sz w:val="20"/>
        </w:rPr>
        <w:t xml:space="preserve">pendientes de cumplimiento </w:t>
      </w:r>
      <w:r w:rsidR="00192FD7" w:rsidRPr="002160E3">
        <w:rPr>
          <w:rFonts w:ascii="Verdana" w:hAnsi="Verdana"/>
          <w:sz w:val="20"/>
        </w:rPr>
        <w:t>de la Sentencia de excepci</w:t>
      </w:r>
      <w:r w:rsidR="005C0B43">
        <w:rPr>
          <w:rFonts w:ascii="Verdana" w:hAnsi="Verdana"/>
          <w:sz w:val="20"/>
        </w:rPr>
        <w:t>o</w:t>
      </w:r>
      <w:r w:rsidR="00192FD7" w:rsidRPr="002160E3">
        <w:rPr>
          <w:rFonts w:ascii="Verdana" w:hAnsi="Verdana"/>
          <w:sz w:val="20"/>
        </w:rPr>
        <w:t>n</w:t>
      </w:r>
      <w:r w:rsidR="005C0B43">
        <w:rPr>
          <w:rFonts w:ascii="Verdana" w:hAnsi="Verdana"/>
          <w:sz w:val="20"/>
        </w:rPr>
        <w:t>es</w:t>
      </w:r>
      <w:r w:rsidR="00192FD7" w:rsidRPr="002160E3">
        <w:rPr>
          <w:rFonts w:ascii="Verdana" w:hAnsi="Verdana"/>
          <w:sz w:val="20"/>
        </w:rPr>
        <w:t xml:space="preserve"> preliminar</w:t>
      </w:r>
      <w:r w:rsidR="005C0B43">
        <w:rPr>
          <w:rFonts w:ascii="Verdana" w:hAnsi="Verdana"/>
          <w:sz w:val="20"/>
        </w:rPr>
        <w:t>es</w:t>
      </w:r>
      <w:r w:rsidR="00192FD7" w:rsidRPr="002160E3">
        <w:rPr>
          <w:rFonts w:ascii="Verdana" w:hAnsi="Verdana"/>
          <w:sz w:val="20"/>
        </w:rPr>
        <w:t>, fondo, reparaciones y costas dictada en el presente caso, de acuerdo con lo considerado en la presente Resolución, y con lo estipulado en el artículo 68.1 de la Convención Americana de Derechos Humanos.</w:t>
      </w:r>
    </w:p>
    <w:p w:rsidR="00192FD7" w:rsidRPr="002160E3" w:rsidRDefault="00192FD7" w:rsidP="00192FD7">
      <w:pPr>
        <w:jc w:val="both"/>
        <w:rPr>
          <w:rFonts w:ascii="Verdana" w:hAnsi="Verdana"/>
          <w:sz w:val="20"/>
          <w:lang w:val="es-MX"/>
        </w:rPr>
      </w:pPr>
    </w:p>
    <w:p w:rsidR="00192FD7" w:rsidRPr="002D78A3" w:rsidRDefault="00A97066" w:rsidP="00192FD7">
      <w:pPr>
        <w:numPr>
          <w:ilvl w:val="0"/>
          <w:numId w:val="30"/>
        </w:numPr>
        <w:ind w:left="0" w:hanging="11"/>
        <w:jc w:val="both"/>
        <w:rPr>
          <w:rFonts w:ascii="Verdana" w:hAnsi="Verdana"/>
          <w:sz w:val="20"/>
          <w:lang w:val="es-MX"/>
        </w:rPr>
      </w:pPr>
      <w:r w:rsidRPr="002D78A3">
        <w:rPr>
          <w:rFonts w:ascii="Verdana" w:hAnsi="Verdana"/>
          <w:sz w:val="20"/>
          <w:lang w:val="es-CL"/>
        </w:rPr>
        <w:t xml:space="preserve">Incorporar en el próximo </w:t>
      </w:r>
      <w:r w:rsidR="005C0B43">
        <w:rPr>
          <w:rFonts w:ascii="Verdana" w:hAnsi="Verdana"/>
          <w:sz w:val="20"/>
          <w:lang w:val="es-CL"/>
        </w:rPr>
        <w:t>Informe Anual</w:t>
      </w:r>
      <w:r w:rsidRPr="002D78A3">
        <w:rPr>
          <w:rFonts w:ascii="Verdana" w:hAnsi="Verdana"/>
          <w:sz w:val="20"/>
          <w:lang w:val="es-CL"/>
        </w:rPr>
        <w:t xml:space="preserve"> de la Corte Interamericana de Derechos Humanos lo decidido en la presente Resolución con el fin de</w:t>
      </w:r>
      <w:r w:rsidRPr="002D78A3">
        <w:rPr>
          <w:rFonts w:ascii="Verdana" w:hAnsi="Verdana"/>
          <w:b/>
          <w:sz w:val="20"/>
          <w:lang w:val="es-CL"/>
        </w:rPr>
        <w:t xml:space="preserve"> </w:t>
      </w:r>
      <w:r w:rsidRPr="002D78A3">
        <w:rPr>
          <w:rFonts w:ascii="Verdana" w:hAnsi="Verdana"/>
          <w:sz w:val="20"/>
        </w:rPr>
        <w:t xml:space="preserve">informar a la Asamblea General de la Organización de los Estados Americanos, en aplicación del artículo 65 de la Convención Americana sobre Derechos Humanos, sobre el incumplimiento por parte del Estado de Nicaragua de sus obligaciones señaladas en </w:t>
      </w:r>
      <w:r w:rsidR="005C0B43">
        <w:rPr>
          <w:rFonts w:ascii="Verdana" w:hAnsi="Verdana"/>
          <w:sz w:val="20"/>
        </w:rPr>
        <w:t>los</w:t>
      </w:r>
      <w:r w:rsidRPr="002D78A3">
        <w:rPr>
          <w:rFonts w:ascii="Verdana" w:hAnsi="Verdana"/>
          <w:sz w:val="20"/>
        </w:rPr>
        <w:t xml:space="preserve"> punto</w:t>
      </w:r>
      <w:r w:rsidR="005C0B43">
        <w:rPr>
          <w:rFonts w:ascii="Verdana" w:hAnsi="Verdana"/>
          <w:sz w:val="20"/>
        </w:rPr>
        <w:t>s</w:t>
      </w:r>
      <w:r w:rsidRPr="002D78A3">
        <w:rPr>
          <w:rFonts w:ascii="Verdana" w:hAnsi="Verdana"/>
          <w:sz w:val="20"/>
        </w:rPr>
        <w:t xml:space="preserve"> resolutivo</w:t>
      </w:r>
      <w:r w:rsidR="005C0B43">
        <w:rPr>
          <w:rFonts w:ascii="Verdana" w:hAnsi="Verdana"/>
          <w:sz w:val="20"/>
        </w:rPr>
        <w:t>s</w:t>
      </w:r>
      <w:r w:rsidRPr="002D78A3">
        <w:rPr>
          <w:rFonts w:ascii="Verdana" w:hAnsi="Verdana"/>
          <w:sz w:val="20"/>
        </w:rPr>
        <w:t xml:space="preserve"> </w:t>
      </w:r>
      <w:r w:rsidR="00A91903">
        <w:rPr>
          <w:rFonts w:ascii="Verdana" w:hAnsi="Verdana"/>
          <w:sz w:val="20"/>
        </w:rPr>
        <w:fldChar w:fldCharType="begin"/>
      </w:r>
      <w:r w:rsidR="00A91903">
        <w:rPr>
          <w:rFonts w:ascii="Verdana" w:hAnsi="Verdana"/>
          <w:sz w:val="20"/>
        </w:rPr>
        <w:instrText xml:space="preserve"> REF _Ref437598975 \r \h </w:instrText>
      </w:r>
      <w:r w:rsidR="00A91903">
        <w:rPr>
          <w:rFonts w:ascii="Verdana" w:hAnsi="Verdana"/>
          <w:sz w:val="20"/>
        </w:rPr>
      </w:r>
      <w:r w:rsidR="00A91903">
        <w:rPr>
          <w:rFonts w:ascii="Verdana" w:hAnsi="Verdana"/>
          <w:sz w:val="20"/>
        </w:rPr>
        <w:fldChar w:fldCharType="separate"/>
      </w:r>
      <w:r w:rsidR="00EA6956">
        <w:rPr>
          <w:rFonts w:ascii="Verdana" w:hAnsi="Verdana"/>
          <w:sz w:val="20"/>
        </w:rPr>
        <w:t>1</w:t>
      </w:r>
      <w:r w:rsidR="00A91903">
        <w:rPr>
          <w:rFonts w:ascii="Verdana" w:hAnsi="Verdana"/>
          <w:sz w:val="20"/>
        </w:rPr>
        <w:fldChar w:fldCharType="end"/>
      </w:r>
      <w:r w:rsidR="005C0B43">
        <w:rPr>
          <w:rFonts w:ascii="Verdana" w:hAnsi="Verdana"/>
          <w:sz w:val="20"/>
        </w:rPr>
        <w:t xml:space="preserve"> y </w:t>
      </w:r>
      <w:r w:rsidR="00A91903">
        <w:rPr>
          <w:rFonts w:ascii="Verdana" w:hAnsi="Verdana"/>
          <w:sz w:val="20"/>
        </w:rPr>
        <w:fldChar w:fldCharType="begin"/>
      </w:r>
      <w:r w:rsidR="00A91903">
        <w:rPr>
          <w:rFonts w:ascii="Verdana" w:hAnsi="Verdana"/>
          <w:sz w:val="20"/>
        </w:rPr>
        <w:instrText xml:space="preserve"> REF _Ref437598981 \r \h </w:instrText>
      </w:r>
      <w:r w:rsidR="00A91903">
        <w:rPr>
          <w:rFonts w:ascii="Verdana" w:hAnsi="Verdana"/>
          <w:sz w:val="20"/>
        </w:rPr>
      </w:r>
      <w:r w:rsidR="00A91903">
        <w:rPr>
          <w:rFonts w:ascii="Verdana" w:hAnsi="Verdana"/>
          <w:sz w:val="20"/>
        </w:rPr>
        <w:fldChar w:fldCharType="separate"/>
      </w:r>
      <w:r w:rsidR="00EA6956">
        <w:rPr>
          <w:rFonts w:ascii="Verdana" w:hAnsi="Verdana"/>
          <w:sz w:val="20"/>
        </w:rPr>
        <w:t>2</w:t>
      </w:r>
      <w:r w:rsidR="00A91903">
        <w:rPr>
          <w:rFonts w:ascii="Verdana" w:hAnsi="Verdana"/>
          <w:sz w:val="20"/>
        </w:rPr>
        <w:fldChar w:fldCharType="end"/>
      </w:r>
      <w:r w:rsidRPr="002D78A3">
        <w:rPr>
          <w:rFonts w:ascii="Verdana" w:hAnsi="Verdana"/>
          <w:sz w:val="20"/>
        </w:rPr>
        <w:t xml:space="preserve"> de la presente Resolución.</w:t>
      </w:r>
      <w:r w:rsidR="00842E07" w:rsidRPr="002D78A3">
        <w:rPr>
          <w:rFonts w:ascii="Verdana" w:hAnsi="Verdana"/>
          <w:sz w:val="20"/>
        </w:rPr>
        <w:t xml:space="preserve"> </w:t>
      </w:r>
    </w:p>
    <w:p w:rsidR="00192FD7" w:rsidRPr="002160E3" w:rsidRDefault="00192FD7" w:rsidP="00192FD7">
      <w:pPr>
        <w:jc w:val="both"/>
        <w:rPr>
          <w:rFonts w:ascii="Verdana" w:hAnsi="Verdana"/>
          <w:sz w:val="20"/>
          <w:lang w:val="es-MX"/>
        </w:rPr>
      </w:pPr>
    </w:p>
    <w:p w:rsidR="00192FD7" w:rsidRPr="007A6EF1" w:rsidRDefault="00192FD7" w:rsidP="0002632B">
      <w:pPr>
        <w:numPr>
          <w:ilvl w:val="0"/>
          <w:numId w:val="30"/>
        </w:numPr>
        <w:ind w:left="0" w:hanging="11"/>
        <w:jc w:val="both"/>
        <w:rPr>
          <w:rFonts w:ascii="Verdana" w:hAnsi="Verdana"/>
          <w:sz w:val="20"/>
          <w:lang w:val="es-MX"/>
        </w:rPr>
      </w:pPr>
      <w:r w:rsidRPr="002160E3">
        <w:rPr>
          <w:rFonts w:ascii="Verdana" w:hAnsi="Verdana"/>
          <w:sz w:val="20"/>
        </w:rPr>
        <w:t>Disponer qu</w:t>
      </w:r>
      <w:r w:rsidR="005B4FC1" w:rsidRPr="002160E3">
        <w:rPr>
          <w:rFonts w:ascii="Verdana" w:hAnsi="Verdana"/>
          <w:sz w:val="20"/>
        </w:rPr>
        <w:t xml:space="preserve">e la Secretaría de la Corte </w:t>
      </w:r>
      <w:r w:rsidRPr="002160E3">
        <w:rPr>
          <w:rFonts w:ascii="Verdana" w:hAnsi="Verdana"/>
          <w:sz w:val="20"/>
        </w:rPr>
        <w:t>notifique la presente Resolución al Estado, a los representantes de la</w:t>
      </w:r>
      <w:r w:rsidR="007B712D">
        <w:rPr>
          <w:rFonts w:ascii="Verdana" w:hAnsi="Verdana"/>
          <w:sz w:val="20"/>
        </w:rPr>
        <w:t>s</w:t>
      </w:r>
      <w:r w:rsidRPr="002160E3">
        <w:rPr>
          <w:rFonts w:ascii="Verdana" w:hAnsi="Verdana"/>
          <w:sz w:val="20"/>
        </w:rPr>
        <w:t xml:space="preserve"> víctima</w:t>
      </w:r>
      <w:r w:rsidR="007B712D">
        <w:rPr>
          <w:rFonts w:ascii="Verdana" w:hAnsi="Verdana"/>
          <w:sz w:val="20"/>
        </w:rPr>
        <w:t>s</w:t>
      </w:r>
      <w:r w:rsidRPr="002160E3">
        <w:rPr>
          <w:rFonts w:ascii="Verdana" w:hAnsi="Verdana"/>
          <w:sz w:val="20"/>
        </w:rPr>
        <w:t xml:space="preserve"> y a la Comisión Interamericana de Derechos Humanos</w:t>
      </w:r>
      <w:r w:rsidR="00A91903">
        <w:rPr>
          <w:rFonts w:ascii="Verdana" w:hAnsi="Verdana"/>
          <w:sz w:val="20"/>
        </w:rPr>
        <w:t>.</w:t>
      </w:r>
    </w:p>
    <w:p w:rsidR="007A6EF1" w:rsidRDefault="007A6EF1" w:rsidP="007A6EF1">
      <w:pPr>
        <w:pStyle w:val="Prrafodelista"/>
        <w:rPr>
          <w:rFonts w:ascii="Verdana" w:hAnsi="Verdana"/>
          <w:sz w:val="20"/>
          <w:lang w:val="es-MX"/>
        </w:rPr>
      </w:pPr>
    </w:p>
    <w:p w:rsidR="007A6EF1" w:rsidRDefault="007A6EF1" w:rsidP="007A6EF1">
      <w:pPr>
        <w:jc w:val="both"/>
        <w:rPr>
          <w:rFonts w:ascii="Verdana" w:hAnsi="Verdana"/>
          <w:sz w:val="20"/>
          <w:lang w:val="es-MX"/>
        </w:rPr>
      </w:pPr>
    </w:p>
    <w:p w:rsidR="007A6EF1" w:rsidRPr="007A6EF1" w:rsidRDefault="007A6EF1" w:rsidP="007A6EF1">
      <w:pPr>
        <w:tabs>
          <w:tab w:val="left" w:pos="567"/>
        </w:tabs>
        <w:rPr>
          <w:rFonts w:ascii="Verdana" w:hAnsi="Verdana"/>
          <w:sz w:val="20"/>
          <w:lang w:val="es-ES"/>
        </w:rPr>
      </w:pPr>
    </w:p>
    <w:p w:rsidR="007A6EF1" w:rsidRPr="007A6EF1" w:rsidRDefault="007A6EF1" w:rsidP="007A6EF1">
      <w:pPr>
        <w:tabs>
          <w:tab w:val="left" w:pos="567"/>
        </w:tabs>
        <w:rPr>
          <w:rFonts w:ascii="Verdana" w:eastAsia="Calibri" w:hAnsi="Verdana"/>
          <w:sz w:val="20"/>
          <w:szCs w:val="22"/>
          <w:lang w:val="es-CR"/>
        </w:rPr>
      </w:pPr>
      <w:r w:rsidRPr="007A6EF1">
        <w:rPr>
          <w:rFonts w:ascii="Verdana" w:hAnsi="Verdana"/>
          <w:sz w:val="20"/>
          <w:lang w:val="es-ES"/>
        </w:rPr>
        <w:lastRenderedPageBreak/>
        <w:t>Resolución de la Corte Interamericana de Derechos Humanos. Caso Yatama Vs. Nicaragua</w:t>
      </w:r>
      <w:r w:rsidRPr="007A6EF1">
        <w:rPr>
          <w:rFonts w:ascii="Verdana" w:eastAsia="Calibri" w:hAnsi="Verdana"/>
          <w:sz w:val="20"/>
          <w:szCs w:val="22"/>
          <w:lang w:val="es-CR"/>
        </w:rPr>
        <w:t xml:space="preserve">.  </w:t>
      </w:r>
      <w:r w:rsidRPr="007A6EF1">
        <w:rPr>
          <w:rFonts w:ascii="Verdana" w:hAnsi="Verdana"/>
          <w:sz w:val="20"/>
          <w:lang w:val="es-ES"/>
        </w:rPr>
        <w:t>Supervisión de Cumplimiento de Sentencia.</w:t>
      </w:r>
    </w:p>
    <w:p w:rsidR="007A6EF1" w:rsidRPr="007A6EF1" w:rsidRDefault="007A6EF1" w:rsidP="007A6EF1">
      <w:pPr>
        <w:rPr>
          <w:rFonts w:ascii="Verdana" w:hAnsi="Verdana"/>
          <w:sz w:val="20"/>
          <w:lang w:val="es-ES"/>
        </w:rPr>
      </w:pPr>
    </w:p>
    <w:p w:rsidR="007A6EF1" w:rsidRPr="007A6EF1" w:rsidRDefault="007A6EF1" w:rsidP="007A6EF1">
      <w:pPr>
        <w:jc w:val="center"/>
        <w:rPr>
          <w:rFonts w:ascii="Verdana" w:hAnsi="Verdana"/>
          <w:sz w:val="20"/>
          <w:lang w:val="es-ES"/>
        </w:rPr>
      </w:pPr>
    </w:p>
    <w:p w:rsidR="007A6EF1" w:rsidRPr="007A6EF1" w:rsidRDefault="007A6EF1" w:rsidP="007A6EF1">
      <w:pPr>
        <w:jc w:val="center"/>
        <w:rPr>
          <w:rFonts w:ascii="Verdana" w:hAnsi="Verdana"/>
          <w:sz w:val="20"/>
          <w:lang w:val="es-ES"/>
        </w:rPr>
      </w:pPr>
    </w:p>
    <w:p w:rsidR="007A6EF1" w:rsidRPr="007A6EF1" w:rsidRDefault="007A6EF1" w:rsidP="007A6EF1">
      <w:pPr>
        <w:jc w:val="center"/>
        <w:rPr>
          <w:rFonts w:ascii="Verdana" w:hAnsi="Verdana"/>
          <w:sz w:val="20"/>
          <w:lang w:val="es-ES"/>
        </w:rPr>
      </w:pPr>
    </w:p>
    <w:p w:rsidR="007A6EF1" w:rsidRPr="007A6EF1" w:rsidRDefault="007A6EF1" w:rsidP="007A6EF1">
      <w:pPr>
        <w:jc w:val="both"/>
        <w:rPr>
          <w:rFonts w:ascii="Verdana" w:hAnsi="Verdana"/>
          <w:sz w:val="20"/>
          <w:lang w:val="es-CR"/>
        </w:rPr>
      </w:pPr>
    </w:p>
    <w:p w:rsidR="007A6EF1" w:rsidRPr="007A6EF1" w:rsidRDefault="007A6EF1" w:rsidP="007A6EF1">
      <w:pPr>
        <w:jc w:val="both"/>
        <w:rPr>
          <w:rFonts w:ascii="Verdana" w:hAnsi="Verdana"/>
          <w:sz w:val="20"/>
          <w:lang w:val="es-CR"/>
        </w:rPr>
      </w:pPr>
    </w:p>
    <w:p w:rsidR="007A6EF1" w:rsidRPr="007A6EF1" w:rsidRDefault="007A6EF1" w:rsidP="007A6EF1">
      <w:pPr>
        <w:jc w:val="center"/>
        <w:rPr>
          <w:rFonts w:ascii="Verdana" w:hAnsi="Verdana"/>
          <w:sz w:val="20"/>
          <w:lang w:val="es-ES"/>
        </w:rPr>
      </w:pPr>
      <w:r w:rsidRPr="007A6EF1">
        <w:rPr>
          <w:rFonts w:ascii="Verdana" w:hAnsi="Verdana"/>
          <w:sz w:val="20"/>
          <w:lang w:val="es-ES"/>
        </w:rPr>
        <w:t>Humberto Antonio Sierra Porto</w:t>
      </w:r>
    </w:p>
    <w:p w:rsidR="007A6EF1" w:rsidRPr="007A6EF1" w:rsidRDefault="007A6EF1" w:rsidP="007A6EF1">
      <w:pPr>
        <w:jc w:val="center"/>
        <w:rPr>
          <w:rFonts w:ascii="Verdana" w:hAnsi="Verdana"/>
          <w:sz w:val="20"/>
          <w:lang w:val="es-ES"/>
        </w:rPr>
      </w:pPr>
      <w:r w:rsidRPr="007A6EF1">
        <w:rPr>
          <w:rFonts w:ascii="Verdana" w:hAnsi="Verdana"/>
          <w:sz w:val="20"/>
          <w:lang w:val="es-ES"/>
        </w:rPr>
        <w:t xml:space="preserve">Presidente </w:t>
      </w: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r w:rsidRPr="007A6EF1">
        <w:rPr>
          <w:rFonts w:ascii="Verdana" w:hAnsi="Verdana"/>
          <w:sz w:val="20"/>
          <w:lang w:val="es-ES"/>
        </w:rPr>
        <w:t>Roberto F. Caldas</w:t>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t>Manuel E. Ventura Robles</w:t>
      </w: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r w:rsidRPr="007A6EF1">
        <w:rPr>
          <w:rFonts w:ascii="Verdana" w:hAnsi="Verdana"/>
          <w:sz w:val="20"/>
          <w:lang w:val="es-ES"/>
        </w:rPr>
        <w:t xml:space="preserve">Diego García-Sayán </w:t>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r>
      <w:r w:rsidRPr="007A6EF1">
        <w:rPr>
          <w:rFonts w:ascii="Verdana" w:hAnsi="Verdana"/>
          <w:sz w:val="20"/>
          <w:lang w:val="es-ES"/>
        </w:rPr>
        <w:tab/>
        <w:t xml:space="preserve">Alberto Pérez Pérez </w:t>
      </w:r>
      <w:r w:rsidRPr="007A6EF1">
        <w:rPr>
          <w:rFonts w:ascii="Verdana" w:hAnsi="Verdana"/>
          <w:sz w:val="20"/>
          <w:lang w:val="es-ES"/>
        </w:rPr>
        <w:tab/>
      </w: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r w:rsidRPr="007A6EF1">
        <w:rPr>
          <w:rFonts w:ascii="Verdana" w:hAnsi="Verdana"/>
          <w:sz w:val="20"/>
          <w:lang w:val="es-ES"/>
        </w:rPr>
        <w:t>Eduardo Vio Grossi                                                       Eduardo Ferrer Mac-Gregor Poisot</w:t>
      </w: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rPr>
          <w:rFonts w:ascii="Verdana" w:hAnsi="Verdana"/>
          <w:sz w:val="20"/>
          <w:lang w:val="es-ES"/>
        </w:rPr>
      </w:pPr>
    </w:p>
    <w:p w:rsidR="007A6EF1" w:rsidRPr="007A6EF1" w:rsidRDefault="007A6EF1" w:rsidP="007A6EF1">
      <w:pPr>
        <w:jc w:val="center"/>
        <w:rPr>
          <w:rFonts w:ascii="Verdana" w:hAnsi="Verdana"/>
          <w:sz w:val="20"/>
          <w:lang w:val="es-ES"/>
        </w:rPr>
      </w:pPr>
    </w:p>
    <w:p w:rsidR="007A6EF1" w:rsidRPr="007A6EF1" w:rsidRDefault="007A6EF1" w:rsidP="007A6EF1">
      <w:pPr>
        <w:jc w:val="center"/>
        <w:rPr>
          <w:rFonts w:ascii="Verdana" w:hAnsi="Verdana"/>
          <w:sz w:val="20"/>
          <w:lang w:val="es-ES"/>
        </w:rPr>
      </w:pPr>
      <w:r w:rsidRPr="007A6EF1">
        <w:rPr>
          <w:rFonts w:ascii="Verdana" w:hAnsi="Verdana"/>
          <w:sz w:val="20"/>
          <w:lang w:val="es-ES"/>
        </w:rPr>
        <w:t>Pablo Saavedra Alessandri</w:t>
      </w:r>
    </w:p>
    <w:p w:rsidR="007A6EF1" w:rsidRPr="007A6EF1" w:rsidRDefault="007A6EF1" w:rsidP="007A6EF1">
      <w:pPr>
        <w:jc w:val="center"/>
        <w:rPr>
          <w:rFonts w:ascii="Verdana" w:hAnsi="Verdana"/>
          <w:sz w:val="20"/>
          <w:lang w:val="es-ES"/>
        </w:rPr>
      </w:pPr>
      <w:r w:rsidRPr="007A6EF1">
        <w:rPr>
          <w:rFonts w:ascii="Verdana" w:hAnsi="Verdana"/>
          <w:sz w:val="20"/>
          <w:lang w:val="es-ES"/>
        </w:rPr>
        <w:t>Secretario</w:t>
      </w:r>
    </w:p>
    <w:p w:rsidR="007A6EF1" w:rsidRPr="007A6EF1" w:rsidRDefault="007A6EF1" w:rsidP="007A6EF1">
      <w:pPr>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r w:rsidRPr="007A6EF1">
        <w:rPr>
          <w:rFonts w:ascii="Verdana" w:hAnsi="Verdana"/>
          <w:sz w:val="20"/>
          <w:lang w:val="es-ES"/>
        </w:rPr>
        <w:t>Comuníquese y ejecútese,</w:t>
      </w: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CR"/>
        </w:rPr>
      </w:pPr>
    </w:p>
    <w:p w:rsidR="007A6EF1" w:rsidRPr="007A6EF1" w:rsidRDefault="007A6EF1" w:rsidP="007A6EF1">
      <w:pPr>
        <w:ind w:left="5040"/>
        <w:rPr>
          <w:rFonts w:ascii="Verdana" w:hAnsi="Verdana"/>
          <w:sz w:val="20"/>
          <w:lang w:val="es-ES"/>
        </w:rPr>
      </w:pPr>
      <w:r w:rsidRPr="007A6EF1">
        <w:rPr>
          <w:rFonts w:ascii="Verdana" w:hAnsi="Verdana"/>
          <w:sz w:val="20"/>
          <w:lang w:val="es-ES"/>
        </w:rPr>
        <w:t xml:space="preserve">       Humberto Antonio Sierra Porto</w:t>
      </w:r>
      <w:r w:rsidRPr="007A6EF1">
        <w:rPr>
          <w:rFonts w:ascii="Verdana" w:hAnsi="Verdana"/>
          <w:sz w:val="20"/>
          <w:lang w:val="es-ES"/>
        </w:rPr>
        <w:tab/>
      </w:r>
    </w:p>
    <w:p w:rsidR="007A6EF1" w:rsidRPr="007A6EF1" w:rsidRDefault="007A6EF1" w:rsidP="007A6EF1">
      <w:pPr>
        <w:ind w:left="5760"/>
        <w:rPr>
          <w:rFonts w:ascii="Verdana" w:hAnsi="Verdana"/>
          <w:sz w:val="20"/>
          <w:lang w:val="es-ES"/>
        </w:rPr>
      </w:pPr>
      <w:r w:rsidRPr="007A6EF1">
        <w:rPr>
          <w:rFonts w:ascii="Verdana" w:hAnsi="Verdana"/>
          <w:sz w:val="20"/>
          <w:lang w:val="es-ES"/>
        </w:rPr>
        <w:t xml:space="preserve">          Presidente</w:t>
      </w: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p>
    <w:p w:rsidR="007A6EF1" w:rsidRPr="007A6EF1" w:rsidRDefault="007A6EF1" w:rsidP="007A6EF1">
      <w:pPr>
        <w:jc w:val="both"/>
        <w:rPr>
          <w:rFonts w:ascii="Verdana" w:hAnsi="Verdana"/>
          <w:sz w:val="20"/>
          <w:lang w:val="es-ES"/>
        </w:rPr>
      </w:pPr>
      <w:r w:rsidRPr="007A6EF1">
        <w:rPr>
          <w:rFonts w:ascii="Verdana" w:hAnsi="Verdana"/>
          <w:sz w:val="20"/>
          <w:lang w:val="es-ES"/>
        </w:rPr>
        <w:t>Pablo Saavedra Alessandri</w:t>
      </w:r>
    </w:p>
    <w:p w:rsidR="007A6EF1" w:rsidRPr="007A6EF1" w:rsidRDefault="007A6EF1" w:rsidP="007A6EF1">
      <w:pPr>
        <w:rPr>
          <w:rFonts w:ascii="Verdana" w:hAnsi="Verdana"/>
          <w:sz w:val="20"/>
          <w:lang w:val="en-US"/>
        </w:rPr>
      </w:pPr>
      <w:r w:rsidRPr="007A6EF1">
        <w:rPr>
          <w:rFonts w:ascii="Verdana" w:hAnsi="Verdana"/>
          <w:sz w:val="20"/>
          <w:lang w:val="es-ES"/>
        </w:rPr>
        <w:tab/>
      </w:r>
      <w:r w:rsidRPr="007A6EF1">
        <w:rPr>
          <w:rFonts w:ascii="Verdana" w:hAnsi="Verdana"/>
          <w:sz w:val="20"/>
          <w:lang w:val="en-US"/>
        </w:rPr>
        <w:t>Secretario</w:t>
      </w:r>
    </w:p>
    <w:p w:rsidR="007A6EF1" w:rsidRPr="007A6EF1" w:rsidRDefault="007A6EF1" w:rsidP="007A6EF1">
      <w:pPr>
        <w:rPr>
          <w:rFonts w:ascii="Verdana" w:hAnsi="Verdana"/>
          <w:sz w:val="20"/>
          <w:lang w:val="en-US"/>
        </w:rPr>
      </w:pPr>
    </w:p>
    <w:p w:rsidR="007A6EF1" w:rsidRPr="00C67ADD" w:rsidRDefault="007A6EF1" w:rsidP="007A6EF1">
      <w:pPr>
        <w:jc w:val="both"/>
        <w:rPr>
          <w:rFonts w:ascii="Verdana" w:hAnsi="Verdana"/>
          <w:sz w:val="20"/>
          <w:lang w:val="es-MX"/>
        </w:rPr>
      </w:pPr>
    </w:p>
    <w:p w:rsidR="00C67ADD" w:rsidRPr="007976D9" w:rsidRDefault="00C67ADD" w:rsidP="00C67ADD">
      <w:pPr>
        <w:pStyle w:val="Listavistosa-nfasis1"/>
        <w:rPr>
          <w:rFonts w:ascii="Verdana" w:hAnsi="Verdana"/>
          <w:sz w:val="20"/>
          <w:lang w:val="es-MX"/>
        </w:rPr>
      </w:pPr>
    </w:p>
    <w:sectPr w:rsidR="00C67ADD" w:rsidRPr="007976D9" w:rsidSect="004237E2">
      <w:headerReference w:type="even" r:id="rId8"/>
      <w:headerReference w:type="default" r:id="rId9"/>
      <w:footerReference w:type="even" r:id="rId10"/>
      <w:footerReference w:type="default" r:id="rId11"/>
      <w:headerReference w:type="first" r:id="rId12"/>
      <w:footerReference w:type="first" r:id="rId13"/>
      <w:pgSz w:w="12240" w:h="15840" w:code="1"/>
      <w:pgMar w:top="1282"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CCB" w:rsidRDefault="003C5CCB" w:rsidP="008740E4">
      <w:r>
        <w:separator/>
      </w:r>
    </w:p>
  </w:endnote>
  <w:endnote w:type="continuationSeparator" w:id="0">
    <w:p w:rsidR="003C5CCB" w:rsidRDefault="003C5CCB" w:rsidP="0087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DD" w:rsidRDefault="00FA6FDD" w:rsidP="005E756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A6FDD" w:rsidRDefault="00FA6F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DD" w:rsidRDefault="00FA6FDD" w:rsidP="005E7562">
    <w:pPr>
      <w:pStyle w:val="Piedepgina"/>
      <w:framePr w:wrap="around" w:vAnchor="text" w:hAnchor="margin" w:xAlign="center" w:y="1"/>
      <w:rPr>
        <w:rStyle w:val="Nmerodepgina"/>
      </w:rPr>
    </w:pPr>
  </w:p>
  <w:p w:rsidR="00FA6FDD" w:rsidRDefault="00FA6FDD" w:rsidP="005E756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ED" w:rsidRDefault="00DB72ED">
    <w:pPr>
      <w:pStyle w:val="Piedepgina"/>
      <w:jc w:val="right"/>
    </w:pPr>
    <w:r>
      <w:fldChar w:fldCharType="begin"/>
    </w:r>
    <w:r>
      <w:instrText xml:space="preserve"> PAGE   \* MERGEFORMAT </w:instrText>
    </w:r>
    <w:r>
      <w:fldChar w:fldCharType="separate"/>
    </w:r>
    <w:r w:rsidR="00EA6956">
      <w:rPr>
        <w:noProof/>
      </w:rPr>
      <w:t>1</w:t>
    </w:r>
    <w:r>
      <w:rPr>
        <w:noProof/>
      </w:rPr>
      <w:fldChar w:fldCharType="end"/>
    </w:r>
  </w:p>
  <w:p w:rsidR="00DB72ED" w:rsidRDefault="00DB72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CCB" w:rsidRDefault="003C5CCB" w:rsidP="008740E4">
      <w:r>
        <w:separator/>
      </w:r>
    </w:p>
  </w:footnote>
  <w:footnote w:type="continuationSeparator" w:id="0">
    <w:p w:rsidR="003C5CCB" w:rsidRDefault="003C5CCB" w:rsidP="008740E4">
      <w:r>
        <w:continuationSeparator/>
      </w:r>
    </w:p>
  </w:footnote>
  <w:footnote w:id="1">
    <w:p w:rsidR="00FA6FDD" w:rsidRPr="005B0D20" w:rsidRDefault="00FA6FDD" w:rsidP="005B0D20">
      <w:pPr>
        <w:pStyle w:val="Textonotapie"/>
        <w:tabs>
          <w:tab w:val="left" w:pos="567"/>
        </w:tabs>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lang w:val="es-CR"/>
        </w:rPr>
        <w:tab/>
      </w:r>
      <w:r w:rsidRPr="005B0D20">
        <w:rPr>
          <w:rFonts w:ascii="Verdana" w:hAnsi="Verdana"/>
          <w:i/>
          <w:sz w:val="16"/>
          <w:szCs w:val="16"/>
          <w:lang w:val="es-CR"/>
        </w:rPr>
        <w:t xml:space="preserve">Cfr. </w:t>
      </w:r>
      <w:r w:rsidRPr="005B0D20">
        <w:rPr>
          <w:rStyle w:val="Textoennegrita"/>
          <w:rFonts w:ascii="Verdana" w:hAnsi="Verdana"/>
          <w:b w:val="0"/>
          <w:i/>
          <w:sz w:val="16"/>
          <w:szCs w:val="16"/>
        </w:rPr>
        <w:t>Caso Y</w:t>
      </w:r>
      <w:r>
        <w:rPr>
          <w:rStyle w:val="Textoennegrita"/>
          <w:rFonts w:ascii="Verdana" w:hAnsi="Verdana"/>
          <w:b w:val="0"/>
          <w:i/>
          <w:sz w:val="16"/>
          <w:szCs w:val="16"/>
        </w:rPr>
        <w:t>ATAMA</w:t>
      </w:r>
      <w:r w:rsidRPr="005B0D20">
        <w:rPr>
          <w:rStyle w:val="Textoennegrita"/>
          <w:rFonts w:ascii="Verdana" w:hAnsi="Verdana"/>
          <w:b w:val="0"/>
          <w:i/>
          <w:sz w:val="16"/>
          <w:szCs w:val="16"/>
        </w:rPr>
        <w:t xml:space="preserve"> Vs. Nicaragua.</w:t>
      </w:r>
      <w:r w:rsidRPr="005B0D20">
        <w:rPr>
          <w:rStyle w:val="Textoennegrita"/>
          <w:rFonts w:ascii="Verdana" w:hAnsi="Verdana"/>
          <w:b w:val="0"/>
          <w:sz w:val="16"/>
          <w:szCs w:val="16"/>
        </w:rPr>
        <w:t xml:space="preserve"> Excepciones Preliminares, Fondo, Reparaciones y Costas. Sentencia de 23 de junio de 2005. Serie C No. 127.</w:t>
      </w:r>
      <w:r w:rsidRPr="005B0D20">
        <w:rPr>
          <w:rFonts w:ascii="Verdana" w:hAnsi="Verdana"/>
          <w:sz w:val="16"/>
          <w:szCs w:val="16"/>
          <w:lang w:val="es-CR"/>
        </w:rPr>
        <w:t xml:space="preserve"> El texto íntegro de la Sentencia se encuentra disponible en:  </w:t>
      </w:r>
      <w:hyperlink r:id="rId1" w:history="1">
        <w:r w:rsidRPr="005B0D20">
          <w:rPr>
            <w:rStyle w:val="Hipervnculo"/>
            <w:rFonts w:ascii="Verdana" w:hAnsi="Verdana"/>
            <w:color w:val="auto"/>
            <w:sz w:val="16"/>
            <w:szCs w:val="16"/>
            <w:lang w:val="es-CR"/>
          </w:rPr>
          <w:t>http://www.corteidh.or.cr/docs/casos/articulos/seriec_127_esp.pdf</w:t>
        </w:r>
      </w:hyperlink>
      <w:r w:rsidRPr="005B0D20">
        <w:rPr>
          <w:rFonts w:ascii="Verdana" w:hAnsi="Verdana"/>
          <w:sz w:val="16"/>
          <w:szCs w:val="16"/>
          <w:lang w:val="es-CR"/>
        </w:rPr>
        <w:t xml:space="preserve"> . La Sentencia fue notificada al Estado el 13 de julio de 2005. </w:t>
      </w:r>
    </w:p>
  </w:footnote>
  <w:footnote w:id="2">
    <w:p w:rsidR="00FA6FDD" w:rsidRPr="005B0D20" w:rsidRDefault="00FA6FDD" w:rsidP="005B0D20">
      <w:pPr>
        <w:pStyle w:val="Textonotapie"/>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t xml:space="preserve">La cual realizó los procedimientos correspondientes para obtener la personalidad jurídica como partido político regional. </w:t>
      </w:r>
    </w:p>
  </w:footnote>
  <w:footnote w:id="3">
    <w:p w:rsidR="00FA6FDD" w:rsidRPr="005B0D20" w:rsidRDefault="00FA6FDD" w:rsidP="005B0D20">
      <w:pPr>
        <w:pStyle w:val="Textonotapie"/>
        <w:jc w:val="both"/>
        <w:rPr>
          <w:rFonts w:ascii="Verdana" w:hAnsi="Verdana"/>
          <w:sz w:val="16"/>
          <w:szCs w:val="16"/>
        </w:rPr>
      </w:pPr>
      <w:r w:rsidRPr="008E473C">
        <w:rPr>
          <w:rFonts w:ascii="Verdana" w:hAnsi="Verdana"/>
          <w:sz w:val="16"/>
          <w:szCs w:val="16"/>
          <w:vertAlign w:val="superscript"/>
        </w:rPr>
        <w:footnoteRef/>
      </w:r>
      <w:r w:rsidRPr="008E473C">
        <w:rPr>
          <w:rFonts w:ascii="Verdana" w:hAnsi="Verdana"/>
          <w:sz w:val="16"/>
          <w:szCs w:val="16"/>
          <w:vertAlign w:val="superscript"/>
        </w:rPr>
        <w:t xml:space="preserve"> </w:t>
      </w:r>
      <w:r w:rsidRPr="005B0D20">
        <w:rPr>
          <w:rFonts w:ascii="Verdana" w:hAnsi="Verdana"/>
          <w:sz w:val="16"/>
          <w:szCs w:val="16"/>
        </w:rPr>
        <w:tab/>
        <w:t>Numerosas comunidades indígenas y étnicas de la Costa Atlántica nicaragüense se consideraban representadas por YATAMA.</w:t>
      </w:r>
    </w:p>
  </w:footnote>
  <w:footnote w:id="4">
    <w:p w:rsidR="00FA6FDD" w:rsidRPr="005B0D20" w:rsidRDefault="00FA6FDD" w:rsidP="005B0D20">
      <w:pPr>
        <w:pStyle w:val="Textonotapie"/>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Pr="005B0D20">
        <w:rPr>
          <w:rFonts w:ascii="Verdana" w:hAnsi="Verdana"/>
          <w:i/>
          <w:sz w:val="16"/>
          <w:szCs w:val="16"/>
        </w:rPr>
        <w:t>Cfr.</w:t>
      </w:r>
      <w:r w:rsidRPr="005B0D20">
        <w:rPr>
          <w:rFonts w:ascii="Verdana" w:hAnsi="Verdana"/>
          <w:sz w:val="16"/>
          <w:szCs w:val="16"/>
        </w:rPr>
        <w:t xml:space="preserve"> </w:t>
      </w:r>
      <w:r w:rsidRPr="005B0D20">
        <w:rPr>
          <w:rFonts w:ascii="Verdana" w:hAnsi="Verdana"/>
          <w:i/>
          <w:sz w:val="16"/>
          <w:szCs w:val="16"/>
        </w:rPr>
        <w:t>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 xml:space="preserve">. </w:t>
      </w:r>
      <w:r w:rsidRPr="008E473C">
        <w:rPr>
          <w:rFonts w:ascii="Verdana" w:hAnsi="Verdana"/>
          <w:i/>
          <w:sz w:val="16"/>
          <w:szCs w:val="16"/>
        </w:rPr>
        <w:t>Supervisión de Cumplimiento de Sentencia</w:t>
      </w:r>
      <w:r w:rsidRPr="005B0D20">
        <w:rPr>
          <w:rFonts w:ascii="Verdana" w:hAnsi="Verdana"/>
          <w:sz w:val="16"/>
          <w:szCs w:val="16"/>
        </w:rPr>
        <w:t xml:space="preserve">. Resolución de la Corte Interamericana de Derechos Humanos de 29 de noviembre de 2006, disponible en: </w:t>
      </w:r>
      <w:hyperlink r:id="rId2" w:history="1">
        <w:r w:rsidRPr="005B0D20">
          <w:rPr>
            <w:rStyle w:val="Hipervnculo"/>
            <w:rFonts w:ascii="Verdana" w:hAnsi="Verdana"/>
            <w:sz w:val="16"/>
            <w:szCs w:val="16"/>
          </w:rPr>
          <w:t>http://www.corteidh.or.cr/docs/supervisiones/yatama_29_11_06.pdf</w:t>
        </w:r>
      </w:hyperlink>
      <w:r w:rsidRPr="005B0D20">
        <w:rPr>
          <w:rFonts w:ascii="Verdana" w:hAnsi="Verdana"/>
          <w:sz w:val="16"/>
          <w:szCs w:val="16"/>
        </w:rPr>
        <w:t xml:space="preserve">; </w:t>
      </w:r>
      <w:r w:rsidRPr="005B0D20">
        <w:rPr>
          <w:rFonts w:ascii="Verdana" w:hAnsi="Verdana"/>
          <w:i/>
          <w:sz w:val="16"/>
          <w:szCs w:val="16"/>
        </w:rPr>
        <w:t>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 xml:space="preserve">. </w:t>
      </w:r>
      <w:r w:rsidRPr="00AB50DD">
        <w:rPr>
          <w:rFonts w:ascii="Verdana" w:hAnsi="Verdana"/>
          <w:i/>
          <w:sz w:val="16"/>
          <w:szCs w:val="16"/>
        </w:rPr>
        <w:t>Supervisión de Cumplimiento de Sentencia</w:t>
      </w:r>
      <w:r w:rsidRPr="005B0D20">
        <w:rPr>
          <w:rFonts w:ascii="Verdana" w:hAnsi="Verdana"/>
          <w:sz w:val="16"/>
          <w:szCs w:val="16"/>
        </w:rPr>
        <w:t xml:space="preserve">. Resolución de la Corte Interamericana de Derechos Humanos de 4 de agosto de 2008, disponible en: </w:t>
      </w:r>
      <w:hyperlink r:id="rId3" w:history="1">
        <w:r w:rsidRPr="005B0D20">
          <w:rPr>
            <w:rStyle w:val="Hipervnculo"/>
            <w:rFonts w:ascii="Verdana" w:hAnsi="Verdana"/>
            <w:sz w:val="16"/>
            <w:szCs w:val="16"/>
          </w:rPr>
          <w:t>http://corteidh.or.cr/docs/supervisiones/yatama_04_08_08.pdf</w:t>
        </w:r>
      </w:hyperlink>
      <w:r w:rsidRPr="005B0D20">
        <w:rPr>
          <w:rFonts w:ascii="Verdana" w:hAnsi="Verdana"/>
          <w:sz w:val="16"/>
          <w:szCs w:val="16"/>
        </w:rPr>
        <w:t>;</w:t>
      </w:r>
      <w:r w:rsidRPr="005B0D20">
        <w:rPr>
          <w:rFonts w:ascii="Verdana" w:hAnsi="Verdana"/>
          <w:i/>
          <w:sz w:val="16"/>
          <w:szCs w:val="16"/>
        </w:rPr>
        <w:t xml:space="preserve"> 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 xml:space="preserve">. </w:t>
      </w:r>
      <w:r w:rsidRPr="00AB50DD">
        <w:rPr>
          <w:rFonts w:ascii="Verdana" w:hAnsi="Verdana"/>
          <w:i/>
          <w:sz w:val="16"/>
          <w:szCs w:val="16"/>
        </w:rPr>
        <w:t>Supervisión de Cumplimiento de Sentencia</w:t>
      </w:r>
      <w:r w:rsidRPr="005B0D20">
        <w:rPr>
          <w:rFonts w:ascii="Verdana" w:hAnsi="Verdana"/>
          <w:sz w:val="16"/>
          <w:szCs w:val="16"/>
        </w:rPr>
        <w:t xml:space="preserve">. Resolución de la Corte Interamericana de Derechos Humanos de 28 de mayo de 2010, disponible en: </w:t>
      </w:r>
      <w:hyperlink r:id="rId4" w:history="1">
        <w:r w:rsidRPr="005B0D20">
          <w:rPr>
            <w:rStyle w:val="Hipervnculo"/>
            <w:rFonts w:ascii="Verdana" w:hAnsi="Verdana"/>
            <w:sz w:val="16"/>
            <w:szCs w:val="16"/>
          </w:rPr>
          <w:t>http://www.corteidh.or.cr/docs/supervisiones/yatama_28_05_10.pdf</w:t>
        </w:r>
      </w:hyperlink>
      <w:r w:rsidRPr="005B0D20">
        <w:rPr>
          <w:rFonts w:ascii="Verdana" w:hAnsi="Verdana"/>
          <w:sz w:val="16"/>
          <w:szCs w:val="16"/>
        </w:rPr>
        <w:t xml:space="preserve">, y </w:t>
      </w:r>
      <w:r w:rsidRPr="005B0D20">
        <w:rPr>
          <w:rFonts w:ascii="Verdana" w:hAnsi="Verdana"/>
          <w:i/>
          <w:sz w:val="16"/>
          <w:szCs w:val="16"/>
        </w:rPr>
        <w:t>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 xml:space="preserve">. </w:t>
      </w:r>
      <w:r w:rsidRPr="00AB50DD">
        <w:rPr>
          <w:rFonts w:ascii="Verdana" w:hAnsi="Verdana"/>
          <w:i/>
          <w:sz w:val="16"/>
          <w:szCs w:val="16"/>
        </w:rPr>
        <w:t>Supervisión de Cumplimiento de Sentencia</w:t>
      </w:r>
      <w:r w:rsidRPr="005B0D20">
        <w:rPr>
          <w:rFonts w:ascii="Verdana" w:hAnsi="Verdana"/>
          <w:sz w:val="16"/>
          <w:szCs w:val="16"/>
        </w:rPr>
        <w:t xml:space="preserve">. Resolución de la Corte Interamericana de Derechos Humanos 30 de junio de 2011, disponible en: </w:t>
      </w:r>
      <w:hyperlink r:id="rId5" w:history="1">
        <w:r w:rsidRPr="005B0D20">
          <w:rPr>
            <w:rStyle w:val="Hipervnculo"/>
            <w:rFonts w:ascii="Verdana" w:hAnsi="Verdana"/>
            <w:sz w:val="16"/>
            <w:szCs w:val="16"/>
          </w:rPr>
          <w:t>http://www.corteidh.or.cr/docs/supervisiones/yatama_30_06_11.pdf</w:t>
        </w:r>
      </w:hyperlink>
      <w:r w:rsidRPr="005B0D20">
        <w:rPr>
          <w:rFonts w:ascii="Verdana" w:hAnsi="Verdana"/>
          <w:sz w:val="16"/>
          <w:szCs w:val="16"/>
        </w:rPr>
        <w:t xml:space="preserve">. </w:t>
      </w:r>
    </w:p>
  </w:footnote>
  <w:footnote w:id="5">
    <w:p w:rsidR="00FA6FDD" w:rsidRPr="005B0D20" w:rsidRDefault="00FA6FDD" w:rsidP="005B0D20">
      <w:pPr>
        <w:pStyle w:val="Textonotapie"/>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t>A esta audiencia comparecieron: a) por los representantes de las víctimas: Brooklyn Rivera (YATAMA), Norwin Solano (CENIDH), Marcia Aguiluz</w:t>
      </w:r>
      <w:r w:rsidR="00683E4F">
        <w:rPr>
          <w:rFonts w:ascii="Verdana" w:hAnsi="Verdana"/>
          <w:sz w:val="16"/>
          <w:szCs w:val="16"/>
        </w:rPr>
        <w:t xml:space="preserve"> y</w:t>
      </w:r>
      <w:r w:rsidRPr="005B0D20">
        <w:rPr>
          <w:rFonts w:ascii="Verdana" w:hAnsi="Verdana"/>
          <w:sz w:val="16"/>
          <w:szCs w:val="16"/>
        </w:rPr>
        <w:t xml:space="preserve"> Luis Carlos Buob (CEJIL)</w:t>
      </w:r>
      <w:r w:rsidR="00683E4F">
        <w:rPr>
          <w:rFonts w:ascii="Verdana" w:hAnsi="Verdana"/>
          <w:sz w:val="16"/>
          <w:szCs w:val="16"/>
        </w:rPr>
        <w:t>; b</w:t>
      </w:r>
      <w:r w:rsidRPr="005B0D20">
        <w:rPr>
          <w:rFonts w:ascii="Verdana" w:hAnsi="Verdana"/>
          <w:sz w:val="16"/>
          <w:szCs w:val="16"/>
        </w:rPr>
        <w:t xml:space="preserve">) por la Comisión Interamericana: Silvia Serrano Guzmán. El Estado no compareció a dicha audiencia. Al respecto ver: </w:t>
      </w:r>
      <w:r w:rsidRPr="005B0D20">
        <w:rPr>
          <w:rFonts w:ascii="Verdana" w:hAnsi="Verdana"/>
          <w:i/>
          <w:sz w:val="16"/>
          <w:szCs w:val="16"/>
        </w:rPr>
        <w:t>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 Resolución de la Corte Interamericana de Derechos Humanos de 22 de agosto de 2013, Visto 6 y Considerando 15.</w:t>
      </w:r>
    </w:p>
  </w:footnote>
  <w:footnote w:id="6">
    <w:p w:rsidR="00FA6FDD" w:rsidRPr="005B0D20" w:rsidRDefault="00FA6FDD" w:rsidP="005B0D20">
      <w:pPr>
        <w:pStyle w:val="Textonotapie"/>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Pr="005B0D20">
        <w:rPr>
          <w:rFonts w:ascii="Verdana" w:hAnsi="Verdana"/>
          <w:i/>
          <w:sz w:val="16"/>
          <w:szCs w:val="16"/>
        </w:rPr>
        <w:t>Cfr.</w:t>
      </w:r>
      <w:r w:rsidRPr="005B0D20">
        <w:rPr>
          <w:rFonts w:ascii="Verdana" w:hAnsi="Verdana"/>
          <w:sz w:val="16"/>
          <w:szCs w:val="16"/>
        </w:rPr>
        <w:t xml:space="preserve"> </w:t>
      </w:r>
      <w:r w:rsidRPr="005B0D20">
        <w:rPr>
          <w:rFonts w:ascii="Verdana" w:hAnsi="Verdana"/>
          <w:i/>
          <w:sz w:val="16"/>
          <w:szCs w:val="16"/>
        </w:rPr>
        <w:t>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 xml:space="preserve"> </w:t>
      </w:r>
      <w:r w:rsidRPr="00683E4F">
        <w:rPr>
          <w:rFonts w:ascii="Verdana" w:hAnsi="Verdana"/>
          <w:i/>
          <w:sz w:val="16"/>
          <w:szCs w:val="16"/>
        </w:rPr>
        <w:t>Supervisión de Cumplimiento de Sentencia</w:t>
      </w:r>
      <w:r w:rsidRPr="005B0D20">
        <w:rPr>
          <w:rFonts w:ascii="Verdana" w:hAnsi="Verdana"/>
          <w:sz w:val="16"/>
          <w:szCs w:val="16"/>
        </w:rPr>
        <w:t xml:space="preserve">. Resolución de la Corte Interamericana de Derechos Humanos de 22 de agosto de 2013, disponible en: </w:t>
      </w:r>
      <w:hyperlink r:id="rId6" w:history="1">
        <w:r w:rsidRPr="005B0D20">
          <w:rPr>
            <w:rStyle w:val="Hipervnculo"/>
            <w:rFonts w:ascii="Verdana" w:hAnsi="Verdana"/>
            <w:sz w:val="16"/>
            <w:szCs w:val="16"/>
          </w:rPr>
          <w:t>http://www.corteidh.or.cr/docs/supervisiones/yatama_22_08_13.pdf</w:t>
        </w:r>
      </w:hyperlink>
      <w:r w:rsidRPr="005B0D20">
        <w:rPr>
          <w:rFonts w:ascii="Verdana" w:hAnsi="Verdana"/>
          <w:sz w:val="16"/>
          <w:szCs w:val="16"/>
        </w:rPr>
        <w:t xml:space="preserve">. </w:t>
      </w:r>
    </w:p>
  </w:footnote>
  <w:footnote w:id="7">
    <w:p w:rsidR="00FA6FDD" w:rsidRPr="005B0D20" w:rsidRDefault="00FA6FDD" w:rsidP="005B0D20">
      <w:pPr>
        <w:pStyle w:val="Textonotapie"/>
        <w:tabs>
          <w:tab w:val="left" w:pos="284"/>
          <w:tab w:val="left" w:pos="567"/>
        </w:tabs>
        <w:jc w:val="both"/>
        <w:rPr>
          <w:rFonts w:ascii="Verdana" w:hAnsi="Verdana"/>
          <w:sz w:val="16"/>
          <w:szCs w:val="16"/>
          <w:lang w:val="es-CR"/>
        </w:rPr>
      </w:pPr>
      <w:r w:rsidRPr="005B0D20">
        <w:rPr>
          <w:rStyle w:val="Refdenotaalpie"/>
          <w:rFonts w:ascii="Verdana" w:hAnsi="Verdana"/>
          <w:sz w:val="16"/>
          <w:szCs w:val="16"/>
          <w:lang w:val="es-CR"/>
        </w:rPr>
        <w:footnoteRef/>
      </w:r>
      <w:r w:rsidRPr="005B0D20">
        <w:rPr>
          <w:rFonts w:ascii="Verdana" w:hAnsi="Verdana"/>
          <w:sz w:val="16"/>
          <w:szCs w:val="16"/>
          <w:lang w:val="es-CR"/>
        </w:rPr>
        <w:t xml:space="preserve">        Facultad que además se desprende de lo dispuesto en los artículos 33, 62.1, 62.3 y 65 de la Convención Americana y 30 de su Estatuto y regulado, también, en el artículo 69 de su Reglamento.</w:t>
      </w:r>
    </w:p>
  </w:footnote>
  <w:footnote w:id="8">
    <w:p w:rsidR="00FA6FDD" w:rsidRPr="005B0D20" w:rsidRDefault="00FA6FDD" w:rsidP="005B0D20">
      <w:pPr>
        <w:pStyle w:val="Textonotapie"/>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lang w:val="es-CR"/>
        </w:rPr>
        <w:tab/>
        <w:t>La Corte declaró que fueron cumplidas las reparaciones relativas a las publicaciones de la Sentencia en el Diario Oficial  y en el sitio web oficial del Estado.  Además, declaró que el Estado habría dado cumplimiento parcial a las reparaciones relacionadas con el pago de indemnizaciones por concepto de daño material e inmaterial, y al pago de costas y gastos.</w:t>
      </w:r>
    </w:p>
  </w:footnote>
  <w:footnote w:id="9">
    <w:p w:rsidR="00FA6FDD" w:rsidRPr="005B0D20" w:rsidRDefault="00FA6FDD" w:rsidP="005B0D20">
      <w:pPr>
        <w:pStyle w:val="Textonotapie"/>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lang w:val="es-CR"/>
        </w:rPr>
        <w:tab/>
      </w:r>
      <w:r>
        <w:rPr>
          <w:rFonts w:ascii="Verdana" w:hAnsi="Verdana"/>
          <w:sz w:val="16"/>
          <w:szCs w:val="16"/>
          <w:lang w:val="es-CR"/>
        </w:rPr>
        <w:t>La Corte dispuso</w:t>
      </w:r>
      <w:r w:rsidR="008B1D6F">
        <w:rPr>
          <w:rFonts w:ascii="Verdana" w:hAnsi="Verdana"/>
          <w:sz w:val="16"/>
          <w:szCs w:val="16"/>
          <w:lang w:val="es-CR"/>
        </w:rPr>
        <w:t xml:space="preserve"> en la Sentencia</w:t>
      </w:r>
      <w:r>
        <w:rPr>
          <w:rFonts w:ascii="Verdana" w:hAnsi="Verdana"/>
          <w:sz w:val="16"/>
          <w:szCs w:val="16"/>
          <w:lang w:val="es-CR"/>
        </w:rPr>
        <w:t xml:space="preserve"> que Nicaragua debe </w:t>
      </w:r>
      <w:r w:rsidRPr="005B0D20">
        <w:rPr>
          <w:rFonts w:ascii="Verdana" w:hAnsi="Verdana"/>
          <w:sz w:val="16"/>
          <w:szCs w:val="16"/>
          <w:lang w:val="es-CR"/>
        </w:rPr>
        <w:t>“regul</w:t>
      </w:r>
      <w:r>
        <w:rPr>
          <w:rFonts w:ascii="Verdana" w:hAnsi="Verdana"/>
          <w:sz w:val="16"/>
          <w:szCs w:val="16"/>
          <w:lang w:val="es-CR"/>
        </w:rPr>
        <w:t>[ar</w:t>
      </w:r>
      <w:r w:rsidRPr="005B0D20">
        <w:rPr>
          <w:rFonts w:ascii="Verdana" w:hAnsi="Verdana"/>
          <w:sz w:val="16"/>
          <w:szCs w:val="16"/>
          <w:lang w:val="es-CR"/>
        </w:rPr>
        <w:t>] con claridad las consecuencias del incumplimiento de los requisitos de participación electoral, los procedimientos que debe observar el Consejo Supremo Electoral al determinar tal incumplimiento y las decisiones fundamentadas que al respecto debe adoptar dicho Consejo, así como los derechos de las personas cuya participación se vea afectada por una decisión del Estado” y</w:t>
      </w:r>
      <w:r>
        <w:rPr>
          <w:rFonts w:ascii="Verdana" w:hAnsi="Verdana"/>
          <w:sz w:val="16"/>
          <w:szCs w:val="16"/>
          <w:lang w:val="es-CR"/>
        </w:rPr>
        <w:t>,</w:t>
      </w:r>
      <w:r w:rsidRPr="005B0D20">
        <w:rPr>
          <w:rFonts w:ascii="Verdana" w:hAnsi="Verdana"/>
          <w:sz w:val="16"/>
          <w:szCs w:val="16"/>
          <w:lang w:val="es-CR"/>
        </w:rPr>
        <w:t xml:space="preserve"> además, </w:t>
      </w:r>
      <w:r>
        <w:rPr>
          <w:rFonts w:ascii="Verdana" w:hAnsi="Verdana"/>
          <w:sz w:val="16"/>
          <w:szCs w:val="16"/>
          <w:lang w:val="es-CR"/>
        </w:rPr>
        <w:t xml:space="preserve">debe </w:t>
      </w:r>
      <w:r w:rsidRPr="005B0D20">
        <w:rPr>
          <w:rFonts w:ascii="Verdana" w:hAnsi="Verdana"/>
          <w:sz w:val="16"/>
          <w:szCs w:val="16"/>
          <w:lang w:val="es-CR"/>
        </w:rPr>
        <w:t>reform</w:t>
      </w:r>
      <w:r>
        <w:rPr>
          <w:rFonts w:ascii="Verdana" w:hAnsi="Verdana"/>
          <w:sz w:val="16"/>
          <w:szCs w:val="16"/>
          <w:lang w:val="es-CR"/>
        </w:rPr>
        <w:t>ar</w:t>
      </w:r>
      <w:r w:rsidRPr="005B0D20">
        <w:rPr>
          <w:rFonts w:ascii="Verdana" w:hAnsi="Verdana"/>
          <w:sz w:val="16"/>
          <w:szCs w:val="16"/>
          <w:lang w:val="es-CR"/>
        </w:rPr>
        <w:t xml:space="preserve"> “la regulación de los requisitos dispuestos en la Ley Electoral declarados violatorios de la Convención Americana sobre Derechos Humanos”. </w:t>
      </w:r>
    </w:p>
  </w:footnote>
  <w:footnote w:id="10">
    <w:p w:rsidR="00FA6FDD" w:rsidRPr="005B0D20" w:rsidRDefault="00FA6FDD" w:rsidP="005B0D20">
      <w:pPr>
        <w:pStyle w:val="Textonotapie"/>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Pr>
          <w:rFonts w:ascii="Verdana" w:hAnsi="Verdana"/>
          <w:sz w:val="16"/>
          <w:szCs w:val="16"/>
        </w:rPr>
        <w:tab/>
        <w:t xml:space="preserve">En </w:t>
      </w:r>
      <w:r>
        <w:rPr>
          <w:rFonts w:ascii="Verdana" w:hAnsi="Verdana"/>
          <w:sz w:val="16"/>
          <w:szCs w:val="16"/>
          <w:lang w:val="es-CR"/>
        </w:rPr>
        <w:t>l</w:t>
      </w:r>
      <w:r w:rsidRPr="005B0D20">
        <w:rPr>
          <w:rFonts w:ascii="Verdana" w:hAnsi="Verdana"/>
          <w:sz w:val="16"/>
          <w:szCs w:val="16"/>
          <w:lang w:val="es-CR"/>
        </w:rPr>
        <w:t xml:space="preserve">a Sentencia </w:t>
      </w:r>
      <w:r>
        <w:rPr>
          <w:rFonts w:ascii="Verdana" w:hAnsi="Verdana"/>
          <w:sz w:val="16"/>
          <w:szCs w:val="16"/>
          <w:lang w:val="es-CR"/>
        </w:rPr>
        <w:t xml:space="preserve">se dispuso </w:t>
      </w:r>
      <w:r w:rsidRPr="005B0D20">
        <w:rPr>
          <w:rFonts w:ascii="Verdana" w:hAnsi="Verdana"/>
          <w:sz w:val="16"/>
          <w:szCs w:val="16"/>
          <w:lang w:val="es-CR"/>
        </w:rPr>
        <w:t xml:space="preserve">que “debe permitir y fomentar que los miembros de esas comunidades cuenten con una representación adecuada que les permita intervenir en los procesos de decisión sobre las cuestiones nacionales, que conciernen a la sociedad en su conjunto, y los asuntos particulares que atañen a dichas comunidades”. </w:t>
      </w:r>
    </w:p>
  </w:footnote>
  <w:footnote w:id="11">
    <w:p w:rsidR="00FA6FDD" w:rsidRPr="005B0D20" w:rsidRDefault="00FA6FDD" w:rsidP="005B0D20">
      <w:pPr>
        <w:pStyle w:val="Textonotapie"/>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Pr>
          <w:rFonts w:ascii="Verdana" w:hAnsi="Verdana"/>
          <w:sz w:val="16"/>
          <w:szCs w:val="16"/>
        </w:rPr>
        <w:tab/>
      </w:r>
      <w:r w:rsidRPr="005B0D20">
        <w:rPr>
          <w:rFonts w:ascii="Verdana" w:hAnsi="Verdana"/>
          <w:sz w:val="16"/>
          <w:szCs w:val="16"/>
          <w:lang w:val="es-CR"/>
        </w:rPr>
        <w:t>La Sentencia añade que “[d]icho recurso debe ser sencillo y rápido, tomando en cuenta la necesidad de que la decisión definitiva se produzca oportunamente dentro del calendario electoral”.</w:t>
      </w:r>
    </w:p>
  </w:footnote>
  <w:footnote w:id="12">
    <w:p w:rsidR="00FA6FDD" w:rsidRPr="005B0D20" w:rsidRDefault="00FA6FDD" w:rsidP="005B0D20">
      <w:pPr>
        <w:pStyle w:val="Textonotapie"/>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Pr>
          <w:rFonts w:ascii="Verdana" w:hAnsi="Verdana"/>
          <w:sz w:val="16"/>
          <w:szCs w:val="16"/>
        </w:rPr>
        <w:tab/>
      </w:r>
      <w:r w:rsidRPr="005B0D20">
        <w:rPr>
          <w:rFonts w:ascii="Verdana" w:hAnsi="Verdana"/>
          <w:sz w:val="16"/>
          <w:szCs w:val="16"/>
          <w:lang w:val="es-CR"/>
        </w:rPr>
        <w:t>Dicha publicación tendría que realizarse “en español, miskito, sumo, rama e inglés […</w:t>
      </w:r>
      <w:r>
        <w:rPr>
          <w:rFonts w:ascii="Verdana" w:hAnsi="Verdana"/>
          <w:sz w:val="16"/>
          <w:szCs w:val="16"/>
          <w:lang w:val="es-CR"/>
        </w:rPr>
        <w:t>,</w:t>
      </w:r>
      <w:r w:rsidRPr="005B0D20">
        <w:rPr>
          <w:rFonts w:ascii="Verdana" w:hAnsi="Verdana"/>
          <w:sz w:val="16"/>
          <w:szCs w:val="16"/>
          <w:lang w:val="es-CR"/>
        </w:rPr>
        <w:t xml:space="preserve">] al menos en cuatro ocasiones con un intervalo de dos semanas entre cada una”. </w:t>
      </w:r>
    </w:p>
  </w:footnote>
  <w:footnote w:id="13">
    <w:p w:rsidR="00FA6FDD" w:rsidRPr="005B0D20" w:rsidRDefault="00FA6FDD" w:rsidP="005B0D20">
      <w:pPr>
        <w:pStyle w:val="Textonotapie"/>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Pr="00BA0C22">
        <w:rPr>
          <w:rFonts w:ascii="Verdana" w:hAnsi="Verdana"/>
          <w:sz w:val="16"/>
          <w:szCs w:val="16"/>
        </w:rPr>
        <w:t xml:space="preserve">En la Resolución de 28 de mayo de 2010 se requirió a Nicaragua que presentara un informe a más tardar el 6 de septiembre de ese año. El Estado no atendió dicho requerimiento de la Corte. Mediante la Resolución de supervisión de cumplimiento de 30 de junio de 2011, la Corte requirió a Nicaragua que presentara un informe a más tardar el 4 de octubre de 2011 sobre las medidas adoptadas por el Estado para el cumplimiento de la Sentencia, y que luego de ello “cada cuatro meses presente un informe sobre el cumplimiento de los puntos de la Sentencia pendientes de acatamiento”. El plazo para presentar el primer informe señalado venció sin que fuera presentado,  y luego de ello el Estado no ha presentado informe alguno en atención a dicha </w:t>
      </w:r>
      <w:r w:rsidR="00630BAA">
        <w:rPr>
          <w:rFonts w:ascii="Verdana" w:hAnsi="Verdana"/>
          <w:sz w:val="16"/>
          <w:szCs w:val="16"/>
        </w:rPr>
        <w:t>R</w:t>
      </w:r>
      <w:r w:rsidRPr="00BA0C22">
        <w:rPr>
          <w:rFonts w:ascii="Verdana" w:hAnsi="Verdana"/>
          <w:sz w:val="16"/>
          <w:szCs w:val="16"/>
        </w:rPr>
        <w:t xml:space="preserve">esolución. </w:t>
      </w:r>
    </w:p>
  </w:footnote>
  <w:footnote w:id="14">
    <w:p w:rsidR="00FA6FDD" w:rsidRPr="005B0D20" w:rsidRDefault="00FA6FDD" w:rsidP="005B0D20">
      <w:pPr>
        <w:pStyle w:val="Textonotapie"/>
        <w:jc w:val="both"/>
        <w:rPr>
          <w:rFonts w:ascii="Verdana" w:hAnsi="Verdana"/>
          <w:b/>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Pr="005B0D20">
        <w:rPr>
          <w:rFonts w:ascii="Verdana" w:hAnsi="Verdana"/>
          <w:i/>
          <w:sz w:val="16"/>
          <w:szCs w:val="16"/>
        </w:rPr>
        <w:t>Caso Y</w:t>
      </w:r>
      <w:r>
        <w:rPr>
          <w:rFonts w:ascii="Verdana" w:hAnsi="Verdana"/>
          <w:i/>
          <w:sz w:val="16"/>
          <w:szCs w:val="16"/>
        </w:rPr>
        <w:t>ATAMA</w:t>
      </w:r>
      <w:r w:rsidRPr="005B0D20">
        <w:rPr>
          <w:rFonts w:ascii="Verdana" w:hAnsi="Verdana"/>
          <w:i/>
          <w:sz w:val="16"/>
          <w:szCs w:val="16"/>
        </w:rPr>
        <w:t xml:space="preserve"> Vs. Nicaragua</w:t>
      </w:r>
      <w:r w:rsidRPr="005B0D20">
        <w:rPr>
          <w:rFonts w:ascii="Verdana" w:hAnsi="Verdana"/>
          <w:sz w:val="16"/>
          <w:szCs w:val="16"/>
        </w:rPr>
        <w:t>.</w:t>
      </w:r>
      <w:r w:rsidR="00A07561">
        <w:rPr>
          <w:rFonts w:ascii="Verdana" w:hAnsi="Verdana"/>
          <w:sz w:val="16"/>
          <w:szCs w:val="16"/>
        </w:rPr>
        <w:t xml:space="preserve"> </w:t>
      </w:r>
      <w:r w:rsidR="00A07561">
        <w:rPr>
          <w:rFonts w:ascii="Verdana" w:hAnsi="Verdana"/>
          <w:i/>
          <w:sz w:val="16"/>
          <w:szCs w:val="16"/>
        </w:rPr>
        <w:t>Supervisión de Cumplimiento de Sentencia</w:t>
      </w:r>
      <w:r w:rsidR="00A07561">
        <w:rPr>
          <w:rFonts w:ascii="Verdana" w:hAnsi="Verdana"/>
          <w:sz w:val="16"/>
          <w:szCs w:val="16"/>
        </w:rPr>
        <w:t>.</w:t>
      </w:r>
      <w:r w:rsidRPr="005B0D20">
        <w:rPr>
          <w:rFonts w:ascii="Verdana" w:hAnsi="Verdana"/>
          <w:sz w:val="16"/>
          <w:szCs w:val="16"/>
        </w:rPr>
        <w:t xml:space="preserve"> Resolución de la Corte Interamericana de Derechos Humanos de 22 de agosto de 2013, Considerando 15.</w:t>
      </w:r>
    </w:p>
  </w:footnote>
  <w:footnote w:id="15">
    <w:p w:rsidR="00BB4F63" w:rsidRPr="008C5394" w:rsidRDefault="00BB4F63" w:rsidP="00BB4F63">
      <w:pPr>
        <w:pStyle w:val="Textonotapie"/>
        <w:jc w:val="both"/>
        <w:rPr>
          <w:rFonts w:ascii="Verdana" w:hAnsi="Verdana"/>
          <w:i/>
          <w:sz w:val="16"/>
          <w:szCs w:val="16"/>
        </w:rPr>
      </w:pPr>
      <w:r w:rsidRPr="008C5394">
        <w:rPr>
          <w:rStyle w:val="Refdenotaalpie"/>
          <w:rFonts w:ascii="Verdana" w:hAnsi="Verdana"/>
          <w:sz w:val="16"/>
          <w:szCs w:val="16"/>
        </w:rPr>
        <w:footnoteRef/>
      </w:r>
      <w:r w:rsidRPr="008C5394">
        <w:rPr>
          <w:rFonts w:ascii="Verdana" w:hAnsi="Verdana"/>
          <w:sz w:val="16"/>
          <w:szCs w:val="16"/>
        </w:rPr>
        <w:t xml:space="preserve"> </w:t>
      </w:r>
      <w:r w:rsidRPr="008C5394">
        <w:rPr>
          <w:rFonts w:ascii="Verdana" w:hAnsi="Verdana"/>
          <w:sz w:val="16"/>
          <w:szCs w:val="16"/>
        </w:rPr>
        <w:tab/>
      </w:r>
      <w:r w:rsidRPr="008C5394">
        <w:rPr>
          <w:rFonts w:ascii="Verdana" w:hAnsi="Verdana"/>
          <w:i/>
          <w:sz w:val="16"/>
          <w:szCs w:val="16"/>
        </w:rPr>
        <w:t xml:space="preserve">Cfr. Caso Familia Barrios Vs. Venezuela. Supervisión de Cumplimiento de Sentencia. </w:t>
      </w:r>
      <w:r w:rsidRPr="008C5394">
        <w:rPr>
          <w:rFonts w:ascii="Verdana" w:hAnsi="Verdana"/>
          <w:sz w:val="16"/>
          <w:szCs w:val="16"/>
        </w:rPr>
        <w:t>Resolución de la Corte Interamericana de Derechos Humanos de 2 de septiembre de 2015, Considerando 2.</w:t>
      </w:r>
    </w:p>
  </w:footnote>
  <w:footnote w:id="16">
    <w:p w:rsidR="00FA6FDD" w:rsidRPr="005B0D20" w:rsidRDefault="00FA6FDD" w:rsidP="005B0D20">
      <w:pPr>
        <w:pStyle w:val="Textonotapie"/>
        <w:tabs>
          <w:tab w:val="left" w:pos="567"/>
        </w:tabs>
        <w:ind w:right="4"/>
        <w:jc w:val="both"/>
        <w:rPr>
          <w:rFonts w:ascii="Verdana" w:hAnsi="Verdana"/>
          <w:color w:val="000000"/>
          <w:sz w:val="16"/>
          <w:szCs w:val="16"/>
          <w:lang w:val="es-CR"/>
        </w:rPr>
      </w:pPr>
      <w:r w:rsidRPr="005B0D20">
        <w:rPr>
          <w:rStyle w:val="Refdenotaalpie"/>
          <w:rFonts w:ascii="Verdana" w:hAnsi="Verdana"/>
          <w:sz w:val="16"/>
          <w:szCs w:val="16"/>
        </w:rPr>
        <w:footnoteRef/>
      </w:r>
      <w:r w:rsidRPr="005B0D20">
        <w:rPr>
          <w:rFonts w:ascii="Verdana" w:hAnsi="Verdana"/>
          <w:sz w:val="16"/>
          <w:szCs w:val="16"/>
          <w:lang w:val="es-CR"/>
        </w:rPr>
        <w:t xml:space="preserve"> </w:t>
      </w:r>
      <w:r w:rsidRPr="005B0D20">
        <w:rPr>
          <w:rFonts w:ascii="Verdana" w:hAnsi="Verdana"/>
          <w:sz w:val="16"/>
          <w:szCs w:val="16"/>
          <w:lang w:val="es-CR"/>
        </w:rPr>
        <w:tab/>
      </w:r>
      <w:r w:rsidR="00A07561" w:rsidRPr="005B0D20">
        <w:rPr>
          <w:rFonts w:ascii="Verdana" w:hAnsi="Verdana"/>
          <w:i/>
          <w:color w:val="000000"/>
          <w:sz w:val="16"/>
          <w:szCs w:val="16"/>
          <w:lang w:val="es-MX"/>
        </w:rPr>
        <w:t xml:space="preserve">Cfr. Caso Castillo Petruzzi y otros Vs. Perú. Supervisión de Cumplimiento de Sentencia. Resolución de la Corte de 17 de noviembre de 1999, Considerando </w:t>
      </w:r>
      <w:r w:rsidR="00A07561">
        <w:rPr>
          <w:rFonts w:ascii="Verdana" w:hAnsi="Verdana"/>
          <w:i/>
          <w:color w:val="000000"/>
          <w:sz w:val="16"/>
          <w:szCs w:val="16"/>
          <w:lang w:val="es-MX"/>
        </w:rPr>
        <w:t>3</w:t>
      </w:r>
      <w:r w:rsidR="00A07561" w:rsidRPr="005B0D20">
        <w:rPr>
          <w:rFonts w:ascii="Verdana" w:hAnsi="Verdana"/>
          <w:i/>
          <w:color w:val="000000"/>
          <w:sz w:val="16"/>
          <w:szCs w:val="16"/>
          <w:lang w:val="es-MX"/>
        </w:rPr>
        <w:t xml:space="preserve">; </w:t>
      </w:r>
      <w:r w:rsidR="00A07561" w:rsidRPr="005B0D20">
        <w:rPr>
          <w:rFonts w:ascii="Verdana" w:hAnsi="Verdana"/>
          <w:i/>
          <w:color w:val="000000"/>
          <w:sz w:val="16"/>
          <w:szCs w:val="16"/>
          <w:lang w:val="es-AR"/>
        </w:rPr>
        <w:t xml:space="preserve">y </w:t>
      </w:r>
      <w:r w:rsidR="00A07561" w:rsidRPr="008C5394">
        <w:rPr>
          <w:rFonts w:ascii="Verdana" w:hAnsi="Verdana"/>
          <w:i/>
          <w:sz w:val="16"/>
          <w:szCs w:val="16"/>
        </w:rPr>
        <w:t xml:space="preserve">Caso Familia Barrios Vs. Venezuela. Supervisión de Cumplimiento de Sentencia. </w:t>
      </w:r>
      <w:r w:rsidR="00A07561" w:rsidRPr="008C5394">
        <w:rPr>
          <w:rFonts w:ascii="Verdana" w:hAnsi="Verdana"/>
          <w:sz w:val="16"/>
          <w:szCs w:val="16"/>
        </w:rPr>
        <w:t>Resolución de la Corte Interamericana de Derechos Humanos de 2 de se</w:t>
      </w:r>
      <w:r w:rsidR="00A07561">
        <w:rPr>
          <w:rFonts w:ascii="Verdana" w:hAnsi="Verdana"/>
          <w:sz w:val="16"/>
          <w:szCs w:val="16"/>
        </w:rPr>
        <w:t>ptiembre de 2015, Considerando 3</w:t>
      </w:r>
      <w:r w:rsidR="00A07561" w:rsidRPr="008C5394">
        <w:rPr>
          <w:rFonts w:ascii="Verdana" w:hAnsi="Verdana"/>
          <w:sz w:val="16"/>
          <w:szCs w:val="16"/>
        </w:rPr>
        <w:t>.</w:t>
      </w:r>
    </w:p>
  </w:footnote>
  <w:footnote w:id="17">
    <w:p w:rsidR="00FA6FDD" w:rsidRPr="005B0D20" w:rsidRDefault="00FA6FDD" w:rsidP="005B0D20">
      <w:pPr>
        <w:pStyle w:val="Textonotapie"/>
        <w:tabs>
          <w:tab w:val="left" w:pos="567"/>
        </w:tabs>
        <w:ind w:right="4"/>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lang w:val="es-CR"/>
        </w:rPr>
        <w:t xml:space="preserve"> </w:t>
      </w:r>
      <w:r w:rsidRPr="005B0D20">
        <w:rPr>
          <w:rFonts w:ascii="Verdana" w:hAnsi="Verdana"/>
          <w:sz w:val="16"/>
          <w:szCs w:val="16"/>
          <w:lang w:val="es-CR"/>
        </w:rPr>
        <w:tab/>
      </w:r>
      <w:r w:rsidR="00A07561">
        <w:rPr>
          <w:rFonts w:ascii="Verdana" w:hAnsi="Verdana"/>
          <w:i/>
          <w:sz w:val="16"/>
          <w:szCs w:val="16"/>
          <w:lang w:val="es-CR"/>
        </w:rPr>
        <w:t>Cfr. Caso Garrido y Baigorria. Reparaciones</w:t>
      </w:r>
      <w:r w:rsidR="00A07561">
        <w:rPr>
          <w:rFonts w:ascii="Verdana" w:hAnsi="Verdana"/>
          <w:sz w:val="16"/>
          <w:szCs w:val="16"/>
          <w:lang w:val="es-CR"/>
        </w:rPr>
        <w:t xml:space="preserve"> (art. 63.1 Convención Americana sobre Derechos Humanos). Sentencia de 27 de agosto de 1998. Serie C No. 39, párr. 40, y</w:t>
      </w:r>
      <w:r w:rsidR="00A07561">
        <w:rPr>
          <w:rFonts w:ascii="Verdana" w:hAnsi="Verdana"/>
          <w:b/>
          <w:i/>
          <w:sz w:val="16"/>
          <w:szCs w:val="16"/>
          <w:lang w:val="es-CR"/>
        </w:rPr>
        <w:t xml:space="preserve"> </w:t>
      </w:r>
      <w:r w:rsidR="00A07561" w:rsidRPr="00A07561">
        <w:rPr>
          <w:rStyle w:val="Textoennegrita"/>
          <w:rFonts w:ascii="Verdana" w:hAnsi="Verdana"/>
          <w:b w:val="0"/>
          <w:i/>
          <w:color w:val="000000"/>
          <w:sz w:val="16"/>
          <w:szCs w:val="16"/>
        </w:rPr>
        <w:t>Caso Fontevecchia y D’amico Vs. Argentina. Supervisión de Cumplimiento de Sentencia</w:t>
      </w:r>
      <w:r w:rsidR="00A07561" w:rsidRPr="00A07561">
        <w:rPr>
          <w:rStyle w:val="Textoennegrita"/>
          <w:rFonts w:ascii="Verdana" w:hAnsi="Verdana"/>
          <w:b w:val="0"/>
          <w:color w:val="000000"/>
          <w:sz w:val="16"/>
          <w:szCs w:val="16"/>
        </w:rPr>
        <w:t>. Resolución de la Corte Interamericana de Derechos Humanos de 1 de septiembre de 2015, Considerando 5.</w:t>
      </w:r>
    </w:p>
  </w:footnote>
  <w:footnote w:id="18">
    <w:p w:rsidR="00FA6FDD" w:rsidRPr="00E75B6D" w:rsidRDefault="00FA6FDD" w:rsidP="005B0D20">
      <w:pPr>
        <w:pStyle w:val="Textonotapie"/>
        <w:tabs>
          <w:tab w:val="left" w:pos="567"/>
        </w:tabs>
        <w:ind w:right="4"/>
        <w:jc w:val="both"/>
        <w:rPr>
          <w:rFonts w:ascii="Verdana" w:hAnsi="Verdana"/>
          <w:color w:val="000000"/>
          <w:sz w:val="16"/>
          <w:szCs w:val="16"/>
          <w:lang w:val="fr-FR"/>
        </w:rPr>
      </w:pPr>
      <w:r w:rsidRPr="005B0D20">
        <w:rPr>
          <w:rStyle w:val="Refdenotaalpie"/>
          <w:rFonts w:ascii="Verdana" w:hAnsi="Verdana"/>
          <w:sz w:val="16"/>
          <w:szCs w:val="16"/>
        </w:rPr>
        <w:footnoteRef/>
      </w:r>
      <w:r w:rsidRPr="005B0D20">
        <w:rPr>
          <w:rFonts w:ascii="Verdana" w:hAnsi="Verdana"/>
          <w:sz w:val="16"/>
          <w:szCs w:val="16"/>
          <w:lang w:val="es-CR"/>
        </w:rPr>
        <w:t xml:space="preserve"> </w:t>
      </w:r>
      <w:r w:rsidRPr="005B0D20">
        <w:rPr>
          <w:rFonts w:ascii="Verdana" w:hAnsi="Verdana"/>
          <w:sz w:val="16"/>
          <w:szCs w:val="16"/>
          <w:lang w:val="es-CR"/>
        </w:rPr>
        <w:tab/>
      </w:r>
      <w:r w:rsidR="00A07561">
        <w:rPr>
          <w:rFonts w:ascii="Verdana" w:hAnsi="Verdana"/>
          <w:i/>
          <w:sz w:val="16"/>
          <w:szCs w:val="16"/>
          <w:lang w:val="es-ES"/>
        </w:rPr>
        <w:t>Cfr.</w:t>
      </w:r>
      <w:r w:rsidR="00A07561">
        <w:rPr>
          <w:rFonts w:ascii="Verdana" w:hAnsi="Verdana"/>
          <w:b/>
          <w:sz w:val="16"/>
          <w:szCs w:val="16"/>
          <w:lang w:val="es-ES"/>
        </w:rPr>
        <w:t xml:space="preserve"> </w:t>
      </w:r>
      <w:r w:rsidR="00A07561">
        <w:rPr>
          <w:rFonts w:ascii="Verdana" w:hAnsi="Verdana"/>
          <w:bCs/>
          <w:i/>
          <w:color w:val="000000"/>
          <w:sz w:val="16"/>
          <w:szCs w:val="16"/>
          <w:lang w:val="es-CR"/>
        </w:rPr>
        <w:t>Caso Castillo Páez Vs. Perú</w:t>
      </w:r>
      <w:r w:rsidR="00A07561">
        <w:rPr>
          <w:rFonts w:ascii="Verdana" w:hAnsi="Verdana"/>
          <w:b/>
          <w:bCs/>
          <w:color w:val="000000"/>
          <w:sz w:val="16"/>
          <w:szCs w:val="16"/>
          <w:lang w:val="es-CR"/>
        </w:rPr>
        <w:t xml:space="preserve">. </w:t>
      </w:r>
      <w:r w:rsidR="00A07561">
        <w:rPr>
          <w:rFonts w:ascii="Verdana" w:hAnsi="Verdana"/>
          <w:i/>
          <w:color w:val="000000"/>
          <w:sz w:val="16"/>
          <w:szCs w:val="16"/>
          <w:lang w:val="es-CR"/>
        </w:rPr>
        <w:t>Reparaciones y Costas.</w:t>
      </w:r>
      <w:r w:rsidR="00A07561">
        <w:rPr>
          <w:rFonts w:ascii="Verdana" w:hAnsi="Verdana"/>
          <w:color w:val="000000"/>
          <w:sz w:val="16"/>
          <w:szCs w:val="16"/>
          <w:lang w:val="es-CR"/>
        </w:rPr>
        <w:t xml:space="preserve"> Sentencia de 27 de noviembre de 1998. Serie C No. 43, párr. 50,</w:t>
      </w:r>
      <w:r w:rsidR="00A07561">
        <w:rPr>
          <w:rFonts w:ascii="Verdana" w:hAnsi="Verdana"/>
          <w:sz w:val="16"/>
          <w:szCs w:val="16"/>
          <w:lang w:val="es-ES"/>
        </w:rPr>
        <w:t xml:space="preserve"> y </w:t>
      </w:r>
      <w:r w:rsidR="00A07561" w:rsidRPr="00A07561">
        <w:rPr>
          <w:rStyle w:val="Textoennegrita"/>
          <w:rFonts w:ascii="Verdana" w:hAnsi="Verdana"/>
          <w:b w:val="0"/>
          <w:i/>
          <w:color w:val="000000"/>
          <w:sz w:val="16"/>
          <w:szCs w:val="16"/>
        </w:rPr>
        <w:t>Caso Fontevecchia y D’amico Vs. Argentina. Supervisión de Cumplimiento de Sentencia</w:t>
      </w:r>
      <w:r w:rsidR="00A07561" w:rsidRPr="00A07561">
        <w:rPr>
          <w:rStyle w:val="Textoennegrita"/>
          <w:rFonts w:ascii="Verdana" w:hAnsi="Verdana"/>
          <w:b w:val="0"/>
          <w:color w:val="000000"/>
          <w:sz w:val="16"/>
          <w:szCs w:val="16"/>
        </w:rPr>
        <w:t>. Resolución de la Corte Interamericana de Derechos Humanos de 1 de septiembre de 2015, Considerando 5.</w:t>
      </w:r>
    </w:p>
  </w:footnote>
  <w:footnote w:id="19">
    <w:p w:rsidR="00FA6FDD" w:rsidRPr="007C4C25" w:rsidRDefault="00FA6FDD" w:rsidP="005B0D20">
      <w:pPr>
        <w:pStyle w:val="Textonotapie"/>
        <w:tabs>
          <w:tab w:val="left" w:pos="567"/>
        </w:tabs>
        <w:ind w:right="4"/>
        <w:jc w:val="both"/>
        <w:rPr>
          <w:rFonts w:ascii="Verdana" w:hAnsi="Verdana"/>
          <w:sz w:val="16"/>
          <w:szCs w:val="16"/>
          <w:lang w:val="pl-PL"/>
        </w:rPr>
      </w:pPr>
      <w:r w:rsidRPr="005B0D20">
        <w:rPr>
          <w:rStyle w:val="Refdenotaalpie"/>
          <w:rFonts w:ascii="Verdana" w:hAnsi="Verdana"/>
          <w:sz w:val="16"/>
          <w:szCs w:val="16"/>
        </w:rPr>
        <w:footnoteRef/>
      </w:r>
      <w:r w:rsidRPr="005B0D20">
        <w:rPr>
          <w:rFonts w:ascii="Verdana" w:hAnsi="Verdana"/>
          <w:sz w:val="16"/>
          <w:szCs w:val="16"/>
          <w:lang w:val="fr-FR"/>
        </w:rPr>
        <w:t xml:space="preserve"> </w:t>
      </w:r>
      <w:r w:rsidRPr="005B0D20">
        <w:rPr>
          <w:rFonts w:ascii="Verdana" w:hAnsi="Verdana"/>
          <w:sz w:val="16"/>
          <w:szCs w:val="16"/>
          <w:lang w:val="fr-FR"/>
        </w:rPr>
        <w:tab/>
      </w:r>
      <w:r w:rsidRPr="005B0D20">
        <w:rPr>
          <w:rFonts w:ascii="Verdana" w:hAnsi="Verdana"/>
          <w:i/>
          <w:sz w:val="16"/>
          <w:szCs w:val="16"/>
          <w:lang w:val="pl-PL"/>
        </w:rPr>
        <w:t>Cfr</w:t>
      </w:r>
      <w:r w:rsidRPr="005B0D20">
        <w:rPr>
          <w:rFonts w:ascii="Verdana" w:hAnsi="Verdana"/>
          <w:sz w:val="16"/>
          <w:szCs w:val="16"/>
          <w:lang w:val="pl-PL"/>
        </w:rPr>
        <w:t xml:space="preserve">. </w:t>
      </w:r>
      <w:r w:rsidRPr="005B0D20">
        <w:rPr>
          <w:rFonts w:ascii="Verdana" w:hAnsi="Verdana"/>
          <w:i/>
          <w:sz w:val="16"/>
          <w:szCs w:val="16"/>
          <w:lang w:val="pl-PL"/>
        </w:rPr>
        <w:t>Reparation for Injuries Suffered in the Service of the United Nations</w:t>
      </w:r>
      <w:r w:rsidRPr="005B0D20">
        <w:rPr>
          <w:rFonts w:ascii="Verdana" w:hAnsi="Verdana"/>
          <w:sz w:val="16"/>
          <w:szCs w:val="16"/>
          <w:lang w:val="pl-PL"/>
        </w:rPr>
        <w:t xml:space="preserve">, </w:t>
      </w:r>
      <w:r w:rsidRPr="005B0D20">
        <w:rPr>
          <w:rFonts w:ascii="Verdana" w:hAnsi="Verdana"/>
          <w:i/>
          <w:sz w:val="16"/>
          <w:szCs w:val="16"/>
          <w:lang w:val="pl-PL"/>
        </w:rPr>
        <w:t>Advisory Opinion: I.C.J. Reports 1949, p. 184;</w:t>
      </w:r>
      <w:r w:rsidRPr="005B0D20">
        <w:rPr>
          <w:rFonts w:ascii="Verdana" w:hAnsi="Verdana"/>
          <w:sz w:val="16"/>
          <w:szCs w:val="16"/>
          <w:lang w:val="pl-PL"/>
        </w:rPr>
        <w:t xml:space="preserve"> </w:t>
      </w:r>
      <w:r w:rsidRPr="005B0D20">
        <w:rPr>
          <w:rFonts w:ascii="Verdana" w:hAnsi="Verdana"/>
          <w:i/>
          <w:sz w:val="16"/>
          <w:szCs w:val="16"/>
          <w:lang w:val="pl-PL"/>
        </w:rPr>
        <w:t>Affaire relative à l’Usine de Chorzów (Demande en Indemnité) (Fond), Arrêt Nº 13, le 13 septembre 1928, C.P.J.I. Série A-Nº 17, p. 29;</w:t>
      </w:r>
      <w:r w:rsidRPr="005B0D20">
        <w:rPr>
          <w:rFonts w:ascii="Verdana" w:hAnsi="Verdana"/>
          <w:sz w:val="16"/>
          <w:szCs w:val="16"/>
          <w:lang w:val="pl-PL"/>
        </w:rPr>
        <w:t xml:space="preserve"> y </w:t>
      </w:r>
      <w:r w:rsidRPr="005B0D20">
        <w:rPr>
          <w:rFonts w:ascii="Verdana" w:hAnsi="Verdana"/>
          <w:i/>
          <w:sz w:val="16"/>
          <w:szCs w:val="16"/>
          <w:lang w:val="pl-PL"/>
        </w:rPr>
        <w:t>Affaire relative à l’Usine de Chorzów</w:t>
      </w:r>
      <w:r w:rsidRPr="005B0D20">
        <w:rPr>
          <w:rFonts w:ascii="Verdana" w:hAnsi="Verdana"/>
          <w:sz w:val="16"/>
          <w:szCs w:val="16"/>
          <w:lang w:val="pl-PL"/>
        </w:rPr>
        <w:t xml:space="preserve"> </w:t>
      </w:r>
      <w:r w:rsidRPr="005B0D20">
        <w:rPr>
          <w:rFonts w:ascii="Verdana" w:hAnsi="Verdana"/>
          <w:i/>
          <w:sz w:val="16"/>
          <w:szCs w:val="16"/>
          <w:lang w:val="pl-PL"/>
        </w:rPr>
        <w:t xml:space="preserve">(Demande en Indemnité) </w:t>
      </w:r>
      <w:r w:rsidRPr="007C4C25">
        <w:rPr>
          <w:rFonts w:ascii="Verdana" w:hAnsi="Verdana"/>
          <w:i/>
          <w:sz w:val="16"/>
          <w:szCs w:val="16"/>
          <w:lang w:val="pl-PL"/>
        </w:rPr>
        <w:t>(Compétence)</w:t>
      </w:r>
      <w:r w:rsidRPr="007C4C25">
        <w:rPr>
          <w:rFonts w:ascii="Verdana" w:hAnsi="Verdana"/>
          <w:sz w:val="16"/>
          <w:szCs w:val="16"/>
          <w:lang w:val="pl-PL"/>
        </w:rPr>
        <w:t xml:space="preserve">, </w:t>
      </w:r>
      <w:r w:rsidRPr="007C4C25">
        <w:rPr>
          <w:rFonts w:ascii="Verdana" w:hAnsi="Verdana"/>
          <w:i/>
          <w:sz w:val="16"/>
          <w:szCs w:val="16"/>
          <w:lang w:val="pl-PL"/>
        </w:rPr>
        <w:t>Arrêt Nº 8, le 26 juillet 1927, C.P.J.I. Série A-Nº 9, p. 21.</w:t>
      </w:r>
    </w:p>
  </w:footnote>
  <w:footnote w:id="20">
    <w:p w:rsidR="007C4C25" w:rsidRPr="007C4C25" w:rsidRDefault="007C4C25">
      <w:pPr>
        <w:pStyle w:val="Textonotapie"/>
        <w:rPr>
          <w:rFonts w:ascii="Verdana" w:hAnsi="Verdana"/>
          <w:b/>
          <w:sz w:val="16"/>
          <w:szCs w:val="16"/>
        </w:rPr>
      </w:pPr>
      <w:r w:rsidRPr="007C4C25">
        <w:rPr>
          <w:rStyle w:val="Refdenotaalpie"/>
          <w:rFonts w:ascii="Verdana" w:hAnsi="Verdana"/>
          <w:sz w:val="16"/>
          <w:szCs w:val="16"/>
        </w:rPr>
        <w:footnoteRef/>
      </w:r>
      <w:r w:rsidRPr="007C4C25">
        <w:rPr>
          <w:rFonts w:ascii="Verdana" w:hAnsi="Verdana"/>
          <w:b/>
          <w:sz w:val="16"/>
          <w:szCs w:val="16"/>
        </w:rPr>
        <w:t xml:space="preserve">       </w:t>
      </w:r>
      <w:r w:rsidRPr="007C4C25">
        <w:rPr>
          <w:rFonts w:ascii="Verdana" w:hAnsi="Verdana"/>
          <w:i/>
          <w:sz w:val="16"/>
          <w:szCs w:val="16"/>
        </w:rPr>
        <w:t>Cfr.</w:t>
      </w:r>
      <w:r w:rsidRPr="007C4C25">
        <w:rPr>
          <w:rFonts w:ascii="Verdana" w:hAnsi="Verdana"/>
          <w:sz w:val="16"/>
          <w:szCs w:val="16"/>
        </w:rPr>
        <w:t xml:space="preserve"> </w:t>
      </w:r>
      <w:r w:rsidRPr="007C4C25">
        <w:rPr>
          <w:rFonts w:ascii="Verdana" w:hAnsi="Verdana"/>
          <w:i/>
          <w:sz w:val="16"/>
          <w:szCs w:val="16"/>
        </w:rPr>
        <w:t>Caso</w:t>
      </w:r>
      <w:r w:rsidRPr="007C4C25">
        <w:rPr>
          <w:rFonts w:ascii="Verdana" w:hAnsi="Verdana"/>
          <w:b/>
          <w:i/>
          <w:sz w:val="16"/>
          <w:szCs w:val="16"/>
        </w:rPr>
        <w:t xml:space="preserve"> </w:t>
      </w:r>
      <w:r w:rsidRPr="007C4C25">
        <w:rPr>
          <w:rStyle w:val="Textoennegrita"/>
          <w:rFonts w:ascii="Verdana" w:hAnsi="Verdana"/>
          <w:b w:val="0"/>
          <w:i/>
          <w:sz w:val="16"/>
          <w:szCs w:val="16"/>
        </w:rPr>
        <w:t>Baena Ricardo y otros Vs. Panamá. Competencia.</w:t>
      </w:r>
      <w:r w:rsidRPr="007C4C25">
        <w:rPr>
          <w:rStyle w:val="Textoennegrita"/>
          <w:rFonts w:ascii="Verdana" w:hAnsi="Verdana"/>
          <w:b w:val="0"/>
          <w:sz w:val="16"/>
          <w:szCs w:val="16"/>
        </w:rPr>
        <w:t xml:space="preserve"> Sentencia de 28 de noviembre de 2003. Serie C No. 104, párr. 83 y </w:t>
      </w:r>
      <w:r w:rsidRPr="007C4C25">
        <w:rPr>
          <w:rFonts w:ascii="Verdana" w:hAnsi="Verdana"/>
          <w:i/>
          <w:sz w:val="16"/>
          <w:szCs w:val="16"/>
        </w:rPr>
        <w:t>Caso Fontevecchia y D´Amico Vs Argentina.</w:t>
      </w:r>
      <w:r w:rsidRPr="007C4C25">
        <w:rPr>
          <w:rFonts w:ascii="Verdana" w:hAnsi="Verdana"/>
          <w:b/>
          <w:i/>
          <w:sz w:val="16"/>
          <w:szCs w:val="16"/>
        </w:rPr>
        <w:t xml:space="preserve"> </w:t>
      </w:r>
      <w:r w:rsidRPr="007C4C25">
        <w:rPr>
          <w:rStyle w:val="Textoennegrita"/>
          <w:rFonts w:ascii="Verdana" w:hAnsi="Verdana"/>
          <w:b w:val="0"/>
          <w:color w:val="000000"/>
          <w:sz w:val="16"/>
          <w:szCs w:val="16"/>
        </w:rPr>
        <w:t>Resolución de la Corte Interamericana de Derechos Humanos de 1 de septiembre de 2015</w:t>
      </w:r>
      <w:r w:rsidRPr="007C4C25">
        <w:rPr>
          <w:rFonts w:ascii="Verdana" w:hAnsi="Verdana"/>
          <w:b/>
          <w:i/>
          <w:sz w:val="16"/>
          <w:szCs w:val="16"/>
        </w:rPr>
        <w:t xml:space="preserve">. </w:t>
      </w:r>
      <w:r w:rsidRPr="007C4C25">
        <w:rPr>
          <w:rFonts w:ascii="Verdana" w:hAnsi="Verdana"/>
          <w:sz w:val="16"/>
          <w:szCs w:val="16"/>
        </w:rPr>
        <w:t>Considerando 7</w:t>
      </w:r>
      <w:r w:rsidRPr="007C4C25">
        <w:rPr>
          <w:rFonts w:ascii="Verdana" w:hAnsi="Verdana"/>
          <w:i/>
          <w:sz w:val="16"/>
          <w:szCs w:val="16"/>
        </w:rPr>
        <w:t>.</w:t>
      </w:r>
    </w:p>
  </w:footnote>
  <w:footnote w:id="21">
    <w:p w:rsidR="00FA6FDD" w:rsidRPr="005B0D20" w:rsidRDefault="00FA6FDD" w:rsidP="000A19F4">
      <w:pPr>
        <w:pStyle w:val="Sombreadovistoso-nfasis3"/>
        <w:tabs>
          <w:tab w:val="left" w:pos="0"/>
          <w:tab w:val="left" w:pos="720"/>
          <w:tab w:val="left" w:pos="1440"/>
          <w:tab w:val="left" w:pos="2160"/>
        </w:tabs>
        <w:ind w:left="0"/>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t xml:space="preserve">Al respecto ver por ejemplo: </w:t>
      </w:r>
      <w:r w:rsidRPr="005B0D20">
        <w:rPr>
          <w:rFonts w:ascii="Verdana" w:hAnsi="Verdana"/>
          <w:i/>
          <w:sz w:val="16"/>
          <w:szCs w:val="16"/>
        </w:rPr>
        <w:t>Caso Caesar Vs. Trinidad y Tobago. Supervisión de Cumplimiento de Sentencia.</w:t>
      </w:r>
      <w:r w:rsidRPr="005B0D20">
        <w:rPr>
          <w:rFonts w:ascii="Verdana" w:hAnsi="Verdana"/>
          <w:sz w:val="16"/>
          <w:szCs w:val="16"/>
        </w:rPr>
        <w:t xml:space="preserve"> Resolución de la Corte Interamericana de Derechos Humanos de 21 de noviembre de 2007, Considerando </w:t>
      </w:r>
      <w:r w:rsidR="00CE1688">
        <w:rPr>
          <w:rFonts w:ascii="Verdana" w:hAnsi="Verdana"/>
          <w:sz w:val="16"/>
          <w:szCs w:val="16"/>
        </w:rPr>
        <w:t xml:space="preserve">11, y </w:t>
      </w:r>
      <w:r w:rsidR="00CE1688" w:rsidRPr="00A07561">
        <w:rPr>
          <w:rStyle w:val="Textoennegrita"/>
          <w:rFonts w:ascii="Verdana" w:hAnsi="Verdana"/>
          <w:b w:val="0"/>
          <w:i/>
          <w:color w:val="000000"/>
          <w:sz w:val="16"/>
          <w:szCs w:val="16"/>
        </w:rPr>
        <w:t>Caso Fontevecchia y D’amico Vs. Argentina. Supervisión de Cumplimiento de Sentencia</w:t>
      </w:r>
      <w:r w:rsidR="00CE1688" w:rsidRPr="00A07561">
        <w:rPr>
          <w:rStyle w:val="Textoennegrita"/>
          <w:rFonts w:ascii="Verdana" w:hAnsi="Verdana"/>
          <w:b w:val="0"/>
          <w:color w:val="000000"/>
          <w:sz w:val="16"/>
          <w:szCs w:val="16"/>
        </w:rPr>
        <w:t xml:space="preserve">. Resolución de la Corte Interamericana de Derechos Humanos de 1 de septiembre de 2015, Considerando </w:t>
      </w:r>
      <w:proofErr w:type="gramStart"/>
      <w:r w:rsidR="00CE1688">
        <w:rPr>
          <w:rStyle w:val="Textoennegrita"/>
          <w:rFonts w:ascii="Verdana" w:hAnsi="Verdana"/>
          <w:b w:val="0"/>
          <w:color w:val="000000"/>
          <w:sz w:val="16"/>
          <w:szCs w:val="16"/>
        </w:rPr>
        <w:t>9</w:t>
      </w:r>
      <w:r w:rsidR="00CE1688">
        <w:rPr>
          <w:rFonts w:ascii="Verdana" w:hAnsi="Verdana"/>
          <w:sz w:val="16"/>
          <w:szCs w:val="16"/>
        </w:rPr>
        <w:t xml:space="preserve"> </w:t>
      </w:r>
      <w:r w:rsidRPr="005B0D20">
        <w:rPr>
          <w:rFonts w:ascii="Verdana" w:hAnsi="Verdana"/>
          <w:sz w:val="16"/>
          <w:szCs w:val="16"/>
        </w:rPr>
        <w:t>.</w:t>
      </w:r>
      <w:proofErr w:type="gramEnd"/>
      <w:r w:rsidRPr="005B0D20">
        <w:rPr>
          <w:rFonts w:ascii="Verdana" w:hAnsi="Verdana"/>
          <w:sz w:val="16"/>
          <w:szCs w:val="16"/>
        </w:rPr>
        <w:t xml:space="preserve"> </w:t>
      </w:r>
    </w:p>
  </w:footnote>
  <w:footnote w:id="22">
    <w:p w:rsidR="00FA6FDD" w:rsidRPr="00FA6FDD" w:rsidRDefault="00FA6FDD" w:rsidP="000A19F4">
      <w:pPr>
        <w:pStyle w:val="Textonotapie"/>
        <w:tabs>
          <w:tab w:val="left" w:pos="0"/>
        </w:tabs>
        <w:rPr>
          <w:rFonts w:ascii="Verdana" w:hAnsi="Verdana"/>
          <w:sz w:val="16"/>
          <w:szCs w:val="16"/>
        </w:rPr>
      </w:pPr>
      <w:r w:rsidRPr="00FA6FDD">
        <w:rPr>
          <w:rStyle w:val="Refdenotaalpie"/>
          <w:rFonts w:ascii="Verdana" w:hAnsi="Verdana"/>
          <w:sz w:val="16"/>
          <w:szCs w:val="16"/>
        </w:rPr>
        <w:footnoteRef/>
      </w:r>
      <w:r>
        <w:rPr>
          <w:rFonts w:ascii="Verdana" w:hAnsi="Verdana"/>
          <w:sz w:val="16"/>
          <w:szCs w:val="16"/>
        </w:rPr>
        <w:t xml:space="preserve"> </w:t>
      </w:r>
      <w:r w:rsidR="000A19F4">
        <w:rPr>
          <w:rFonts w:ascii="Verdana" w:hAnsi="Verdana"/>
          <w:sz w:val="16"/>
          <w:szCs w:val="16"/>
        </w:rPr>
        <w:tab/>
      </w:r>
      <w:r w:rsidRPr="00FA6FDD">
        <w:rPr>
          <w:rFonts w:ascii="Verdana" w:hAnsi="Verdana"/>
          <w:sz w:val="16"/>
          <w:szCs w:val="16"/>
          <w:lang w:val="es-MX"/>
        </w:rPr>
        <w:t xml:space="preserve">Asimismo, se refirieron a la alegada “discrecionalidad y arbitrariedad con la que toma sus decisiones el Consejo Supremo Electoral”.  </w:t>
      </w:r>
    </w:p>
  </w:footnote>
  <w:footnote w:id="23">
    <w:p w:rsidR="00FA6FDD" w:rsidRPr="00411DDC" w:rsidRDefault="00FA6FDD" w:rsidP="00FA6FDD">
      <w:pPr>
        <w:pStyle w:val="Textonotapie"/>
        <w:jc w:val="both"/>
        <w:rPr>
          <w:rFonts w:ascii="Verdana" w:hAnsi="Verdana"/>
          <w:sz w:val="16"/>
          <w:szCs w:val="16"/>
        </w:rPr>
      </w:pPr>
      <w:r w:rsidRPr="00411DDC">
        <w:rPr>
          <w:rStyle w:val="Refdenotaalpie"/>
          <w:rFonts w:ascii="Verdana" w:hAnsi="Verdana"/>
          <w:sz w:val="16"/>
          <w:szCs w:val="16"/>
        </w:rPr>
        <w:footnoteRef/>
      </w:r>
      <w:r w:rsidRPr="00411DDC">
        <w:rPr>
          <w:rFonts w:ascii="Verdana" w:hAnsi="Verdana"/>
          <w:sz w:val="16"/>
          <w:szCs w:val="16"/>
        </w:rPr>
        <w:t xml:space="preserve"> </w:t>
      </w:r>
      <w:r w:rsidR="007275C8">
        <w:rPr>
          <w:rFonts w:ascii="Verdana" w:hAnsi="Verdana"/>
          <w:sz w:val="16"/>
          <w:szCs w:val="16"/>
        </w:rPr>
        <w:tab/>
      </w:r>
      <w:r w:rsidRPr="00411DDC">
        <w:rPr>
          <w:rFonts w:ascii="Verdana" w:hAnsi="Verdana"/>
          <w:sz w:val="16"/>
          <w:szCs w:val="16"/>
        </w:rPr>
        <w:t xml:space="preserve">Los representantes afirmaron que el día 15 de mayo de 2015 “las autoridades migratorias del aeropuerto internacional Augusto C. Sandino […] impidieron el ingreso” de abogados de CEJIL, habiendo sido víctimas incluso de agresiones físicas, cuando estos se disponían a realizar actividades relacionadas con la supervisión del cumplimiento de la Sentencia. </w:t>
      </w:r>
      <w:r w:rsidRPr="00411DDC">
        <w:rPr>
          <w:rFonts w:ascii="Verdana" w:hAnsi="Verdana"/>
          <w:sz w:val="16"/>
          <w:szCs w:val="16"/>
          <w:lang w:val="es-CR"/>
        </w:rPr>
        <w:t xml:space="preserve">Al respecto, los representantes señalaron que “tendrían algunas reuniones de coordinación para visibilizar la sentencia del caso de la referencia así como para incidir en relación con su </w:t>
      </w:r>
      <w:r w:rsidRPr="007275C8">
        <w:rPr>
          <w:rFonts w:ascii="Verdana" w:hAnsi="Verdana"/>
          <w:sz w:val="16"/>
          <w:szCs w:val="16"/>
          <w:lang w:val="es-CR"/>
        </w:rPr>
        <w:t>cumplimiento”.</w:t>
      </w:r>
      <w:r w:rsidR="00411DDC" w:rsidRPr="007275C8">
        <w:rPr>
          <w:rFonts w:ascii="Verdana" w:hAnsi="Verdana"/>
          <w:sz w:val="16"/>
          <w:szCs w:val="16"/>
          <w:lang w:val="es-CR"/>
        </w:rPr>
        <w:t xml:space="preserve"> </w:t>
      </w:r>
      <w:r w:rsidR="00411DDC" w:rsidRPr="007275C8">
        <w:rPr>
          <w:rFonts w:ascii="Verdana" w:hAnsi="Verdana"/>
          <w:sz w:val="16"/>
          <w:szCs w:val="16"/>
          <w:lang w:val="es-MX"/>
        </w:rPr>
        <w:t>Los representantes manifestaron su “</w:t>
      </w:r>
      <w:proofErr w:type="gramStart"/>
      <w:r w:rsidR="00411DDC" w:rsidRPr="007275C8">
        <w:rPr>
          <w:rFonts w:ascii="Verdana" w:hAnsi="Verdana"/>
          <w:sz w:val="16"/>
          <w:szCs w:val="16"/>
          <w:lang w:val="es-MX"/>
        </w:rPr>
        <w:t>preocupa[</w:t>
      </w:r>
      <w:proofErr w:type="gramEnd"/>
      <w:r w:rsidR="00411DDC" w:rsidRPr="007275C8">
        <w:rPr>
          <w:rFonts w:ascii="Verdana" w:hAnsi="Verdana"/>
          <w:sz w:val="16"/>
          <w:szCs w:val="16"/>
          <w:lang w:val="es-MX"/>
        </w:rPr>
        <w:t>ción por] que este acontecimiento impida a CEJIL […] continuar realizando la labor de seguimiento al cumplimiento de la sentencia”</w:t>
      </w:r>
      <w:r w:rsidR="007275C8" w:rsidRPr="007275C8">
        <w:rPr>
          <w:rFonts w:ascii="Verdana" w:hAnsi="Verdana"/>
          <w:sz w:val="16"/>
          <w:szCs w:val="16"/>
          <w:lang w:val="es-MX"/>
        </w:rPr>
        <w:t>.</w:t>
      </w:r>
    </w:p>
  </w:footnote>
  <w:footnote w:id="24">
    <w:p w:rsidR="00FA6FDD" w:rsidRPr="005B0D20" w:rsidRDefault="00FA6FDD" w:rsidP="00FA6FDD">
      <w:pPr>
        <w:pStyle w:val="Textonotapie"/>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Pr="005B0D20">
        <w:rPr>
          <w:rFonts w:ascii="Verdana" w:hAnsi="Verdana"/>
          <w:i/>
          <w:sz w:val="16"/>
          <w:szCs w:val="16"/>
        </w:rPr>
        <w:t>Caso Defensor de Derechos Humanos y otros Vs. Guatemala</w:t>
      </w:r>
      <w:r w:rsidRPr="005B0D20">
        <w:rPr>
          <w:rFonts w:ascii="Verdana" w:hAnsi="Verdana"/>
          <w:sz w:val="16"/>
          <w:szCs w:val="16"/>
        </w:rPr>
        <w:t xml:space="preserve">. </w:t>
      </w:r>
      <w:r w:rsidRPr="00D93DFA">
        <w:rPr>
          <w:rFonts w:ascii="Verdana" w:hAnsi="Verdana"/>
          <w:i/>
          <w:sz w:val="16"/>
          <w:szCs w:val="16"/>
        </w:rPr>
        <w:t>Excepciones Preliminares, Fondo, Reparaciones y Costas.</w:t>
      </w:r>
      <w:r w:rsidRPr="005B0D20">
        <w:rPr>
          <w:rFonts w:ascii="Verdana" w:hAnsi="Verdana"/>
          <w:sz w:val="16"/>
          <w:szCs w:val="16"/>
        </w:rPr>
        <w:t xml:space="preserve"> Sentencia de 28 de agosto de 2014. Serie C No. 283, párr. 142.</w:t>
      </w:r>
    </w:p>
  </w:footnote>
  <w:footnote w:id="25">
    <w:p w:rsidR="00FA6FDD" w:rsidRPr="005B0D20" w:rsidRDefault="00FA6FDD" w:rsidP="00FA6FDD">
      <w:pPr>
        <w:pStyle w:val="Textonotapie"/>
        <w:tabs>
          <w:tab w:val="left" w:pos="567"/>
          <w:tab w:val="left" w:pos="709"/>
        </w:tabs>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lang w:val="es-CR"/>
        </w:rPr>
        <w:tab/>
      </w:r>
      <w:r w:rsidRPr="005B0D20">
        <w:rPr>
          <w:rFonts w:ascii="Verdana" w:hAnsi="Verdana" w:cs="Verdana"/>
          <w:bCs/>
          <w:i/>
          <w:sz w:val="16"/>
          <w:szCs w:val="16"/>
        </w:rPr>
        <w:t>Cfr.</w:t>
      </w:r>
      <w:r w:rsidRPr="005B0D20">
        <w:rPr>
          <w:rFonts w:ascii="Verdana" w:hAnsi="Verdana" w:cs="Verdana"/>
          <w:bCs/>
          <w:sz w:val="16"/>
          <w:szCs w:val="16"/>
        </w:rPr>
        <w:t xml:space="preserve"> </w:t>
      </w:r>
      <w:r w:rsidRPr="005B0D20">
        <w:rPr>
          <w:rFonts w:ascii="Verdana" w:hAnsi="Verdana" w:cs="Arial"/>
          <w:i/>
          <w:sz w:val="16"/>
          <w:szCs w:val="16"/>
          <w:lang w:val="es-CR"/>
        </w:rPr>
        <w:t>Caso Y</w:t>
      </w:r>
      <w:r w:rsidR="00F25104">
        <w:rPr>
          <w:rFonts w:ascii="Verdana" w:hAnsi="Verdana" w:cs="Arial"/>
          <w:i/>
          <w:sz w:val="16"/>
          <w:szCs w:val="16"/>
          <w:lang w:val="es-CR"/>
        </w:rPr>
        <w:t>ATAMA</w:t>
      </w:r>
      <w:r w:rsidRPr="005B0D20">
        <w:rPr>
          <w:rFonts w:ascii="Verdana" w:hAnsi="Verdana" w:cs="Arial"/>
          <w:i/>
          <w:sz w:val="16"/>
          <w:szCs w:val="16"/>
          <w:lang w:val="es-CR"/>
        </w:rPr>
        <w:t xml:space="preserve"> Vs. Nicaragua</w:t>
      </w:r>
      <w:r w:rsidR="00F25104">
        <w:rPr>
          <w:rFonts w:ascii="Verdana" w:hAnsi="Verdana" w:cs="Arial"/>
          <w:i/>
          <w:sz w:val="16"/>
          <w:szCs w:val="16"/>
          <w:lang w:val="es-CR"/>
        </w:rPr>
        <w:t>.</w:t>
      </w:r>
      <w:r w:rsidRPr="005B0D20">
        <w:rPr>
          <w:rFonts w:ascii="Verdana" w:hAnsi="Verdana" w:cs="Arial"/>
          <w:i/>
          <w:sz w:val="16"/>
          <w:szCs w:val="16"/>
          <w:lang w:val="es-CR"/>
        </w:rPr>
        <w:t xml:space="preserve"> </w:t>
      </w:r>
      <w:r w:rsidRPr="005B0D20">
        <w:rPr>
          <w:rStyle w:val="Textoennegrita"/>
          <w:rFonts w:ascii="Verdana" w:hAnsi="Verdana"/>
          <w:b w:val="0"/>
          <w:i/>
          <w:color w:val="000000"/>
          <w:sz w:val="16"/>
          <w:szCs w:val="16"/>
        </w:rPr>
        <w:t xml:space="preserve">Supervisión de Cumplimiento de Sentencia. </w:t>
      </w:r>
      <w:r w:rsidRPr="005B0D20">
        <w:rPr>
          <w:rStyle w:val="Textoennegrita"/>
          <w:rFonts w:ascii="Verdana" w:hAnsi="Verdana"/>
          <w:b w:val="0"/>
          <w:color w:val="000000"/>
          <w:sz w:val="16"/>
          <w:szCs w:val="16"/>
        </w:rPr>
        <w:t xml:space="preserve">Resolución de la Corte Interamericana de </w:t>
      </w:r>
      <w:r w:rsidRPr="005B0D20">
        <w:rPr>
          <w:rStyle w:val="Textoennegrita"/>
          <w:rFonts w:ascii="Verdana" w:hAnsi="Verdana"/>
          <w:b w:val="0"/>
          <w:sz w:val="16"/>
          <w:szCs w:val="16"/>
        </w:rPr>
        <w:t>Derechos Humanos de 22 de agosto de 2013,</w:t>
      </w:r>
      <w:r w:rsidRPr="005B0D20">
        <w:rPr>
          <w:rFonts w:ascii="Verdana" w:hAnsi="Verdana" w:cs="Arial"/>
          <w:i/>
          <w:sz w:val="16"/>
          <w:szCs w:val="16"/>
          <w:lang w:val="pt-BR"/>
        </w:rPr>
        <w:t xml:space="preserve"> </w:t>
      </w:r>
      <w:r w:rsidRPr="005B0D20">
        <w:rPr>
          <w:rFonts w:ascii="Verdana" w:hAnsi="Verdana" w:cs="Arial"/>
          <w:sz w:val="16"/>
          <w:szCs w:val="16"/>
          <w:lang w:val="pt-BR"/>
        </w:rPr>
        <w:t xml:space="preserve">Considerando </w:t>
      </w:r>
      <w:r w:rsidR="00F25104">
        <w:rPr>
          <w:rFonts w:ascii="Verdana" w:hAnsi="Verdana" w:cs="Arial"/>
          <w:sz w:val="16"/>
          <w:szCs w:val="16"/>
          <w:lang w:val="pt-BR"/>
        </w:rPr>
        <w:t>15</w:t>
      </w:r>
      <w:r w:rsidRPr="005B0D20">
        <w:rPr>
          <w:rFonts w:ascii="Verdana" w:hAnsi="Verdana" w:cs="Arial"/>
          <w:sz w:val="16"/>
          <w:szCs w:val="16"/>
          <w:lang w:val="pt-BR"/>
        </w:rPr>
        <w:t>.</w:t>
      </w:r>
    </w:p>
  </w:footnote>
  <w:footnote w:id="26">
    <w:p w:rsidR="00FA6FDD" w:rsidRPr="005B0D20" w:rsidRDefault="00FA6FDD" w:rsidP="005B0D20">
      <w:pPr>
        <w:pStyle w:val="Sangradetindependiente"/>
        <w:tabs>
          <w:tab w:val="left" w:pos="567"/>
          <w:tab w:val="left" w:pos="8280"/>
        </w:tabs>
        <w:spacing w:afterLines="20" w:after="48"/>
        <w:ind w:right="-138"/>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t xml:space="preserve"> “La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p>
  </w:footnote>
  <w:footnote w:id="27">
    <w:p w:rsidR="00FA6FDD" w:rsidRPr="005B0D20" w:rsidRDefault="00FA6FDD" w:rsidP="005B0D20">
      <w:pPr>
        <w:pStyle w:val="Textonotapie"/>
        <w:tabs>
          <w:tab w:val="left" w:pos="567"/>
        </w:tabs>
        <w:jc w:val="both"/>
        <w:rPr>
          <w:rFonts w:ascii="Verdana" w:hAnsi="Verdana"/>
          <w:sz w:val="16"/>
          <w:szCs w:val="16"/>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t>“</w:t>
      </w:r>
      <w:r w:rsidRPr="005B0D20">
        <w:rPr>
          <w:rFonts w:ascii="Verdana" w:hAnsi="Verdana"/>
          <w:color w:val="000000"/>
          <w:sz w:val="16"/>
          <w:szCs w:val="16"/>
          <w:lang w:val="es-CO"/>
        </w:rPr>
        <w:t>La Corte someterá a la Asamblea General de la OEA, en cada período ordinario de sesiones, un informe de su labor en el año anterior. Señalará los casos en que un Estado no haya dado cumplimiento a sus fallos. Podrá también someter a la Asamblea General de la OEA proposiciones o recomendaciones para el mejoramiento del sistema interamericano de derechos humanos, en lo relacionado con el trabajo de la Corte”.</w:t>
      </w:r>
    </w:p>
  </w:footnote>
  <w:footnote w:id="28">
    <w:p w:rsidR="00FA6FDD" w:rsidRPr="009F2D24" w:rsidRDefault="00FA6FDD" w:rsidP="007F5AF0">
      <w:pPr>
        <w:pStyle w:val="Textonotapie"/>
        <w:rPr>
          <w:rFonts w:ascii="Verdana" w:hAnsi="Verdana"/>
          <w:sz w:val="16"/>
          <w:szCs w:val="16"/>
          <w:lang w:val="es-CO"/>
        </w:rPr>
      </w:pPr>
      <w:r w:rsidRPr="009F2D24">
        <w:rPr>
          <w:rStyle w:val="Refdenotaalpie"/>
          <w:rFonts w:ascii="Verdana" w:hAnsi="Verdana"/>
          <w:sz w:val="16"/>
          <w:szCs w:val="16"/>
        </w:rPr>
        <w:footnoteRef/>
      </w:r>
      <w:r w:rsidRPr="009F2D24">
        <w:rPr>
          <w:rFonts w:ascii="Verdana" w:hAnsi="Verdana"/>
          <w:sz w:val="16"/>
          <w:szCs w:val="16"/>
        </w:rPr>
        <w:t xml:space="preserve"> </w:t>
      </w:r>
      <w:r w:rsidRPr="009F2D24">
        <w:rPr>
          <w:rFonts w:ascii="Verdana" w:hAnsi="Verdana"/>
          <w:sz w:val="16"/>
          <w:szCs w:val="16"/>
        </w:rPr>
        <w:tab/>
      </w:r>
      <w:r w:rsidRPr="009F2D24">
        <w:rPr>
          <w:rFonts w:ascii="Verdana" w:hAnsi="Verdana"/>
          <w:i/>
          <w:sz w:val="16"/>
          <w:szCs w:val="16"/>
          <w:lang w:val="es-ES"/>
        </w:rPr>
        <w:t>Cfr</w:t>
      </w:r>
      <w:r w:rsidRPr="009F2D24">
        <w:rPr>
          <w:rFonts w:ascii="Verdana" w:hAnsi="Verdana"/>
          <w:sz w:val="16"/>
          <w:szCs w:val="16"/>
          <w:lang w:val="es-ES"/>
        </w:rPr>
        <w:t xml:space="preserve">. </w:t>
      </w:r>
      <w:r w:rsidRPr="009F2D24">
        <w:rPr>
          <w:rFonts w:ascii="Verdana" w:hAnsi="Verdana"/>
          <w:i/>
          <w:sz w:val="16"/>
          <w:szCs w:val="16"/>
          <w:lang w:val="es-ES"/>
        </w:rPr>
        <w:t>Caso Baena Ricardo y otros Vs. Panamá</w:t>
      </w:r>
      <w:r w:rsidRPr="009F2D24">
        <w:rPr>
          <w:rFonts w:ascii="Verdana" w:hAnsi="Verdana"/>
          <w:sz w:val="16"/>
          <w:szCs w:val="16"/>
          <w:lang w:val="es-ES"/>
        </w:rPr>
        <w:t xml:space="preserve">. </w:t>
      </w:r>
      <w:r w:rsidRPr="009F2D24">
        <w:rPr>
          <w:rFonts w:ascii="Verdana" w:hAnsi="Verdana"/>
          <w:i/>
          <w:sz w:val="16"/>
          <w:szCs w:val="16"/>
          <w:lang w:val="es-ES"/>
        </w:rPr>
        <w:t>Competencia,</w:t>
      </w:r>
      <w:r w:rsidRPr="009F2D24">
        <w:rPr>
          <w:rFonts w:ascii="Verdana" w:hAnsi="Verdana"/>
          <w:sz w:val="16"/>
          <w:szCs w:val="16"/>
          <w:lang w:val="es-ES"/>
        </w:rPr>
        <w:t xml:space="preserve"> </w:t>
      </w:r>
      <w:r w:rsidRPr="009F2D24">
        <w:rPr>
          <w:rFonts w:ascii="Verdana" w:hAnsi="Verdana"/>
          <w:sz w:val="16"/>
          <w:szCs w:val="16"/>
        </w:rPr>
        <w:t>párr. 96.</w:t>
      </w:r>
    </w:p>
  </w:footnote>
  <w:footnote w:id="29">
    <w:p w:rsidR="00FA6FDD" w:rsidRPr="005B0D20" w:rsidRDefault="00FA6FDD" w:rsidP="005B0D20">
      <w:pPr>
        <w:pStyle w:val="Textonotapie"/>
        <w:tabs>
          <w:tab w:val="left" w:pos="567"/>
        </w:tabs>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00820DD8">
        <w:rPr>
          <w:rFonts w:ascii="Verdana" w:hAnsi="Verdana"/>
          <w:sz w:val="16"/>
          <w:szCs w:val="16"/>
        </w:rPr>
        <w:tab/>
      </w:r>
      <w:r w:rsidR="00820DD8">
        <w:rPr>
          <w:rFonts w:ascii="Verdana" w:hAnsi="Verdana"/>
          <w:i/>
          <w:sz w:val="16"/>
          <w:szCs w:val="16"/>
        </w:rPr>
        <w:t xml:space="preserve">Cfr. </w:t>
      </w:r>
      <w:r w:rsidRPr="005B0D20">
        <w:rPr>
          <w:rStyle w:val="Textoennegrita"/>
          <w:rFonts w:ascii="Verdana" w:hAnsi="Verdana"/>
          <w:b w:val="0"/>
          <w:i/>
          <w:color w:val="000000"/>
          <w:sz w:val="16"/>
          <w:szCs w:val="16"/>
          <w:shd w:val="clear" w:color="auto" w:fill="FFFFFF"/>
        </w:rPr>
        <w:t>Caso Apitz Barbera y Otros ("Corte Primera de lo Contencioso Administrativo") Vs. Venezuela. Supervisión de Cumplimiento de Sentencia.</w:t>
      </w:r>
      <w:r w:rsidRPr="005B0D20">
        <w:rPr>
          <w:rStyle w:val="Textoennegrita"/>
          <w:rFonts w:ascii="Verdana" w:hAnsi="Verdana"/>
          <w:b w:val="0"/>
          <w:color w:val="000000"/>
          <w:sz w:val="16"/>
          <w:szCs w:val="16"/>
          <w:shd w:val="clear" w:color="auto" w:fill="FFFFFF"/>
        </w:rPr>
        <w:t xml:space="preserve"> Resolución de la Corte Interamericana de Derechos Humanos de 23 de noviembre de 2012,</w:t>
      </w:r>
      <w:r w:rsidRPr="005B0D20">
        <w:rPr>
          <w:rFonts w:ascii="Verdana" w:hAnsi="Verdana"/>
          <w:b/>
          <w:sz w:val="16"/>
          <w:szCs w:val="16"/>
          <w:lang w:val="es-CR"/>
        </w:rPr>
        <w:t xml:space="preserve"> </w:t>
      </w:r>
      <w:r w:rsidRPr="005B0D20">
        <w:rPr>
          <w:rFonts w:ascii="Verdana" w:hAnsi="Verdana"/>
          <w:sz w:val="16"/>
          <w:szCs w:val="16"/>
          <w:lang w:val="es-CR"/>
        </w:rPr>
        <w:t xml:space="preserve">Considerando </w:t>
      </w:r>
      <w:r w:rsidR="00820DD8">
        <w:rPr>
          <w:rFonts w:ascii="Verdana" w:hAnsi="Verdana"/>
          <w:sz w:val="16"/>
          <w:szCs w:val="16"/>
          <w:lang w:val="es-CR"/>
        </w:rPr>
        <w:t>48</w:t>
      </w:r>
      <w:r w:rsidRPr="005B0D20">
        <w:rPr>
          <w:rFonts w:ascii="Verdana" w:hAnsi="Verdana"/>
          <w:sz w:val="16"/>
          <w:szCs w:val="16"/>
          <w:lang w:val="es-CR"/>
        </w:rPr>
        <w:t>.</w:t>
      </w:r>
    </w:p>
  </w:footnote>
  <w:footnote w:id="30">
    <w:p w:rsidR="00FA6FDD" w:rsidRPr="005B0D20" w:rsidRDefault="00FA6FDD" w:rsidP="005B0D20">
      <w:pPr>
        <w:pStyle w:val="Textonotapie"/>
        <w:jc w:val="both"/>
        <w:rPr>
          <w:rFonts w:ascii="Verdana" w:hAnsi="Verdana"/>
          <w:sz w:val="16"/>
          <w:szCs w:val="16"/>
        </w:rPr>
      </w:pPr>
      <w:r w:rsidRPr="005C0B43">
        <w:rPr>
          <w:rFonts w:ascii="Verdana" w:hAnsi="Verdana"/>
          <w:sz w:val="16"/>
          <w:szCs w:val="16"/>
          <w:vertAlign w:val="superscript"/>
          <w:lang w:val="es-CO"/>
        </w:rPr>
        <w:footnoteRef/>
      </w:r>
      <w:r w:rsidRPr="005C0B43">
        <w:rPr>
          <w:rFonts w:ascii="Verdana" w:hAnsi="Verdana"/>
          <w:sz w:val="16"/>
          <w:szCs w:val="16"/>
          <w:vertAlign w:val="superscript"/>
          <w:lang w:val="es-CO"/>
        </w:rPr>
        <w:t xml:space="preserve"> </w:t>
      </w:r>
      <w:r w:rsidRPr="005B0D20">
        <w:rPr>
          <w:rFonts w:ascii="Verdana" w:hAnsi="Verdana"/>
          <w:sz w:val="16"/>
          <w:szCs w:val="16"/>
          <w:lang w:val="es-CO"/>
        </w:rPr>
        <w:tab/>
        <w:t>Los representantes hicieron referencia  a que en su Resolución de 2013 (</w:t>
      </w:r>
      <w:r w:rsidRPr="005B0D20">
        <w:rPr>
          <w:rFonts w:ascii="Verdana" w:hAnsi="Verdana"/>
          <w:i/>
          <w:sz w:val="16"/>
          <w:szCs w:val="16"/>
          <w:lang w:val="es-CO"/>
        </w:rPr>
        <w:t>supra</w:t>
      </w:r>
      <w:r w:rsidRPr="005B0D20">
        <w:rPr>
          <w:rFonts w:ascii="Verdana" w:hAnsi="Verdana"/>
          <w:sz w:val="16"/>
          <w:szCs w:val="16"/>
          <w:lang w:val="es-CO"/>
        </w:rPr>
        <w:t xml:space="preserve"> Visto </w:t>
      </w:r>
      <w:r w:rsidR="005C0B43">
        <w:rPr>
          <w:rFonts w:ascii="Verdana" w:hAnsi="Verdana"/>
          <w:sz w:val="16"/>
          <w:szCs w:val="16"/>
          <w:lang w:val="es-CO"/>
        </w:rPr>
        <w:fldChar w:fldCharType="begin"/>
      </w:r>
      <w:r w:rsidR="005C0B43">
        <w:rPr>
          <w:rFonts w:ascii="Verdana" w:hAnsi="Verdana"/>
          <w:sz w:val="16"/>
          <w:szCs w:val="16"/>
          <w:lang w:val="es-CO"/>
        </w:rPr>
        <w:instrText xml:space="preserve"> REF _Ref437587895 \r \h </w:instrText>
      </w:r>
      <w:r w:rsidR="005C0B43">
        <w:rPr>
          <w:rFonts w:ascii="Verdana" w:hAnsi="Verdana"/>
          <w:sz w:val="16"/>
          <w:szCs w:val="16"/>
          <w:lang w:val="es-CO"/>
        </w:rPr>
      </w:r>
      <w:r w:rsidR="005C0B43">
        <w:rPr>
          <w:rFonts w:ascii="Verdana" w:hAnsi="Verdana"/>
          <w:sz w:val="16"/>
          <w:szCs w:val="16"/>
          <w:lang w:val="es-CO"/>
        </w:rPr>
        <w:fldChar w:fldCharType="separate"/>
      </w:r>
      <w:r w:rsidR="00EA6956">
        <w:rPr>
          <w:rFonts w:ascii="Verdana" w:hAnsi="Verdana"/>
          <w:sz w:val="16"/>
          <w:szCs w:val="16"/>
          <w:lang w:val="es-CO"/>
        </w:rPr>
        <w:t>2</w:t>
      </w:r>
      <w:r w:rsidR="005C0B43">
        <w:rPr>
          <w:rFonts w:ascii="Verdana" w:hAnsi="Verdana"/>
          <w:sz w:val="16"/>
          <w:szCs w:val="16"/>
          <w:lang w:val="es-CO"/>
        </w:rPr>
        <w:fldChar w:fldCharType="end"/>
      </w:r>
      <w:r w:rsidRPr="005B0D20">
        <w:rPr>
          <w:rFonts w:ascii="Verdana" w:hAnsi="Verdana"/>
          <w:sz w:val="16"/>
          <w:szCs w:val="16"/>
          <w:lang w:val="es-CO"/>
        </w:rPr>
        <w:t>), la Corte dispuso convocar a las partes y a la Comisión Interamericana de Derechos Humanos a una audiencia pública que “se celebrará durante el transcurso del [2014], con el propósito de obtener información del Estado sobre el cumplimiento de las medidas de reparación ordenadas” en la Sentencia.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DD" w:rsidRDefault="00FA6FDD" w:rsidP="005E756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A6FDD" w:rsidRDefault="00FA6F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DD" w:rsidRDefault="00FA6FDD">
    <w:pPr>
      <w:pStyle w:val="Encabezado"/>
      <w:jc w:val="center"/>
      <w:rPr>
        <w:rFonts w:ascii="Verdana" w:hAnsi="Verdana"/>
        <w:sz w:val="20"/>
      </w:rPr>
    </w:pPr>
  </w:p>
  <w:p w:rsidR="00FA6FDD" w:rsidRPr="004304A9" w:rsidRDefault="00FA6FDD">
    <w:pPr>
      <w:pStyle w:val="Encabezado"/>
      <w:jc w:val="center"/>
      <w:rPr>
        <w:rFonts w:ascii="Verdana" w:hAnsi="Verdana"/>
        <w:sz w:val="20"/>
      </w:rPr>
    </w:pPr>
    <w:r>
      <w:rPr>
        <w:rFonts w:ascii="Verdana" w:hAnsi="Verdana"/>
        <w:sz w:val="20"/>
      </w:rPr>
      <w:t>-</w:t>
    </w:r>
    <w:r w:rsidRPr="004304A9">
      <w:rPr>
        <w:rFonts w:ascii="Verdana" w:hAnsi="Verdana"/>
        <w:sz w:val="20"/>
      </w:rPr>
      <w:fldChar w:fldCharType="begin"/>
    </w:r>
    <w:r w:rsidRPr="004304A9">
      <w:rPr>
        <w:rFonts w:ascii="Verdana" w:hAnsi="Verdana"/>
        <w:sz w:val="20"/>
      </w:rPr>
      <w:instrText xml:space="preserve"> PAGE   \* MERGEFORMAT </w:instrText>
    </w:r>
    <w:r w:rsidRPr="004304A9">
      <w:rPr>
        <w:rFonts w:ascii="Verdana" w:hAnsi="Verdana"/>
        <w:sz w:val="20"/>
      </w:rPr>
      <w:fldChar w:fldCharType="separate"/>
    </w:r>
    <w:r w:rsidR="00EA6956">
      <w:rPr>
        <w:rFonts w:ascii="Verdana" w:hAnsi="Verdana"/>
        <w:noProof/>
        <w:sz w:val="20"/>
      </w:rPr>
      <w:t>5</w:t>
    </w:r>
    <w:r w:rsidRPr="004304A9">
      <w:rPr>
        <w:rFonts w:ascii="Verdana" w:hAnsi="Verdana"/>
        <w:sz w:val="20"/>
      </w:rPr>
      <w:fldChar w:fldCharType="end"/>
    </w:r>
    <w:r>
      <w:rPr>
        <w:rFonts w:ascii="Verdana" w:hAnsi="Verdana"/>
        <w:sz w:val="20"/>
      </w:rPr>
      <w:t>-</w:t>
    </w:r>
  </w:p>
  <w:p w:rsidR="00FA6FDD" w:rsidRDefault="00FA6FD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DD" w:rsidRPr="00BC2421" w:rsidRDefault="00FA6FDD" w:rsidP="00BC2421">
    <w:pPr>
      <w:pStyle w:val="Encabezado"/>
      <w:jc w:val="right"/>
      <w:rPr>
        <w:b/>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3ACA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97C1A"/>
    <w:multiLevelType w:val="hybridMultilevel"/>
    <w:tmpl w:val="E02450D6"/>
    <w:lvl w:ilvl="0" w:tplc="A5D0C94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3156D9"/>
    <w:multiLevelType w:val="hybridMultilevel"/>
    <w:tmpl w:val="E06C2D2A"/>
    <w:lvl w:ilvl="0" w:tplc="163ECF7C">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6C67FDB"/>
    <w:multiLevelType w:val="hybridMultilevel"/>
    <w:tmpl w:val="9B2A30FC"/>
    <w:lvl w:ilvl="0" w:tplc="90E088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75A2AE6"/>
    <w:multiLevelType w:val="multilevel"/>
    <w:tmpl w:val="86806766"/>
    <w:lvl w:ilvl="0">
      <w:start w:val="1"/>
      <w:numFmt w:val="decimal"/>
      <w:lvlText w:val="%1."/>
      <w:lvlJc w:val="left"/>
      <w:pPr>
        <w:ind w:left="720" w:hanging="360"/>
      </w:pPr>
      <w:rPr>
        <w:rFonts w:hint="default"/>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5">
    <w:nsid w:val="0E8A7E0B"/>
    <w:multiLevelType w:val="hybridMultilevel"/>
    <w:tmpl w:val="A20889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B5B3008"/>
    <w:multiLevelType w:val="multilevel"/>
    <w:tmpl w:val="19E25B0C"/>
    <w:lvl w:ilvl="0">
      <w:start w:val="7"/>
      <w:numFmt w:val="decimal"/>
      <w:lvlText w:val="%1."/>
      <w:lvlJc w:val="left"/>
      <w:pPr>
        <w:ind w:left="720" w:hanging="360"/>
      </w:pPr>
      <w:rPr>
        <w:rFonts w:hint="default"/>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7">
    <w:nsid w:val="1B6059A7"/>
    <w:multiLevelType w:val="hybridMultilevel"/>
    <w:tmpl w:val="75C0CA12"/>
    <w:lvl w:ilvl="0" w:tplc="BE88D86E">
      <w:start w:val="1"/>
      <w:numFmt w:val="decimal"/>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nsid w:val="1D1B5D7D"/>
    <w:multiLevelType w:val="hybridMultilevel"/>
    <w:tmpl w:val="EB60610C"/>
    <w:lvl w:ilvl="0" w:tplc="67C8BA00">
      <w:start w:val="9"/>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1D353AA9"/>
    <w:multiLevelType w:val="hybridMultilevel"/>
    <w:tmpl w:val="6FD47538"/>
    <w:lvl w:ilvl="0" w:tplc="220EB648">
      <w:start w:val="1"/>
      <w:numFmt w:val="decimal"/>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nsid w:val="1E2D614E"/>
    <w:multiLevelType w:val="hybridMultilevel"/>
    <w:tmpl w:val="6046C58A"/>
    <w:lvl w:ilvl="0" w:tplc="A970B9C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1F0966BF"/>
    <w:multiLevelType w:val="hybridMultilevel"/>
    <w:tmpl w:val="FCB2EE5E"/>
    <w:lvl w:ilvl="0" w:tplc="25187156">
      <w:start w:val="1"/>
      <w:numFmt w:val="decimal"/>
      <w:lvlText w:val="%1."/>
      <w:lvlJc w:val="left"/>
      <w:pPr>
        <w:tabs>
          <w:tab w:val="num" w:pos="502"/>
        </w:tabs>
        <w:ind w:left="502" w:hanging="360"/>
      </w:pPr>
      <w:rPr>
        <w:rFonts w:ascii="Verdana" w:hAnsi="Verdana" w:hint="default"/>
        <w:b w:val="0"/>
        <w:strike w:val="0"/>
        <w:color w:val="auto"/>
        <w:sz w:val="20"/>
        <w:szCs w:val="20"/>
      </w:rPr>
    </w:lvl>
    <w:lvl w:ilvl="1" w:tplc="000F0409">
      <w:start w:val="1"/>
      <w:numFmt w:val="decimal"/>
      <w:lvlText w:val="%2."/>
      <w:lvlJc w:val="left"/>
      <w:pPr>
        <w:tabs>
          <w:tab w:val="num" w:pos="1440"/>
        </w:tabs>
        <w:ind w:left="1440" w:hanging="360"/>
      </w:pPr>
      <w:rPr>
        <w:b w:val="0"/>
        <w:sz w:val="20"/>
        <w:szCs w:val="2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0DD7CCC"/>
    <w:multiLevelType w:val="hybridMultilevel"/>
    <w:tmpl w:val="CF50CF46"/>
    <w:lvl w:ilvl="0" w:tplc="4874E622">
      <w:start w:val="1"/>
      <w:numFmt w:val="decimal"/>
      <w:lvlText w:val="%1."/>
      <w:lvlJc w:val="left"/>
      <w:pPr>
        <w:ind w:left="360" w:hanging="360"/>
      </w:pPr>
      <w:rPr>
        <w:b w:val="0"/>
        <w:color w:val="auto"/>
      </w:rPr>
    </w:lvl>
    <w:lvl w:ilvl="1" w:tplc="915E67B4">
      <w:start w:val="1"/>
      <w:numFmt w:val="upperLetter"/>
      <w:lvlText w:val="%2."/>
      <w:lvlJc w:val="left"/>
      <w:pPr>
        <w:ind w:left="1545" w:hanging="465"/>
      </w:pPr>
      <w:rPr>
        <w:rFonts w:hint="default"/>
        <w:b/>
      </w:rPr>
    </w:lvl>
    <w:lvl w:ilvl="2" w:tplc="F03A615C">
      <w:start w:val="1"/>
      <w:numFmt w:val="lowerLetter"/>
      <w:lvlText w:val="%3)"/>
      <w:lvlJc w:val="left"/>
      <w:pPr>
        <w:ind w:left="2700" w:hanging="720"/>
      </w:pPr>
      <w:rPr>
        <w:rFonts w:hint="default"/>
      </w:r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23DE320B"/>
    <w:multiLevelType w:val="hybridMultilevel"/>
    <w:tmpl w:val="0AA47B30"/>
    <w:lvl w:ilvl="0" w:tplc="09EAEB2E">
      <w:start w:val="1"/>
      <w:numFmt w:val="decimal"/>
      <w:lvlText w:val="%1."/>
      <w:lvlJc w:val="left"/>
      <w:pPr>
        <w:tabs>
          <w:tab w:val="num" w:pos="1080"/>
        </w:tabs>
        <w:ind w:left="1080" w:hanging="720"/>
      </w:pPr>
      <w:rPr>
        <w:rFonts w:hint="default"/>
      </w:rPr>
    </w:lvl>
    <w:lvl w:ilvl="1" w:tplc="A7785762">
      <w:start w:val="2"/>
      <w:numFmt w:val="lowerLetter"/>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2594555A"/>
    <w:multiLevelType w:val="hybridMultilevel"/>
    <w:tmpl w:val="5D6419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7441AE9"/>
    <w:multiLevelType w:val="hybridMultilevel"/>
    <w:tmpl w:val="8C2CDF9C"/>
    <w:lvl w:ilvl="0" w:tplc="06E83120">
      <w:start w:val="1"/>
      <w:numFmt w:val="decimal"/>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276F0DF8"/>
    <w:multiLevelType w:val="hybridMultilevel"/>
    <w:tmpl w:val="AF1EAD5A"/>
    <w:lvl w:ilvl="0" w:tplc="E66C6E68">
      <w:start w:val="1"/>
      <w:numFmt w:val="decimal"/>
      <w:lvlText w:val="%1."/>
      <w:lvlJc w:val="left"/>
      <w:pPr>
        <w:tabs>
          <w:tab w:val="num" w:pos="810"/>
        </w:tabs>
        <w:ind w:left="81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84A524C"/>
    <w:multiLevelType w:val="hybridMultilevel"/>
    <w:tmpl w:val="5F56C960"/>
    <w:lvl w:ilvl="0" w:tplc="DB028CCA">
      <w:start w:val="1"/>
      <w:numFmt w:val="decimal"/>
      <w:lvlText w:val="%1."/>
      <w:lvlJc w:val="left"/>
      <w:pPr>
        <w:ind w:left="360" w:hanging="360"/>
      </w:pPr>
      <w:rPr>
        <w:rFonts w:hint="default"/>
        <w:color w:val="auto"/>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nsid w:val="2B621CDB"/>
    <w:multiLevelType w:val="hybridMultilevel"/>
    <w:tmpl w:val="8F16D740"/>
    <w:lvl w:ilvl="0" w:tplc="A970B9C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0F8453A"/>
    <w:multiLevelType w:val="hybridMultilevel"/>
    <w:tmpl w:val="96E68860"/>
    <w:lvl w:ilvl="0" w:tplc="5032EBA0">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5036B19"/>
    <w:multiLevelType w:val="hybridMultilevel"/>
    <w:tmpl w:val="7146FA0A"/>
    <w:lvl w:ilvl="0" w:tplc="0409000F">
      <w:start w:val="7"/>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tentative="1">
      <w:start w:val="1"/>
      <w:numFmt w:val="lowerRoman"/>
      <w:lvlText w:val="%3."/>
      <w:lvlJc w:val="right"/>
      <w:pPr>
        <w:tabs>
          <w:tab w:val="num" w:pos="0"/>
        </w:tabs>
        <w:ind w:left="0" w:hanging="180"/>
      </w:pPr>
    </w:lvl>
    <w:lvl w:ilvl="3" w:tplc="000F0409" w:tentative="1">
      <w:start w:val="1"/>
      <w:numFmt w:val="decimal"/>
      <w:lvlText w:val="%4."/>
      <w:lvlJc w:val="left"/>
      <w:pPr>
        <w:tabs>
          <w:tab w:val="num" w:pos="720"/>
        </w:tabs>
        <w:ind w:left="720" w:hanging="360"/>
      </w:pPr>
    </w:lvl>
    <w:lvl w:ilvl="4" w:tplc="00190409" w:tentative="1">
      <w:start w:val="1"/>
      <w:numFmt w:val="lowerLetter"/>
      <w:lvlText w:val="%5."/>
      <w:lvlJc w:val="left"/>
      <w:pPr>
        <w:tabs>
          <w:tab w:val="num" w:pos="1440"/>
        </w:tabs>
        <w:ind w:left="1440" w:hanging="360"/>
      </w:pPr>
    </w:lvl>
    <w:lvl w:ilvl="5" w:tplc="001B0409" w:tentative="1">
      <w:start w:val="1"/>
      <w:numFmt w:val="lowerRoman"/>
      <w:lvlText w:val="%6."/>
      <w:lvlJc w:val="right"/>
      <w:pPr>
        <w:tabs>
          <w:tab w:val="num" w:pos="2160"/>
        </w:tabs>
        <w:ind w:left="2160" w:hanging="180"/>
      </w:pPr>
    </w:lvl>
    <w:lvl w:ilvl="6" w:tplc="000F0409" w:tentative="1">
      <w:start w:val="1"/>
      <w:numFmt w:val="decimal"/>
      <w:lvlText w:val="%7."/>
      <w:lvlJc w:val="left"/>
      <w:pPr>
        <w:tabs>
          <w:tab w:val="num" w:pos="2880"/>
        </w:tabs>
        <w:ind w:left="2880" w:hanging="360"/>
      </w:pPr>
    </w:lvl>
    <w:lvl w:ilvl="7" w:tplc="00190409" w:tentative="1">
      <w:start w:val="1"/>
      <w:numFmt w:val="lowerLetter"/>
      <w:lvlText w:val="%8."/>
      <w:lvlJc w:val="left"/>
      <w:pPr>
        <w:tabs>
          <w:tab w:val="num" w:pos="3600"/>
        </w:tabs>
        <w:ind w:left="3600" w:hanging="360"/>
      </w:pPr>
    </w:lvl>
    <w:lvl w:ilvl="8" w:tplc="001B0409" w:tentative="1">
      <w:start w:val="1"/>
      <w:numFmt w:val="lowerRoman"/>
      <w:lvlText w:val="%9."/>
      <w:lvlJc w:val="right"/>
      <w:pPr>
        <w:tabs>
          <w:tab w:val="num" w:pos="4320"/>
        </w:tabs>
        <w:ind w:left="4320" w:hanging="180"/>
      </w:pPr>
    </w:lvl>
  </w:abstractNum>
  <w:abstractNum w:abstractNumId="22">
    <w:nsid w:val="35AF3168"/>
    <w:multiLevelType w:val="hybridMultilevel"/>
    <w:tmpl w:val="765C2972"/>
    <w:lvl w:ilvl="0" w:tplc="DB9A79C4">
      <w:start w:val="1"/>
      <w:numFmt w:val="decimal"/>
      <w:lvlText w:val="%1."/>
      <w:lvlJc w:val="left"/>
      <w:pPr>
        <w:tabs>
          <w:tab w:val="num" w:pos="360"/>
        </w:tabs>
        <w:ind w:left="360" w:hanging="360"/>
      </w:pPr>
      <w:rPr>
        <w:rFonts w:hint="default"/>
        <w:b w:val="0"/>
        <w:bCs/>
        <w:color w:val="auto"/>
      </w:rPr>
    </w:lvl>
    <w:lvl w:ilvl="1" w:tplc="4A2844E0">
      <w:start w:val="1"/>
      <w:numFmt w:val="decimal"/>
      <w:lvlText w:val="%2."/>
      <w:lvlJc w:val="left"/>
      <w:pPr>
        <w:tabs>
          <w:tab w:val="num" w:pos="1080"/>
        </w:tabs>
        <w:ind w:left="1080" w:hanging="360"/>
      </w:pPr>
      <w:rPr>
        <w:rFonts w:hint="default"/>
        <w:b w:val="0"/>
      </w:rPr>
    </w:lvl>
    <w:lvl w:ilvl="2" w:tplc="560C83D2">
      <w:start w:val="1"/>
      <w:numFmt w:val="lowerLetter"/>
      <w:lvlText w:val="%3)"/>
      <w:lvlJc w:val="left"/>
      <w:pPr>
        <w:tabs>
          <w:tab w:val="num" w:pos="2160"/>
        </w:tabs>
        <w:ind w:left="2160" w:hanging="360"/>
      </w:pPr>
      <w:rPr>
        <w:rFonts w:hint="default"/>
      </w:rPr>
    </w:lvl>
    <w:lvl w:ilvl="3" w:tplc="795E8BC8">
      <w:start w:val="1"/>
      <w:numFmt w:val="lowerLetter"/>
      <w:lvlText w:val="%4)"/>
      <w:lvlJc w:val="left"/>
      <w:pPr>
        <w:ind w:left="2520" w:hanging="360"/>
      </w:pPr>
      <w:rPr>
        <w:rFonts w:hint="default"/>
      </w:rPr>
    </w:lvl>
    <w:lvl w:ilvl="4" w:tplc="7E1C6954">
      <w:start w:val="1"/>
      <w:numFmt w:val="decimal"/>
      <w:lvlText w:val="%5."/>
      <w:lvlJc w:val="left"/>
      <w:pPr>
        <w:ind w:left="3240" w:hanging="360"/>
      </w:pPr>
      <w:rPr>
        <w:rFonts w:hint="default"/>
      </w:r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nsid w:val="369F3C4D"/>
    <w:multiLevelType w:val="hybridMultilevel"/>
    <w:tmpl w:val="50CE5A58"/>
    <w:lvl w:ilvl="0" w:tplc="A970B9C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38362B7A"/>
    <w:multiLevelType w:val="hybridMultilevel"/>
    <w:tmpl w:val="E5A0B75A"/>
    <w:lvl w:ilvl="0" w:tplc="906873EE">
      <w:start w:val="1"/>
      <w:numFmt w:val="lowerLetter"/>
      <w:lvlText w:val="%1)"/>
      <w:lvlJc w:val="left"/>
      <w:pPr>
        <w:ind w:left="1080" w:hanging="360"/>
      </w:pPr>
      <w:rPr>
        <w:rFonts w:hint="default"/>
        <w:i w:val="0"/>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93014FD"/>
    <w:multiLevelType w:val="hybridMultilevel"/>
    <w:tmpl w:val="7B561A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3A4D6DA7"/>
    <w:multiLevelType w:val="hybridMultilevel"/>
    <w:tmpl w:val="C5142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147489"/>
    <w:multiLevelType w:val="hybridMultilevel"/>
    <w:tmpl w:val="0442A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D55DF5"/>
    <w:multiLevelType w:val="hybridMultilevel"/>
    <w:tmpl w:val="939AE6F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493716EA"/>
    <w:multiLevelType w:val="hybridMultilevel"/>
    <w:tmpl w:val="85580884"/>
    <w:lvl w:ilvl="0" w:tplc="163ECF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45653B"/>
    <w:multiLevelType w:val="hybridMultilevel"/>
    <w:tmpl w:val="C1FC9A5E"/>
    <w:lvl w:ilvl="0" w:tplc="0409000F">
      <w:start w:val="1"/>
      <w:numFmt w:val="decimal"/>
      <w:lvlText w:val="%1."/>
      <w:lvlJc w:val="left"/>
      <w:pPr>
        <w:ind w:left="709" w:hanging="360"/>
      </w:p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31">
    <w:nsid w:val="4E4A3B04"/>
    <w:multiLevelType w:val="hybridMultilevel"/>
    <w:tmpl w:val="A12A41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BF6ACA"/>
    <w:multiLevelType w:val="hybridMultilevel"/>
    <w:tmpl w:val="8CC29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793A71"/>
    <w:multiLevelType w:val="multilevel"/>
    <w:tmpl w:val="19E25B0C"/>
    <w:lvl w:ilvl="0">
      <w:start w:val="7"/>
      <w:numFmt w:val="decimal"/>
      <w:lvlText w:val="%1."/>
      <w:lvlJc w:val="left"/>
      <w:pPr>
        <w:ind w:left="720" w:hanging="360"/>
      </w:pPr>
      <w:rPr>
        <w:rFonts w:hint="default"/>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34">
    <w:nsid w:val="55073DF2"/>
    <w:multiLevelType w:val="hybridMultilevel"/>
    <w:tmpl w:val="358A7B5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598638DE"/>
    <w:multiLevelType w:val="hybridMultilevel"/>
    <w:tmpl w:val="6DC6D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100273"/>
    <w:multiLevelType w:val="hybridMultilevel"/>
    <w:tmpl w:val="C826F04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FF3512"/>
    <w:multiLevelType w:val="hybridMultilevel"/>
    <w:tmpl w:val="86A03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910002"/>
    <w:multiLevelType w:val="hybridMultilevel"/>
    <w:tmpl w:val="55E24326"/>
    <w:lvl w:ilvl="0" w:tplc="389E8F1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0DC284E"/>
    <w:multiLevelType w:val="hybridMultilevel"/>
    <w:tmpl w:val="DC1A5A12"/>
    <w:lvl w:ilvl="0" w:tplc="C0806D4C">
      <w:start w:val="1"/>
      <w:numFmt w:val="decimal"/>
      <w:lvlText w:val="%1."/>
      <w:lvlJc w:val="left"/>
      <w:pPr>
        <w:ind w:left="1065" w:hanging="705"/>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074718"/>
    <w:multiLevelType w:val="hybridMultilevel"/>
    <w:tmpl w:val="715AE93C"/>
    <w:lvl w:ilvl="0" w:tplc="451479AA">
      <w:start w:val="1"/>
      <w:numFmt w:val="decimal"/>
      <w:lvlText w:val="%1."/>
      <w:lvlJc w:val="left"/>
      <w:pPr>
        <w:ind w:left="1440" w:hanging="720"/>
      </w:pPr>
      <w:rPr>
        <w:rFonts w:hint="default"/>
      </w:rPr>
    </w:lvl>
    <w:lvl w:ilvl="1" w:tplc="5D32BD22">
      <w:start w:val="1"/>
      <w:numFmt w:val="lowerLetter"/>
      <w:lvlText w:val="%2)"/>
      <w:lvlJc w:val="left"/>
      <w:pPr>
        <w:ind w:left="1800" w:hanging="360"/>
      </w:pPr>
      <w:rPr>
        <w:rFonts w:hint="default"/>
      </w:r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1">
    <w:nsid w:val="6364395E"/>
    <w:multiLevelType w:val="hybridMultilevel"/>
    <w:tmpl w:val="D8942E5C"/>
    <w:lvl w:ilvl="0" w:tplc="B150DA6C">
      <w:start w:val="1"/>
      <w:numFmt w:val="decimal"/>
      <w:lvlText w:val="%1."/>
      <w:lvlJc w:val="left"/>
      <w:pPr>
        <w:ind w:left="360" w:hanging="360"/>
      </w:pPr>
      <w:rPr>
        <w:rFonts w:ascii="Verdana" w:eastAsia="Times" w:hAnsi="Verdana"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1B5E1F"/>
    <w:multiLevelType w:val="hybridMultilevel"/>
    <w:tmpl w:val="EE76DAD2"/>
    <w:lvl w:ilvl="0" w:tplc="04090011">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1C4F77"/>
    <w:multiLevelType w:val="hybridMultilevel"/>
    <w:tmpl w:val="D682C82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1B4663F"/>
    <w:multiLevelType w:val="hybridMultilevel"/>
    <w:tmpl w:val="AD701A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934579"/>
    <w:multiLevelType w:val="hybridMultilevel"/>
    <w:tmpl w:val="9C200C7E"/>
    <w:lvl w:ilvl="0" w:tplc="A8B81BD0">
      <w:start w:val="1"/>
      <w:numFmt w:val="decimal"/>
      <w:lvlText w:val="%1."/>
      <w:lvlJc w:val="left"/>
      <w:pPr>
        <w:ind w:left="4188" w:hanging="360"/>
      </w:pPr>
      <w:rPr>
        <w:b w:val="0"/>
      </w:rPr>
    </w:lvl>
    <w:lvl w:ilvl="1" w:tplc="140A0019">
      <w:start w:val="1"/>
      <w:numFmt w:val="lowerLetter"/>
      <w:lvlText w:val="%2."/>
      <w:lvlJc w:val="left"/>
      <w:pPr>
        <w:ind w:left="4908" w:hanging="360"/>
      </w:pPr>
    </w:lvl>
    <w:lvl w:ilvl="2" w:tplc="42589D88">
      <w:start w:val="1"/>
      <w:numFmt w:val="lowerLetter"/>
      <w:lvlText w:val="%3)"/>
      <w:lvlJc w:val="left"/>
      <w:pPr>
        <w:ind w:left="6168" w:hanging="720"/>
      </w:pPr>
      <w:rPr>
        <w:rFonts w:hint="default"/>
      </w:rPr>
    </w:lvl>
    <w:lvl w:ilvl="3" w:tplc="140A000F" w:tentative="1">
      <w:start w:val="1"/>
      <w:numFmt w:val="decimal"/>
      <w:lvlText w:val="%4."/>
      <w:lvlJc w:val="left"/>
      <w:pPr>
        <w:ind w:left="6348" w:hanging="360"/>
      </w:pPr>
    </w:lvl>
    <w:lvl w:ilvl="4" w:tplc="140A0019" w:tentative="1">
      <w:start w:val="1"/>
      <w:numFmt w:val="lowerLetter"/>
      <w:lvlText w:val="%5."/>
      <w:lvlJc w:val="left"/>
      <w:pPr>
        <w:ind w:left="7068" w:hanging="360"/>
      </w:pPr>
    </w:lvl>
    <w:lvl w:ilvl="5" w:tplc="140A001B" w:tentative="1">
      <w:start w:val="1"/>
      <w:numFmt w:val="lowerRoman"/>
      <w:lvlText w:val="%6."/>
      <w:lvlJc w:val="right"/>
      <w:pPr>
        <w:ind w:left="7788" w:hanging="180"/>
      </w:pPr>
    </w:lvl>
    <w:lvl w:ilvl="6" w:tplc="140A000F" w:tentative="1">
      <w:start w:val="1"/>
      <w:numFmt w:val="decimal"/>
      <w:lvlText w:val="%7."/>
      <w:lvlJc w:val="left"/>
      <w:pPr>
        <w:ind w:left="8508" w:hanging="360"/>
      </w:pPr>
    </w:lvl>
    <w:lvl w:ilvl="7" w:tplc="140A0019" w:tentative="1">
      <w:start w:val="1"/>
      <w:numFmt w:val="lowerLetter"/>
      <w:lvlText w:val="%8."/>
      <w:lvlJc w:val="left"/>
      <w:pPr>
        <w:ind w:left="9228" w:hanging="360"/>
      </w:pPr>
    </w:lvl>
    <w:lvl w:ilvl="8" w:tplc="140A001B" w:tentative="1">
      <w:start w:val="1"/>
      <w:numFmt w:val="lowerRoman"/>
      <w:lvlText w:val="%9."/>
      <w:lvlJc w:val="right"/>
      <w:pPr>
        <w:ind w:left="9948" w:hanging="180"/>
      </w:pPr>
    </w:lvl>
  </w:abstractNum>
  <w:abstractNum w:abstractNumId="46">
    <w:nsid w:val="7983635B"/>
    <w:multiLevelType w:val="hybridMultilevel"/>
    <w:tmpl w:val="1CF8DA9A"/>
    <w:lvl w:ilvl="0" w:tplc="AC1C5414">
      <w:start w:val="1"/>
      <w:numFmt w:val="decimal"/>
      <w:lvlText w:val="%1."/>
      <w:lvlJc w:val="left"/>
      <w:pPr>
        <w:ind w:left="360" w:hanging="360"/>
      </w:pPr>
      <w:rPr>
        <w:rFonts w:ascii="Verdana" w:hAnsi="Verdana" w:hint="default"/>
        <w:b w:val="0"/>
        <w:i w:val="0"/>
        <w:color w:val="auto"/>
        <w:sz w:val="20"/>
        <w:szCs w:val="20"/>
      </w:rPr>
    </w:lvl>
    <w:lvl w:ilvl="1" w:tplc="140A0019" w:tentative="1">
      <w:start w:val="1"/>
      <w:numFmt w:val="lowerLetter"/>
      <w:lvlText w:val="%2."/>
      <w:lvlJc w:val="left"/>
      <w:pPr>
        <w:ind w:left="-7916" w:hanging="360"/>
      </w:pPr>
    </w:lvl>
    <w:lvl w:ilvl="2" w:tplc="140A001B" w:tentative="1">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num w:numId="1">
    <w:abstractNumId w:val="16"/>
  </w:num>
  <w:num w:numId="2">
    <w:abstractNumId w:val="14"/>
  </w:num>
  <w:num w:numId="3">
    <w:abstractNumId w:val="10"/>
  </w:num>
  <w:num w:numId="4">
    <w:abstractNumId w:val="35"/>
  </w:num>
  <w:num w:numId="5">
    <w:abstractNumId w:val="13"/>
  </w:num>
  <w:num w:numId="6">
    <w:abstractNumId w:val="8"/>
  </w:num>
  <w:num w:numId="7">
    <w:abstractNumId w:val="22"/>
  </w:num>
  <w:num w:numId="8">
    <w:abstractNumId w:val="36"/>
  </w:num>
  <w:num w:numId="9">
    <w:abstractNumId w:val="42"/>
  </w:num>
  <w:num w:numId="10">
    <w:abstractNumId w:val="20"/>
  </w:num>
  <w:num w:numId="11">
    <w:abstractNumId w:val="38"/>
  </w:num>
  <w:num w:numId="12">
    <w:abstractNumId w:val="44"/>
  </w:num>
  <w:num w:numId="13">
    <w:abstractNumId w:val="32"/>
  </w:num>
  <w:num w:numId="14">
    <w:abstractNumId w:val="45"/>
  </w:num>
  <w:num w:numId="15">
    <w:abstractNumId w:val="40"/>
  </w:num>
  <w:num w:numId="16">
    <w:abstractNumId w:val="9"/>
  </w:num>
  <w:num w:numId="17">
    <w:abstractNumId w:val="12"/>
  </w:num>
  <w:num w:numId="18">
    <w:abstractNumId w:val="34"/>
  </w:num>
  <w:num w:numId="19">
    <w:abstractNumId w:val="46"/>
  </w:num>
  <w:num w:numId="20">
    <w:abstractNumId w:val="23"/>
  </w:num>
  <w:num w:numId="21">
    <w:abstractNumId w:val="18"/>
  </w:num>
  <w:num w:numId="22">
    <w:abstractNumId w:val="11"/>
  </w:num>
  <w:num w:numId="23">
    <w:abstractNumId w:val="39"/>
  </w:num>
  <w:num w:numId="24">
    <w:abstractNumId w:val="2"/>
  </w:num>
  <w:num w:numId="25">
    <w:abstractNumId w:val="19"/>
  </w:num>
  <w:num w:numId="26">
    <w:abstractNumId w:val="6"/>
  </w:num>
  <w:num w:numId="27">
    <w:abstractNumId w:val="41"/>
  </w:num>
  <w:num w:numId="28">
    <w:abstractNumId w:val="21"/>
  </w:num>
  <w:num w:numId="29">
    <w:abstractNumId w:val="33"/>
  </w:num>
  <w:num w:numId="30">
    <w:abstractNumId w:val="4"/>
  </w:num>
  <w:num w:numId="31">
    <w:abstractNumId w:val="25"/>
  </w:num>
  <w:num w:numId="32">
    <w:abstractNumId w:val="28"/>
  </w:num>
  <w:num w:numId="33">
    <w:abstractNumId w:val="15"/>
  </w:num>
  <w:num w:numId="34">
    <w:abstractNumId w:val="37"/>
  </w:num>
  <w:num w:numId="35">
    <w:abstractNumId w:val="26"/>
  </w:num>
  <w:num w:numId="36">
    <w:abstractNumId w:val="30"/>
  </w:num>
  <w:num w:numId="37">
    <w:abstractNumId w:val="1"/>
  </w:num>
  <w:num w:numId="38">
    <w:abstractNumId w:val="27"/>
  </w:num>
  <w:num w:numId="39">
    <w:abstractNumId w:val="31"/>
  </w:num>
  <w:num w:numId="40">
    <w:abstractNumId w:val="43"/>
  </w:num>
  <w:num w:numId="41">
    <w:abstractNumId w:val="29"/>
  </w:num>
  <w:num w:numId="42">
    <w:abstractNumId w:val="24"/>
  </w:num>
  <w:num w:numId="43">
    <w:abstractNumId w:val="3"/>
  </w:num>
  <w:num w:numId="44">
    <w:abstractNumId w:val="5"/>
  </w:num>
  <w:num w:numId="45">
    <w:abstractNumId w:val="7"/>
  </w:num>
  <w:num w:numId="46">
    <w:abstractNumId w:val="17"/>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40E4"/>
    <w:rsid w:val="000027CF"/>
    <w:rsid w:val="00004113"/>
    <w:rsid w:val="00007307"/>
    <w:rsid w:val="000073EB"/>
    <w:rsid w:val="00007C5B"/>
    <w:rsid w:val="00011166"/>
    <w:rsid w:val="0001217B"/>
    <w:rsid w:val="0001225D"/>
    <w:rsid w:val="00015F8B"/>
    <w:rsid w:val="00020449"/>
    <w:rsid w:val="00020B03"/>
    <w:rsid w:val="0002147D"/>
    <w:rsid w:val="00025420"/>
    <w:rsid w:val="0002603E"/>
    <w:rsid w:val="0002632B"/>
    <w:rsid w:val="00027ADA"/>
    <w:rsid w:val="00030E81"/>
    <w:rsid w:val="000346EF"/>
    <w:rsid w:val="00034A99"/>
    <w:rsid w:val="000351A8"/>
    <w:rsid w:val="00037DC4"/>
    <w:rsid w:val="00040D19"/>
    <w:rsid w:val="00043D21"/>
    <w:rsid w:val="00044325"/>
    <w:rsid w:val="00044D6A"/>
    <w:rsid w:val="00045F15"/>
    <w:rsid w:val="00047422"/>
    <w:rsid w:val="00047C27"/>
    <w:rsid w:val="0005039F"/>
    <w:rsid w:val="000535CE"/>
    <w:rsid w:val="000538F8"/>
    <w:rsid w:val="000539B3"/>
    <w:rsid w:val="00057688"/>
    <w:rsid w:val="00057DA2"/>
    <w:rsid w:val="000603CD"/>
    <w:rsid w:val="00060608"/>
    <w:rsid w:val="00061678"/>
    <w:rsid w:val="00062A89"/>
    <w:rsid w:val="00063918"/>
    <w:rsid w:val="00065A45"/>
    <w:rsid w:val="00065B2F"/>
    <w:rsid w:val="0006663A"/>
    <w:rsid w:val="0006664F"/>
    <w:rsid w:val="00066941"/>
    <w:rsid w:val="0007499A"/>
    <w:rsid w:val="000753E5"/>
    <w:rsid w:val="000811AA"/>
    <w:rsid w:val="0008150F"/>
    <w:rsid w:val="0008208A"/>
    <w:rsid w:val="00083C95"/>
    <w:rsid w:val="0008486E"/>
    <w:rsid w:val="000905EF"/>
    <w:rsid w:val="00092E33"/>
    <w:rsid w:val="0009323A"/>
    <w:rsid w:val="000944FA"/>
    <w:rsid w:val="000948CC"/>
    <w:rsid w:val="00096627"/>
    <w:rsid w:val="00096A15"/>
    <w:rsid w:val="0009778E"/>
    <w:rsid w:val="000A07F1"/>
    <w:rsid w:val="000A1519"/>
    <w:rsid w:val="000A19F4"/>
    <w:rsid w:val="000A1A21"/>
    <w:rsid w:val="000A4B44"/>
    <w:rsid w:val="000B0871"/>
    <w:rsid w:val="000B2C44"/>
    <w:rsid w:val="000B3523"/>
    <w:rsid w:val="000B4FF4"/>
    <w:rsid w:val="000B693F"/>
    <w:rsid w:val="000B6BC3"/>
    <w:rsid w:val="000C05CB"/>
    <w:rsid w:val="000C3EBC"/>
    <w:rsid w:val="000C4602"/>
    <w:rsid w:val="000C5FD1"/>
    <w:rsid w:val="000C66E1"/>
    <w:rsid w:val="000C78F0"/>
    <w:rsid w:val="000D279A"/>
    <w:rsid w:val="000D30AF"/>
    <w:rsid w:val="000D44B5"/>
    <w:rsid w:val="000D4C02"/>
    <w:rsid w:val="000D69BD"/>
    <w:rsid w:val="000D6D1E"/>
    <w:rsid w:val="000D753F"/>
    <w:rsid w:val="000E29C4"/>
    <w:rsid w:val="000F1E4F"/>
    <w:rsid w:val="000F2443"/>
    <w:rsid w:val="000F49F9"/>
    <w:rsid w:val="00100A8B"/>
    <w:rsid w:val="001010E6"/>
    <w:rsid w:val="001026BE"/>
    <w:rsid w:val="001035EF"/>
    <w:rsid w:val="00104984"/>
    <w:rsid w:val="00105490"/>
    <w:rsid w:val="001068F8"/>
    <w:rsid w:val="0010754F"/>
    <w:rsid w:val="00111132"/>
    <w:rsid w:val="001125C0"/>
    <w:rsid w:val="00116C38"/>
    <w:rsid w:val="00117595"/>
    <w:rsid w:val="00123394"/>
    <w:rsid w:val="0012369E"/>
    <w:rsid w:val="00134845"/>
    <w:rsid w:val="001355E0"/>
    <w:rsid w:val="00140E4C"/>
    <w:rsid w:val="00141C6C"/>
    <w:rsid w:val="00145856"/>
    <w:rsid w:val="00145C26"/>
    <w:rsid w:val="00147CA5"/>
    <w:rsid w:val="001508A1"/>
    <w:rsid w:val="00151359"/>
    <w:rsid w:val="0015153D"/>
    <w:rsid w:val="001538E0"/>
    <w:rsid w:val="00155ED5"/>
    <w:rsid w:val="001616A6"/>
    <w:rsid w:val="00163376"/>
    <w:rsid w:val="00163386"/>
    <w:rsid w:val="00164323"/>
    <w:rsid w:val="00165EA2"/>
    <w:rsid w:val="00167CE4"/>
    <w:rsid w:val="00170DA3"/>
    <w:rsid w:val="00172349"/>
    <w:rsid w:val="00173E37"/>
    <w:rsid w:val="0017543A"/>
    <w:rsid w:val="00176818"/>
    <w:rsid w:val="00176BDD"/>
    <w:rsid w:val="001801D7"/>
    <w:rsid w:val="0018102F"/>
    <w:rsid w:val="001828BA"/>
    <w:rsid w:val="00182EA6"/>
    <w:rsid w:val="00185088"/>
    <w:rsid w:val="001857DE"/>
    <w:rsid w:val="00186262"/>
    <w:rsid w:val="00190D85"/>
    <w:rsid w:val="00191C54"/>
    <w:rsid w:val="00192FD7"/>
    <w:rsid w:val="0019550F"/>
    <w:rsid w:val="00195631"/>
    <w:rsid w:val="00196518"/>
    <w:rsid w:val="001974B3"/>
    <w:rsid w:val="00197E10"/>
    <w:rsid w:val="001A069F"/>
    <w:rsid w:val="001A3602"/>
    <w:rsid w:val="001A37F5"/>
    <w:rsid w:val="001A6912"/>
    <w:rsid w:val="001B0CCD"/>
    <w:rsid w:val="001B1104"/>
    <w:rsid w:val="001B3ADA"/>
    <w:rsid w:val="001B4AE4"/>
    <w:rsid w:val="001B7C96"/>
    <w:rsid w:val="001B7CD1"/>
    <w:rsid w:val="001C149F"/>
    <w:rsid w:val="001C2F24"/>
    <w:rsid w:val="001C61C0"/>
    <w:rsid w:val="001C640C"/>
    <w:rsid w:val="001C7C05"/>
    <w:rsid w:val="001D2DDF"/>
    <w:rsid w:val="001D3835"/>
    <w:rsid w:val="001D604A"/>
    <w:rsid w:val="001E7F28"/>
    <w:rsid w:val="001F1428"/>
    <w:rsid w:val="001F613C"/>
    <w:rsid w:val="00200046"/>
    <w:rsid w:val="00200818"/>
    <w:rsid w:val="00201E8E"/>
    <w:rsid w:val="00210AF6"/>
    <w:rsid w:val="002112F4"/>
    <w:rsid w:val="00212AD9"/>
    <w:rsid w:val="00212CA9"/>
    <w:rsid w:val="00214708"/>
    <w:rsid w:val="00214D64"/>
    <w:rsid w:val="00215EB0"/>
    <w:rsid w:val="002160E3"/>
    <w:rsid w:val="00223149"/>
    <w:rsid w:val="0022633E"/>
    <w:rsid w:val="00230E75"/>
    <w:rsid w:val="00231574"/>
    <w:rsid w:val="00231E6D"/>
    <w:rsid w:val="00234CC2"/>
    <w:rsid w:val="00235077"/>
    <w:rsid w:val="00241543"/>
    <w:rsid w:val="00242795"/>
    <w:rsid w:val="00242979"/>
    <w:rsid w:val="0024401F"/>
    <w:rsid w:val="00245624"/>
    <w:rsid w:val="00245BE5"/>
    <w:rsid w:val="00245D5D"/>
    <w:rsid w:val="0024717B"/>
    <w:rsid w:val="00247A28"/>
    <w:rsid w:val="002502CA"/>
    <w:rsid w:val="002512B1"/>
    <w:rsid w:val="0025294E"/>
    <w:rsid w:val="002626EC"/>
    <w:rsid w:val="002646FD"/>
    <w:rsid w:val="00264C17"/>
    <w:rsid w:val="00265313"/>
    <w:rsid w:val="002673E3"/>
    <w:rsid w:val="00271A7B"/>
    <w:rsid w:val="0027251D"/>
    <w:rsid w:val="00276193"/>
    <w:rsid w:val="0028027F"/>
    <w:rsid w:val="00280DDF"/>
    <w:rsid w:val="00281129"/>
    <w:rsid w:val="00287B74"/>
    <w:rsid w:val="00290A67"/>
    <w:rsid w:val="00290F1D"/>
    <w:rsid w:val="0029412E"/>
    <w:rsid w:val="002979BB"/>
    <w:rsid w:val="002A05B5"/>
    <w:rsid w:val="002A11EC"/>
    <w:rsid w:val="002A344D"/>
    <w:rsid w:val="002A3EA0"/>
    <w:rsid w:val="002B5F63"/>
    <w:rsid w:val="002C10DE"/>
    <w:rsid w:val="002C2A4B"/>
    <w:rsid w:val="002C2F9E"/>
    <w:rsid w:val="002C4C91"/>
    <w:rsid w:val="002C6328"/>
    <w:rsid w:val="002C7DA9"/>
    <w:rsid w:val="002D0D4D"/>
    <w:rsid w:val="002D1E51"/>
    <w:rsid w:val="002D2220"/>
    <w:rsid w:val="002D2EDE"/>
    <w:rsid w:val="002D3E22"/>
    <w:rsid w:val="002D5A76"/>
    <w:rsid w:val="002D5AA6"/>
    <w:rsid w:val="002D6132"/>
    <w:rsid w:val="002D78A3"/>
    <w:rsid w:val="002D7FC2"/>
    <w:rsid w:val="002E057B"/>
    <w:rsid w:val="002E272B"/>
    <w:rsid w:val="002E2F03"/>
    <w:rsid w:val="002E31AD"/>
    <w:rsid w:val="002E31F2"/>
    <w:rsid w:val="002E69D1"/>
    <w:rsid w:val="002E759A"/>
    <w:rsid w:val="002E7642"/>
    <w:rsid w:val="002F1399"/>
    <w:rsid w:val="002F25EE"/>
    <w:rsid w:val="002F35B9"/>
    <w:rsid w:val="002F4129"/>
    <w:rsid w:val="002F5BFE"/>
    <w:rsid w:val="002F64D0"/>
    <w:rsid w:val="0030135D"/>
    <w:rsid w:val="00302709"/>
    <w:rsid w:val="00302AF2"/>
    <w:rsid w:val="00307CAA"/>
    <w:rsid w:val="00314A43"/>
    <w:rsid w:val="003151ED"/>
    <w:rsid w:val="003227AD"/>
    <w:rsid w:val="003230F3"/>
    <w:rsid w:val="0032311A"/>
    <w:rsid w:val="00326515"/>
    <w:rsid w:val="00327A5C"/>
    <w:rsid w:val="00332C56"/>
    <w:rsid w:val="00333505"/>
    <w:rsid w:val="003353A1"/>
    <w:rsid w:val="00340A20"/>
    <w:rsid w:val="003413C2"/>
    <w:rsid w:val="003415DC"/>
    <w:rsid w:val="00342392"/>
    <w:rsid w:val="003458BE"/>
    <w:rsid w:val="0034611E"/>
    <w:rsid w:val="00353E18"/>
    <w:rsid w:val="00354557"/>
    <w:rsid w:val="00357174"/>
    <w:rsid w:val="0035791B"/>
    <w:rsid w:val="0036358B"/>
    <w:rsid w:val="00364FA3"/>
    <w:rsid w:val="00365660"/>
    <w:rsid w:val="0036591E"/>
    <w:rsid w:val="003703E6"/>
    <w:rsid w:val="00370942"/>
    <w:rsid w:val="003729BE"/>
    <w:rsid w:val="00374B7C"/>
    <w:rsid w:val="00376375"/>
    <w:rsid w:val="0037703E"/>
    <w:rsid w:val="00392130"/>
    <w:rsid w:val="00394EEA"/>
    <w:rsid w:val="003950C4"/>
    <w:rsid w:val="003A66A0"/>
    <w:rsid w:val="003B07B7"/>
    <w:rsid w:val="003B2804"/>
    <w:rsid w:val="003B2F99"/>
    <w:rsid w:val="003B3026"/>
    <w:rsid w:val="003B3827"/>
    <w:rsid w:val="003C01F5"/>
    <w:rsid w:val="003C0F3B"/>
    <w:rsid w:val="003C1C1E"/>
    <w:rsid w:val="003C3A8B"/>
    <w:rsid w:val="003C5CCB"/>
    <w:rsid w:val="003C5EDF"/>
    <w:rsid w:val="003D0205"/>
    <w:rsid w:val="003D0914"/>
    <w:rsid w:val="003D4DA0"/>
    <w:rsid w:val="003D6393"/>
    <w:rsid w:val="003D6658"/>
    <w:rsid w:val="003D6AB7"/>
    <w:rsid w:val="003E05F9"/>
    <w:rsid w:val="003E0A5F"/>
    <w:rsid w:val="003E237F"/>
    <w:rsid w:val="003E2BB4"/>
    <w:rsid w:val="003E44E5"/>
    <w:rsid w:val="003F4BAE"/>
    <w:rsid w:val="003F52F2"/>
    <w:rsid w:val="003F5DF6"/>
    <w:rsid w:val="003F5ED5"/>
    <w:rsid w:val="003F6CA0"/>
    <w:rsid w:val="004018F2"/>
    <w:rsid w:val="00402E6E"/>
    <w:rsid w:val="00411C1A"/>
    <w:rsid w:val="00411DDC"/>
    <w:rsid w:val="00413D99"/>
    <w:rsid w:val="00416003"/>
    <w:rsid w:val="0041641F"/>
    <w:rsid w:val="00416CEF"/>
    <w:rsid w:val="00416F22"/>
    <w:rsid w:val="004205D7"/>
    <w:rsid w:val="004236DD"/>
    <w:rsid w:val="004237E2"/>
    <w:rsid w:val="004247B4"/>
    <w:rsid w:val="0042726F"/>
    <w:rsid w:val="004304A9"/>
    <w:rsid w:val="00432715"/>
    <w:rsid w:val="0043326D"/>
    <w:rsid w:val="0043549F"/>
    <w:rsid w:val="004401B2"/>
    <w:rsid w:val="00441652"/>
    <w:rsid w:val="004421D9"/>
    <w:rsid w:val="00442519"/>
    <w:rsid w:val="00443812"/>
    <w:rsid w:val="00444CA8"/>
    <w:rsid w:val="00445386"/>
    <w:rsid w:val="00445E1D"/>
    <w:rsid w:val="00450537"/>
    <w:rsid w:val="00450C11"/>
    <w:rsid w:val="00451930"/>
    <w:rsid w:val="004547AE"/>
    <w:rsid w:val="004555A4"/>
    <w:rsid w:val="00463F3C"/>
    <w:rsid w:val="0046559B"/>
    <w:rsid w:val="00466E18"/>
    <w:rsid w:val="00467933"/>
    <w:rsid w:val="00470BBA"/>
    <w:rsid w:val="004741A4"/>
    <w:rsid w:val="00474DCC"/>
    <w:rsid w:val="00476997"/>
    <w:rsid w:val="00477D9A"/>
    <w:rsid w:val="00477DC2"/>
    <w:rsid w:val="0048000A"/>
    <w:rsid w:val="00480DC4"/>
    <w:rsid w:val="00482041"/>
    <w:rsid w:val="004862C1"/>
    <w:rsid w:val="00486FE4"/>
    <w:rsid w:val="00487132"/>
    <w:rsid w:val="004871A3"/>
    <w:rsid w:val="004901A8"/>
    <w:rsid w:val="004904B5"/>
    <w:rsid w:val="00491877"/>
    <w:rsid w:val="00491E7B"/>
    <w:rsid w:val="0049261F"/>
    <w:rsid w:val="00492C18"/>
    <w:rsid w:val="00493C06"/>
    <w:rsid w:val="00493D56"/>
    <w:rsid w:val="004946A2"/>
    <w:rsid w:val="00495E27"/>
    <w:rsid w:val="00495F66"/>
    <w:rsid w:val="0049744F"/>
    <w:rsid w:val="004A2FCD"/>
    <w:rsid w:val="004A365E"/>
    <w:rsid w:val="004A3E14"/>
    <w:rsid w:val="004A4838"/>
    <w:rsid w:val="004A6328"/>
    <w:rsid w:val="004A7261"/>
    <w:rsid w:val="004A787D"/>
    <w:rsid w:val="004B1673"/>
    <w:rsid w:val="004B30F4"/>
    <w:rsid w:val="004B39C2"/>
    <w:rsid w:val="004B4C20"/>
    <w:rsid w:val="004B7546"/>
    <w:rsid w:val="004B75DD"/>
    <w:rsid w:val="004C0337"/>
    <w:rsid w:val="004C04A5"/>
    <w:rsid w:val="004C0B50"/>
    <w:rsid w:val="004C35FC"/>
    <w:rsid w:val="004C61BF"/>
    <w:rsid w:val="004D0DF7"/>
    <w:rsid w:val="004D221C"/>
    <w:rsid w:val="004D3568"/>
    <w:rsid w:val="004D39C6"/>
    <w:rsid w:val="004D3DA9"/>
    <w:rsid w:val="004D5295"/>
    <w:rsid w:val="004E0736"/>
    <w:rsid w:val="004E0C54"/>
    <w:rsid w:val="004E332E"/>
    <w:rsid w:val="004E4B59"/>
    <w:rsid w:val="004E4BAB"/>
    <w:rsid w:val="004E54F1"/>
    <w:rsid w:val="004F0585"/>
    <w:rsid w:val="004F07DB"/>
    <w:rsid w:val="004F09FB"/>
    <w:rsid w:val="004F2E6A"/>
    <w:rsid w:val="004F37DB"/>
    <w:rsid w:val="004F5ACB"/>
    <w:rsid w:val="0050111D"/>
    <w:rsid w:val="00501A7F"/>
    <w:rsid w:val="00504990"/>
    <w:rsid w:val="00506834"/>
    <w:rsid w:val="00506DB5"/>
    <w:rsid w:val="0051409C"/>
    <w:rsid w:val="00514534"/>
    <w:rsid w:val="00520286"/>
    <w:rsid w:val="005225C7"/>
    <w:rsid w:val="00523962"/>
    <w:rsid w:val="00525572"/>
    <w:rsid w:val="00527BE7"/>
    <w:rsid w:val="00530ED4"/>
    <w:rsid w:val="005310EB"/>
    <w:rsid w:val="00532948"/>
    <w:rsid w:val="0053342D"/>
    <w:rsid w:val="0053347C"/>
    <w:rsid w:val="00533F20"/>
    <w:rsid w:val="005349E0"/>
    <w:rsid w:val="00536B50"/>
    <w:rsid w:val="00537E94"/>
    <w:rsid w:val="00544E91"/>
    <w:rsid w:val="00546668"/>
    <w:rsid w:val="00546C97"/>
    <w:rsid w:val="0054707A"/>
    <w:rsid w:val="00551C6B"/>
    <w:rsid w:val="0055349E"/>
    <w:rsid w:val="005551B1"/>
    <w:rsid w:val="00557AD7"/>
    <w:rsid w:val="00564FFF"/>
    <w:rsid w:val="00566AE5"/>
    <w:rsid w:val="00571000"/>
    <w:rsid w:val="00572581"/>
    <w:rsid w:val="00573E86"/>
    <w:rsid w:val="0057446F"/>
    <w:rsid w:val="00575B65"/>
    <w:rsid w:val="0057606B"/>
    <w:rsid w:val="00577C08"/>
    <w:rsid w:val="00582409"/>
    <w:rsid w:val="00584A92"/>
    <w:rsid w:val="00587012"/>
    <w:rsid w:val="0059332F"/>
    <w:rsid w:val="00595078"/>
    <w:rsid w:val="0059523E"/>
    <w:rsid w:val="005A0F43"/>
    <w:rsid w:val="005A26E4"/>
    <w:rsid w:val="005B0BCA"/>
    <w:rsid w:val="005B0D20"/>
    <w:rsid w:val="005B1929"/>
    <w:rsid w:val="005B4FC1"/>
    <w:rsid w:val="005C0B43"/>
    <w:rsid w:val="005C1460"/>
    <w:rsid w:val="005C25B6"/>
    <w:rsid w:val="005C3B86"/>
    <w:rsid w:val="005C3C85"/>
    <w:rsid w:val="005C44B6"/>
    <w:rsid w:val="005C4BB4"/>
    <w:rsid w:val="005C4BE8"/>
    <w:rsid w:val="005C5E21"/>
    <w:rsid w:val="005C6C2E"/>
    <w:rsid w:val="005D101E"/>
    <w:rsid w:val="005D1CF3"/>
    <w:rsid w:val="005D3001"/>
    <w:rsid w:val="005D5648"/>
    <w:rsid w:val="005D7E8C"/>
    <w:rsid w:val="005E28FA"/>
    <w:rsid w:val="005E4324"/>
    <w:rsid w:val="005E7562"/>
    <w:rsid w:val="005F0BD5"/>
    <w:rsid w:val="005F1EA3"/>
    <w:rsid w:val="005F42C6"/>
    <w:rsid w:val="005F4A6C"/>
    <w:rsid w:val="0060176B"/>
    <w:rsid w:val="00602DA0"/>
    <w:rsid w:val="00603FA6"/>
    <w:rsid w:val="00604844"/>
    <w:rsid w:val="00605815"/>
    <w:rsid w:val="00605B78"/>
    <w:rsid w:val="00607FF5"/>
    <w:rsid w:val="00612080"/>
    <w:rsid w:val="00612E27"/>
    <w:rsid w:val="00614C5F"/>
    <w:rsid w:val="006163C1"/>
    <w:rsid w:val="0062003C"/>
    <w:rsid w:val="00623488"/>
    <w:rsid w:val="006241B8"/>
    <w:rsid w:val="00624499"/>
    <w:rsid w:val="006248C0"/>
    <w:rsid w:val="00626AB3"/>
    <w:rsid w:val="00626E58"/>
    <w:rsid w:val="00627A90"/>
    <w:rsid w:val="00630BAA"/>
    <w:rsid w:val="006334DA"/>
    <w:rsid w:val="0063512B"/>
    <w:rsid w:val="00635646"/>
    <w:rsid w:val="00637C80"/>
    <w:rsid w:val="00641397"/>
    <w:rsid w:val="00644BE1"/>
    <w:rsid w:val="0065011E"/>
    <w:rsid w:val="00651A14"/>
    <w:rsid w:val="006566D8"/>
    <w:rsid w:val="00660C58"/>
    <w:rsid w:val="00663F77"/>
    <w:rsid w:val="0067170F"/>
    <w:rsid w:val="00671FB6"/>
    <w:rsid w:val="00672285"/>
    <w:rsid w:val="00673FAC"/>
    <w:rsid w:val="0067455C"/>
    <w:rsid w:val="00674A93"/>
    <w:rsid w:val="0067555F"/>
    <w:rsid w:val="006762E2"/>
    <w:rsid w:val="00676FF6"/>
    <w:rsid w:val="006812C7"/>
    <w:rsid w:val="0068216F"/>
    <w:rsid w:val="00683E4F"/>
    <w:rsid w:val="00684790"/>
    <w:rsid w:val="006911A6"/>
    <w:rsid w:val="00694ED2"/>
    <w:rsid w:val="00695DAB"/>
    <w:rsid w:val="00697AC2"/>
    <w:rsid w:val="006A4331"/>
    <w:rsid w:val="006A5EE9"/>
    <w:rsid w:val="006A6119"/>
    <w:rsid w:val="006A61CE"/>
    <w:rsid w:val="006A6371"/>
    <w:rsid w:val="006A6C83"/>
    <w:rsid w:val="006B0216"/>
    <w:rsid w:val="006B6A72"/>
    <w:rsid w:val="006B6B71"/>
    <w:rsid w:val="006B6DD3"/>
    <w:rsid w:val="006C18A8"/>
    <w:rsid w:val="006C24B2"/>
    <w:rsid w:val="006C2FBB"/>
    <w:rsid w:val="006C316F"/>
    <w:rsid w:val="006C35F8"/>
    <w:rsid w:val="006C3EE8"/>
    <w:rsid w:val="006C4212"/>
    <w:rsid w:val="006C436E"/>
    <w:rsid w:val="006C63C3"/>
    <w:rsid w:val="006D0BBB"/>
    <w:rsid w:val="006D20F8"/>
    <w:rsid w:val="006D6420"/>
    <w:rsid w:val="006E0601"/>
    <w:rsid w:val="006E38CA"/>
    <w:rsid w:val="006E406D"/>
    <w:rsid w:val="006E7FB8"/>
    <w:rsid w:val="006F0E3C"/>
    <w:rsid w:val="006F2DC2"/>
    <w:rsid w:val="006F3643"/>
    <w:rsid w:val="006F746C"/>
    <w:rsid w:val="00701170"/>
    <w:rsid w:val="00704A97"/>
    <w:rsid w:val="00704B76"/>
    <w:rsid w:val="00706F5D"/>
    <w:rsid w:val="007077D3"/>
    <w:rsid w:val="00713076"/>
    <w:rsid w:val="00713B22"/>
    <w:rsid w:val="007206A9"/>
    <w:rsid w:val="007275C8"/>
    <w:rsid w:val="00730A07"/>
    <w:rsid w:val="00733FDA"/>
    <w:rsid w:val="0073665C"/>
    <w:rsid w:val="007372FB"/>
    <w:rsid w:val="00744699"/>
    <w:rsid w:val="007515B8"/>
    <w:rsid w:val="00753218"/>
    <w:rsid w:val="00753253"/>
    <w:rsid w:val="00756009"/>
    <w:rsid w:val="0075604D"/>
    <w:rsid w:val="007634C9"/>
    <w:rsid w:val="00763E9A"/>
    <w:rsid w:val="0076437A"/>
    <w:rsid w:val="00766E6D"/>
    <w:rsid w:val="00772131"/>
    <w:rsid w:val="00772288"/>
    <w:rsid w:val="00776D30"/>
    <w:rsid w:val="007808BA"/>
    <w:rsid w:val="0078327E"/>
    <w:rsid w:val="00783687"/>
    <w:rsid w:val="0078389D"/>
    <w:rsid w:val="007976D9"/>
    <w:rsid w:val="007A0B7E"/>
    <w:rsid w:val="007A11A0"/>
    <w:rsid w:val="007A2A57"/>
    <w:rsid w:val="007A2E2C"/>
    <w:rsid w:val="007A5BEB"/>
    <w:rsid w:val="007A68C8"/>
    <w:rsid w:val="007A6EF1"/>
    <w:rsid w:val="007A7792"/>
    <w:rsid w:val="007B0B3B"/>
    <w:rsid w:val="007B1784"/>
    <w:rsid w:val="007B5757"/>
    <w:rsid w:val="007B6335"/>
    <w:rsid w:val="007B712D"/>
    <w:rsid w:val="007B71DD"/>
    <w:rsid w:val="007C34BC"/>
    <w:rsid w:val="007C4C25"/>
    <w:rsid w:val="007C6F56"/>
    <w:rsid w:val="007D20E3"/>
    <w:rsid w:val="007D312E"/>
    <w:rsid w:val="007D3B32"/>
    <w:rsid w:val="007D4592"/>
    <w:rsid w:val="007D495D"/>
    <w:rsid w:val="007D4C6C"/>
    <w:rsid w:val="007D7206"/>
    <w:rsid w:val="007D75F8"/>
    <w:rsid w:val="007E14AA"/>
    <w:rsid w:val="007E1931"/>
    <w:rsid w:val="007F3E1A"/>
    <w:rsid w:val="007F4D7A"/>
    <w:rsid w:val="007F5AF0"/>
    <w:rsid w:val="007F6CE3"/>
    <w:rsid w:val="00800647"/>
    <w:rsid w:val="00802470"/>
    <w:rsid w:val="0080413A"/>
    <w:rsid w:val="00815E06"/>
    <w:rsid w:val="00820DD8"/>
    <w:rsid w:val="008215E8"/>
    <w:rsid w:val="00822F98"/>
    <w:rsid w:val="008242E0"/>
    <w:rsid w:val="008252C2"/>
    <w:rsid w:val="008266C8"/>
    <w:rsid w:val="00827A00"/>
    <w:rsid w:val="00827D5B"/>
    <w:rsid w:val="00827F28"/>
    <w:rsid w:val="008302DA"/>
    <w:rsid w:val="00832E5B"/>
    <w:rsid w:val="00833D24"/>
    <w:rsid w:val="00834810"/>
    <w:rsid w:val="00837440"/>
    <w:rsid w:val="00842E07"/>
    <w:rsid w:val="00845D34"/>
    <w:rsid w:val="008476EF"/>
    <w:rsid w:val="0085101A"/>
    <w:rsid w:val="00851EFF"/>
    <w:rsid w:val="008528DC"/>
    <w:rsid w:val="00852DFC"/>
    <w:rsid w:val="008549FD"/>
    <w:rsid w:val="008562F6"/>
    <w:rsid w:val="0085676A"/>
    <w:rsid w:val="00860025"/>
    <w:rsid w:val="0086197E"/>
    <w:rsid w:val="00863CB5"/>
    <w:rsid w:val="00864047"/>
    <w:rsid w:val="00864198"/>
    <w:rsid w:val="0086630E"/>
    <w:rsid w:val="008702B0"/>
    <w:rsid w:val="00870FF6"/>
    <w:rsid w:val="0087121F"/>
    <w:rsid w:val="0087260A"/>
    <w:rsid w:val="008739CF"/>
    <w:rsid w:val="008740E4"/>
    <w:rsid w:val="00876F37"/>
    <w:rsid w:val="0088085A"/>
    <w:rsid w:val="008820CF"/>
    <w:rsid w:val="0088435E"/>
    <w:rsid w:val="00884738"/>
    <w:rsid w:val="008859BA"/>
    <w:rsid w:val="008869E4"/>
    <w:rsid w:val="00887554"/>
    <w:rsid w:val="0088776B"/>
    <w:rsid w:val="008935A9"/>
    <w:rsid w:val="00893DA7"/>
    <w:rsid w:val="00894C7D"/>
    <w:rsid w:val="008962B8"/>
    <w:rsid w:val="00897B1D"/>
    <w:rsid w:val="008A02EA"/>
    <w:rsid w:val="008A2F9D"/>
    <w:rsid w:val="008A7A27"/>
    <w:rsid w:val="008B1D6F"/>
    <w:rsid w:val="008B3593"/>
    <w:rsid w:val="008B3870"/>
    <w:rsid w:val="008B399B"/>
    <w:rsid w:val="008B426D"/>
    <w:rsid w:val="008B514C"/>
    <w:rsid w:val="008B6BEB"/>
    <w:rsid w:val="008C3413"/>
    <w:rsid w:val="008C4C96"/>
    <w:rsid w:val="008D0EBB"/>
    <w:rsid w:val="008D1F9D"/>
    <w:rsid w:val="008D28F5"/>
    <w:rsid w:val="008D41B9"/>
    <w:rsid w:val="008D4B65"/>
    <w:rsid w:val="008D4CDC"/>
    <w:rsid w:val="008D68E7"/>
    <w:rsid w:val="008E1649"/>
    <w:rsid w:val="008E32DE"/>
    <w:rsid w:val="008E3E3F"/>
    <w:rsid w:val="008E473C"/>
    <w:rsid w:val="008E5BA7"/>
    <w:rsid w:val="008E6410"/>
    <w:rsid w:val="008E6F4F"/>
    <w:rsid w:val="008F0626"/>
    <w:rsid w:val="008F0CED"/>
    <w:rsid w:val="008F1B38"/>
    <w:rsid w:val="008F1EE0"/>
    <w:rsid w:val="008F4B6E"/>
    <w:rsid w:val="008F5C67"/>
    <w:rsid w:val="008F5D4F"/>
    <w:rsid w:val="008F6C9E"/>
    <w:rsid w:val="008F7198"/>
    <w:rsid w:val="0090019F"/>
    <w:rsid w:val="0090198B"/>
    <w:rsid w:val="0090366C"/>
    <w:rsid w:val="00903DD8"/>
    <w:rsid w:val="00910797"/>
    <w:rsid w:val="009109A7"/>
    <w:rsid w:val="009126B2"/>
    <w:rsid w:val="009175AA"/>
    <w:rsid w:val="00917986"/>
    <w:rsid w:val="00917E47"/>
    <w:rsid w:val="00920EDD"/>
    <w:rsid w:val="00924488"/>
    <w:rsid w:val="00924707"/>
    <w:rsid w:val="00932548"/>
    <w:rsid w:val="0093305F"/>
    <w:rsid w:val="009333FF"/>
    <w:rsid w:val="00933925"/>
    <w:rsid w:val="00934967"/>
    <w:rsid w:val="0093526A"/>
    <w:rsid w:val="00935B0E"/>
    <w:rsid w:val="0094443A"/>
    <w:rsid w:val="00945CF1"/>
    <w:rsid w:val="009462C4"/>
    <w:rsid w:val="00951C4E"/>
    <w:rsid w:val="00956049"/>
    <w:rsid w:val="00956C85"/>
    <w:rsid w:val="00963133"/>
    <w:rsid w:val="009635D6"/>
    <w:rsid w:val="0096569D"/>
    <w:rsid w:val="0096729F"/>
    <w:rsid w:val="00970F8E"/>
    <w:rsid w:val="009721F0"/>
    <w:rsid w:val="00972319"/>
    <w:rsid w:val="00975310"/>
    <w:rsid w:val="00975DED"/>
    <w:rsid w:val="0099396F"/>
    <w:rsid w:val="009946D7"/>
    <w:rsid w:val="00995576"/>
    <w:rsid w:val="00996384"/>
    <w:rsid w:val="009972EC"/>
    <w:rsid w:val="009A0D4F"/>
    <w:rsid w:val="009A21A2"/>
    <w:rsid w:val="009A3F62"/>
    <w:rsid w:val="009A6A73"/>
    <w:rsid w:val="009A7BF3"/>
    <w:rsid w:val="009B1CF7"/>
    <w:rsid w:val="009B2FAB"/>
    <w:rsid w:val="009B3D89"/>
    <w:rsid w:val="009B4333"/>
    <w:rsid w:val="009B6950"/>
    <w:rsid w:val="009C4D55"/>
    <w:rsid w:val="009C56CF"/>
    <w:rsid w:val="009C6CF3"/>
    <w:rsid w:val="009D50BA"/>
    <w:rsid w:val="009D7B8C"/>
    <w:rsid w:val="009E04F0"/>
    <w:rsid w:val="009E3295"/>
    <w:rsid w:val="009E3A56"/>
    <w:rsid w:val="009E484D"/>
    <w:rsid w:val="009F0250"/>
    <w:rsid w:val="009F30EF"/>
    <w:rsid w:val="009F518C"/>
    <w:rsid w:val="009F65FD"/>
    <w:rsid w:val="009F6A73"/>
    <w:rsid w:val="009F76C6"/>
    <w:rsid w:val="009F7B7E"/>
    <w:rsid w:val="00A00670"/>
    <w:rsid w:val="00A01448"/>
    <w:rsid w:val="00A020A3"/>
    <w:rsid w:val="00A02609"/>
    <w:rsid w:val="00A05157"/>
    <w:rsid w:val="00A07561"/>
    <w:rsid w:val="00A10F5D"/>
    <w:rsid w:val="00A16D37"/>
    <w:rsid w:val="00A178E5"/>
    <w:rsid w:val="00A24B33"/>
    <w:rsid w:val="00A2611B"/>
    <w:rsid w:val="00A3074B"/>
    <w:rsid w:val="00A35A01"/>
    <w:rsid w:val="00A37A79"/>
    <w:rsid w:val="00A4047D"/>
    <w:rsid w:val="00A4173D"/>
    <w:rsid w:val="00A42719"/>
    <w:rsid w:val="00A439B8"/>
    <w:rsid w:val="00A44B10"/>
    <w:rsid w:val="00A47EF0"/>
    <w:rsid w:val="00A51654"/>
    <w:rsid w:val="00A51D0A"/>
    <w:rsid w:val="00A545F2"/>
    <w:rsid w:val="00A5539D"/>
    <w:rsid w:val="00A55D35"/>
    <w:rsid w:val="00A56E55"/>
    <w:rsid w:val="00A57475"/>
    <w:rsid w:val="00A61CDD"/>
    <w:rsid w:val="00A641FE"/>
    <w:rsid w:val="00A65236"/>
    <w:rsid w:val="00A67621"/>
    <w:rsid w:val="00A67F74"/>
    <w:rsid w:val="00A710BD"/>
    <w:rsid w:val="00A75683"/>
    <w:rsid w:val="00A75C03"/>
    <w:rsid w:val="00A76DEA"/>
    <w:rsid w:val="00A77197"/>
    <w:rsid w:val="00A814A1"/>
    <w:rsid w:val="00A8314E"/>
    <w:rsid w:val="00A84CFA"/>
    <w:rsid w:val="00A85AB6"/>
    <w:rsid w:val="00A86407"/>
    <w:rsid w:val="00A911E2"/>
    <w:rsid w:val="00A9165C"/>
    <w:rsid w:val="00A91903"/>
    <w:rsid w:val="00A93867"/>
    <w:rsid w:val="00A969A5"/>
    <w:rsid w:val="00A96B83"/>
    <w:rsid w:val="00A97066"/>
    <w:rsid w:val="00AA04E4"/>
    <w:rsid w:val="00AA0507"/>
    <w:rsid w:val="00AA06D7"/>
    <w:rsid w:val="00AA2740"/>
    <w:rsid w:val="00AA2A31"/>
    <w:rsid w:val="00AA3F73"/>
    <w:rsid w:val="00AA57BF"/>
    <w:rsid w:val="00AB0658"/>
    <w:rsid w:val="00AB0AD8"/>
    <w:rsid w:val="00AB50DD"/>
    <w:rsid w:val="00AB5C41"/>
    <w:rsid w:val="00AB5FA6"/>
    <w:rsid w:val="00AB6CF2"/>
    <w:rsid w:val="00AC5ABE"/>
    <w:rsid w:val="00AC7FE3"/>
    <w:rsid w:val="00AD10A1"/>
    <w:rsid w:val="00AD2FF0"/>
    <w:rsid w:val="00AD4DF9"/>
    <w:rsid w:val="00AD4EAB"/>
    <w:rsid w:val="00AD6DA8"/>
    <w:rsid w:val="00AD7286"/>
    <w:rsid w:val="00AE1971"/>
    <w:rsid w:val="00AE2393"/>
    <w:rsid w:val="00AE7512"/>
    <w:rsid w:val="00AF1C14"/>
    <w:rsid w:val="00AF2A9D"/>
    <w:rsid w:val="00AF350D"/>
    <w:rsid w:val="00AF3F16"/>
    <w:rsid w:val="00AF6CC8"/>
    <w:rsid w:val="00AF7B69"/>
    <w:rsid w:val="00B000C3"/>
    <w:rsid w:val="00B00AEE"/>
    <w:rsid w:val="00B02FD4"/>
    <w:rsid w:val="00B040F1"/>
    <w:rsid w:val="00B04AD5"/>
    <w:rsid w:val="00B05088"/>
    <w:rsid w:val="00B05228"/>
    <w:rsid w:val="00B0532F"/>
    <w:rsid w:val="00B05A25"/>
    <w:rsid w:val="00B05ACF"/>
    <w:rsid w:val="00B06A01"/>
    <w:rsid w:val="00B07ED6"/>
    <w:rsid w:val="00B12AA9"/>
    <w:rsid w:val="00B14301"/>
    <w:rsid w:val="00B178F5"/>
    <w:rsid w:val="00B17F52"/>
    <w:rsid w:val="00B22A65"/>
    <w:rsid w:val="00B26708"/>
    <w:rsid w:val="00B27A2B"/>
    <w:rsid w:val="00B27BA7"/>
    <w:rsid w:val="00B27C8A"/>
    <w:rsid w:val="00B3412F"/>
    <w:rsid w:val="00B43E96"/>
    <w:rsid w:val="00B4730A"/>
    <w:rsid w:val="00B5061D"/>
    <w:rsid w:val="00B5072C"/>
    <w:rsid w:val="00B50CBE"/>
    <w:rsid w:val="00B52435"/>
    <w:rsid w:val="00B524A5"/>
    <w:rsid w:val="00B57B62"/>
    <w:rsid w:val="00B600F5"/>
    <w:rsid w:val="00B60D1E"/>
    <w:rsid w:val="00B61B21"/>
    <w:rsid w:val="00B61D04"/>
    <w:rsid w:val="00B6205E"/>
    <w:rsid w:val="00B62AAD"/>
    <w:rsid w:val="00B64FE7"/>
    <w:rsid w:val="00B6569A"/>
    <w:rsid w:val="00B66A6A"/>
    <w:rsid w:val="00B674A7"/>
    <w:rsid w:val="00B674EB"/>
    <w:rsid w:val="00B723E7"/>
    <w:rsid w:val="00B72DA6"/>
    <w:rsid w:val="00B7646F"/>
    <w:rsid w:val="00B767C8"/>
    <w:rsid w:val="00B84E67"/>
    <w:rsid w:val="00B9587B"/>
    <w:rsid w:val="00BA0C22"/>
    <w:rsid w:val="00BA22E6"/>
    <w:rsid w:val="00BA4402"/>
    <w:rsid w:val="00BA50C2"/>
    <w:rsid w:val="00BB01DC"/>
    <w:rsid w:val="00BB06F7"/>
    <w:rsid w:val="00BB12AD"/>
    <w:rsid w:val="00BB4BE8"/>
    <w:rsid w:val="00BB4F63"/>
    <w:rsid w:val="00BB503B"/>
    <w:rsid w:val="00BB5992"/>
    <w:rsid w:val="00BB7798"/>
    <w:rsid w:val="00BC2421"/>
    <w:rsid w:val="00BC70D8"/>
    <w:rsid w:val="00BC71B0"/>
    <w:rsid w:val="00BD3D09"/>
    <w:rsid w:val="00BD5DBF"/>
    <w:rsid w:val="00BD665E"/>
    <w:rsid w:val="00BE221D"/>
    <w:rsid w:val="00BE237F"/>
    <w:rsid w:val="00BE290D"/>
    <w:rsid w:val="00BF13DE"/>
    <w:rsid w:val="00BF178D"/>
    <w:rsid w:val="00BF17C4"/>
    <w:rsid w:val="00BF2E93"/>
    <w:rsid w:val="00BF3B07"/>
    <w:rsid w:val="00BF4FF4"/>
    <w:rsid w:val="00BF797F"/>
    <w:rsid w:val="00BF7A7F"/>
    <w:rsid w:val="00BF7D37"/>
    <w:rsid w:val="00C00496"/>
    <w:rsid w:val="00C03535"/>
    <w:rsid w:val="00C04667"/>
    <w:rsid w:val="00C04EA3"/>
    <w:rsid w:val="00C063EA"/>
    <w:rsid w:val="00C068A4"/>
    <w:rsid w:val="00C104BF"/>
    <w:rsid w:val="00C105FE"/>
    <w:rsid w:val="00C155B4"/>
    <w:rsid w:val="00C16A85"/>
    <w:rsid w:val="00C206D8"/>
    <w:rsid w:val="00C270DD"/>
    <w:rsid w:val="00C27BDE"/>
    <w:rsid w:val="00C30120"/>
    <w:rsid w:val="00C331B2"/>
    <w:rsid w:val="00C35256"/>
    <w:rsid w:val="00C35A7F"/>
    <w:rsid w:val="00C378FE"/>
    <w:rsid w:val="00C3794F"/>
    <w:rsid w:val="00C40CD8"/>
    <w:rsid w:val="00C475A4"/>
    <w:rsid w:val="00C50B36"/>
    <w:rsid w:val="00C54BFE"/>
    <w:rsid w:val="00C550F9"/>
    <w:rsid w:val="00C551CA"/>
    <w:rsid w:val="00C6031A"/>
    <w:rsid w:val="00C60378"/>
    <w:rsid w:val="00C61EAA"/>
    <w:rsid w:val="00C62497"/>
    <w:rsid w:val="00C67007"/>
    <w:rsid w:val="00C671BA"/>
    <w:rsid w:val="00C6790F"/>
    <w:rsid w:val="00C67ADD"/>
    <w:rsid w:val="00C74EB0"/>
    <w:rsid w:val="00C77031"/>
    <w:rsid w:val="00C91C04"/>
    <w:rsid w:val="00C92B35"/>
    <w:rsid w:val="00C96928"/>
    <w:rsid w:val="00C97ECF"/>
    <w:rsid w:val="00CA0240"/>
    <w:rsid w:val="00CA2297"/>
    <w:rsid w:val="00CA6229"/>
    <w:rsid w:val="00CB05F0"/>
    <w:rsid w:val="00CB1DC8"/>
    <w:rsid w:val="00CB2C5F"/>
    <w:rsid w:val="00CB54E2"/>
    <w:rsid w:val="00CB7354"/>
    <w:rsid w:val="00CB79E3"/>
    <w:rsid w:val="00CC1B36"/>
    <w:rsid w:val="00CC20D2"/>
    <w:rsid w:val="00CC2677"/>
    <w:rsid w:val="00CC5771"/>
    <w:rsid w:val="00CC68A1"/>
    <w:rsid w:val="00CD11D2"/>
    <w:rsid w:val="00CD1E4F"/>
    <w:rsid w:val="00CD2508"/>
    <w:rsid w:val="00CD43EF"/>
    <w:rsid w:val="00CD571E"/>
    <w:rsid w:val="00CD5C1A"/>
    <w:rsid w:val="00CD6703"/>
    <w:rsid w:val="00CE1054"/>
    <w:rsid w:val="00CE1688"/>
    <w:rsid w:val="00CE1855"/>
    <w:rsid w:val="00CE3687"/>
    <w:rsid w:val="00CF0AF8"/>
    <w:rsid w:val="00CF268F"/>
    <w:rsid w:val="00CF3772"/>
    <w:rsid w:val="00CF5508"/>
    <w:rsid w:val="00CF75AD"/>
    <w:rsid w:val="00D04457"/>
    <w:rsid w:val="00D05FEA"/>
    <w:rsid w:val="00D06491"/>
    <w:rsid w:val="00D12119"/>
    <w:rsid w:val="00D12329"/>
    <w:rsid w:val="00D16216"/>
    <w:rsid w:val="00D16747"/>
    <w:rsid w:val="00D21DD3"/>
    <w:rsid w:val="00D2298A"/>
    <w:rsid w:val="00D22EB4"/>
    <w:rsid w:val="00D2531E"/>
    <w:rsid w:val="00D30218"/>
    <w:rsid w:val="00D35444"/>
    <w:rsid w:val="00D41BDA"/>
    <w:rsid w:val="00D428DC"/>
    <w:rsid w:val="00D43C58"/>
    <w:rsid w:val="00D44EE7"/>
    <w:rsid w:val="00D4508B"/>
    <w:rsid w:val="00D46944"/>
    <w:rsid w:val="00D479E9"/>
    <w:rsid w:val="00D51DF9"/>
    <w:rsid w:val="00D538DA"/>
    <w:rsid w:val="00D5451B"/>
    <w:rsid w:val="00D5568C"/>
    <w:rsid w:val="00D57436"/>
    <w:rsid w:val="00D60267"/>
    <w:rsid w:val="00D603BA"/>
    <w:rsid w:val="00D60954"/>
    <w:rsid w:val="00D62F53"/>
    <w:rsid w:val="00D636C1"/>
    <w:rsid w:val="00D65762"/>
    <w:rsid w:val="00D65781"/>
    <w:rsid w:val="00D71439"/>
    <w:rsid w:val="00D71FAA"/>
    <w:rsid w:val="00D7670F"/>
    <w:rsid w:val="00D76730"/>
    <w:rsid w:val="00D774F6"/>
    <w:rsid w:val="00D77A66"/>
    <w:rsid w:val="00D80147"/>
    <w:rsid w:val="00D8245C"/>
    <w:rsid w:val="00D82F50"/>
    <w:rsid w:val="00D836B6"/>
    <w:rsid w:val="00D879C8"/>
    <w:rsid w:val="00D91363"/>
    <w:rsid w:val="00D93517"/>
    <w:rsid w:val="00D93DFA"/>
    <w:rsid w:val="00D940FA"/>
    <w:rsid w:val="00D95384"/>
    <w:rsid w:val="00D9790C"/>
    <w:rsid w:val="00DA2323"/>
    <w:rsid w:val="00DA291C"/>
    <w:rsid w:val="00DA5528"/>
    <w:rsid w:val="00DA647A"/>
    <w:rsid w:val="00DA7F66"/>
    <w:rsid w:val="00DB0534"/>
    <w:rsid w:val="00DB120A"/>
    <w:rsid w:val="00DB719C"/>
    <w:rsid w:val="00DB72ED"/>
    <w:rsid w:val="00DC0C5A"/>
    <w:rsid w:val="00DC12CB"/>
    <w:rsid w:val="00DC1FBE"/>
    <w:rsid w:val="00DC2DB8"/>
    <w:rsid w:val="00DC4052"/>
    <w:rsid w:val="00DC4E3F"/>
    <w:rsid w:val="00DC707C"/>
    <w:rsid w:val="00DC744E"/>
    <w:rsid w:val="00DC7619"/>
    <w:rsid w:val="00DD1AAC"/>
    <w:rsid w:val="00DD1F9D"/>
    <w:rsid w:val="00DD3A2D"/>
    <w:rsid w:val="00DD3D2E"/>
    <w:rsid w:val="00DD5342"/>
    <w:rsid w:val="00DD7116"/>
    <w:rsid w:val="00DE1C36"/>
    <w:rsid w:val="00DE45C7"/>
    <w:rsid w:val="00DE4F73"/>
    <w:rsid w:val="00DF01EA"/>
    <w:rsid w:val="00DF61B1"/>
    <w:rsid w:val="00DF7980"/>
    <w:rsid w:val="00E03E70"/>
    <w:rsid w:val="00E0409A"/>
    <w:rsid w:val="00E043F9"/>
    <w:rsid w:val="00E06D4B"/>
    <w:rsid w:val="00E10ABB"/>
    <w:rsid w:val="00E12E98"/>
    <w:rsid w:val="00E153E1"/>
    <w:rsid w:val="00E15549"/>
    <w:rsid w:val="00E16B77"/>
    <w:rsid w:val="00E17916"/>
    <w:rsid w:val="00E20619"/>
    <w:rsid w:val="00E2150F"/>
    <w:rsid w:val="00E21C2A"/>
    <w:rsid w:val="00E2395C"/>
    <w:rsid w:val="00E242B2"/>
    <w:rsid w:val="00E26A03"/>
    <w:rsid w:val="00E27828"/>
    <w:rsid w:val="00E30967"/>
    <w:rsid w:val="00E31F0A"/>
    <w:rsid w:val="00E31FA6"/>
    <w:rsid w:val="00E352C0"/>
    <w:rsid w:val="00E371A9"/>
    <w:rsid w:val="00E40006"/>
    <w:rsid w:val="00E43691"/>
    <w:rsid w:val="00E443B9"/>
    <w:rsid w:val="00E44C8B"/>
    <w:rsid w:val="00E470A9"/>
    <w:rsid w:val="00E509F9"/>
    <w:rsid w:val="00E54D05"/>
    <w:rsid w:val="00E57600"/>
    <w:rsid w:val="00E5776F"/>
    <w:rsid w:val="00E60931"/>
    <w:rsid w:val="00E64199"/>
    <w:rsid w:val="00E64F82"/>
    <w:rsid w:val="00E67985"/>
    <w:rsid w:val="00E707EC"/>
    <w:rsid w:val="00E70D25"/>
    <w:rsid w:val="00E71160"/>
    <w:rsid w:val="00E719FB"/>
    <w:rsid w:val="00E71F34"/>
    <w:rsid w:val="00E72CE3"/>
    <w:rsid w:val="00E74807"/>
    <w:rsid w:val="00E74E8A"/>
    <w:rsid w:val="00E75B6D"/>
    <w:rsid w:val="00E7782A"/>
    <w:rsid w:val="00E80FC9"/>
    <w:rsid w:val="00E8225E"/>
    <w:rsid w:val="00E87633"/>
    <w:rsid w:val="00E87DA5"/>
    <w:rsid w:val="00E91C02"/>
    <w:rsid w:val="00E91FE2"/>
    <w:rsid w:val="00E92F02"/>
    <w:rsid w:val="00E96BC7"/>
    <w:rsid w:val="00E96C1B"/>
    <w:rsid w:val="00EA2728"/>
    <w:rsid w:val="00EA6956"/>
    <w:rsid w:val="00EB2842"/>
    <w:rsid w:val="00EB2BD3"/>
    <w:rsid w:val="00EB4A21"/>
    <w:rsid w:val="00EB4E41"/>
    <w:rsid w:val="00EB7F26"/>
    <w:rsid w:val="00EC0B87"/>
    <w:rsid w:val="00EC1B1E"/>
    <w:rsid w:val="00EC1FC4"/>
    <w:rsid w:val="00EC2345"/>
    <w:rsid w:val="00EC4C00"/>
    <w:rsid w:val="00EC5BDA"/>
    <w:rsid w:val="00EC5F7A"/>
    <w:rsid w:val="00EC670A"/>
    <w:rsid w:val="00EC7512"/>
    <w:rsid w:val="00EC7A9E"/>
    <w:rsid w:val="00ED09AA"/>
    <w:rsid w:val="00ED1B1C"/>
    <w:rsid w:val="00ED1C9F"/>
    <w:rsid w:val="00ED304E"/>
    <w:rsid w:val="00ED5664"/>
    <w:rsid w:val="00ED6ED0"/>
    <w:rsid w:val="00ED7534"/>
    <w:rsid w:val="00EE055F"/>
    <w:rsid w:val="00EE24B3"/>
    <w:rsid w:val="00EE42B7"/>
    <w:rsid w:val="00EE4E67"/>
    <w:rsid w:val="00EE60D4"/>
    <w:rsid w:val="00EE72DA"/>
    <w:rsid w:val="00EF083E"/>
    <w:rsid w:val="00EF2B07"/>
    <w:rsid w:val="00EF2E6C"/>
    <w:rsid w:val="00EF6BF3"/>
    <w:rsid w:val="00F0167E"/>
    <w:rsid w:val="00F0194F"/>
    <w:rsid w:val="00F01AB5"/>
    <w:rsid w:val="00F02016"/>
    <w:rsid w:val="00F02A51"/>
    <w:rsid w:val="00F05A8F"/>
    <w:rsid w:val="00F07A65"/>
    <w:rsid w:val="00F175BF"/>
    <w:rsid w:val="00F176CF"/>
    <w:rsid w:val="00F20285"/>
    <w:rsid w:val="00F20D0B"/>
    <w:rsid w:val="00F21F7C"/>
    <w:rsid w:val="00F24788"/>
    <w:rsid w:val="00F25104"/>
    <w:rsid w:val="00F25D6A"/>
    <w:rsid w:val="00F266FC"/>
    <w:rsid w:val="00F32E43"/>
    <w:rsid w:val="00F34FCF"/>
    <w:rsid w:val="00F35777"/>
    <w:rsid w:val="00F35D2A"/>
    <w:rsid w:val="00F375A8"/>
    <w:rsid w:val="00F37EE8"/>
    <w:rsid w:val="00F401F6"/>
    <w:rsid w:val="00F41985"/>
    <w:rsid w:val="00F52BED"/>
    <w:rsid w:val="00F55A33"/>
    <w:rsid w:val="00F55E0D"/>
    <w:rsid w:val="00F6038D"/>
    <w:rsid w:val="00F60FB1"/>
    <w:rsid w:val="00F61429"/>
    <w:rsid w:val="00F61459"/>
    <w:rsid w:val="00F63241"/>
    <w:rsid w:val="00F6445F"/>
    <w:rsid w:val="00F64501"/>
    <w:rsid w:val="00F6527B"/>
    <w:rsid w:val="00F653D2"/>
    <w:rsid w:val="00F6790E"/>
    <w:rsid w:val="00F70115"/>
    <w:rsid w:val="00F713FF"/>
    <w:rsid w:val="00F74A2A"/>
    <w:rsid w:val="00F754C4"/>
    <w:rsid w:val="00F77785"/>
    <w:rsid w:val="00F801DC"/>
    <w:rsid w:val="00F8320A"/>
    <w:rsid w:val="00F8323A"/>
    <w:rsid w:val="00F90B9E"/>
    <w:rsid w:val="00FA119D"/>
    <w:rsid w:val="00FA19DF"/>
    <w:rsid w:val="00FA288B"/>
    <w:rsid w:val="00FA3102"/>
    <w:rsid w:val="00FA3BED"/>
    <w:rsid w:val="00FA49DC"/>
    <w:rsid w:val="00FA63DC"/>
    <w:rsid w:val="00FA6FDD"/>
    <w:rsid w:val="00FB3DEE"/>
    <w:rsid w:val="00FB5582"/>
    <w:rsid w:val="00FB5CB1"/>
    <w:rsid w:val="00FB707C"/>
    <w:rsid w:val="00FC1D56"/>
    <w:rsid w:val="00FC2FDA"/>
    <w:rsid w:val="00FC45D3"/>
    <w:rsid w:val="00FC5570"/>
    <w:rsid w:val="00FC5778"/>
    <w:rsid w:val="00FD2556"/>
    <w:rsid w:val="00FD2658"/>
    <w:rsid w:val="00FD5791"/>
    <w:rsid w:val="00FD6D8C"/>
    <w:rsid w:val="00FD7180"/>
    <w:rsid w:val="00FD7869"/>
    <w:rsid w:val="00FE0B25"/>
    <w:rsid w:val="00FE18D7"/>
    <w:rsid w:val="00FE28B7"/>
    <w:rsid w:val="00FE2BCC"/>
    <w:rsid w:val="00FE32B0"/>
    <w:rsid w:val="00FE399B"/>
    <w:rsid w:val="00FE5FE2"/>
    <w:rsid w:val="00FF0AE1"/>
    <w:rsid w:val="00FF1506"/>
    <w:rsid w:val="00FF3536"/>
    <w:rsid w:val="00FF56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0E4"/>
    <w:rPr>
      <w:rFonts w:ascii="Garamond" w:eastAsia="Times" w:hAnsi="Garamond"/>
      <w:sz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8740E4"/>
    <w:rPr>
      <w:rFonts w:ascii="Times" w:hAnsi="Times"/>
      <w:lang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8740E4"/>
    <w:rPr>
      <w:rFonts w:ascii="Times" w:eastAsia="Times" w:hAnsi="Times" w:cs="Times New Roman"/>
      <w:sz w:val="24"/>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8740E4"/>
    <w:rPr>
      <w:vertAlign w:val="superscript"/>
    </w:rPr>
  </w:style>
  <w:style w:type="paragraph" w:styleId="Textoindependiente">
    <w:name w:val="Body Text"/>
    <w:basedOn w:val="Normal"/>
    <w:link w:val="TextoindependienteCar"/>
    <w:rsid w:val="008740E4"/>
    <w:pPr>
      <w:ind w:right="764"/>
      <w:jc w:val="both"/>
    </w:pPr>
    <w:rPr>
      <w:lang w:eastAsia="x-none"/>
    </w:rPr>
  </w:style>
  <w:style w:type="character" w:customStyle="1" w:styleId="TextoindependienteCar">
    <w:name w:val="Texto independiente Car"/>
    <w:link w:val="Textoindependiente"/>
    <w:rsid w:val="008740E4"/>
    <w:rPr>
      <w:rFonts w:ascii="Garamond" w:eastAsia="Times" w:hAnsi="Garamond" w:cs="Times New Roman"/>
      <w:sz w:val="24"/>
      <w:szCs w:val="20"/>
      <w:lang w:val="es-ES_tradnl"/>
    </w:rPr>
  </w:style>
  <w:style w:type="paragraph" w:styleId="Piedepgina">
    <w:name w:val="footer"/>
    <w:basedOn w:val="Normal"/>
    <w:link w:val="PiedepginaCar"/>
    <w:uiPriority w:val="99"/>
    <w:rsid w:val="008740E4"/>
    <w:pPr>
      <w:tabs>
        <w:tab w:val="center" w:pos="4320"/>
        <w:tab w:val="right" w:pos="8640"/>
      </w:tabs>
    </w:pPr>
    <w:rPr>
      <w:lang w:eastAsia="x-none"/>
    </w:rPr>
  </w:style>
  <w:style w:type="character" w:customStyle="1" w:styleId="PiedepginaCar">
    <w:name w:val="Pie de página Car"/>
    <w:link w:val="Piedepgina"/>
    <w:uiPriority w:val="99"/>
    <w:rsid w:val="008740E4"/>
    <w:rPr>
      <w:rFonts w:ascii="Garamond" w:eastAsia="Times" w:hAnsi="Garamond" w:cs="Times New Roman"/>
      <w:sz w:val="24"/>
      <w:szCs w:val="20"/>
      <w:lang w:val="es-ES_tradnl"/>
    </w:rPr>
  </w:style>
  <w:style w:type="character" w:styleId="Nmerodepgina">
    <w:name w:val="page number"/>
    <w:basedOn w:val="Fuentedeprrafopredeter"/>
    <w:rsid w:val="008740E4"/>
  </w:style>
  <w:style w:type="paragraph" w:styleId="Encabezado">
    <w:name w:val="header"/>
    <w:basedOn w:val="Normal"/>
    <w:link w:val="EncabezadoCar"/>
    <w:uiPriority w:val="99"/>
    <w:rsid w:val="008740E4"/>
    <w:pPr>
      <w:tabs>
        <w:tab w:val="center" w:pos="4320"/>
        <w:tab w:val="right" w:pos="8640"/>
      </w:tabs>
    </w:pPr>
    <w:rPr>
      <w:lang w:eastAsia="x-none"/>
    </w:rPr>
  </w:style>
  <w:style w:type="character" w:customStyle="1" w:styleId="EncabezadoCar">
    <w:name w:val="Encabezado Car"/>
    <w:link w:val="Encabezado"/>
    <w:uiPriority w:val="99"/>
    <w:rsid w:val="008740E4"/>
    <w:rPr>
      <w:rFonts w:ascii="Garamond" w:eastAsia="Times" w:hAnsi="Garamond" w:cs="Times New Roman"/>
      <w:sz w:val="24"/>
      <w:szCs w:val="20"/>
      <w:lang w:val="es-ES_tradnl"/>
    </w:rPr>
  </w:style>
  <w:style w:type="character" w:customStyle="1" w:styleId="apple-style-span">
    <w:name w:val="apple-style-span"/>
    <w:basedOn w:val="Fuentedeprrafopredeter"/>
    <w:rsid w:val="008740E4"/>
  </w:style>
  <w:style w:type="paragraph" w:styleId="Sombreadovistoso-nfasis3">
    <w:name w:val="Colorful Shading Accent 3"/>
    <w:aliases w:val="Footnote,Párrafo de lista1"/>
    <w:basedOn w:val="Normal"/>
    <w:link w:val="Sombreadovistoso-nfasis3Car"/>
    <w:uiPriority w:val="34"/>
    <w:qFormat/>
    <w:rsid w:val="008740E4"/>
    <w:pPr>
      <w:ind w:left="720"/>
      <w:contextualSpacing/>
    </w:pPr>
  </w:style>
  <w:style w:type="paragraph" w:customStyle="1" w:styleId="Textoindependiente1">
    <w:name w:val="Texto independiente1"/>
    <w:basedOn w:val="Normal"/>
    <w:rsid w:val="008740E4"/>
    <w:pPr>
      <w:widowControl w:val="0"/>
      <w:jc w:val="both"/>
    </w:pPr>
    <w:rPr>
      <w:rFonts w:ascii="New York" w:eastAsia="Times New Roman" w:hAnsi="New York"/>
    </w:rPr>
  </w:style>
  <w:style w:type="paragraph" w:styleId="Textodeglobo">
    <w:name w:val="Balloon Text"/>
    <w:basedOn w:val="Normal"/>
    <w:link w:val="TextodegloboCar"/>
    <w:uiPriority w:val="99"/>
    <w:semiHidden/>
    <w:unhideWhenUsed/>
    <w:rsid w:val="008740E4"/>
    <w:rPr>
      <w:rFonts w:ascii="Tahoma" w:hAnsi="Tahoma"/>
      <w:sz w:val="16"/>
      <w:szCs w:val="16"/>
      <w:lang w:eastAsia="x-none"/>
    </w:rPr>
  </w:style>
  <w:style w:type="character" w:customStyle="1" w:styleId="TextodegloboCar">
    <w:name w:val="Texto de globo Car"/>
    <w:link w:val="Textodeglobo"/>
    <w:uiPriority w:val="99"/>
    <w:semiHidden/>
    <w:rsid w:val="008740E4"/>
    <w:rPr>
      <w:rFonts w:ascii="Tahoma" w:eastAsia="Times" w:hAnsi="Tahoma" w:cs="Tahoma"/>
      <w:sz w:val="16"/>
      <w:szCs w:val="16"/>
      <w:lang w:val="es-ES_tradnl"/>
    </w:rPr>
  </w:style>
  <w:style w:type="paragraph" w:styleId="Textoindependiente2">
    <w:name w:val="Body Text 2"/>
    <w:basedOn w:val="Normal"/>
    <w:link w:val="Textoindependiente2Car"/>
    <w:uiPriority w:val="99"/>
    <w:semiHidden/>
    <w:unhideWhenUsed/>
    <w:rsid w:val="00D77A66"/>
    <w:pPr>
      <w:spacing w:after="120" w:line="480" w:lineRule="auto"/>
    </w:pPr>
    <w:rPr>
      <w:lang w:eastAsia="x-none"/>
    </w:rPr>
  </w:style>
  <w:style w:type="character" w:customStyle="1" w:styleId="Textoindependiente2Car">
    <w:name w:val="Texto independiente 2 Car"/>
    <w:link w:val="Textoindependiente2"/>
    <w:uiPriority w:val="99"/>
    <w:semiHidden/>
    <w:rsid w:val="00D77A66"/>
    <w:rPr>
      <w:rFonts w:ascii="Garamond" w:eastAsia="Times" w:hAnsi="Garamond" w:cs="Times New Roman"/>
      <w:sz w:val="24"/>
      <w:szCs w:val="20"/>
      <w:lang w:val="es-ES_tradnl"/>
    </w:rPr>
  </w:style>
  <w:style w:type="character" w:styleId="Refdecomentario">
    <w:name w:val="annotation reference"/>
    <w:uiPriority w:val="99"/>
    <w:semiHidden/>
    <w:unhideWhenUsed/>
    <w:rsid w:val="00354557"/>
    <w:rPr>
      <w:sz w:val="16"/>
      <w:szCs w:val="16"/>
    </w:rPr>
  </w:style>
  <w:style w:type="paragraph" w:styleId="Textocomentario">
    <w:name w:val="annotation text"/>
    <w:basedOn w:val="Normal"/>
    <w:link w:val="TextocomentarioCar"/>
    <w:uiPriority w:val="99"/>
    <w:semiHidden/>
    <w:unhideWhenUsed/>
    <w:rsid w:val="00354557"/>
    <w:rPr>
      <w:sz w:val="20"/>
      <w:lang w:eastAsia="x-none"/>
    </w:rPr>
  </w:style>
  <w:style w:type="character" w:customStyle="1" w:styleId="TextocomentarioCar">
    <w:name w:val="Texto comentario Car"/>
    <w:link w:val="Textocomentario"/>
    <w:uiPriority w:val="99"/>
    <w:semiHidden/>
    <w:rsid w:val="00354557"/>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54557"/>
    <w:rPr>
      <w:b/>
      <w:bCs/>
    </w:rPr>
  </w:style>
  <w:style w:type="character" w:customStyle="1" w:styleId="AsuntodelcomentarioCar">
    <w:name w:val="Asunto del comentario Car"/>
    <w:link w:val="Asuntodelcomentario"/>
    <w:uiPriority w:val="99"/>
    <w:semiHidden/>
    <w:rsid w:val="00354557"/>
    <w:rPr>
      <w:rFonts w:ascii="Garamond" w:eastAsia="Times" w:hAnsi="Garamond" w:cs="Times New Roman"/>
      <w:b/>
      <w:bCs/>
      <w:sz w:val="20"/>
      <w:szCs w:val="20"/>
      <w:lang w:val="es-ES_tradnl"/>
    </w:rPr>
  </w:style>
  <w:style w:type="character" w:styleId="Hipervnculo">
    <w:name w:val="Hyperlink"/>
    <w:uiPriority w:val="99"/>
    <w:unhideWhenUsed/>
    <w:rsid w:val="005349E0"/>
    <w:rPr>
      <w:color w:val="0000FF"/>
      <w:u w:val="single"/>
    </w:rPr>
  </w:style>
  <w:style w:type="character" w:customStyle="1" w:styleId="apple-converted-space">
    <w:name w:val="apple-converted-space"/>
    <w:basedOn w:val="Fuentedeprrafopredeter"/>
    <w:rsid w:val="0096729F"/>
  </w:style>
  <w:style w:type="character" w:styleId="nfasis">
    <w:name w:val="Emphasis"/>
    <w:uiPriority w:val="20"/>
    <w:qFormat/>
    <w:rsid w:val="003458BE"/>
    <w:rPr>
      <w:i/>
      <w:iCs/>
    </w:rPr>
  </w:style>
  <w:style w:type="character" w:styleId="Nmerodelnea">
    <w:name w:val="line number"/>
    <w:basedOn w:val="Fuentedeprrafopredeter"/>
    <w:uiPriority w:val="99"/>
    <w:semiHidden/>
    <w:unhideWhenUsed/>
    <w:rsid w:val="002E7642"/>
  </w:style>
  <w:style w:type="character" w:customStyle="1" w:styleId="Sombreadovistoso-nfasis3Car">
    <w:name w:val="Sombreado vistoso - Énfasis 3 Car"/>
    <w:aliases w:val="Footnote Car,Párrafo de lista1 Car"/>
    <w:link w:val="Sombreadovistoso-nfasis3"/>
    <w:uiPriority w:val="34"/>
    <w:rsid w:val="00E57600"/>
    <w:rPr>
      <w:rFonts w:ascii="Garamond" w:eastAsia="Times" w:hAnsi="Garamond"/>
      <w:sz w:val="24"/>
      <w:lang w:val="es-ES_tradnl" w:eastAsia="en-US"/>
    </w:rPr>
  </w:style>
  <w:style w:type="table" w:styleId="Tablaconcuadrcula">
    <w:name w:val="Table Grid"/>
    <w:basedOn w:val="Tablanormal"/>
    <w:uiPriority w:val="59"/>
    <w:rsid w:val="004C0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44B6"/>
    <w:pPr>
      <w:spacing w:before="100" w:beforeAutospacing="1" w:after="100" w:afterAutospacing="1"/>
    </w:pPr>
    <w:rPr>
      <w:rFonts w:ascii="Times New Roman" w:eastAsia="Times New Roman" w:hAnsi="Times New Roman"/>
      <w:szCs w:val="24"/>
      <w:lang w:val="es-CR" w:eastAsia="es-CR"/>
    </w:rPr>
  </w:style>
  <w:style w:type="paragraph" w:customStyle="1" w:styleId="Sangradetindependiente">
    <w:name w:val="SangrÌa de t. independiente"/>
    <w:basedOn w:val="Normal"/>
    <w:rsid w:val="00AF2A9D"/>
    <w:pPr>
      <w:ind w:right="12"/>
      <w:jc w:val="both"/>
    </w:pPr>
    <w:rPr>
      <w:rFonts w:eastAsia="Times New Roman"/>
      <w:sz w:val="20"/>
      <w:lang w:eastAsia="es-ES"/>
    </w:rPr>
  </w:style>
  <w:style w:type="character" w:styleId="Textoennegrita">
    <w:name w:val="Strong"/>
    <w:uiPriority w:val="22"/>
    <w:qFormat/>
    <w:rsid w:val="00C54BFE"/>
    <w:rPr>
      <w:b/>
      <w:bCs/>
    </w:rPr>
  </w:style>
  <w:style w:type="character" w:customStyle="1" w:styleId="s6b621b36">
    <w:name w:val="s6b621b36"/>
    <w:basedOn w:val="Fuentedeprrafopredeter"/>
    <w:rsid w:val="00C54BFE"/>
  </w:style>
  <w:style w:type="paragraph" w:styleId="Listaoscura-nfasis3">
    <w:name w:val="Dark List Accent 3"/>
    <w:hidden/>
    <w:uiPriority w:val="99"/>
    <w:semiHidden/>
    <w:rsid w:val="0006663A"/>
    <w:rPr>
      <w:rFonts w:ascii="Garamond" w:eastAsia="Times" w:hAnsi="Garamond"/>
      <w:sz w:val="24"/>
      <w:lang w:val="es-ES_tradnl" w:eastAsia="en-US"/>
    </w:rPr>
  </w:style>
  <w:style w:type="paragraph" w:styleId="Sangradetextonormal">
    <w:name w:val="Body Text Indent"/>
    <w:basedOn w:val="Normal"/>
    <w:link w:val="SangradetextonormalCar"/>
    <w:uiPriority w:val="99"/>
    <w:unhideWhenUsed/>
    <w:rsid w:val="00FC2FDA"/>
    <w:pPr>
      <w:spacing w:after="120"/>
      <w:ind w:left="360"/>
    </w:pPr>
    <w:rPr>
      <w:lang w:eastAsia="x-none"/>
    </w:rPr>
  </w:style>
  <w:style w:type="character" w:customStyle="1" w:styleId="SangradetextonormalCar">
    <w:name w:val="Sangría de texto normal Car"/>
    <w:link w:val="Sangradetextonormal"/>
    <w:uiPriority w:val="99"/>
    <w:rsid w:val="00FC2FDA"/>
    <w:rPr>
      <w:rFonts w:ascii="Garamond" w:eastAsia="Times" w:hAnsi="Garamond"/>
      <w:sz w:val="24"/>
      <w:lang w:val="es-ES_tradnl"/>
    </w:rPr>
  </w:style>
  <w:style w:type="paragraph" w:styleId="Cuadrculaclara-nfasis3">
    <w:name w:val="Light Grid Accent 3"/>
    <w:basedOn w:val="Normal"/>
    <w:link w:val="Cuadrculaclara-nfasis3Car"/>
    <w:uiPriority w:val="34"/>
    <w:qFormat/>
    <w:rsid w:val="00C40CD8"/>
    <w:pPr>
      <w:ind w:left="708"/>
    </w:pPr>
  </w:style>
  <w:style w:type="character" w:customStyle="1" w:styleId="Cuadrculaclara-nfasis3Car">
    <w:name w:val="Cuadrícula clara - Énfasis 3 Car"/>
    <w:link w:val="Cuadrculaclara-nfasis3"/>
    <w:uiPriority w:val="34"/>
    <w:rsid w:val="00E0409A"/>
    <w:rPr>
      <w:rFonts w:ascii="Garamond" w:eastAsia="Times" w:hAnsi="Garamond"/>
      <w:sz w:val="24"/>
      <w:lang w:val="es-ES_tradnl" w:eastAsia="en-US"/>
    </w:rPr>
  </w:style>
  <w:style w:type="paragraph" w:styleId="Cuadrculamedia1-nfasis2">
    <w:name w:val="Medium Grid 1 Accent 2"/>
    <w:basedOn w:val="Normal"/>
    <w:uiPriority w:val="34"/>
    <w:qFormat/>
    <w:rsid w:val="00A56E55"/>
    <w:pPr>
      <w:ind w:left="708"/>
    </w:pPr>
  </w:style>
  <w:style w:type="paragraph" w:styleId="Listavistosa-nfasis1">
    <w:name w:val="Colorful List Accent 1"/>
    <w:basedOn w:val="Normal"/>
    <w:uiPriority w:val="34"/>
    <w:qFormat/>
    <w:rsid w:val="00480DC4"/>
    <w:pPr>
      <w:ind w:left="708"/>
    </w:pPr>
  </w:style>
  <w:style w:type="paragraph" w:styleId="Prrafodelista">
    <w:name w:val="List Paragraph"/>
    <w:basedOn w:val="Normal"/>
    <w:uiPriority w:val="34"/>
    <w:qFormat/>
    <w:rsid w:val="0068479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55078">
      <w:bodyDiv w:val="1"/>
      <w:marLeft w:val="0"/>
      <w:marRight w:val="0"/>
      <w:marTop w:val="0"/>
      <w:marBottom w:val="0"/>
      <w:divBdr>
        <w:top w:val="none" w:sz="0" w:space="0" w:color="auto"/>
        <w:left w:val="none" w:sz="0" w:space="0" w:color="auto"/>
        <w:bottom w:val="none" w:sz="0" w:space="0" w:color="auto"/>
        <w:right w:val="none" w:sz="0" w:space="0" w:color="auto"/>
      </w:divBdr>
    </w:div>
    <w:div w:id="898706916">
      <w:bodyDiv w:val="1"/>
      <w:marLeft w:val="0"/>
      <w:marRight w:val="0"/>
      <w:marTop w:val="0"/>
      <w:marBottom w:val="0"/>
      <w:divBdr>
        <w:top w:val="none" w:sz="0" w:space="0" w:color="auto"/>
        <w:left w:val="none" w:sz="0" w:space="0" w:color="auto"/>
        <w:bottom w:val="none" w:sz="0" w:space="0" w:color="auto"/>
        <w:right w:val="none" w:sz="0" w:space="0" w:color="auto"/>
      </w:divBdr>
    </w:div>
    <w:div w:id="922954447">
      <w:bodyDiv w:val="1"/>
      <w:marLeft w:val="0"/>
      <w:marRight w:val="0"/>
      <w:marTop w:val="0"/>
      <w:marBottom w:val="0"/>
      <w:divBdr>
        <w:top w:val="none" w:sz="0" w:space="0" w:color="auto"/>
        <w:left w:val="none" w:sz="0" w:space="0" w:color="auto"/>
        <w:bottom w:val="none" w:sz="0" w:space="0" w:color="auto"/>
        <w:right w:val="none" w:sz="0" w:space="0" w:color="auto"/>
      </w:divBdr>
    </w:div>
    <w:div w:id="1494032018">
      <w:bodyDiv w:val="1"/>
      <w:marLeft w:val="0"/>
      <w:marRight w:val="0"/>
      <w:marTop w:val="0"/>
      <w:marBottom w:val="0"/>
      <w:divBdr>
        <w:top w:val="none" w:sz="0" w:space="0" w:color="auto"/>
        <w:left w:val="none" w:sz="0" w:space="0" w:color="auto"/>
        <w:bottom w:val="none" w:sz="0" w:space="0" w:color="auto"/>
        <w:right w:val="none" w:sz="0" w:space="0" w:color="auto"/>
      </w:divBdr>
    </w:div>
    <w:div w:id="207947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orteidh.or.cr/docs/supervisiones/yatama_04_08_08.pdf" TargetMode="External"/><Relationship Id="rId2" Type="http://schemas.openxmlformats.org/officeDocument/2006/relationships/hyperlink" Target="http://www.corteidh.or.cr/docs/supervisiones/yatama_29_11_06.pdf" TargetMode="External"/><Relationship Id="rId1" Type="http://schemas.openxmlformats.org/officeDocument/2006/relationships/hyperlink" Target="http://www.corteidh.or.cr/docs/casos/articulos/seriec_127_esp.pdf" TargetMode="External"/><Relationship Id="rId6" Type="http://schemas.openxmlformats.org/officeDocument/2006/relationships/hyperlink" Target="http://www.corteidh.or.cr/docs/supervisiones/yatama_22_08_13.pdf" TargetMode="External"/><Relationship Id="rId5" Type="http://schemas.openxmlformats.org/officeDocument/2006/relationships/hyperlink" Target="http://www.corteidh.or.cr/docs/supervisiones/yatama_30_06_11.pdf" TargetMode="External"/><Relationship Id="rId4" Type="http://schemas.openxmlformats.org/officeDocument/2006/relationships/hyperlink" Target="http://www.corteidh.or.cr/docs/supervisiones/yatama_28_05_1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8EFBD-ADB8-4E05-B9E8-63CAADDE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3458</Words>
  <Characters>19025</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22439</CharactersWithSpaces>
  <SharedDoc>false</SharedDoc>
  <HLinks>
    <vt:vector size="36" baseType="variant">
      <vt:variant>
        <vt:i4>1835054</vt:i4>
      </vt:variant>
      <vt:variant>
        <vt:i4>15</vt:i4>
      </vt:variant>
      <vt:variant>
        <vt:i4>0</vt:i4>
      </vt:variant>
      <vt:variant>
        <vt:i4>5</vt:i4>
      </vt:variant>
      <vt:variant>
        <vt:lpwstr>http://www.corteidh.or.cr/docs/supervisiones/yatama_22_08_13.pdf</vt:lpwstr>
      </vt:variant>
      <vt:variant>
        <vt:lpwstr/>
      </vt:variant>
      <vt:variant>
        <vt:i4>1835041</vt:i4>
      </vt:variant>
      <vt:variant>
        <vt:i4>12</vt:i4>
      </vt:variant>
      <vt:variant>
        <vt:i4>0</vt:i4>
      </vt:variant>
      <vt:variant>
        <vt:i4>5</vt:i4>
      </vt:variant>
      <vt:variant>
        <vt:lpwstr>http://www.corteidh.or.cr/docs/supervisiones/yatama_30_06_11.pdf</vt:lpwstr>
      </vt:variant>
      <vt:variant>
        <vt:lpwstr/>
      </vt:variant>
      <vt:variant>
        <vt:i4>1376291</vt:i4>
      </vt:variant>
      <vt:variant>
        <vt:i4>9</vt:i4>
      </vt:variant>
      <vt:variant>
        <vt:i4>0</vt:i4>
      </vt:variant>
      <vt:variant>
        <vt:i4>5</vt:i4>
      </vt:variant>
      <vt:variant>
        <vt:lpwstr>http://www.corteidh.or.cr/docs/supervisiones/yatama_28_05_10.pdf</vt:lpwstr>
      </vt:variant>
      <vt:variant>
        <vt:lpwstr/>
      </vt:variant>
      <vt:variant>
        <vt:i4>1114228</vt:i4>
      </vt:variant>
      <vt:variant>
        <vt:i4>6</vt:i4>
      </vt:variant>
      <vt:variant>
        <vt:i4>0</vt:i4>
      </vt:variant>
      <vt:variant>
        <vt:i4>5</vt:i4>
      </vt:variant>
      <vt:variant>
        <vt:lpwstr>http://corteidh.or.cr/docs/supervisiones/yatama_04_08_08.pdf</vt:lpwstr>
      </vt:variant>
      <vt:variant>
        <vt:lpwstr/>
      </vt:variant>
      <vt:variant>
        <vt:i4>1245222</vt:i4>
      </vt:variant>
      <vt:variant>
        <vt:i4>3</vt:i4>
      </vt:variant>
      <vt:variant>
        <vt:i4>0</vt:i4>
      </vt:variant>
      <vt:variant>
        <vt:i4>5</vt:i4>
      </vt:variant>
      <vt:variant>
        <vt:lpwstr>http://www.corteidh.or.cr/docs/supervisiones/yatama_29_11_06.pdf</vt:lpwstr>
      </vt:variant>
      <vt:variant>
        <vt:lpwstr/>
      </vt:variant>
      <vt:variant>
        <vt:i4>5374034</vt:i4>
      </vt:variant>
      <vt:variant>
        <vt:i4>0</vt:i4>
      </vt:variant>
      <vt:variant>
        <vt:i4>0</vt:i4>
      </vt:variant>
      <vt:variant>
        <vt:i4>5</vt:i4>
      </vt:variant>
      <vt:variant>
        <vt:lpwstr>http://www.corteidh.or.cr/docs/casos/articulos/seriec_127_esp.pdf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2017-08-12T00:03:00Z</cp:lastPrinted>
  <dcterms:created xsi:type="dcterms:W3CDTF">2017-08-12T00:03:00Z</dcterms:created>
  <dcterms:modified xsi:type="dcterms:W3CDTF">2017-08-12T00:03:00Z</dcterms:modified>
</cp:coreProperties>
</file>