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06F" w:rsidRPr="00243CA1" w:rsidRDefault="00E4306F" w:rsidP="00E4306F">
      <w:pPr>
        <w:spacing w:line="360" w:lineRule="auto"/>
        <w:ind w:right="18"/>
        <w:jc w:val="center"/>
        <w:rPr>
          <w:rFonts w:ascii="Verdana" w:hAnsi="Verdana"/>
          <w:b/>
          <w:lang w:val="en-US"/>
        </w:rPr>
      </w:pPr>
      <w:bookmarkStart w:id="0" w:name="_GoBack"/>
      <w:bookmarkEnd w:id="0"/>
      <w:r w:rsidRPr="00243CA1">
        <w:rPr>
          <w:rFonts w:ascii="Verdana" w:hAnsi="Verdana"/>
          <w:b/>
          <w:lang w:val="en-US"/>
        </w:rPr>
        <w:t xml:space="preserve">Order of the </w:t>
      </w:r>
    </w:p>
    <w:p w:rsidR="00E4306F" w:rsidRPr="00243CA1" w:rsidRDefault="00E4306F" w:rsidP="00E4306F">
      <w:pPr>
        <w:spacing w:line="360" w:lineRule="auto"/>
        <w:ind w:right="18"/>
        <w:jc w:val="center"/>
        <w:rPr>
          <w:rFonts w:ascii="Verdana" w:hAnsi="Verdana"/>
          <w:b/>
          <w:lang w:val="en-US"/>
        </w:rPr>
      </w:pPr>
      <w:r w:rsidRPr="00243CA1">
        <w:rPr>
          <w:rFonts w:ascii="Verdana" w:hAnsi="Verdana"/>
          <w:b/>
          <w:lang w:val="en-US"/>
        </w:rPr>
        <w:t xml:space="preserve">Inter-American Court of Human Rights </w:t>
      </w:r>
    </w:p>
    <w:p w:rsidR="00A8475E" w:rsidRDefault="00E4306F" w:rsidP="00E4306F">
      <w:pPr>
        <w:spacing w:line="360" w:lineRule="auto"/>
        <w:ind w:right="18"/>
        <w:jc w:val="center"/>
        <w:rPr>
          <w:rFonts w:ascii="Verdana" w:hAnsi="Verdana"/>
          <w:b/>
          <w:lang w:val="en-US"/>
        </w:rPr>
      </w:pPr>
      <w:proofErr w:type="gramStart"/>
      <w:r w:rsidRPr="00243CA1">
        <w:rPr>
          <w:rFonts w:ascii="Verdana" w:hAnsi="Verdana"/>
          <w:b/>
          <w:lang w:val="en-US"/>
        </w:rPr>
        <w:t>of</w:t>
      </w:r>
      <w:proofErr w:type="gramEnd"/>
      <w:r w:rsidRPr="00243CA1">
        <w:rPr>
          <w:rFonts w:ascii="Verdana" w:hAnsi="Verdana"/>
          <w:b/>
          <w:lang w:val="en-US"/>
        </w:rPr>
        <w:t xml:space="preserve"> February 2, 2007</w:t>
      </w:r>
    </w:p>
    <w:p w:rsidR="00E4306F" w:rsidRPr="00243CA1" w:rsidRDefault="00A8475E" w:rsidP="00E4306F">
      <w:pPr>
        <w:spacing w:line="360" w:lineRule="auto"/>
        <w:ind w:right="18"/>
        <w:jc w:val="center"/>
        <w:rPr>
          <w:rFonts w:ascii="Verdana" w:hAnsi="Verdana"/>
          <w:b/>
          <w:lang w:val="en-US"/>
        </w:rPr>
      </w:pPr>
      <w:r w:rsidRPr="00A8475E">
        <w:rPr>
          <w:rFonts w:ascii="Verdana" w:hAnsi="Verdana"/>
          <w:b/>
          <w:lang w:val="en-US"/>
        </w:rPr>
        <w:t>Request for Provisional Measures</w:t>
      </w:r>
      <w:r w:rsidR="00E4306F" w:rsidRPr="00243CA1">
        <w:rPr>
          <w:rFonts w:ascii="Verdana" w:hAnsi="Verdana"/>
          <w:b/>
          <w:lang w:val="en-US"/>
        </w:rPr>
        <w:t xml:space="preserve"> </w:t>
      </w:r>
    </w:p>
    <w:p w:rsidR="00E4306F" w:rsidRPr="00243CA1" w:rsidRDefault="00E4306F" w:rsidP="00E4306F">
      <w:pPr>
        <w:spacing w:line="360" w:lineRule="auto"/>
        <w:ind w:right="18"/>
        <w:jc w:val="center"/>
        <w:rPr>
          <w:rFonts w:ascii="Verdana" w:hAnsi="Verdana"/>
          <w:b/>
          <w:lang w:val="en-US"/>
        </w:rPr>
      </w:pPr>
      <w:r w:rsidRPr="00243CA1">
        <w:rPr>
          <w:rFonts w:ascii="Verdana" w:hAnsi="Verdana"/>
          <w:b/>
          <w:lang w:val="en-US"/>
        </w:rPr>
        <w:t xml:space="preserve">Case of Bueno-Alves </w:t>
      </w:r>
    </w:p>
    <w:p w:rsidR="00E4306F" w:rsidRPr="00A8475E" w:rsidRDefault="00E4306F">
      <w:pPr>
        <w:ind w:right="18"/>
        <w:jc w:val="center"/>
        <w:rPr>
          <w:rFonts w:ascii="Verdana" w:hAnsi="Verdana"/>
          <w:b/>
          <w:sz w:val="20"/>
          <w:lang w:val="en-US"/>
        </w:rPr>
      </w:pPr>
    </w:p>
    <w:p w:rsidR="00E4306F" w:rsidRPr="00243CA1" w:rsidRDefault="00E4306F">
      <w:pPr>
        <w:ind w:right="18"/>
        <w:jc w:val="both"/>
        <w:rPr>
          <w:rFonts w:ascii="Verdana" w:hAnsi="Verdana"/>
          <w:b/>
          <w:sz w:val="20"/>
          <w:lang w:val="en-US"/>
        </w:rPr>
      </w:pPr>
    </w:p>
    <w:p w:rsidR="00E4306F" w:rsidRPr="002066A5" w:rsidRDefault="00E4306F">
      <w:pPr>
        <w:ind w:right="18"/>
        <w:jc w:val="both"/>
        <w:rPr>
          <w:rFonts w:ascii="Verdana" w:hAnsi="Verdana"/>
          <w:b/>
          <w:sz w:val="20"/>
          <w:lang w:val="en-US"/>
        </w:rPr>
      </w:pPr>
    </w:p>
    <w:p w:rsidR="00E4306F" w:rsidRPr="002066A5" w:rsidRDefault="00E4306F">
      <w:pPr>
        <w:ind w:right="18"/>
        <w:jc w:val="both"/>
        <w:rPr>
          <w:rFonts w:ascii="Verdana" w:hAnsi="Verdana"/>
          <w:b/>
          <w:sz w:val="20"/>
          <w:lang w:val="en-US"/>
        </w:rPr>
      </w:pPr>
      <w:r w:rsidRPr="002066A5">
        <w:rPr>
          <w:rFonts w:ascii="Verdana" w:hAnsi="Verdana"/>
          <w:b/>
          <w:sz w:val="20"/>
          <w:lang w:val="en-US"/>
        </w:rPr>
        <w:t>HAVING SEEN:</w:t>
      </w:r>
    </w:p>
    <w:p w:rsidR="00E4306F" w:rsidRPr="002066A5" w:rsidRDefault="00E4306F">
      <w:pPr>
        <w:pStyle w:val="Textonotapie"/>
        <w:ind w:right="18"/>
        <w:rPr>
          <w:rFonts w:ascii="Verdana" w:hAnsi="Verdana"/>
          <w:lang w:val="en-US"/>
        </w:rPr>
      </w:pPr>
    </w:p>
    <w:p w:rsidR="00E4306F" w:rsidRPr="002066A5" w:rsidRDefault="00E4306F">
      <w:pPr>
        <w:pStyle w:val="Sangra3detindependiente"/>
        <w:widowControl w:val="0"/>
        <w:ind w:left="0" w:right="18"/>
        <w:rPr>
          <w:rFonts w:ascii="Verdana" w:eastAsia="Times" w:hAnsi="Verdana"/>
          <w:b w:val="0"/>
          <w:sz w:val="20"/>
          <w:lang w:val="en-US"/>
        </w:rPr>
      </w:pPr>
      <w:r w:rsidRPr="002066A5">
        <w:rPr>
          <w:rFonts w:ascii="Verdana" w:eastAsia="Times" w:hAnsi="Verdana"/>
          <w:b w:val="0"/>
          <w:sz w:val="20"/>
          <w:lang w:val="en-US"/>
        </w:rPr>
        <w:t>1.</w:t>
      </w:r>
      <w:r w:rsidRPr="002066A5">
        <w:rPr>
          <w:rFonts w:ascii="Verdana" w:eastAsia="Times" w:hAnsi="Verdana"/>
          <w:b w:val="0"/>
          <w:sz w:val="20"/>
          <w:lang w:val="en-US"/>
        </w:rPr>
        <w:tab/>
        <w:t xml:space="preserve">The brief of March 31, 2006, whereby the Inter-American Commission on Human Rights (hereinafter, “the Commission”) brought charges against the Argentine Republic (hereinafter, “the State” or “Argentina”) before the Inter-American Court of Human Rights (hereinafter, “the Court” or “the Tribunal”), regarding the case of Bueno-Alves.   </w:t>
      </w:r>
    </w:p>
    <w:p w:rsidR="00E4306F" w:rsidRPr="002066A5" w:rsidRDefault="00E4306F">
      <w:pPr>
        <w:pStyle w:val="Sangra3detindependiente"/>
        <w:widowControl w:val="0"/>
        <w:ind w:left="0" w:right="18"/>
        <w:rPr>
          <w:rFonts w:ascii="Verdana" w:eastAsia="Times" w:hAnsi="Verdana"/>
          <w:b w:val="0"/>
          <w:sz w:val="20"/>
          <w:lang w:val="en-US"/>
        </w:rPr>
      </w:pPr>
    </w:p>
    <w:p w:rsidR="00E4306F" w:rsidRPr="002066A5" w:rsidRDefault="00E4306F">
      <w:pPr>
        <w:pStyle w:val="Sangra3detindependiente"/>
        <w:widowControl w:val="0"/>
        <w:ind w:left="0" w:right="18"/>
        <w:rPr>
          <w:rFonts w:ascii="Verdana" w:eastAsia="Times" w:hAnsi="Verdana"/>
          <w:b w:val="0"/>
          <w:sz w:val="20"/>
          <w:lang w:val="en-US"/>
        </w:rPr>
      </w:pPr>
      <w:r w:rsidRPr="002066A5">
        <w:rPr>
          <w:rFonts w:ascii="Verdana" w:eastAsia="Times" w:hAnsi="Verdana"/>
          <w:b w:val="0"/>
          <w:sz w:val="20"/>
          <w:lang w:val="en-US"/>
        </w:rPr>
        <w:t>2.</w:t>
      </w:r>
      <w:r w:rsidRPr="002066A5">
        <w:rPr>
          <w:rFonts w:ascii="Verdana" w:eastAsia="Times" w:hAnsi="Verdana"/>
          <w:b w:val="0"/>
          <w:sz w:val="20"/>
          <w:lang w:val="en-US"/>
        </w:rPr>
        <w:tab/>
        <w:t>The communication of July 20, 2006, whereby the alleged victim’s representative (hereinafter, “the representative”) filed her brief of requests, arguments and evidence (hereinafter, “the brief of requests and arguments”).</w:t>
      </w:r>
    </w:p>
    <w:p w:rsidR="00E4306F" w:rsidRPr="002066A5" w:rsidRDefault="00E4306F">
      <w:pPr>
        <w:pStyle w:val="Sangra3detindependiente"/>
        <w:widowControl w:val="0"/>
        <w:ind w:left="0" w:right="18"/>
        <w:rPr>
          <w:rFonts w:ascii="Verdana" w:hAnsi="Verdana"/>
          <w:b w:val="0"/>
          <w:sz w:val="20"/>
          <w:highlight w:val="lightGray"/>
          <w:u w:val="single"/>
          <w:lang w:val="en-US"/>
        </w:rPr>
      </w:pPr>
    </w:p>
    <w:p w:rsidR="00E4306F" w:rsidRPr="002066A5" w:rsidRDefault="00E4306F">
      <w:pPr>
        <w:pStyle w:val="Sangra3detindependiente"/>
        <w:widowControl w:val="0"/>
        <w:ind w:left="0" w:right="18"/>
        <w:rPr>
          <w:rFonts w:ascii="Verdana" w:hAnsi="Verdana"/>
          <w:b w:val="0"/>
          <w:sz w:val="20"/>
          <w:lang w:val="en-US"/>
        </w:rPr>
      </w:pPr>
      <w:r w:rsidRPr="002066A5">
        <w:rPr>
          <w:rFonts w:ascii="Verdana" w:hAnsi="Verdana"/>
          <w:b w:val="0"/>
          <w:sz w:val="20"/>
          <w:lang w:val="en-US"/>
        </w:rPr>
        <w:t>3.</w:t>
      </w:r>
      <w:r w:rsidRPr="002066A5">
        <w:rPr>
          <w:rFonts w:ascii="Verdana" w:hAnsi="Verdana"/>
          <w:b w:val="0"/>
          <w:sz w:val="20"/>
          <w:lang w:val="en-US"/>
        </w:rPr>
        <w:tab/>
        <w:t xml:space="preserve">The communication of September 26, 2006, whereby the State filed a brief containing its answer to the application and its observations to the brief of requests </w:t>
      </w:r>
      <w:proofErr w:type="gramStart"/>
      <w:r w:rsidRPr="002066A5">
        <w:rPr>
          <w:rFonts w:ascii="Verdana" w:hAnsi="Verdana"/>
          <w:b w:val="0"/>
          <w:sz w:val="20"/>
          <w:lang w:val="en-US"/>
        </w:rPr>
        <w:t>and</w:t>
      </w:r>
      <w:proofErr w:type="gramEnd"/>
      <w:r w:rsidRPr="002066A5">
        <w:rPr>
          <w:rFonts w:ascii="Verdana" w:hAnsi="Verdana"/>
          <w:b w:val="0"/>
          <w:sz w:val="20"/>
          <w:lang w:val="en-US"/>
        </w:rPr>
        <w:t xml:space="preserve"> arguments (hereinafter, the “answer to the application”).  </w:t>
      </w:r>
    </w:p>
    <w:p w:rsidR="00E4306F" w:rsidRPr="002066A5" w:rsidRDefault="00E4306F">
      <w:pPr>
        <w:pStyle w:val="Sangra3detindependiente"/>
        <w:widowControl w:val="0"/>
        <w:ind w:left="0" w:right="18"/>
        <w:rPr>
          <w:rFonts w:ascii="Verdana" w:hAnsi="Verdana"/>
          <w:b w:val="0"/>
          <w:sz w:val="20"/>
          <w:lang w:val="en-US"/>
        </w:rPr>
      </w:pPr>
    </w:p>
    <w:p w:rsidR="00E4306F" w:rsidRPr="002066A5" w:rsidRDefault="00E4306F">
      <w:pPr>
        <w:pStyle w:val="Sangra3detindependiente"/>
        <w:widowControl w:val="0"/>
        <w:ind w:left="0" w:right="18"/>
        <w:rPr>
          <w:rFonts w:ascii="Verdana" w:hAnsi="Verdana"/>
          <w:b w:val="0"/>
          <w:sz w:val="20"/>
          <w:lang w:val="en-US"/>
        </w:rPr>
      </w:pPr>
      <w:r w:rsidRPr="002066A5">
        <w:rPr>
          <w:rFonts w:ascii="Verdana" w:hAnsi="Verdana"/>
          <w:b w:val="0"/>
          <w:sz w:val="20"/>
          <w:lang w:val="en-US"/>
        </w:rPr>
        <w:t xml:space="preserve">4. </w:t>
      </w:r>
      <w:r w:rsidRPr="002066A5">
        <w:rPr>
          <w:rFonts w:ascii="Verdana" w:hAnsi="Verdana"/>
          <w:b w:val="0"/>
          <w:sz w:val="20"/>
          <w:lang w:val="en-US"/>
        </w:rPr>
        <w:tab/>
        <w:t xml:space="preserve">The Order of the President of the Court (hereinafter, “the President”) of December 6, 2006, whereby, </w:t>
      </w:r>
      <w:r w:rsidRPr="002066A5">
        <w:rPr>
          <w:rFonts w:ascii="Verdana" w:hAnsi="Verdana"/>
          <w:b w:val="0"/>
          <w:i/>
          <w:sz w:val="20"/>
          <w:lang w:val="en-US"/>
        </w:rPr>
        <w:t>inter alia</w:t>
      </w:r>
      <w:r w:rsidRPr="002066A5">
        <w:rPr>
          <w:rFonts w:ascii="Verdana" w:hAnsi="Verdana"/>
          <w:b w:val="0"/>
          <w:sz w:val="20"/>
          <w:lang w:val="en-US"/>
        </w:rPr>
        <w:t xml:space="preserve">, he requested the State and the representative to send a list of three physicians and a list of three psychiatrists or psychologists so that he could appoint expert witnesses to prepare reports pursuant to said Order. Likewise, the President ruled that “all the expenses </w:t>
      </w:r>
      <w:r>
        <w:rPr>
          <w:rFonts w:ascii="Verdana" w:hAnsi="Verdana"/>
          <w:b w:val="0"/>
          <w:sz w:val="20"/>
          <w:lang w:val="en-US"/>
        </w:rPr>
        <w:t xml:space="preserve">incurred in the preparation of </w:t>
      </w:r>
      <w:r w:rsidRPr="002066A5">
        <w:rPr>
          <w:rFonts w:ascii="Verdana" w:hAnsi="Verdana"/>
          <w:b w:val="0"/>
          <w:sz w:val="20"/>
          <w:lang w:val="en-US"/>
        </w:rPr>
        <w:t xml:space="preserve">the [expert witnesses’] reports </w:t>
      </w:r>
      <w:r>
        <w:rPr>
          <w:rFonts w:ascii="Verdana" w:hAnsi="Verdana"/>
          <w:b w:val="0"/>
          <w:sz w:val="20"/>
          <w:lang w:val="en-US"/>
        </w:rPr>
        <w:t>will</w:t>
      </w:r>
      <w:r w:rsidRPr="002066A5">
        <w:rPr>
          <w:rFonts w:ascii="Verdana" w:hAnsi="Verdana"/>
          <w:b w:val="0"/>
          <w:sz w:val="20"/>
          <w:lang w:val="en-US"/>
        </w:rPr>
        <w:t xml:space="preserve"> be borne by the State”, as well as the cost of sending said reports to the Tribunal.</w:t>
      </w:r>
    </w:p>
    <w:p w:rsidR="00E4306F" w:rsidRPr="002066A5" w:rsidRDefault="00E4306F">
      <w:pPr>
        <w:pStyle w:val="Sangra3detindependiente"/>
        <w:widowControl w:val="0"/>
        <w:ind w:left="0" w:right="18"/>
        <w:rPr>
          <w:rFonts w:ascii="Verdana" w:hAnsi="Verdana"/>
          <w:b w:val="0"/>
          <w:sz w:val="20"/>
          <w:lang w:val="en-US"/>
        </w:rPr>
      </w:pPr>
    </w:p>
    <w:p w:rsidR="00E4306F" w:rsidRPr="002066A5" w:rsidRDefault="00E4306F" w:rsidP="00E4306F">
      <w:pPr>
        <w:jc w:val="both"/>
        <w:rPr>
          <w:rFonts w:ascii="Verdana" w:hAnsi="Verdana"/>
          <w:sz w:val="20"/>
          <w:szCs w:val="20"/>
          <w:lang w:val="en-US" w:eastAsia="en-US"/>
        </w:rPr>
      </w:pPr>
      <w:r w:rsidRPr="002066A5">
        <w:rPr>
          <w:rFonts w:ascii="Verdana" w:hAnsi="Verdana"/>
          <w:sz w:val="20"/>
          <w:szCs w:val="20"/>
          <w:lang w:val="en-US" w:eastAsia="en-US"/>
        </w:rPr>
        <w:t>5.</w:t>
      </w:r>
      <w:r w:rsidRPr="002066A5">
        <w:rPr>
          <w:rFonts w:ascii="Verdana" w:hAnsi="Verdana"/>
          <w:sz w:val="20"/>
          <w:szCs w:val="20"/>
          <w:lang w:val="en-US" w:eastAsia="en-US"/>
        </w:rPr>
        <w:tab/>
        <w:t xml:space="preserve">The note of the Court’s Secretariat (hereinafter, “the Secretariat”) of January 10, 2007, whereby the parties were notified of the President’s decision to appoint a physician and a psychiatrist </w:t>
      </w:r>
      <w:r>
        <w:rPr>
          <w:rFonts w:ascii="Verdana" w:hAnsi="Verdana"/>
          <w:sz w:val="20"/>
          <w:szCs w:val="20"/>
          <w:lang w:val="en-US" w:eastAsia="en-US"/>
        </w:rPr>
        <w:t xml:space="preserve">of those </w:t>
      </w:r>
      <w:r w:rsidRPr="002066A5">
        <w:rPr>
          <w:rFonts w:ascii="Verdana" w:hAnsi="Verdana"/>
          <w:sz w:val="20"/>
          <w:szCs w:val="20"/>
          <w:lang w:val="en-US" w:eastAsia="en-US"/>
        </w:rPr>
        <w:t>proposed by the State, and</w:t>
      </w:r>
      <w:r>
        <w:rPr>
          <w:rFonts w:ascii="Verdana" w:hAnsi="Verdana"/>
          <w:sz w:val="20"/>
          <w:szCs w:val="20"/>
          <w:lang w:val="en-US" w:eastAsia="en-US"/>
        </w:rPr>
        <w:t xml:space="preserve"> a physician and a psychiatrist of those </w:t>
      </w:r>
      <w:r w:rsidRPr="002066A5">
        <w:rPr>
          <w:rFonts w:ascii="Verdana" w:hAnsi="Verdana"/>
          <w:sz w:val="20"/>
          <w:szCs w:val="20"/>
          <w:lang w:val="en-US" w:eastAsia="en-US"/>
        </w:rPr>
        <w:t>proposed by the representative to prepare the reports requested on December 6, 2006 (</w:t>
      </w:r>
      <w:r w:rsidRPr="002066A5">
        <w:rPr>
          <w:rFonts w:ascii="Verdana" w:hAnsi="Verdana"/>
          <w:i/>
          <w:sz w:val="20"/>
          <w:szCs w:val="20"/>
          <w:lang w:val="en-US" w:eastAsia="en-US"/>
        </w:rPr>
        <w:t xml:space="preserve">supra </w:t>
      </w:r>
      <w:r w:rsidRPr="002066A5">
        <w:rPr>
          <w:rFonts w:ascii="Verdana" w:hAnsi="Verdana"/>
          <w:sz w:val="20"/>
          <w:szCs w:val="20"/>
          <w:lang w:val="en-US" w:eastAsia="en-US"/>
        </w:rPr>
        <w:t xml:space="preserve">Having seen paragraph 4). </w:t>
      </w:r>
    </w:p>
    <w:p w:rsidR="00E4306F" w:rsidRPr="002066A5" w:rsidRDefault="00E4306F" w:rsidP="00E4306F">
      <w:pPr>
        <w:jc w:val="both"/>
        <w:rPr>
          <w:rFonts w:ascii="Verdana" w:hAnsi="Verdana"/>
          <w:sz w:val="20"/>
          <w:szCs w:val="20"/>
          <w:lang w:val="en-US" w:eastAsia="en-US"/>
        </w:rPr>
      </w:pPr>
    </w:p>
    <w:p w:rsidR="00E4306F" w:rsidRPr="002066A5" w:rsidRDefault="00E4306F" w:rsidP="00E4306F">
      <w:pPr>
        <w:jc w:val="both"/>
        <w:rPr>
          <w:rFonts w:ascii="Verdana" w:hAnsi="Verdana"/>
          <w:sz w:val="20"/>
          <w:szCs w:val="20"/>
          <w:lang w:val="en-US" w:eastAsia="en-US"/>
        </w:rPr>
      </w:pPr>
      <w:r w:rsidRPr="002066A5">
        <w:rPr>
          <w:rFonts w:ascii="Verdana" w:hAnsi="Verdana"/>
          <w:sz w:val="20"/>
          <w:szCs w:val="20"/>
          <w:lang w:val="en-US" w:eastAsia="en-US"/>
        </w:rPr>
        <w:t>6.</w:t>
      </w:r>
      <w:r w:rsidRPr="002066A5">
        <w:rPr>
          <w:rFonts w:ascii="Verdana" w:hAnsi="Verdana"/>
          <w:sz w:val="20"/>
          <w:szCs w:val="20"/>
          <w:lang w:val="en-US" w:eastAsia="en-US"/>
        </w:rPr>
        <w:tab/>
        <w:t xml:space="preserve">The communication of January 22, 2007 and its appendix, whereby the representative informed, </w:t>
      </w:r>
      <w:r w:rsidRPr="002066A5">
        <w:rPr>
          <w:rFonts w:ascii="Verdana" w:hAnsi="Verdana"/>
          <w:i/>
          <w:sz w:val="20"/>
          <w:szCs w:val="20"/>
          <w:lang w:val="en-US" w:eastAsia="en-US"/>
        </w:rPr>
        <w:t>inter alia</w:t>
      </w:r>
      <w:r w:rsidRPr="002066A5">
        <w:rPr>
          <w:rFonts w:ascii="Verdana" w:hAnsi="Verdana"/>
          <w:sz w:val="20"/>
          <w:szCs w:val="20"/>
          <w:lang w:val="en-US" w:eastAsia="en-US"/>
        </w:rPr>
        <w:t>, that she had been the one who had notified the expert witnes</w:t>
      </w:r>
      <w:r>
        <w:rPr>
          <w:rFonts w:ascii="Verdana" w:hAnsi="Verdana"/>
          <w:sz w:val="20"/>
          <w:szCs w:val="20"/>
          <w:lang w:val="en-US" w:eastAsia="en-US"/>
        </w:rPr>
        <w:t>ses appointed by the President pursuant to</w:t>
      </w:r>
      <w:r w:rsidRPr="002066A5">
        <w:rPr>
          <w:rFonts w:ascii="Verdana" w:hAnsi="Verdana"/>
          <w:sz w:val="20"/>
          <w:szCs w:val="20"/>
          <w:lang w:val="en-US" w:eastAsia="en-US"/>
        </w:rPr>
        <w:t xml:space="preserve"> the Order of December 6, 2006 (</w:t>
      </w:r>
      <w:r w:rsidRPr="002066A5">
        <w:rPr>
          <w:rFonts w:ascii="Verdana" w:hAnsi="Verdana"/>
          <w:i/>
          <w:sz w:val="20"/>
          <w:szCs w:val="20"/>
          <w:lang w:val="en-US" w:eastAsia="en-US"/>
        </w:rPr>
        <w:t xml:space="preserve">supra </w:t>
      </w:r>
      <w:r w:rsidRPr="002066A5">
        <w:rPr>
          <w:rFonts w:ascii="Verdana" w:hAnsi="Verdana"/>
          <w:sz w:val="20"/>
          <w:szCs w:val="20"/>
          <w:lang w:val="en-US" w:eastAsia="en-US"/>
        </w:rPr>
        <w:t>Having seen paragraph 4) and the Secretariat’s note of January 10, 2007 (</w:t>
      </w:r>
      <w:r w:rsidRPr="002066A5">
        <w:rPr>
          <w:rFonts w:ascii="Verdana" w:hAnsi="Verdana"/>
          <w:i/>
          <w:sz w:val="20"/>
          <w:szCs w:val="20"/>
          <w:lang w:val="en-US" w:eastAsia="en-US"/>
        </w:rPr>
        <w:t xml:space="preserve">supra </w:t>
      </w:r>
      <w:r w:rsidRPr="002066A5">
        <w:rPr>
          <w:rFonts w:ascii="Verdana" w:hAnsi="Verdana"/>
          <w:sz w:val="20"/>
          <w:szCs w:val="20"/>
          <w:lang w:val="en-US" w:eastAsia="en-US"/>
        </w:rPr>
        <w:t xml:space="preserve">Having seen paragraph 5). </w:t>
      </w:r>
      <w:r>
        <w:rPr>
          <w:rFonts w:ascii="Verdana" w:hAnsi="Verdana"/>
          <w:sz w:val="20"/>
          <w:szCs w:val="20"/>
          <w:lang w:val="en-US" w:eastAsia="en-US"/>
        </w:rPr>
        <w:t>Furthermore</w:t>
      </w:r>
      <w:r w:rsidRPr="002066A5">
        <w:rPr>
          <w:rFonts w:ascii="Verdana" w:hAnsi="Verdana"/>
          <w:sz w:val="20"/>
          <w:szCs w:val="20"/>
          <w:lang w:val="en-US" w:eastAsia="en-US"/>
        </w:rPr>
        <w:t xml:space="preserve">, the representative </w:t>
      </w:r>
      <w:r>
        <w:rPr>
          <w:rFonts w:ascii="Verdana" w:hAnsi="Verdana"/>
          <w:sz w:val="20"/>
          <w:szCs w:val="20"/>
          <w:lang w:val="en-US" w:eastAsia="en-US"/>
        </w:rPr>
        <w:t>remarked</w:t>
      </w:r>
      <w:r w:rsidRPr="002066A5">
        <w:rPr>
          <w:rFonts w:ascii="Verdana" w:hAnsi="Verdana"/>
          <w:sz w:val="20"/>
          <w:szCs w:val="20"/>
          <w:lang w:val="en-US" w:eastAsia="en-US"/>
        </w:rPr>
        <w:t xml:space="preserve"> that she had been the one who had taken delivery of the report (affidavit) prepared by said expert witnesses, the original versions of which she would send to this Court. Finally, she requested that provisional measures be adopted, in light of the alleged “situation of fear, ten[s]ion, anguish and uncertainty [caused] by [the] harassment inflicted </w:t>
      </w:r>
      <w:r>
        <w:rPr>
          <w:rFonts w:ascii="Verdana" w:hAnsi="Verdana"/>
          <w:sz w:val="20"/>
          <w:szCs w:val="20"/>
          <w:lang w:val="en-US" w:eastAsia="en-US"/>
        </w:rPr>
        <w:t xml:space="preserve">on them </w:t>
      </w:r>
      <w:r w:rsidRPr="002066A5">
        <w:rPr>
          <w:rFonts w:ascii="Verdana" w:hAnsi="Verdana"/>
          <w:sz w:val="20"/>
          <w:szCs w:val="20"/>
          <w:lang w:val="en-US" w:eastAsia="en-US"/>
        </w:rPr>
        <w:t xml:space="preserve">by the State”. To support this argument, the representative recounted facts which gave expression to concerns stated by one of the expert witnesses of the case, </w:t>
      </w:r>
      <w:r w:rsidRPr="002066A5">
        <w:rPr>
          <w:rFonts w:ascii="Verdana" w:hAnsi="Verdana"/>
          <w:sz w:val="20"/>
          <w:szCs w:val="20"/>
          <w:lang w:val="en-US" w:eastAsia="en-US"/>
        </w:rPr>
        <w:lastRenderedPageBreak/>
        <w:t xml:space="preserve">by employees working at a notary public’s office and by herself, in relation to the alleged harassment inflicted by State officials when requesting the original documents related to the expert witnesses’ reports </w:t>
      </w:r>
      <w:r>
        <w:rPr>
          <w:rFonts w:ascii="Verdana" w:hAnsi="Verdana"/>
          <w:sz w:val="20"/>
          <w:szCs w:val="20"/>
          <w:lang w:val="en-US" w:eastAsia="en-US"/>
        </w:rPr>
        <w:t xml:space="preserve">that had been </w:t>
      </w:r>
      <w:r w:rsidRPr="002066A5">
        <w:rPr>
          <w:rFonts w:ascii="Verdana" w:hAnsi="Verdana"/>
          <w:sz w:val="20"/>
          <w:szCs w:val="20"/>
          <w:lang w:val="en-US" w:eastAsia="en-US"/>
        </w:rPr>
        <w:t xml:space="preserve">prepared pursuant to </w:t>
      </w:r>
      <w:r>
        <w:rPr>
          <w:rFonts w:ascii="Verdana" w:hAnsi="Verdana"/>
          <w:sz w:val="20"/>
          <w:szCs w:val="20"/>
          <w:lang w:val="en-US" w:eastAsia="en-US"/>
        </w:rPr>
        <w:t>an</w:t>
      </w:r>
      <w:r w:rsidRPr="002066A5">
        <w:rPr>
          <w:rFonts w:ascii="Verdana" w:hAnsi="Verdana"/>
          <w:sz w:val="20"/>
          <w:szCs w:val="20"/>
          <w:lang w:val="en-US" w:eastAsia="en-US"/>
        </w:rPr>
        <w:t xml:space="preserve"> Order issued by this Tribunal in the instant case (</w:t>
      </w:r>
      <w:r w:rsidRPr="002066A5">
        <w:rPr>
          <w:rFonts w:ascii="Verdana" w:hAnsi="Verdana"/>
          <w:i/>
          <w:sz w:val="20"/>
          <w:szCs w:val="20"/>
          <w:lang w:val="en-US" w:eastAsia="en-US"/>
        </w:rPr>
        <w:t xml:space="preserve">supra </w:t>
      </w:r>
      <w:r w:rsidRPr="002066A5">
        <w:rPr>
          <w:rFonts w:ascii="Verdana" w:hAnsi="Verdana"/>
          <w:sz w:val="20"/>
          <w:szCs w:val="20"/>
          <w:lang w:val="en-US" w:eastAsia="en-US"/>
        </w:rPr>
        <w:t xml:space="preserve">Having seen paragraph 4). Specifically, </w:t>
      </w:r>
      <w:r>
        <w:rPr>
          <w:rFonts w:ascii="Verdana" w:hAnsi="Verdana"/>
          <w:sz w:val="20"/>
          <w:szCs w:val="20"/>
          <w:lang w:val="en-US" w:eastAsia="en-US"/>
        </w:rPr>
        <w:t>s</w:t>
      </w:r>
      <w:r w:rsidRPr="002066A5">
        <w:rPr>
          <w:rFonts w:ascii="Verdana" w:hAnsi="Verdana"/>
          <w:sz w:val="20"/>
          <w:szCs w:val="20"/>
          <w:lang w:val="en-US" w:eastAsia="en-US"/>
        </w:rPr>
        <w:t>he pointed out that “the certainty</w:t>
      </w:r>
      <w:r>
        <w:rPr>
          <w:rFonts w:ascii="Verdana" w:hAnsi="Verdana"/>
          <w:sz w:val="20"/>
          <w:szCs w:val="20"/>
          <w:lang w:val="en-US" w:eastAsia="en-US"/>
        </w:rPr>
        <w:t xml:space="preserve"> that risk existed</w:t>
      </w:r>
      <w:r w:rsidRPr="002066A5">
        <w:rPr>
          <w:rFonts w:ascii="Verdana" w:hAnsi="Verdana"/>
          <w:sz w:val="20"/>
          <w:szCs w:val="20"/>
          <w:lang w:val="en-US" w:eastAsia="en-US"/>
        </w:rPr>
        <w:t xml:space="preserve"> and the pressure exerted by the State during so many hours caused panic and fear for the security of </w:t>
      </w:r>
      <w:r>
        <w:rPr>
          <w:rFonts w:ascii="Verdana" w:hAnsi="Verdana"/>
          <w:sz w:val="20"/>
          <w:szCs w:val="20"/>
          <w:lang w:val="en-US" w:eastAsia="en-US"/>
        </w:rPr>
        <w:t>those who played different roles</w:t>
      </w:r>
      <w:r w:rsidRPr="002066A5">
        <w:rPr>
          <w:rFonts w:ascii="Verdana" w:hAnsi="Verdana"/>
          <w:sz w:val="20"/>
          <w:szCs w:val="20"/>
          <w:lang w:val="en-US" w:eastAsia="en-US"/>
        </w:rPr>
        <w:t>” in the preparation or certification of the expert witnesses’ document</w:t>
      </w:r>
      <w:r>
        <w:rPr>
          <w:rFonts w:ascii="Verdana" w:hAnsi="Verdana"/>
          <w:sz w:val="20"/>
          <w:szCs w:val="20"/>
          <w:lang w:val="en-US" w:eastAsia="en-US"/>
        </w:rPr>
        <w:t>s</w:t>
      </w:r>
      <w:r w:rsidRPr="002066A5">
        <w:rPr>
          <w:rFonts w:ascii="Verdana" w:hAnsi="Verdana"/>
          <w:sz w:val="20"/>
          <w:szCs w:val="20"/>
          <w:lang w:val="en-US" w:eastAsia="en-US"/>
        </w:rPr>
        <w:t xml:space="preserve">. </w:t>
      </w:r>
    </w:p>
    <w:p w:rsidR="00E4306F" w:rsidRPr="002066A5" w:rsidRDefault="00E4306F" w:rsidP="00E4306F">
      <w:pPr>
        <w:jc w:val="both"/>
        <w:rPr>
          <w:rFonts w:ascii="Verdana" w:hAnsi="Verdana"/>
          <w:sz w:val="20"/>
          <w:szCs w:val="20"/>
          <w:lang w:val="en-US" w:eastAsia="en-US"/>
        </w:rPr>
      </w:pPr>
    </w:p>
    <w:p w:rsidR="00E4306F" w:rsidRPr="002066A5" w:rsidRDefault="00E4306F" w:rsidP="00E4306F">
      <w:pPr>
        <w:jc w:val="both"/>
        <w:rPr>
          <w:rFonts w:ascii="Verdana" w:hAnsi="Verdana"/>
          <w:sz w:val="20"/>
          <w:szCs w:val="20"/>
          <w:lang w:val="en-US" w:eastAsia="en-US"/>
        </w:rPr>
      </w:pPr>
      <w:r w:rsidRPr="002066A5">
        <w:rPr>
          <w:rFonts w:ascii="Verdana" w:hAnsi="Verdana"/>
          <w:sz w:val="20"/>
          <w:szCs w:val="20"/>
          <w:lang w:val="en-US" w:eastAsia="en-US"/>
        </w:rPr>
        <w:t>7.</w:t>
      </w:r>
      <w:r w:rsidRPr="002066A5">
        <w:rPr>
          <w:rFonts w:ascii="Verdana" w:hAnsi="Verdana"/>
          <w:sz w:val="20"/>
          <w:szCs w:val="20"/>
          <w:lang w:val="en-US" w:eastAsia="en-US"/>
        </w:rPr>
        <w:tab/>
        <w:t>The communication of the State of January 22, 2007, whereby it informed that the representative “took delivery of the first certified copy of the notarial instrument without consulting anyone, and, in open contravention of operative paragraph 1 of the President’s [Order] of December 6, 2006, whereby it was ordered that the reports be sent to the Tribunal by the State, she said she had ‘sent the report by post to [the Court’s] Secretariat”.</w:t>
      </w:r>
    </w:p>
    <w:p w:rsidR="00E4306F" w:rsidRPr="002066A5" w:rsidRDefault="00E4306F" w:rsidP="00E4306F">
      <w:pPr>
        <w:jc w:val="both"/>
        <w:rPr>
          <w:rFonts w:ascii="Verdana" w:hAnsi="Verdana"/>
          <w:sz w:val="20"/>
          <w:szCs w:val="20"/>
          <w:lang w:val="en-US" w:eastAsia="en-US"/>
        </w:rPr>
      </w:pPr>
    </w:p>
    <w:p w:rsidR="00E4306F" w:rsidRPr="002066A5" w:rsidRDefault="00E4306F" w:rsidP="00E4306F">
      <w:pPr>
        <w:jc w:val="both"/>
        <w:rPr>
          <w:rFonts w:ascii="Verdana" w:hAnsi="Verdana"/>
          <w:sz w:val="20"/>
          <w:szCs w:val="20"/>
          <w:lang w:val="en-US" w:eastAsia="en-US"/>
        </w:rPr>
      </w:pPr>
      <w:r w:rsidRPr="002066A5">
        <w:rPr>
          <w:rFonts w:ascii="Verdana" w:hAnsi="Verdana"/>
          <w:sz w:val="20"/>
          <w:szCs w:val="20"/>
          <w:lang w:val="en-US" w:eastAsia="en-US"/>
        </w:rPr>
        <w:t>8.</w:t>
      </w:r>
      <w:r w:rsidRPr="002066A5">
        <w:rPr>
          <w:rFonts w:ascii="Verdana" w:hAnsi="Verdana"/>
          <w:sz w:val="20"/>
          <w:szCs w:val="20"/>
          <w:lang w:val="en-US" w:eastAsia="en-US"/>
        </w:rPr>
        <w:tab/>
        <w:t>The Secretariat’s notes of January 23, 2007, whereby, following the instructions of the President of the Court, the representative was requ</w:t>
      </w:r>
      <w:r>
        <w:rPr>
          <w:rFonts w:ascii="Verdana" w:hAnsi="Verdana"/>
          <w:sz w:val="20"/>
          <w:szCs w:val="20"/>
          <w:lang w:val="en-US" w:eastAsia="en-US"/>
        </w:rPr>
        <w:t>ired</w:t>
      </w:r>
      <w:r w:rsidRPr="002066A5">
        <w:rPr>
          <w:rFonts w:ascii="Verdana" w:hAnsi="Verdana"/>
          <w:sz w:val="20"/>
          <w:szCs w:val="20"/>
          <w:lang w:val="en-US" w:eastAsia="en-US"/>
        </w:rPr>
        <w:t xml:space="preserve"> to identify, on January 25, 2007 at the latest, those who, in her opinion, were the beneficiaries of the provisional measures she had requested. Likewise, following instructions of the President of the Court, the State and the Commission were required to submit their obervations to the representative’s request on January 30, 2007 at the latest.</w:t>
      </w:r>
    </w:p>
    <w:p w:rsidR="00E4306F" w:rsidRPr="002066A5" w:rsidRDefault="00E4306F">
      <w:pPr>
        <w:pStyle w:val="Sangra3detindependiente"/>
        <w:widowControl w:val="0"/>
        <w:ind w:left="0" w:right="18"/>
        <w:rPr>
          <w:rFonts w:ascii="Verdana" w:hAnsi="Verdana"/>
          <w:b w:val="0"/>
          <w:sz w:val="20"/>
          <w:lang w:val="en-US"/>
        </w:rPr>
      </w:pPr>
    </w:p>
    <w:p w:rsidR="00E4306F" w:rsidRPr="002066A5" w:rsidRDefault="00E4306F">
      <w:pPr>
        <w:pStyle w:val="Sangra3detindependiente"/>
        <w:widowControl w:val="0"/>
        <w:ind w:left="0" w:right="18"/>
        <w:rPr>
          <w:rFonts w:ascii="Verdana" w:hAnsi="Verdana"/>
          <w:b w:val="0"/>
          <w:sz w:val="20"/>
          <w:lang w:val="en-US"/>
        </w:rPr>
      </w:pPr>
      <w:r w:rsidRPr="002066A5">
        <w:rPr>
          <w:rFonts w:ascii="Verdana" w:hAnsi="Verdana"/>
          <w:b w:val="0"/>
          <w:sz w:val="20"/>
          <w:lang w:val="en-US"/>
        </w:rPr>
        <w:t xml:space="preserve">9. </w:t>
      </w:r>
      <w:r w:rsidRPr="002066A5">
        <w:rPr>
          <w:rFonts w:ascii="Verdana" w:hAnsi="Verdana"/>
          <w:b w:val="0"/>
          <w:sz w:val="20"/>
          <w:lang w:val="en-US"/>
        </w:rPr>
        <w:tab/>
        <w:t>The representative’s communication of January 25, 2007, whereby she furnished the names of the persons in respect of whom she had requested the Tribunal to order the adoption of provisional measures, to wit: María del Socorro Nievas (expert witness), Germán Schenker (expert witness); Julio A. Ravioli (expert witness); Fernando Emilio Taragano (expert witness); Marcelo S. Senillosa (court clerk); José Foppoli (court clerk); Marcelo Saúl Senillosa (court clerk); Eduardo Senillosa (court clerk); Alejandra Irma Delgado (secretary at the notary public’s office); Juan Francisco Bueno-Alves (alleged victim) and his “household”, and Helena T. Afonso-Fernández (attorney).</w:t>
      </w:r>
    </w:p>
    <w:p w:rsidR="00E4306F" w:rsidRPr="002066A5" w:rsidRDefault="00E4306F" w:rsidP="00E4306F">
      <w:pPr>
        <w:jc w:val="both"/>
        <w:rPr>
          <w:rFonts w:ascii="Garamond" w:hAnsi="Garamond"/>
          <w:lang w:val="en-US"/>
        </w:rPr>
      </w:pPr>
    </w:p>
    <w:p w:rsidR="00E4306F" w:rsidRPr="002066A5" w:rsidRDefault="00E4306F" w:rsidP="00E4306F">
      <w:pPr>
        <w:jc w:val="both"/>
        <w:rPr>
          <w:rFonts w:ascii="Verdana" w:hAnsi="Verdana"/>
          <w:sz w:val="20"/>
          <w:szCs w:val="20"/>
          <w:lang w:val="en-US" w:eastAsia="en-US"/>
        </w:rPr>
      </w:pPr>
      <w:r w:rsidRPr="002066A5">
        <w:rPr>
          <w:rFonts w:ascii="Verdana" w:hAnsi="Verdana"/>
          <w:sz w:val="20"/>
          <w:szCs w:val="20"/>
          <w:lang w:val="en-US" w:eastAsia="en-US"/>
        </w:rPr>
        <w:t>10.</w:t>
      </w:r>
      <w:r w:rsidRPr="002066A5">
        <w:rPr>
          <w:rFonts w:ascii="Verdana" w:hAnsi="Verdana"/>
          <w:sz w:val="20"/>
          <w:szCs w:val="20"/>
          <w:lang w:val="en-US" w:eastAsia="en-US"/>
        </w:rPr>
        <w:tab/>
        <w:t>The communication of January 29, 2007, whereby the State submitted its observations to the request for provisional measures (</w:t>
      </w:r>
      <w:r w:rsidRPr="002066A5">
        <w:rPr>
          <w:rFonts w:ascii="Verdana" w:hAnsi="Verdana"/>
          <w:i/>
          <w:sz w:val="20"/>
          <w:szCs w:val="20"/>
          <w:lang w:val="en-US" w:eastAsia="en-US"/>
        </w:rPr>
        <w:t xml:space="preserve">supra </w:t>
      </w:r>
      <w:proofErr w:type="gramStart"/>
      <w:r w:rsidRPr="002066A5">
        <w:rPr>
          <w:rFonts w:ascii="Verdana" w:hAnsi="Verdana"/>
          <w:sz w:val="20"/>
          <w:szCs w:val="20"/>
          <w:lang w:val="en-US" w:eastAsia="en-US"/>
        </w:rPr>
        <w:t>Having</w:t>
      </w:r>
      <w:proofErr w:type="gramEnd"/>
      <w:r w:rsidRPr="002066A5">
        <w:rPr>
          <w:rFonts w:ascii="Verdana" w:hAnsi="Verdana"/>
          <w:sz w:val="20"/>
          <w:szCs w:val="20"/>
          <w:lang w:val="en-US" w:eastAsia="en-US"/>
        </w:rPr>
        <w:t xml:space="preserve"> seen paragraph 6). In this regard, it expressed, </w:t>
      </w:r>
      <w:r w:rsidRPr="002066A5">
        <w:rPr>
          <w:rFonts w:ascii="Verdana" w:hAnsi="Verdana"/>
          <w:i/>
          <w:sz w:val="20"/>
          <w:szCs w:val="20"/>
          <w:lang w:val="en-US" w:eastAsia="en-US"/>
        </w:rPr>
        <w:t>inter alia</w:t>
      </w:r>
      <w:r w:rsidRPr="002066A5">
        <w:rPr>
          <w:rFonts w:ascii="Verdana" w:hAnsi="Verdana"/>
          <w:sz w:val="20"/>
          <w:szCs w:val="20"/>
          <w:lang w:val="en-US" w:eastAsia="en-US"/>
        </w:rPr>
        <w:t>, that “there are no objective or subjective elements enabling us to assert that there exist</w:t>
      </w:r>
      <w:r>
        <w:rPr>
          <w:rFonts w:ascii="Verdana" w:hAnsi="Verdana"/>
          <w:sz w:val="20"/>
          <w:szCs w:val="20"/>
          <w:lang w:val="en-US" w:eastAsia="en-US"/>
        </w:rPr>
        <w:t xml:space="preserve"> risks</w:t>
      </w:r>
      <w:r w:rsidRPr="002066A5">
        <w:rPr>
          <w:rFonts w:ascii="Verdana" w:hAnsi="Verdana"/>
          <w:sz w:val="20"/>
          <w:szCs w:val="20"/>
          <w:lang w:val="en-US" w:eastAsia="en-US"/>
        </w:rPr>
        <w:t xml:space="preserve"> in relation to the life or physical integrity of the listed persons […], which situation provides enough grounds for [the] Tribunal to reject said request”.</w:t>
      </w:r>
    </w:p>
    <w:p w:rsidR="00E4306F" w:rsidRPr="002066A5" w:rsidRDefault="00E4306F">
      <w:pPr>
        <w:ind w:right="18"/>
        <w:jc w:val="both"/>
        <w:rPr>
          <w:rFonts w:ascii="Verdana" w:hAnsi="Verdana"/>
          <w:sz w:val="20"/>
          <w:lang w:val="en-US"/>
        </w:rPr>
      </w:pPr>
    </w:p>
    <w:p w:rsidR="00E4306F" w:rsidRPr="002066A5" w:rsidRDefault="00E4306F" w:rsidP="00E4306F">
      <w:pPr>
        <w:jc w:val="both"/>
        <w:rPr>
          <w:rFonts w:ascii="Verdana" w:hAnsi="Verdana"/>
          <w:sz w:val="20"/>
          <w:szCs w:val="20"/>
          <w:lang w:val="en-US" w:eastAsia="en-US"/>
        </w:rPr>
      </w:pPr>
      <w:r w:rsidRPr="002066A5">
        <w:rPr>
          <w:rFonts w:ascii="Verdana" w:hAnsi="Verdana"/>
          <w:sz w:val="20"/>
          <w:szCs w:val="20"/>
          <w:lang w:val="en-US" w:eastAsia="en-US"/>
        </w:rPr>
        <w:t>11.</w:t>
      </w:r>
      <w:r w:rsidRPr="002066A5">
        <w:rPr>
          <w:rFonts w:ascii="Verdana" w:hAnsi="Verdana"/>
          <w:sz w:val="20"/>
          <w:szCs w:val="20"/>
          <w:lang w:val="en-US" w:eastAsia="en-US"/>
        </w:rPr>
        <w:tab/>
        <w:t>The communication of January 30, 2007, whereby the Commission pointed out that “it had no observations to make”.</w:t>
      </w:r>
    </w:p>
    <w:p w:rsidR="00E4306F" w:rsidRPr="002066A5" w:rsidRDefault="00E4306F">
      <w:pPr>
        <w:ind w:right="18"/>
        <w:jc w:val="both"/>
        <w:rPr>
          <w:rFonts w:ascii="Verdana" w:hAnsi="Verdana"/>
          <w:sz w:val="20"/>
          <w:lang w:val="en-US"/>
        </w:rPr>
      </w:pPr>
    </w:p>
    <w:p w:rsidR="00E4306F" w:rsidRPr="002066A5" w:rsidRDefault="00E4306F">
      <w:pPr>
        <w:tabs>
          <w:tab w:val="left" w:pos="680"/>
        </w:tabs>
        <w:ind w:right="18"/>
        <w:jc w:val="both"/>
        <w:rPr>
          <w:rFonts w:ascii="Verdana" w:hAnsi="Verdana"/>
          <w:b/>
          <w:sz w:val="20"/>
          <w:lang w:val="en-US"/>
        </w:rPr>
      </w:pPr>
      <w:r w:rsidRPr="002066A5">
        <w:rPr>
          <w:rFonts w:ascii="Verdana" w:hAnsi="Verdana"/>
          <w:b/>
          <w:sz w:val="20"/>
          <w:lang w:val="en-US"/>
        </w:rPr>
        <w:t>CONSIDERING:</w:t>
      </w:r>
    </w:p>
    <w:p w:rsidR="00E4306F" w:rsidRPr="002066A5" w:rsidRDefault="00E4306F">
      <w:pPr>
        <w:tabs>
          <w:tab w:val="left" w:pos="680"/>
        </w:tabs>
        <w:ind w:right="18"/>
        <w:jc w:val="both"/>
        <w:rPr>
          <w:rFonts w:ascii="Verdana" w:hAnsi="Verdana"/>
          <w:b/>
          <w:sz w:val="20"/>
          <w:lang w:val="en-US"/>
        </w:rPr>
      </w:pPr>
    </w:p>
    <w:p w:rsidR="00E4306F" w:rsidRPr="002066A5" w:rsidRDefault="00E4306F">
      <w:pPr>
        <w:tabs>
          <w:tab w:val="left" w:pos="0"/>
        </w:tabs>
        <w:ind w:right="18"/>
        <w:jc w:val="both"/>
        <w:rPr>
          <w:rFonts w:ascii="Verdana" w:hAnsi="Verdana"/>
          <w:sz w:val="20"/>
          <w:lang w:val="en-US"/>
        </w:rPr>
      </w:pPr>
      <w:r w:rsidRPr="002066A5">
        <w:rPr>
          <w:rFonts w:ascii="Verdana" w:hAnsi="Verdana"/>
          <w:sz w:val="20"/>
          <w:lang w:val="en-US"/>
        </w:rPr>
        <w:t>1.</w:t>
      </w:r>
      <w:r w:rsidRPr="002066A5">
        <w:rPr>
          <w:rFonts w:ascii="Verdana" w:hAnsi="Verdana"/>
          <w:sz w:val="20"/>
          <w:lang w:val="en-US"/>
        </w:rPr>
        <w:tab/>
        <w:t xml:space="preserve">That Article 63(2) of the American Convention on Human Rights </w:t>
      </w:r>
      <w:r>
        <w:rPr>
          <w:rFonts w:ascii="Verdana" w:hAnsi="Verdana"/>
          <w:sz w:val="20"/>
          <w:lang w:val="en-US"/>
        </w:rPr>
        <w:t xml:space="preserve">(hereinafter, “the Convention”) </w:t>
      </w:r>
      <w:r w:rsidRPr="002066A5">
        <w:rPr>
          <w:rFonts w:ascii="Verdana" w:hAnsi="Verdana"/>
          <w:sz w:val="20"/>
          <w:lang w:val="en-US"/>
        </w:rPr>
        <w:t xml:space="preserve">provides that, </w:t>
      </w:r>
      <w:r w:rsidRPr="00811C13">
        <w:rPr>
          <w:rFonts w:ascii="Verdana" w:hAnsi="Verdana"/>
          <w:i/>
          <w:sz w:val="20"/>
          <w:lang w:val="en-GB"/>
        </w:rPr>
        <w:t>“</w:t>
      </w:r>
      <w:r w:rsidRPr="00811C13">
        <w:rPr>
          <w:rFonts w:ascii="Verdana" w:hAnsi="Verdana"/>
          <w:sz w:val="20"/>
          <w:lang w:val="en-GB"/>
        </w:rPr>
        <w:t xml:space="preserve">[i]n </w:t>
      </w:r>
      <w:r w:rsidRPr="002066A5">
        <w:rPr>
          <w:rFonts w:ascii="Verdana" w:hAnsi="Verdana"/>
          <w:sz w:val="20"/>
          <w:lang w:val="en-US"/>
        </w:rPr>
        <w:t>cases of extreme gravity and urgency, and when necessary to avoid irreparable damage to persons”, the Court</w:t>
      </w:r>
      <w:r w:rsidRPr="006901E5">
        <w:rPr>
          <w:rFonts w:ascii="Verdana" w:hAnsi="Verdana"/>
          <w:sz w:val="20"/>
          <w:lang w:val="en-US"/>
        </w:rPr>
        <w:t xml:space="preserve"> </w:t>
      </w:r>
      <w:r w:rsidRPr="002066A5">
        <w:rPr>
          <w:rFonts w:ascii="Verdana" w:hAnsi="Verdana"/>
          <w:sz w:val="20"/>
          <w:lang w:val="en-US"/>
        </w:rPr>
        <w:t>may adopt such provisional measures as it deems pertinent, with regard to cases not yet submitted to it, and a</w:t>
      </w:r>
      <w:r>
        <w:rPr>
          <w:rFonts w:ascii="Verdana" w:hAnsi="Verdana"/>
          <w:sz w:val="20"/>
          <w:lang w:val="en-US"/>
        </w:rPr>
        <w:t>t the request of the Commission</w:t>
      </w:r>
      <w:r w:rsidRPr="002066A5">
        <w:rPr>
          <w:rFonts w:ascii="Verdana" w:hAnsi="Verdana"/>
          <w:sz w:val="20"/>
          <w:lang w:val="en-US"/>
        </w:rPr>
        <w:t>.</w:t>
      </w:r>
    </w:p>
    <w:p w:rsidR="00E4306F" w:rsidRPr="002066A5" w:rsidRDefault="00E4306F">
      <w:pPr>
        <w:tabs>
          <w:tab w:val="left" w:pos="0"/>
        </w:tabs>
        <w:ind w:right="18"/>
        <w:jc w:val="both"/>
        <w:rPr>
          <w:rFonts w:ascii="Verdana" w:hAnsi="Verdana"/>
          <w:sz w:val="20"/>
          <w:lang w:val="en-US"/>
        </w:rPr>
      </w:pPr>
    </w:p>
    <w:p w:rsidR="00E4306F" w:rsidRPr="002066A5" w:rsidRDefault="00E4306F">
      <w:pPr>
        <w:tabs>
          <w:tab w:val="left" w:pos="0"/>
        </w:tabs>
        <w:ind w:right="18"/>
        <w:jc w:val="both"/>
        <w:rPr>
          <w:rFonts w:ascii="Verdana" w:hAnsi="Verdana"/>
          <w:sz w:val="20"/>
          <w:lang w:val="en-US"/>
        </w:rPr>
      </w:pPr>
      <w:r w:rsidRPr="002066A5">
        <w:rPr>
          <w:rFonts w:ascii="Verdana" w:hAnsi="Verdana"/>
          <w:sz w:val="20"/>
          <w:lang w:val="en-US"/>
        </w:rPr>
        <w:t>2.</w:t>
      </w:r>
      <w:r w:rsidRPr="002066A5">
        <w:rPr>
          <w:rFonts w:ascii="Verdana" w:hAnsi="Verdana"/>
          <w:sz w:val="20"/>
          <w:lang w:val="en-US"/>
        </w:rPr>
        <w:tab/>
        <w:t>That, in relation to this matter, Article 25 of the Rules of Procedure provides that:</w:t>
      </w:r>
    </w:p>
    <w:p w:rsidR="00E4306F" w:rsidRPr="002066A5" w:rsidRDefault="00E4306F">
      <w:pPr>
        <w:tabs>
          <w:tab w:val="left" w:pos="0"/>
        </w:tabs>
        <w:ind w:right="18"/>
        <w:jc w:val="both"/>
        <w:rPr>
          <w:rFonts w:ascii="Verdana" w:hAnsi="Verdana"/>
          <w:sz w:val="20"/>
          <w:lang w:val="en-US"/>
        </w:rPr>
      </w:pPr>
    </w:p>
    <w:p w:rsidR="00E4306F" w:rsidRPr="002066A5" w:rsidRDefault="00E4306F" w:rsidP="00E4306F">
      <w:pPr>
        <w:pStyle w:val="Textodebloque"/>
        <w:tabs>
          <w:tab w:val="left" w:pos="1080"/>
        </w:tabs>
        <w:ind w:right="558"/>
        <w:rPr>
          <w:rFonts w:ascii="Verdana" w:hAnsi="Verdana"/>
          <w:sz w:val="16"/>
          <w:lang w:val="en-US"/>
        </w:rPr>
      </w:pPr>
      <w:r w:rsidRPr="002066A5">
        <w:rPr>
          <w:rFonts w:ascii="Verdana" w:hAnsi="Verdana"/>
          <w:sz w:val="16"/>
          <w:lang w:val="en-US"/>
        </w:rPr>
        <w:t>1.</w:t>
      </w:r>
      <w:r w:rsidRPr="002066A5">
        <w:rPr>
          <w:rFonts w:ascii="Verdana" w:hAnsi="Verdana"/>
          <w:sz w:val="16"/>
          <w:lang w:val="en-US"/>
        </w:rPr>
        <w:tab/>
        <w:t xml:space="preserve">At any stage of the proceeding involving cases of extreme gravity and urgency and when necessary to avoid irreparable damage to persons, the Court may, at the request of a party or on its own motion, order whatever provisional measures it deems appropriate, pursuant to Article 63(2) of the Convention.  </w:t>
      </w:r>
    </w:p>
    <w:p w:rsidR="00E4306F" w:rsidRPr="002066A5" w:rsidRDefault="00E4306F" w:rsidP="00E4306F">
      <w:pPr>
        <w:spacing w:after="40"/>
        <w:ind w:right="558"/>
        <w:jc w:val="both"/>
        <w:rPr>
          <w:rFonts w:ascii="Verdana" w:hAnsi="Verdana"/>
          <w:sz w:val="16"/>
          <w:lang w:val="en-US"/>
        </w:rPr>
      </w:pPr>
    </w:p>
    <w:p w:rsidR="00E4306F" w:rsidRPr="002066A5" w:rsidRDefault="00E4306F" w:rsidP="00E4306F">
      <w:pPr>
        <w:spacing w:after="40"/>
        <w:ind w:left="720" w:right="558"/>
        <w:jc w:val="both"/>
        <w:rPr>
          <w:rFonts w:ascii="Verdana" w:hAnsi="Verdana"/>
          <w:sz w:val="16"/>
          <w:lang w:val="en-US"/>
        </w:rPr>
      </w:pPr>
      <w:r w:rsidRPr="002066A5">
        <w:rPr>
          <w:rFonts w:ascii="Verdana" w:hAnsi="Verdana"/>
          <w:sz w:val="16"/>
          <w:lang w:val="en-US"/>
        </w:rPr>
        <w:t>[…]</w:t>
      </w:r>
    </w:p>
    <w:p w:rsidR="00E4306F" w:rsidRPr="002066A5" w:rsidRDefault="00E4306F" w:rsidP="00E4306F">
      <w:pPr>
        <w:spacing w:after="40"/>
        <w:ind w:left="720" w:right="558"/>
        <w:jc w:val="both"/>
        <w:rPr>
          <w:rFonts w:ascii="Verdana" w:hAnsi="Verdana"/>
          <w:sz w:val="16"/>
          <w:lang w:val="en-US"/>
        </w:rPr>
      </w:pPr>
    </w:p>
    <w:p w:rsidR="00E4306F" w:rsidRPr="002066A5" w:rsidRDefault="00E4306F" w:rsidP="00E4306F">
      <w:pPr>
        <w:spacing w:after="40"/>
        <w:ind w:left="720" w:right="558"/>
        <w:jc w:val="both"/>
        <w:rPr>
          <w:rFonts w:ascii="Verdana" w:hAnsi="Verdana"/>
          <w:sz w:val="16"/>
          <w:lang w:val="en-US"/>
        </w:rPr>
      </w:pPr>
      <w:r w:rsidRPr="002066A5">
        <w:rPr>
          <w:rFonts w:ascii="Verdana" w:hAnsi="Verdana"/>
          <w:sz w:val="16"/>
          <w:lang w:val="en-US"/>
        </w:rPr>
        <w:t xml:space="preserve">3.  </w:t>
      </w:r>
      <w:r w:rsidRPr="00A8475E">
        <w:rPr>
          <w:rFonts w:ascii="Verdana" w:hAnsi="Verdana"/>
          <w:sz w:val="16"/>
          <w:szCs w:val="16"/>
          <w:lang w:val="en-GB"/>
        </w:rPr>
        <w:t>In contentious cases already submitted to the Court, the victims or alleged victims, their next of kin, or their duly accredited representatives, may present a request for provisional measures directly to the Court</w:t>
      </w:r>
      <w:r w:rsidRPr="00DB24BA">
        <w:rPr>
          <w:rFonts w:ascii="Verdana" w:hAnsi="Verdana"/>
          <w:sz w:val="16"/>
          <w:lang w:val="en-US"/>
        </w:rPr>
        <w:t>.</w:t>
      </w:r>
    </w:p>
    <w:p w:rsidR="00E4306F" w:rsidRPr="002066A5" w:rsidRDefault="00E4306F">
      <w:pPr>
        <w:pStyle w:val="Textoindependiente"/>
        <w:tabs>
          <w:tab w:val="left" w:pos="0"/>
        </w:tabs>
        <w:ind w:right="18"/>
        <w:rPr>
          <w:rFonts w:ascii="Verdana" w:hAnsi="Verdana"/>
          <w:sz w:val="20"/>
          <w:lang w:val="en-US"/>
        </w:rPr>
      </w:pPr>
    </w:p>
    <w:p w:rsidR="00E4306F" w:rsidRPr="002066A5" w:rsidRDefault="00E4306F">
      <w:pPr>
        <w:ind w:right="18"/>
        <w:jc w:val="both"/>
        <w:rPr>
          <w:rFonts w:ascii="Verdana" w:hAnsi="Verdana"/>
          <w:sz w:val="20"/>
          <w:lang w:val="en-US"/>
        </w:rPr>
      </w:pPr>
      <w:r w:rsidRPr="002066A5">
        <w:rPr>
          <w:rFonts w:ascii="Verdana" w:hAnsi="Verdana"/>
          <w:sz w:val="20"/>
          <w:lang w:val="en-US"/>
        </w:rPr>
        <w:t>3.</w:t>
      </w:r>
      <w:r w:rsidRPr="002066A5">
        <w:rPr>
          <w:rFonts w:ascii="Verdana" w:hAnsi="Verdana"/>
          <w:sz w:val="20"/>
          <w:lang w:val="en-US"/>
        </w:rPr>
        <w:tab/>
        <w:t xml:space="preserve">That this </w:t>
      </w:r>
      <w:r>
        <w:rPr>
          <w:rFonts w:ascii="Verdana" w:hAnsi="Verdana"/>
          <w:sz w:val="20"/>
          <w:lang w:val="en-US"/>
        </w:rPr>
        <w:t>request</w:t>
      </w:r>
      <w:r w:rsidRPr="002066A5">
        <w:rPr>
          <w:rFonts w:ascii="Verdana" w:hAnsi="Verdana"/>
          <w:sz w:val="20"/>
          <w:lang w:val="en-US"/>
        </w:rPr>
        <w:t xml:space="preserve"> for provisional measures was </w:t>
      </w:r>
      <w:r>
        <w:rPr>
          <w:rFonts w:ascii="Verdana" w:hAnsi="Verdana"/>
          <w:sz w:val="20"/>
          <w:lang w:val="en-US"/>
        </w:rPr>
        <w:t>presented</w:t>
      </w:r>
      <w:r w:rsidRPr="002066A5">
        <w:rPr>
          <w:rFonts w:ascii="Verdana" w:hAnsi="Verdana"/>
          <w:sz w:val="20"/>
          <w:lang w:val="en-US"/>
        </w:rPr>
        <w:t xml:space="preserve"> directly by the alleged victim’s representative in </w:t>
      </w:r>
      <w:r>
        <w:rPr>
          <w:rFonts w:ascii="Verdana" w:hAnsi="Verdana"/>
          <w:sz w:val="20"/>
          <w:lang w:val="en-US"/>
        </w:rPr>
        <w:t xml:space="preserve">a </w:t>
      </w:r>
      <w:r w:rsidRPr="002066A5">
        <w:rPr>
          <w:rFonts w:ascii="Verdana" w:hAnsi="Verdana"/>
          <w:sz w:val="20"/>
          <w:lang w:val="en-US"/>
        </w:rPr>
        <w:t xml:space="preserve">case already submitted to the Court, and is thus in keeping with Article 25 of the Rules of Procedure.  </w:t>
      </w:r>
    </w:p>
    <w:p w:rsidR="00E4306F" w:rsidRPr="002066A5" w:rsidRDefault="00E4306F">
      <w:pPr>
        <w:ind w:right="18"/>
        <w:jc w:val="both"/>
        <w:rPr>
          <w:rFonts w:ascii="Verdana" w:hAnsi="Verdana"/>
          <w:sz w:val="20"/>
          <w:lang w:val="en-US"/>
        </w:rPr>
      </w:pPr>
    </w:p>
    <w:p w:rsidR="00E4306F" w:rsidRPr="002066A5" w:rsidRDefault="00E4306F">
      <w:pPr>
        <w:pStyle w:val="Textoindependiente"/>
        <w:ind w:right="18"/>
        <w:rPr>
          <w:rFonts w:ascii="Verdana" w:hAnsi="Verdana"/>
          <w:b/>
          <w:sz w:val="20"/>
          <w:lang w:val="en-US"/>
        </w:rPr>
      </w:pPr>
      <w:r w:rsidRPr="002066A5">
        <w:rPr>
          <w:rFonts w:ascii="Verdana" w:hAnsi="Verdana"/>
          <w:sz w:val="20"/>
          <w:lang w:val="en-US"/>
        </w:rPr>
        <w:t>4.</w:t>
      </w:r>
      <w:r w:rsidRPr="002066A5">
        <w:rPr>
          <w:rFonts w:ascii="Verdana" w:hAnsi="Verdana"/>
          <w:sz w:val="20"/>
          <w:lang w:val="en-US"/>
        </w:rPr>
        <w:tab/>
      </w:r>
      <w:r w:rsidRPr="002066A5">
        <w:rPr>
          <w:rFonts w:ascii="Verdana" w:hAnsi="Verdana"/>
          <w:sz w:val="20"/>
          <w:lang w:val="en-US"/>
        </w:rPr>
        <w:tab/>
        <w:t xml:space="preserve">That provisional measures may be ordered as long as the background data submitted to the Court provide </w:t>
      </w:r>
      <w:r w:rsidRPr="00DB24BA">
        <w:rPr>
          <w:rFonts w:ascii="Verdana" w:hAnsi="Verdana"/>
          <w:i/>
          <w:sz w:val="20"/>
          <w:lang w:val="en-US"/>
        </w:rPr>
        <w:t>prima facie</w:t>
      </w:r>
      <w:r w:rsidRPr="002066A5">
        <w:rPr>
          <w:rFonts w:ascii="Verdana" w:hAnsi="Verdana"/>
          <w:sz w:val="20"/>
          <w:lang w:val="en-US"/>
        </w:rPr>
        <w:t xml:space="preserve"> evidence that there </w:t>
      </w:r>
      <w:proofErr w:type="gramStart"/>
      <w:r w:rsidRPr="002066A5">
        <w:rPr>
          <w:rFonts w:ascii="Verdana" w:hAnsi="Verdana"/>
          <w:sz w:val="20"/>
          <w:lang w:val="en-US"/>
        </w:rPr>
        <w:t>exists</w:t>
      </w:r>
      <w:proofErr w:type="gramEnd"/>
      <w:r w:rsidRPr="002066A5">
        <w:rPr>
          <w:rFonts w:ascii="Verdana" w:hAnsi="Verdana"/>
          <w:sz w:val="20"/>
          <w:lang w:val="en-US"/>
        </w:rPr>
        <w:t xml:space="preserve"> a situation of extreme gravity and urgency and that irreparable damage to persons is imminent.</w:t>
      </w:r>
      <w:r w:rsidRPr="002066A5">
        <w:rPr>
          <w:rStyle w:val="Refdenotaalpie"/>
          <w:sz w:val="20"/>
          <w:lang w:val="en-US"/>
        </w:rPr>
        <w:footnoteReference w:id="1"/>
      </w:r>
      <w:r w:rsidRPr="002066A5">
        <w:rPr>
          <w:rFonts w:ascii="Verdana" w:hAnsi="Verdana"/>
          <w:sz w:val="20"/>
          <w:lang w:val="en-US"/>
        </w:rPr>
        <w:t xml:space="preserve"> </w:t>
      </w:r>
    </w:p>
    <w:p w:rsidR="00E4306F" w:rsidRPr="002066A5" w:rsidRDefault="00E4306F">
      <w:pPr>
        <w:spacing w:before="20" w:after="20"/>
        <w:ind w:right="14"/>
        <w:jc w:val="both"/>
        <w:rPr>
          <w:rFonts w:ascii="Verdana" w:hAnsi="Verdana"/>
          <w:sz w:val="20"/>
          <w:lang w:val="en-US"/>
        </w:rPr>
      </w:pPr>
    </w:p>
    <w:p w:rsidR="00E4306F" w:rsidRPr="002066A5" w:rsidRDefault="00E4306F">
      <w:pPr>
        <w:spacing w:before="20" w:after="20"/>
        <w:ind w:right="14"/>
        <w:jc w:val="both"/>
        <w:rPr>
          <w:rFonts w:ascii="Verdana" w:hAnsi="Verdana"/>
          <w:sz w:val="20"/>
          <w:lang w:val="en-US"/>
        </w:rPr>
      </w:pPr>
      <w:r w:rsidRPr="002066A5">
        <w:rPr>
          <w:rFonts w:ascii="Verdana" w:hAnsi="Verdana"/>
          <w:sz w:val="20"/>
          <w:lang w:val="en-US"/>
        </w:rPr>
        <w:t>5.</w:t>
      </w:r>
      <w:r w:rsidRPr="002066A5">
        <w:rPr>
          <w:rFonts w:ascii="Verdana" w:hAnsi="Verdana"/>
          <w:sz w:val="20"/>
          <w:lang w:val="en-US"/>
        </w:rPr>
        <w:tab/>
        <w:t xml:space="preserve">That after having examined the facts and circumstances on which this </w:t>
      </w:r>
      <w:r>
        <w:rPr>
          <w:rFonts w:ascii="Verdana" w:hAnsi="Verdana"/>
          <w:sz w:val="20"/>
          <w:lang w:val="en-US"/>
        </w:rPr>
        <w:t>request</w:t>
      </w:r>
      <w:r w:rsidRPr="002066A5">
        <w:rPr>
          <w:rFonts w:ascii="Verdana" w:hAnsi="Verdana"/>
          <w:sz w:val="20"/>
          <w:lang w:val="en-US"/>
        </w:rPr>
        <w:t xml:space="preserve"> was based, this Tribunal believes that in </w:t>
      </w:r>
      <w:r>
        <w:rPr>
          <w:rFonts w:ascii="Verdana" w:hAnsi="Verdana"/>
          <w:sz w:val="20"/>
          <w:lang w:val="en-US"/>
        </w:rPr>
        <w:t>the instant case</w:t>
      </w:r>
      <w:r w:rsidRPr="002066A5">
        <w:rPr>
          <w:rFonts w:ascii="Verdana" w:hAnsi="Verdana"/>
          <w:sz w:val="20"/>
          <w:lang w:val="en-US"/>
        </w:rPr>
        <w:t xml:space="preserve"> it is not possible to determine, on a </w:t>
      </w:r>
      <w:r w:rsidRPr="006E6EF9">
        <w:rPr>
          <w:rFonts w:ascii="Verdana" w:hAnsi="Verdana"/>
          <w:i/>
          <w:sz w:val="20"/>
          <w:lang w:val="en-US"/>
        </w:rPr>
        <w:t>prima facie</w:t>
      </w:r>
      <w:r w:rsidRPr="002066A5">
        <w:rPr>
          <w:rFonts w:ascii="Verdana" w:hAnsi="Verdana"/>
          <w:sz w:val="20"/>
          <w:lang w:val="en-US"/>
        </w:rPr>
        <w:t xml:space="preserve"> basis, that the persons listed by the representative (</w:t>
      </w:r>
      <w:r w:rsidRPr="002066A5">
        <w:rPr>
          <w:rFonts w:ascii="Verdana" w:hAnsi="Verdana"/>
          <w:i/>
          <w:sz w:val="20"/>
          <w:lang w:val="en-US"/>
        </w:rPr>
        <w:t xml:space="preserve">supra </w:t>
      </w:r>
      <w:r w:rsidRPr="002066A5">
        <w:rPr>
          <w:rFonts w:ascii="Verdana" w:hAnsi="Verdana"/>
          <w:sz w:val="20"/>
          <w:lang w:val="en-US"/>
        </w:rPr>
        <w:t xml:space="preserve">Having seen paragraph 9) are in a situation of extreme gravity and urgency, or that their lives and personal integrity are threatened and at serious risk. </w:t>
      </w:r>
    </w:p>
    <w:p w:rsidR="00E4306F" w:rsidRPr="002066A5" w:rsidRDefault="00E4306F">
      <w:pPr>
        <w:pStyle w:val="Lneadereferencia"/>
        <w:tabs>
          <w:tab w:val="left" w:pos="680"/>
        </w:tabs>
        <w:spacing w:before="20" w:after="20"/>
        <w:ind w:right="18"/>
        <w:rPr>
          <w:rFonts w:ascii="Verdana" w:hAnsi="Verdana"/>
          <w:lang w:val="en-US"/>
        </w:rPr>
      </w:pPr>
    </w:p>
    <w:p w:rsidR="00E4306F" w:rsidRPr="002066A5" w:rsidRDefault="00E4306F">
      <w:pPr>
        <w:tabs>
          <w:tab w:val="left" w:pos="680"/>
        </w:tabs>
        <w:spacing w:before="20" w:after="20"/>
        <w:ind w:right="18"/>
        <w:jc w:val="both"/>
        <w:rPr>
          <w:rFonts w:ascii="Verdana" w:hAnsi="Verdana"/>
          <w:b/>
          <w:sz w:val="20"/>
          <w:lang w:val="en-US"/>
        </w:rPr>
      </w:pPr>
      <w:r w:rsidRPr="002066A5">
        <w:rPr>
          <w:rFonts w:ascii="Verdana" w:hAnsi="Verdana"/>
          <w:b/>
          <w:sz w:val="20"/>
          <w:lang w:val="en-US"/>
        </w:rPr>
        <w:t>THEREFORE:</w:t>
      </w:r>
    </w:p>
    <w:p w:rsidR="00E4306F" w:rsidRPr="002066A5" w:rsidRDefault="00E4306F">
      <w:pPr>
        <w:tabs>
          <w:tab w:val="left" w:pos="680"/>
        </w:tabs>
        <w:spacing w:before="20" w:after="20"/>
        <w:ind w:right="18"/>
        <w:jc w:val="both"/>
        <w:rPr>
          <w:rFonts w:ascii="Verdana" w:hAnsi="Verdana"/>
          <w:b/>
          <w:sz w:val="20"/>
          <w:lang w:val="en-US"/>
        </w:rPr>
      </w:pPr>
    </w:p>
    <w:p w:rsidR="00E4306F" w:rsidRPr="002066A5" w:rsidRDefault="00E4306F">
      <w:pPr>
        <w:spacing w:before="20" w:after="20"/>
        <w:ind w:right="18"/>
        <w:jc w:val="both"/>
        <w:rPr>
          <w:rFonts w:ascii="Verdana" w:hAnsi="Verdana"/>
          <w:b/>
          <w:sz w:val="20"/>
          <w:lang w:val="en-US"/>
        </w:rPr>
      </w:pPr>
      <w:r w:rsidRPr="002066A5">
        <w:rPr>
          <w:rFonts w:ascii="Verdana" w:hAnsi="Verdana"/>
          <w:b/>
          <w:sz w:val="20"/>
          <w:lang w:val="en-US"/>
        </w:rPr>
        <w:t>THE INTER-AMERICAN COURT OF HUMAN RIGHTS,</w:t>
      </w:r>
    </w:p>
    <w:p w:rsidR="00E4306F" w:rsidRPr="002066A5" w:rsidRDefault="00E4306F">
      <w:pPr>
        <w:spacing w:before="20" w:after="20"/>
        <w:ind w:right="18"/>
        <w:jc w:val="both"/>
        <w:rPr>
          <w:rFonts w:ascii="Verdana" w:hAnsi="Verdana"/>
          <w:sz w:val="20"/>
          <w:lang w:val="en-US"/>
        </w:rPr>
      </w:pPr>
    </w:p>
    <w:p w:rsidR="00E4306F" w:rsidRPr="002066A5" w:rsidRDefault="00E4306F">
      <w:pPr>
        <w:tabs>
          <w:tab w:val="left" w:pos="680"/>
        </w:tabs>
        <w:spacing w:before="20" w:after="20"/>
        <w:ind w:right="18"/>
        <w:jc w:val="both"/>
        <w:rPr>
          <w:rFonts w:ascii="Verdana" w:hAnsi="Verdana"/>
          <w:sz w:val="20"/>
          <w:lang w:val="en-US"/>
        </w:rPr>
      </w:pPr>
      <w:proofErr w:type="gramStart"/>
      <w:r>
        <w:rPr>
          <w:rFonts w:ascii="Verdana" w:hAnsi="Verdana"/>
          <w:sz w:val="20"/>
          <w:lang w:val="en-US"/>
        </w:rPr>
        <w:t>in</w:t>
      </w:r>
      <w:proofErr w:type="gramEnd"/>
      <w:r>
        <w:rPr>
          <w:rFonts w:ascii="Verdana" w:hAnsi="Verdana"/>
          <w:sz w:val="20"/>
          <w:lang w:val="en-US"/>
        </w:rPr>
        <w:t xml:space="preserve"> exercise of</w:t>
      </w:r>
      <w:r w:rsidRPr="002066A5">
        <w:rPr>
          <w:rFonts w:ascii="Verdana" w:hAnsi="Verdana"/>
          <w:sz w:val="20"/>
          <w:lang w:val="en-US"/>
        </w:rPr>
        <w:t xml:space="preserve"> the authority conferred on it by Article 63(2) of the American Convention on Human Rights and Article 25 of its Rules of Procedure,</w:t>
      </w:r>
    </w:p>
    <w:p w:rsidR="00E4306F" w:rsidRPr="002066A5" w:rsidRDefault="00E4306F">
      <w:pPr>
        <w:tabs>
          <w:tab w:val="left" w:pos="680"/>
        </w:tabs>
        <w:spacing w:before="20" w:after="20"/>
        <w:ind w:right="18"/>
        <w:jc w:val="both"/>
        <w:rPr>
          <w:rFonts w:ascii="Verdana" w:hAnsi="Verdana"/>
          <w:b/>
          <w:sz w:val="20"/>
          <w:lang w:val="en-US"/>
        </w:rPr>
      </w:pPr>
    </w:p>
    <w:p w:rsidR="00E4306F" w:rsidRPr="002066A5" w:rsidRDefault="00E4306F">
      <w:pPr>
        <w:tabs>
          <w:tab w:val="left" w:pos="680"/>
        </w:tabs>
        <w:spacing w:before="20" w:after="20"/>
        <w:ind w:right="18"/>
        <w:jc w:val="both"/>
        <w:rPr>
          <w:rFonts w:ascii="Verdana" w:hAnsi="Verdana"/>
          <w:b/>
          <w:sz w:val="20"/>
          <w:lang w:val="en-US"/>
        </w:rPr>
      </w:pPr>
      <w:r w:rsidRPr="002066A5">
        <w:rPr>
          <w:rFonts w:ascii="Verdana" w:hAnsi="Verdana"/>
          <w:b/>
          <w:sz w:val="20"/>
          <w:lang w:val="en-US"/>
        </w:rPr>
        <w:t>DECIDES:</w:t>
      </w:r>
    </w:p>
    <w:p w:rsidR="00E4306F" w:rsidRPr="002066A5" w:rsidRDefault="00E4306F">
      <w:pPr>
        <w:spacing w:before="20" w:after="20"/>
        <w:ind w:left="720" w:right="18"/>
        <w:jc w:val="both"/>
        <w:rPr>
          <w:rFonts w:ascii="Verdana" w:hAnsi="Verdana"/>
          <w:sz w:val="20"/>
          <w:lang w:val="en-US"/>
        </w:rPr>
      </w:pPr>
    </w:p>
    <w:p w:rsidR="00E4306F" w:rsidRPr="002066A5" w:rsidRDefault="00E4306F">
      <w:pPr>
        <w:tabs>
          <w:tab w:val="num" w:pos="0"/>
        </w:tabs>
        <w:spacing w:before="20" w:after="20"/>
        <w:ind w:right="18"/>
        <w:jc w:val="both"/>
        <w:rPr>
          <w:rFonts w:ascii="Verdana" w:hAnsi="Verdana"/>
          <w:sz w:val="20"/>
          <w:lang w:val="en-US"/>
        </w:rPr>
      </w:pPr>
      <w:r w:rsidRPr="002066A5">
        <w:rPr>
          <w:rFonts w:ascii="Verdana" w:hAnsi="Verdana"/>
          <w:sz w:val="20"/>
          <w:lang w:val="en-US"/>
        </w:rPr>
        <w:t>1.</w:t>
      </w:r>
      <w:r w:rsidRPr="002066A5">
        <w:rPr>
          <w:rFonts w:ascii="Verdana" w:hAnsi="Verdana"/>
          <w:sz w:val="20"/>
          <w:lang w:val="en-US"/>
        </w:rPr>
        <w:tab/>
        <w:t xml:space="preserve">To dismiss, on grounds of inadmissibility, the </w:t>
      </w:r>
      <w:r>
        <w:rPr>
          <w:rFonts w:ascii="Verdana" w:hAnsi="Verdana"/>
          <w:sz w:val="20"/>
          <w:lang w:val="en-US"/>
        </w:rPr>
        <w:t>request</w:t>
      </w:r>
      <w:r w:rsidRPr="002066A5">
        <w:rPr>
          <w:rFonts w:ascii="Verdana" w:hAnsi="Verdana"/>
          <w:sz w:val="20"/>
          <w:lang w:val="en-US"/>
        </w:rPr>
        <w:t xml:space="preserve"> for provisional measures filed by the </w:t>
      </w:r>
      <w:r>
        <w:rPr>
          <w:rFonts w:ascii="Verdana" w:hAnsi="Verdana"/>
          <w:sz w:val="20"/>
          <w:lang w:val="en-US"/>
        </w:rPr>
        <w:t xml:space="preserve">alleged victim’s </w:t>
      </w:r>
      <w:r w:rsidRPr="002066A5">
        <w:rPr>
          <w:rFonts w:ascii="Verdana" w:hAnsi="Verdana"/>
          <w:sz w:val="20"/>
          <w:lang w:val="en-US"/>
        </w:rPr>
        <w:t xml:space="preserve">representative. </w:t>
      </w:r>
    </w:p>
    <w:p w:rsidR="00E4306F" w:rsidRPr="002066A5" w:rsidRDefault="00E4306F">
      <w:pPr>
        <w:tabs>
          <w:tab w:val="num" w:pos="0"/>
        </w:tabs>
        <w:spacing w:before="20" w:after="20"/>
        <w:ind w:right="18"/>
        <w:jc w:val="both"/>
        <w:rPr>
          <w:rFonts w:ascii="Verdana" w:hAnsi="Verdana"/>
          <w:sz w:val="20"/>
          <w:lang w:val="en-US"/>
        </w:rPr>
      </w:pPr>
    </w:p>
    <w:p w:rsidR="00E4306F" w:rsidRPr="002066A5" w:rsidRDefault="00E4306F">
      <w:pPr>
        <w:spacing w:before="20" w:after="20"/>
        <w:ind w:right="18"/>
        <w:jc w:val="both"/>
        <w:rPr>
          <w:rFonts w:ascii="Verdana" w:hAnsi="Verdana"/>
          <w:sz w:val="20"/>
          <w:lang w:val="en-US"/>
        </w:rPr>
      </w:pPr>
      <w:r w:rsidRPr="002066A5">
        <w:rPr>
          <w:rFonts w:ascii="Verdana" w:hAnsi="Verdana"/>
          <w:sz w:val="20"/>
          <w:lang w:val="en-US"/>
        </w:rPr>
        <w:t>2.</w:t>
      </w:r>
      <w:r w:rsidRPr="002066A5">
        <w:rPr>
          <w:rFonts w:ascii="Verdana" w:hAnsi="Verdana"/>
          <w:sz w:val="20"/>
          <w:lang w:val="en-US"/>
        </w:rPr>
        <w:tab/>
        <w:t xml:space="preserve">To request the Court’s Secretariat to </w:t>
      </w:r>
      <w:r>
        <w:rPr>
          <w:rFonts w:ascii="Verdana" w:hAnsi="Verdana"/>
          <w:sz w:val="20"/>
          <w:lang w:val="en-US"/>
        </w:rPr>
        <w:t>give notice of</w:t>
      </w:r>
      <w:r w:rsidRPr="002066A5">
        <w:rPr>
          <w:rFonts w:ascii="Verdana" w:hAnsi="Verdana"/>
          <w:sz w:val="20"/>
          <w:lang w:val="en-US"/>
        </w:rPr>
        <w:t xml:space="preserve"> this Order to the State, the Inter-American Commission and the representative.</w:t>
      </w:r>
    </w:p>
    <w:p w:rsidR="00E4306F" w:rsidRPr="002066A5" w:rsidRDefault="00E4306F">
      <w:pPr>
        <w:tabs>
          <w:tab w:val="left" w:pos="5400"/>
        </w:tabs>
        <w:spacing w:before="20" w:after="20"/>
        <w:rPr>
          <w:rFonts w:ascii="Verdana" w:hAnsi="Verdana"/>
          <w:sz w:val="20"/>
          <w:szCs w:val="20"/>
          <w:lang w:val="en-US" w:eastAsia="en-US"/>
        </w:rPr>
      </w:pPr>
    </w:p>
    <w:p w:rsidR="00E4306F" w:rsidRPr="002C689D" w:rsidRDefault="00E4306F">
      <w:pPr>
        <w:spacing w:before="20" w:after="20"/>
        <w:rPr>
          <w:rFonts w:ascii="Verdana" w:hAnsi="Verdana"/>
          <w:sz w:val="20"/>
          <w:lang w:val="en-US"/>
        </w:rPr>
      </w:pPr>
      <w:r w:rsidRPr="002C689D">
        <w:rPr>
          <w:rFonts w:ascii="Verdana" w:hAnsi="Verdana"/>
          <w:sz w:val="20"/>
          <w:lang w:val="en-US"/>
        </w:rPr>
        <w:br w:type="page"/>
      </w:r>
    </w:p>
    <w:p w:rsidR="00E4306F" w:rsidRPr="002C689D" w:rsidRDefault="00E4306F" w:rsidP="00E4306F">
      <w:pPr>
        <w:jc w:val="center"/>
        <w:rPr>
          <w:rFonts w:ascii="Verdana" w:hAnsi="Verdana"/>
          <w:sz w:val="20"/>
          <w:lang w:val="en-US"/>
        </w:rPr>
      </w:pPr>
    </w:p>
    <w:p w:rsidR="00E4306F" w:rsidRPr="002C689D" w:rsidRDefault="00E4306F" w:rsidP="00E4306F">
      <w:pPr>
        <w:jc w:val="center"/>
        <w:rPr>
          <w:rFonts w:ascii="Verdana" w:hAnsi="Verdana"/>
          <w:sz w:val="20"/>
          <w:lang w:val="en-US"/>
        </w:rPr>
      </w:pPr>
    </w:p>
    <w:p w:rsidR="00E4306F" w:rsidRPr="002C689D" w:rsidRDefault="00E4306F" w:rsidP="00E4306F">
      <w:pPr>
        <w:jc w:val="center"/>
        <w:rPr>
          <w:rFonts w:ascii="Verdana" w:hAnsi="Verdana"/>
          <w:sz w:val="20"/>
          <w:lang w:val="en-US"/>
        </w:rPr>
      </w:pPr>
    </w:p>
    <w:p w:rsidR="00E4306F" w:rsidRPr="002C689D" w:rsidRDefault="00E4306F" w:rsidP="00E4306F">
      <w:pPr>
        <w:rPr>
          <w:rFonts w:ascii="Verdana" w:hAnsi="Verdana"/>
          <w:sz w:val="20"/>
          <w:lang w:val="en-US"/>
        </w:rPr>
      </w:pPr>
    </w:p>
    <w:p w:rsidR="00E4306F" w:rsidRPr="002C689D" w:rsidRDefault="00E4306F" w:rsidP="00E4306F">
      <w:pPr>
        <w:jc w:val="center"/>
        <w:rPr>
          <w:rFonts w:ascii="Verdana" w:hAnsi="Verdana"/>
          <w:sz w:val="20"/>
          <w:lang w:val="en-US"/>
        </w:rPr>
      </w:pPr>
    </w:p>
    <w:p w:rsidR="00E4306F" w:rsidRDefault="00E4306F" w:rsidP="00E4306F">
      <w:pPr>
        <w:jc w:val="center"/>
        <w:rPr>
          <w:rFonts w:ascii="Verdana" w:hAnsi="Verdana"/>
          <w:sz w:val="20"/>
        </w:rPr>
      </w:pPr>
      <w:r>
        <w:rPr>
          <w:rFonts w:ascii="Verdana" w:hAnsi="Verdana"/>
          <w:sz w:val="20"/>
        </w:rPr>
        <w:t>Sergio García-Ramírez</w:t>
      </w:r>
    </w:p>
    <w:p w:rsidR="00E4306F" w:rsidRDefault="00E4306F" w:rsidP="00E4306F">
      <w:pPr>
        <w:jc w:val="center"/>
        <w:rPr>
          <w:rFonts w:ascii="Verdana" w:hAnsi="Verdana"/>
          <w:sz w:val="20"/>
        </w:rPr>
      </w:pPr>
      <w:r>
        <w:rPr>
          <w:rFonts w:ascii="Verdana" w:hAnsi="Verdana"/>
          <w:sz w:val="20"/>
        </w:rPr>
        <w:t>President</w:t>
      </w:r>
    </w:p>
    <w:p w:rsidR="00E4306F" w:rsidRDefault="00E4306F" w:rsidP="00E4306F">
      <w:pPr>
        <w:jc w:val="both"/>
        <w:rPr>
          <w:rFonts w:ascii="Verdana" w:hAnsi="Verdana"/>
          <w:sz w:val="20"/>
        </w:rPr>
      </w:pPr>
    </w:p>
    <w:p w:rsidR="00E4306F" w:rsidRDefault="00E4306F" w:rsidP="00E4306F">
      <w:pPr>
        <w:jc w:val="both"/>
        <w:rPr>
          <w:rFonts w:ascii="Verdana" w:hAnsi="Verdana"/>
          <w:sz w:val="20"/>
        </w:rPr>
      </w:pPr>
    </w:p>
    <w:p w:rsidR="00E4306F" w:rsidRDefault="00E4306F" w:rsidP="00E4306F">
      <w:pPr>
        <w:jc w:val="both"/>
        <w:rPr>
          <w:rFonts w:ascii="Verdana" w:hAnsi="Verdana"/>
          <w:sz w:val="20"/>
        </w:rPr>
      </w:pPr>
    </w:p>
    <w:p w:rsidR="00E4306F" w:rsidRDefault="00E4306F" w:rsidP="00E4306F">
      <w:pPr>
        <w:jc w:val="both"/>
        <w:rPr>
          <w:rFonts w:ascii="Verdana" w:hAnsi="Verdana"/>
          <w:sz w:val="20"/>
        </w:rPr>
      </w:pPr>
    </w:p>
    <w:p w:rsidR="00E4306F" w:rsidRDefault="00E4306F" w:rsidP="00E4306F">
      <w:pPr>
        <w:jc w:val="both"/>
        <w:rPr>
          <w:rFonts w:ascii="Verdana" w:hAnsi="Verdana"/>
          <w:sz w:val="20"/>
        </w:rPr>
      </w:pPr>
    </w:p>
    <w:p w:rsidR="00E4306F" w:rsidRDefault="00E4306F" w:rsidP="00E4306F">
      <w:pPr>
        <w:tabs>
          <w:tab w:val="right" w:pos="8640"/>
        </w:tabs>
        <w:jc w:val="both"/>
        <w:rPr>
          <w:rFonts w:ascii="Verdana" w:hAnsi="Verdana"/>
          <w:sz w:val="20"/>
        </w:rPr>
      </w:pPr>
      <w:r>
        <w:rPr>
          <w:rFonts w:ascii="Verdana" w:hAnsi="Verdana"/>
          <w:sz w:val="20"/>
        </w:rPr>
        <w:t>Cecilia Medina-</w:t>
      </w:r>
      <w:r w:rsidRPr="00F6513C">
        <w:rPr>
          <w:rFonts w:ascii="Verdana" w:hAnsi="Verdana"/>
          <w:sz w:val="20"/>
        </w:rPr>
        <w:t>Quiroga</w:t>
      </w:r>
      <w:r w:rsidRPr="00F6513C">
        <w:rPr>
          <w:rFonts w:ascii="Verdana" w:hAnsi="Verdana"/>
          <w:sz w:val="20"/>
        </w:rPr>
        <w:tab/>
      </w:r>
      <w:r>
        <w:rPr>
          <w:rFonts w:ascii="Verdana" w:hAnsi="Verdana"/>
          <w:sz w:val="20"/>
        </w:rPr>
        <w:t>Manuel E. Ventura-Robles</w:t>
      </w:r>
    </w:p>
    <w:p w:rsidR="00E4306F" w:rsidRDefault="00E4306F" w:rsidP="00E4306F">
      <w:pPr>
        <w:tabs>
          <w:tab w:val="right" w:pos="8640"/>
        </w:tabs>
        <w:rPr>
          <w:rFonts w:ascii="Verdana" w:hAnsi="Verdana"/>
          <w:sz w:val="20"/>
        </w:rPr>
      </w:pPr>
    </w:p>
    <w:p w:rsidR="00E4306F" w:rsidRDefault="00E4306F" w:rsidP="00E4306F">
      <w:pPr>
        <w:tabs>
          <w:tab w:val="right" w:pos="8640"/>
        </w:tabs>
        <w:rPr>
          <w:rFonts w:ascii="Verdana" w:hAnsi="Verdana"/>
          <w:sz w:val="20"/>
        </w:rPr>
      </w:pPr>
    </w:p>
    <w:p w:rsidR="00E4306F" w:rsidRDefault="00E4306F" w:rsidP="00E4306F">
      <w:pPr>
        <w:tabs>
          <w:tab w:val="right" w:pos="8640"/>
        </w:tabs>
        <w:rPr>
          <w:rFonts w:ascii="Verdana" w:hAnsi="Verdana"/>
          <w:sz w:val="20"/>
        </w:rPr>
      </w:pPr>
    </w:p>
    <w:p w:rsidR="00E4306F" w:rsidRDefault="00E4306F" w:rsidP="00E4306F">
      <w:pPr>
        <w:tabs>
          <w:tab w:val="right" w:pos="8640"/>
        </w:tabs>
        <w:rPr>
          <w:rFonts w:ascii="Verdana" w:hAnsi="Verdana"/>
          <w:sz w:val="20"/>
        </w:rPr>
      </w:pPr>
    </w:p>
    <w:p w:rsidR="00E4306F" w:rsidRDefault="00E4306F" w:rsidP="00E4306F">
      <w:pPr>
        <w:tabs>
          <w:tab w:val="right" w:pos="8640"/>
        </w:tabs>
        <w:rPr>
          <w:rFonts w:ascii="Verdana" w:hAnsi="Verdana"/>
          <w:sz w:val="20"/>
        </w:rPr>
      </w:pPr>
    </w:p>
    <w:p w:rsidR="00E4306F" w:rsidRPr="001A241F" w:rsidRDefault="00E4306F" w:rsidP="00E4306F">
      <w:pPr>
        <w:tabs>
          <w:tab w:val="right" w:pos="8640"/>
        </w:tabs>
        <w:rPr>
          <w:rFonts w:ascii="Verdana" w:hAnsi="Verdana"/>
          <w:sz w:val="20"/>
          <w:lang w:val="en-GB"/>
        </w:rPr>
      </w:pPr>
      <w:r w:rsidRPr="001A241F">
        <w:rPr>
          <w:rFonts w:ascii="Verdana" w:hAnsi="Verdana"/>
          <w:sz w:val="20"/>
          <w:lang w:val="en-GB"/>
        </w:rPr>
        <w:t xml:space="preserve">Diego García-Sayán </w:t>
      </w:r>
      <w:r w:rsidRPr="001A241F">
        <w:rPr>
          <w:rFonts w:ascii="Verdana" w:hAnsi="Verdana"/>
          <w:sz w:val="20"/>
          <w:lang w:val="en-GB"/>
        </w:rPr>
        <w:tab/>
        <w:t>Margarette May Macaulay</w:t>
      </w:r>
    </w:p>
    <w:p w:rsidR="00E4306F" w:rsidRPr="001A241F" w:rsidRDefault="00E4306F" w:rsidP="00E4306F">
      <w:pPr>
        <w:tabs>
          <w:tab w:val="right" w:pos="8640"/>
        </w:tabs>
        <w:rPr>
          <w:rFonts w:ascii="Verdana" w:hAnsi="Verdana"/>
          <w:sz w:val="20"/>
          <w:lang w:val="en-GB"/>
        </w:rPr>
      </w:pPr>
      <w:r w:rsidRPr="001A241F">
        <w:rPr>
          <w:rFonts w:ascii="Verdana" w:hAnsi="Verdana"/>
          <w:sz w:val="20"/>
          <w:lang w:val="en-GB"/>
        </w:rPr>
        <w:tab/>
      </w:r>
    </w:p>
    <w:p w:rsidR="00E4306F" w:rsidRPr="001A241F" w:rsidRDefault="00E4306F" w:rsidP="00E4306F">
      <w:pPr>
        <w:tabs>
          <w:tab w:val="right" w:pos="8640"/>
        </w:tabs>
        <w:rPr>
          <w:rFonts w:ascii="Verdana" w:hAnsi="Verdana"/>
          <w:sz w:val="20"/>
          <w:lang w:val="en-GB"/>
        </w:rPr>
      </w:pPr>
    </w:p>
    <w:p w:rsidR="00E4306F" w:rsidRPr="001A241F" w:rsidRDefault="00E4306F" w:rsidP="00E4306F">
      <w:pPr>
        <w:tabs>
          <w:tab w:val="right" w:pos="8640"/>
        </w:tabs>
        <w:rPr>
          <w:rFonts w:ascii="Verdana" w:hAnsi="Verdana"/>
          <w:sz w:val="20"/>
          <w:lang w:val="en-GB"/>
        </w:rPr>
      </w:pPr>
    </w:p>
    <w:p w:rsidR="00E4306F" w:rsidRPr="001A241F" w:rsidRDefault="00E4306F" w:rsidP="00E4306F">
      <w:pPr>
        <w:tabs>
          <w:tab w:val="right" w:pos="8640"/>
        </w:tabs>
        <w:rPr>
          <w:rFonts w:ascii="Verdana" w:hAnsi="Verdana"/>
          <w:sz w:val="20"/>
          <w:lang w:val="en-GB"/>
        </w:rPr>
      </w:pPr>
    </w:p>
    <w:p w:rsidR="00E4306F" w:rsidRPr="00403B84" w:rsidRDefault="00E4306F" w:rsidP="00E4306F">
      <w:pPr>
        <w:tabs>
          <w:tab w:val="right" w:pos="8640"/>
        </w:tabs>
        <w:jc w:val="center"/>
        <w:rPr>
          <w:rFonts w:ascii="Verdana" w:hAnsi="Verdana"/>
          <w:sz w:val="20"/>
          <w:lang w:val="pt-BR"/>
        </w:rPr>
      </w:pPr>
      <w:r w:rsidRPr="00403B84">
        <w:rPr>
          <w:rFonts w:ascii="Verdana" w:hAnsi="Verdana"/>
          <w:sz w:val="20"/>
          <w:lang w:val="pt-BR"/>
        </w:rPr>
        <w:t>Rhadys Abreu-Blondet</w:t>
      </w:r>
    </w:p>
    <w:p w:rsidR="00E4306F" w:rsidRPr="00403B84" w:rsidRDefault="00E4306F" w:rsidP="00E4306F">
      <w:pPr>
        <w:tabs>
          <w:tab w:val="left" w:pos="8460"/>
          <w:tab w:val="left" w:pos="8640"/>
        </w:tabs>
        <w:jc w:val="both"/>
        <w:rPr>
          <w:rFonts w:ascii="Verdana" w:hAnsi="Verdana"/>
          <w:sz w:val="20"/>
          <w:lang w:val="pt-BR"/>
        </w:rPr>
      </w:pPr>
    </w:p>
    <w:p w:rsidR="00E4306F" w:rsidRPr="00403B84" w:rsidRDefault="00E4306F" w:rsidP="00E4306F">
      <w:pPr>
        <w:tabs>
          <w:tab w:val="left" w:pos="8460"/>
          <w:tab w:val="left" w:pos="8640"/>
        </w:tabs>
        <w:jc w:val="both"/>
        <w:rPr>
          <w:rFonts w:ascii="Verdana" w:hAnsi="Verdana"/>
          <w:sz w:val="20"/>
          <w:lang w:val="pt-BR"/>
        </w:rPr>
      </w:pPr>
    </w:p>
    <w:p w:rsidR="00E4306F" w:rsidRPr="00403B84" w:rsidRDefault="00E4306F" w:rsidP="00E4306F">
      <w:pPr>
        <w:tabs>
          <w:tab w:val="left" w:pos="8460"/>
          <w:tab w:val="left" w:pos="8640"/>
        </w:tabs>
        <w:jc w:val="both"/>
        <w:rPr>
          <w:rFonts w:ascii="Verdana" w:hAnsi="Verdana"/>
          <w:sz w:val="20"/>
          <w:lang w:val="pt-BR"/>
        </w:rPr>
      </w:pPr>
    </w:p>
    <w:p w:rsidR="00E4306F" w:rsidRPr="00403B84" w:rsidRDefault="00E4306F" w:rsidP="00E4306F">
      <w:pPr>
        <w:tabs>
          <w:tab w:val="left" w:pos="8460"/>
          <w:tab w:val="left" w:pos="8640"/>
        </w:tabs>
        <w:jc w:val="both"/>
        <w:rPr>
          <w:rFonts w:ascii="Verdana" w:hAnsi="Verdana"/>
          <w:sz w:val="20"/>
          <w:lang w:val="pt-BR"/>
        </w:rPr>
      </w:pPr>
    </w:p>
    <w:p w:rsidR="00E4306F" w:rsidRPr="00403B84" w:rsidRDefault="00E4306F" w:rsidP="00E4306F">
      <w:pPr>
        <w:tabs>
          <w:tab w:val="left" w:pos="8460"/>
          <w:tab w:val="left" w:pos="8640"/>
        </w:tabs>
        <w:jc w:val="both"/>
        <w:rPr>
          <w:rFonts w:ascii="Verdana" w:hAnsi="Verdana"/>
          <w:sz w:val="20"/>
          <w:lang w:val="pt-BR"/>
        </w:rPr>
      </w:pPr>
    </w:p>
    <w:p w:rsidR="00E4306F" w:rsidRPr="00403B84" w:rsidRDefault="00E4306F" w:rsidP="00E4306F">
      <w:pPr>
        <w:tabs>
          <w:tab w:val="left" w:pos="8460"/>
          <w:tab w:val="left" w:pos="8640"/>
        </w:tabs>
        <w:jc w:val="center"/>
        <w:rPr>
          <w:rFonts w:ascii="Verdana" w:hAnsi="Verdana"/>
          <w:sz w:val="20"/>
          <w:lang w:val="pt-BR"/>
        </w:rPr>
      </w:pPr>
      <w:r w:rsidRPr="00403B84">
        <w:rPr>
          <w:rFonts w:ascii="Verdana" w:hAnsi="Verdana"/>
          <w:sz w:val="20"/>
          <w:lang w:val="pt-BR"/>
        </w:rPr>
        <w:t>Pablo Saavedra-Alessandri</w:t>
      </w:r>
    </w:p>
    <w:p w:rsidR="00E4306F" w:rsidRPr="00811C13" w:rsidRDefault="00E4306F" w:rsidP="00E4306F">
      <w:pPr>
        <w:tabs>
          <w:tab w:val="left" w:pos="8460"/>
          <w:tab w:val="left" w:pos="8640"/>
        </w:tabs>
        <w:jc w:val="center"/>
        <w:rPr>
          <w:rFonts w:ascii="Verdana" w:hAnsi="Verdana"/>
          <w:sz w:val="20"/>
          <w:lang w:val="en-GB"/>
        </w:rPr>
      </w:pPr>
      <w:r w:rsidRPr="00811C13">
        <w:rPr>
          <w:rFonts w:ascii="Verdana" w:hAnsi="Verdana"/>
          <w:sz w:val="20"/>
          <w:lang w:val="en-GB"/>
        </w:rPr>
        <w:t>Secretary</w:t>
      </w:r>
    </w:p>
    <w:p w:rsidR="00E4306F" w:rsidRPr="00811C13" w:rsidRDefault="00E4306F" w:rsidP="00E4306F">
      <w:pPr>
        <w:tabs>
          <w:tab w:val="left" w:pos="8460"/>
          <w:tab w:val="left" w:pos="8640"/>
        </w:tabs>
        <w:jc w:val="both"/>
        <w:rPr>
          <w:rFonts w:ascii="Verdana" w:hAnsi="Verdana"/>
          <w:sz w:val="20"/>
          <w:lang w:val="en-GB"/>
        </w:rPr>
      </w:pPr>
    </w:p>
    <w:p w:rsidR="00E4306F" w:rsidRPr="00811C13" w:rsidRDefault="00E4306F" w:rsidP="00E4306F">
      <w:pPr>
        <w:jc w:val="both"/>
        <w:rPr>
          <w:rFonts w:ascii="Verdana" w:hAnsi="Verdana"/>
          <w:sz w:val="20"/>
          <w:lang w:val="en-GB"/>
        </w:rPr>
      </w:pPr>
    </w:p>
    <w:p w:rsidR="00E4306F" w:rsidRPr="00811C13" w:rsidRDefault="00E4306F" w:rsidP="00E4306F">
      <w:pPr>
        <w:tabs>
          <w:tab w:val="left" w:pos="8460"/>
          <w:tab w:val="left" w:pos="8640"/>
        </w:tabs>
        <w:jc w:val="both"/>
        <w:rPr>
          <w:rFonts w:ascii="Verdana" w:hAnsi="Verdana"/>
          <w:sz w:val="20"/>
          <w:lang w:val="en-GB"/>
        </w:rPr>
      </w:pPr>
      <w:r w:rsidRPr="00811C13">
        <w:rPr>
          <w:rFonts w:ascii="Verdana" w:hAnsi="Verdana"/>
          <w:sz w:val="20"/>
          <w:lang w:val="en-GB"/>
        </w:rPr>
        <w:t>So ordered,</w:t>
      </w:r>
    </w:p>
    <w:p w:rsidR="00E4306F" w:rsidRPr="00811C13" w:rsidRDefault="00E4306F" w:rsidP="00E4306F">
      <w:pPr>
        <w:tabs>
          <w:tab w:val="left" w:pos="8460"/>
          <w:tab w:val="left" w:pos="8640"/>
        </w:tabs>
        <w:jc w:val="both"/>
        <w:rPr>
          <w:rFonts w:ascii="Verdana" w:hAnsi="Verdana"/>
          <w:sz w:val="20"/>
          <w:lang w:val="en-GB"/>
        </w:rPr>
      </w:pPr>
    </w:p>
    <w:p w:rsidR="00E4306F" w:rsidRPr="00811C13" w:rsidRDefault="00E4306F" w:rsidP="00E4306F">
      <w:pPr>
        <w:tabs>
          <w:tab w:val="left" w:pos="8460"/>
          <w:tab w:val="left" w:pos="8640"/>
        </w:tabs>
        <w:jc w:val="both"/>
        <w:rPr>
          <w:rFonts w:ascii="Verdana" w:hAnsi="Verdana"/>
          <w:sz w:val="20"/>
          <w:lang w:val="en-GB"/>
        </w:rPr>
      </w:pPr>
    </w:p>
    <w:p w:rsidR="00E4306F" w:rsidRPr="00811C13" w:rsidRDefault="00E4306F" w:rsidP="00E4306F">
      <w:pPr>
        <w:tabs>
          <w:tab w:val="left" w:pos="8460"/>
          <w:tab w:val="left" w:pos="8640"/>
        </w:tabs>
        <w:jc w:val="both"/>
        <w:rPr>
          <w:rFonts w:ascii="Verdana" w:hAnsi="Verdana"/>
          <w:sz w:val="20"/>
          <w:lang w:val="en-GB"/>
        </w:rPr>
      </w:pPr>
    </w:p>
    <w:p w:rsidR="00E4306F" w:rsidRPr="00811C13" w:rsidRDefault="00E4306F" w:rsidP="00E4306F">
      <w:pPr>
        <w:tabs>
          <w:tab w:val="left" w:pos="8460"/>
          <w:tab w:val="left" w:pos="8640"/>
        </w:tabs>
        <w:jc w:val="both"/>
        <w:rPr>
          <w:rFonts w:ascii="Verdana" w:hAnsi="Verdana"/>
          <w:sz w:val="20"/>
          <w:lang w:val="en-GB"/>
        </w:rPr>
      </w:pPr>
    </w:p>
    <w:p w:rsidR="00E4306F" w:rsidRPr="00811C13" w:rsidRDefault="00E4306F" w:rsidP="00E4306F">
      <w:pPr>
        <w:tabs>
          <w:tab w:val="left" w:pos="8460"/>
          <w:tab w:val="left" w:pos="8640"/>
        </w:tabs>
        <w:jc w:val="both"/>
        <w:rPr>
          <w:rFonts w:ascii="Verdana" w:hAnsi="Verdana"/>
          <w:sz w:val="20"/>
          <w:lang w:val="en-GB"/>
        </w:rPr>
      </w:pPr>
    </w:p>
    <w:p w:rsidR="00E4306F" w:rsidRDefault="00E4306F" w:rsidP="00E4306F">
      <w:pPr>
        <w:jc w:val="right"/>
        <w:rPr>
          <w:rFonts w:ascii="Verdana" w:hAnsi="Verdana"/>
          <w:sz w:val="20"/>
        </w:rPr>
      </w:pPr>
      <w:r>
        <w:rPr>
          <w:rFonts w:ascii="Verdana" w:hAnsi="Verdana"/>
          <w:sz w:val="20"/>
        </w:rPr>
        <w:t>Sergio García-Ramírez</w:t>
      </w:r>
    </w:p>
    <w:p w:rsidR="00E4306F" w:rsidRDefault="00E4306F" w:rsidP="00E4306F">
      <w:pPr>
        <w:ind w:right="720"/>
        <w:jc w:val="right"/>
        <w:rPr>
          <w:rFonts w:ascii="Verdana" w:hAnsi="Verdana"/>
          <w:sz w:val="20"/>
        </w:rPr>
      </w:pPr>
      <w:r>
        <w:rPr>
          <w:rFonts w:ascii="Verdana" w:hAnsi="Verdana"/>
          <w:sz w:val="20"/>
        </w:rPr>
        <w:t>President</w:t>
      </w:r>
    </w:p>
    <w:p w:rsidR="00E4306F" w:rsidRDefault="00E4306F" w:rsidP="00E4306F">
      <w:pPr>
        <w:tabs>
          <w:tab w:val="left" w:pos="8460"/>
          <w:tab w:val="left" w:pos="8640"/>
        </w:tabs>
        <w:jc w:val="both"/>
        <w:rPr>
          <w:rFonts w:ascii="Verdana" w:hAnsi="Verdana"/>
          <w:sz w:val="20"/>
        </w:rPr>
      </w:pPr>
    </w:p>
    <w:p w:rsidR="00E4306F" w:rsidRDefault="00E4306F" w:rsidP="00E4306F">
      <w:pPr>
        <w:tabs>
          <w:tab w:val="left" w:pos="8460"/>
          <w:tab w:val="left" w:pos="8640"/>
        </w:tabs>
        <w:jc w:val="both"/>
        <w:rPr>
          <w:rFonts w:ascii="Verdana" w:hAnsi="Verdana"/>
          <w:sz w:val="20"/>
        </w:rPr>
      </w:pPr>
    </w:p>
    <w:p w:rsidR="00E4306F" w:rsidRDefault="00E4306F" w:rsidP="00E4306F">
      <w:pPr>
        <w:tabs>
          <w:tab w:val="left" w:pos="8460"/>
          <w:tab w:val="left" w:pos="8640"/>
        </w:tabs>
        <w:jc w:val="both"/>
        <w:rPr>
          <w:rFonts w:ascii="Verdana" w:hAnsi="Verdana"/>
          <w:sz w:val="20"/>
        </w:rPr>
      </w:pPr>
    </w:p>
    <w:p w:rsidR="00E4306F" w:rsidRDefault="00E4306F" w:rsidP="00E4306F">
      <w:pPr>
        <w:tabs>
          <w:tab w:val="left" w:pos="8460"/>
          <w:tab w:val="left" w:pos="8640"/>
        </w:tabs>
        <w:jc w:val="both"/>
        <w:rPr>
          <w:rFonts w:ascii="Verdana" w:hAnsi="Verdana"/>
          <w:sz w:val="20"/>
        </w:rPr>
      </w:pPr>
    </w:p>
    <w:p w:rsidR="00E4306F" w:rsidRDefault="00E4306F" w:rsidP="00E4306F">
      <w:pPr>
        <w:tabs>
          <w:tab w:val="left" w:pos="8460"/>
          <w:tab w:val="left" w:pos="8640"/>
        </w:tabs>
        <w:jc w:val="both"/>
        <w:rPr>
          <w:rFonts w:ascii="Verdana" w:hAnsi="Verdana"/>
          <w:sz w:val="20"/>
        </w:rPr>
      </w:pPr>
    </w:p>
    <w:p w:rsidR="00E4306F" w:rsidRDefault="00E4306F" w:rsidP="00E4306F">
      <w:pPr>
        <w:tabs>
          <w:tab w:val="left" w:pos="8460"/>
          <w:tab w:val="left" w:pos="8640"/>
        </w:tabs>
        <w:jc w:val="both"/>
        <w:rPr>
          <w:rFonts w:ascii="Verdana" w:hAnsi="Verdana"/>
          <w:sz w:val="20"/>
        </w:rPr>
      </w:pPr>
      <w:r>
        <w:rPr>
          <w:rFonts w:ascii="Verdana" w:hAnsi="Verdana"/>
          <w:sz w:val="20"/>
        </w:rPr>
        <w:t>Pablo Saavedra-Alessandri</w:t>
      </w:r>
    </w:p>
    <w:p w:rsidR="00E4306F" w:rsidRDefault="00E4306F" w:rsidP="00E4306F">
      <w:pPr>
        <w:tabs>
          <w:tab w:val="left" w:pos="8640"/>
        </w:tabs>
        <w:ind w:left="720"/>
        <w:rPr>
          <w:rFonts w:ascii="Verdana" w:hAnsi="Verdana"/>
          <w:sz w:val="20"/>
        </w:rPr>
      </w:pPr>
      <w:r>
        <w:rPr>
          <w:rFonts w:ascii="Verdana" w:hAnsi="Verdana"/>
          <w:sz w:val="20"/>
        </w:rPr>
        <w:t xml:space="preserve">  Secretary</w:t>
      </w:r>
    </w:p>
    <w:p w:rsidR="00E4306F" w:rsidRDefault="00E4306F">
      <w:pPr>
        <w:spacing w:before="20" w:after="20"/>
        <w:rPr>
          <w:rFonts w:ascii="Verdana" w:hAnsi="Verdana"/>
          <w:sz w:val="20"/>
        </w:rPr>
      </w:pPr>
    </w:p>
    <w:p w:rsidR="00E4306F" w:rsidRPr="00D13A07" w:rsidRDefault="00E4306F">
      <w:pPr>
        <w:rPr>
          <w:rFonts w:ascii="Verdana" w:hAnsi="Verdana"/>
          <w:sz w:val="20"/>
        </w:rPr>
      </w:pPr>
    </w:p>
    <w:sectPr w:rsidR="00E4306F" w:rsidRPr="00D13A07">
      <w:headerReference w:type="even" r:id="rId7"/>
      <w:headerReference w:type="default" r:id="rId8"/>
      <w:footerReference w:type="even" r:id="rId9"/>
      <w:footerReference w:type="default" r:id="rId10"/>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11E" w:rsidRDefault="0043511E">
      <w:r>
        <w:separator/>
      </w:r>
    </w:p>
  </w:endnote>
  <w:endnote w:type="continuationSeparator" w:id="0">
    <w:p w:rsidR="0043511E" w:rsidRDefault="00435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Lucida Grande">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06F" w:rsidRDefault="00E4306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4306F" w:rsidRDefault="00E4306F">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06F" w:rsidRDefault="00E4306F">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11E" w:rsidRDefault="0043511E">
      <w:r>
        <w:separator/>
      </w:r>
    </w:p>
  </w:footnote>
  <w:footnote w:type="continuationSeparator" w:id="0">
    <w:p w:rsidR="0043511E" w:rsidRDefault="0043511E">
      <w:r>
        <w:continuationSeparator/>
      </w:r>
    </w:p>
  </w:footnote>
  <w:footnote w:id="1">
    <w:p w:rsidR="00E4306F" w:rsidRPr="00811C13" w:rsidRDefault="00E4306F" w:rsidP="00E4306F">
      <w:pPr>
        <w:jc w:val="both"/>
        <w:rPr>
          <w:lang w:val="en-GB"/>
        </w:rPr>
      </w:pPr>
      <w:r w:rsidRPr="00190A56">
        <w:rPr>
          <w:rStyle w:val="Refdenotaalpie"/>
          <w:rFonts w:ascii="Garamond" w:hAnsi="Garamond"/>
          <w:sz w:val="16"/>
        </w:rPr>
        <w:footnoteRef/>
      </w:r>
      <w:r w:rsidRPr="00811C13">
        <w:rPr>
          <w:lang w:val="en-GB"/>
        </w:rPr>
        <w:t xml:space="preserve"> </w:t>
      </w:r>
      <w:r w:rsidRPr="00811C13">
        <w:rPr>
          <w:lang w:val="en-GB"/>
        </w:rPr>
        <w:tab/>
      </w:r>
      <w:proofErr w:type="gramStart"/>
      <w:r w:rsidRPr="00811C13">
        <w:rPr>
          <w:rFonts w:ascii="Verdana" w:hAnsi="Verdana"/>
          <w:i/>
          <w:sz w:val="16"/>
          <w:szCs w:val="22"/>
          <w:lang w:val="en-GB"/>
        </w:rPr>
        <w:t>Cfr. Case of the 19 Tradesmen</w:t>
      </w:r>
      <w:r w:rsidRPr="00811C13">
        <w:rPr>
          <w:rFonts w:ascii="Verdana" w:hAnsi="Verdana"/>
          <w:sz w:val="16"/>
          <w:szCs w:val="22"/>
          <w:lang w:val="en-GB"/>
        </w:rPr>
        <w:t>.</w:t>
      </w:r>
      <w:proofErr w:type="gramEnd"/>
      <w:r w:rsidRPr="00811C13">
        <w:rPr>
          <w:rFonts w:ascii="Verdana" w:hAnsi="Verdana"/>
          <w:sz w:val="16"/>
          <w:szCs w:val="22"/>
          <w:lang w:val="en-GB"/>
        </w:rPr>
        <w:t xml:space="preserve"> </w:t>
      </w:r>
      <w:proofErr w:type="gramStart"/>
      <w:r w:rsidRPr="00811C13">
        <w:rPr>
          <w:rFonts w:ascii="Verdana" w:hAnsi="Verdana"/>
          <w:sz w:val="16"/>
          <w:szCs w:val="22"/>
          <w:lang w:val="en-GB"/>
        </w:rPr>
        <w:t>Provisional Measures.</w:t>
      </w:r>
      <w:proofErr w:type="gramEnd"/>
      <w:r w:rsidRPr="00811C13">
        <w:rPr>
          <w:rFonts w:ascii="Verdana" w:hAnsi="Verdana"/>
          <w:sz w:val="16"/>
          <w:szCs w:val="22"/>
          <w:lang w:val="en-GB"/>
        </w:rPr>
        <w:t xml:space="preserve"> </w:t>
      </w:r>
      <w:r w:rsidRPr="000047B3">
        <w:rPr>
          <w:rFonts w:ascii="Verdana" w:hAnsi="Verdana"/>
          <w:sz w:val="16"/>
          <w:szCs w:val="22"/>
          <w:lang w:val="en-US"/>
        </w:rPr>
        <w:t>Order of the Inter-American Court of Human Rights</w:t>
      </w:r>
      <w:r>
        <w:rPr>
          <w:rFonts w:ascii="Verdana" w:hAnsi="Verdana"/>
          <w:sz w:val="16"/>
          <w:szCs w:val="22"/>
          <w:lang w:val="en-US"/>
        </w:rPr>
        <w:t xml:space="preserve"> of July 4, 2006, </w:t>
      </w:r>
      <w:proofErr w:type="gramStart"/>
      <w:r>
        <w:rPr>
          <w:rFonts w:ascii="Verdana" w:hAnsi="Verdana"/>
          <w:sz w:val="16"/>
          <w:szCs w:val="22"/>
          <w:lang w:val="en-US"/>
        </w:rPr>
        <w:t>Considering</w:t>
      </w:r>
      <w:proofErr w:type="gramEnd"/>
      <w:r>
        <w:rPr>
          <w:rFonts w:ascii="Verdana" w:hAnsi="Verdana"/>
          <w:sz w:val="16"/>
          <w:szCs w:val="22"/>
          <w:lang w:val="en-US"/>
        </w:rPr>
        <w:t xml:space="preserve"> paragraph five; </w:t>
      </w:r>
      <w:r w:rsidRPr="0008060A">
        <w:rPr>
          <w:rFonts w:ascii="Verdana" w:hAnsi="Verdana"/>
          <w:i/>
          <w:sz w:val="16"/>
          <w:szCs w:val="22"/>
          <w:lang w:val="en-US"/>
        </w:rPr>
        <w:t xml:space="preserve">Case of </w:t>
      </w:r>
      <w:r>
        <w:rPr>
          <w:rFonts w:ascii="Verdana" w:hAnsi="Verdana"/>
          <w:i/>
          <w:sz w:val="16"/>
          <w:szCs w:val="22"/>
          <w:lang w:val="en-US"/>
        </w:rPr>
        <w:t xml:space="preserve">the </w:t>
      </w:r>
      <w:r w:rsidRPr="0008060A">
        <w:rPr>
          <w:rFonts w:ascii="Verdana" w:hAnsi="Verdana"/>
          <w:i/>
          <w:sz w:val="16"/>
          <w:szCs w:val="22"/>
          <w:lang w:val="en-US"/>
        </w:rPr>
        <w:t xml:space="preserve">19 </w:t>
      </w:r>
      <w:r>
        <w:rPr>
          <w:rFonts w:ascii="Verdana" w:hAnsi="Verdana"/>
          <w:i/>
          <w:sz w:val="16"/>
          <w:szCs w:val="22"/>
          <w:lang w:val="en-US"/>
        </w:rPr>
        <w:t>Tradesmen</w:t>
      </w:r>
      <w:r>
        <w:rPr>
          <w:rFonts w:ascii="Verdana" w:hAnsi="Verdana"/>
          <w:sz w:val="16"/>
          <w:szCs w:val="22"/>
          <w:lang w:val="en-US"/>
        </w:rPr>
        <w:t xml:space="preserve">. </w:t>
      </w:r>
      <w:proofErr w:type="gramStart"/>
      <w:r>
        <w:rPr>
          <w:rFonts w:ascii="Verdana" w:hAnsi="Verdana"/>
          <w:sz w:val="16"/>
          <w:szCs w:val="22"/>
          <w:lang w:val="en-US"/>
        </w:rPr>
        <w:t>Provisional Measures.</w:t>
      </w:r>
      <w:proofErr w:type="gramEnd"/>
      <w:r>
        <w:rPr>
          <w:rFonts w:ascii="Verdana" w:hAnsi="Verdana"/>
          <w:sz w:val="16"/>
          <w:szCs w:val="22"/>
          <w:lang w:val="en-US"/>
        </w:rPr>
        <w:t xml:space="preserve"> </w:t>
      </w:r>
      <w:r w:rsidRPr="000047B3">
        <w:rPr>
          <w:rFonts w:ascii="Verdana" w:hAnsi="Verdana"/>
          <w:sz w:val="16"/>
          <w:szCs w:val="22"/>
          <w:lang w:val="en-US"/>
        </w:rPr>
        <w:t>Order of the Inter-American Court of Human Rights</w:t>
      </w:r>
      <w:r>
        <w:rPr>
          <w:rFonts w:ascii="Verdana" w:hAnsi="Verdana"/>
          <w:sz w:val="16"/>
          <w:szCs w:val="22"/>
          <w:lang w:val="en-US"/>
        </w:rPr>
        <w:t xml:space="preserve"> of April 28, 2006, </w:t>
      </w:r>
      <w:proofErr w:type="gramStart"/>
      <w:r>
        <w:rPr>
          <w:rFonts w:ascii="Verdana" w:hAnsi="Verdana"/>
          <w:sz w:val="16"/>
          <w:szCs w:val="22"/>
          <w:lang w:val="en-US"/>
        </w:rPr>
        <w:t>Considering</w:t>
      </w:r>
      <w:proofErr w:type="gramEnd"/>
      <w:r>
        <w:rPr>
          <w:rFonts w:ascii="Verdana" w:hAnsi="Verdana"/>
          <w:sz w:val="16"/>
          <w:szCs w:val="22"/>
          <w:lang w:val="en-US"/>
        </w:rPr>
        <w:t xml:space="preserve"> paragraph five, and </w:t>
      </w:r>
      <w:r w:rsidRPr="0008060A">
        <w:rPr>
          <w:rFonts w:ascii="Verdana" w:hAnsi="Verdana"/>
          <w:i/>
          <w:sz w:val="16"/>
          <w:szCs w:val="22"/>
          <w:lang w:val="en-US"/>
        </w:rPr>
        <w:t xml:space="preserve">Case of </w:t>
      </w:r>
      <w:r w:rsidRPr="00811C13">
        <w:rPr>
          <w:rStyle w:val="nfasis"/>
          <w:rFonts w:ascii="Verdana" w:hAnsi="Verdana" w:cs="Arial"/>
          <w:sz w:val="16"/>
          <w:lang w:val="en-GB"/>
        </w:rPr>
        <w:t xml:space="preserve">Bámaca- Velásquez. </w:t>
      </w:r>
      <w:proofErr w:type="gramStart"/>
      <w:r w:rsidRPr="00811C13">
        <w:rPr>
          <w:rFonts w:ascii="Verdana" w:hAnsi="Verdana" w:cs="Arial"/>
          <w:sz w:val="16"/>
          <w:lang w:val="en-GB"/>
        </w:rPr>
        <w:t>Provisional Measures.</w:t>
      </w:r>
      <w:proofErr w:type="gramEnd"/>
      <w:r w:rsidRPr="00811C13">
        <w:rPr>
          <w:rFonts w:ascii="Verdana" w:hAnsi="Verdana" w:cs="Arial"/>
          <w:sz w:val="16"/>
          <w:lang w:val="en-GB"/>
        </w:rPr>
        <w:t xml:space="preserve"> Order of </w:t>
      </w:r>
      <w:r w:rsidRPr="000047B3">
        <w:rPr>
          <w:rFonts w:ascii="Verdana" w:hAnsi="Verdana"/>
          <w:sz w:val="16"/>
          <w:szCs w:val="22"/>
          <w:lang w:val="en-US"/>
        </w:rPr>
        <w:t>the Inter-American Court of Human Rights</w:t>
      </w:r>
      <w:r>
        <w:rPr>
          <w:rFonts w:ascii="Verdana" w:hAnsi="Verdana"/>
          <w:sz w:val="16"/>
          <w:szCs w:val="22"/>
          <w:lang w:val="en-US"/>
        </w:rPr>
        <w:t xml:space="preserve"> of November 20, 2003, </w:t>
      </w:r>
      <w:proofErr w:type="gramStart"/>
      <w:r>
        <w:rPr>
          <w:rFonts w:ascii="Verdana" w:hAnsi="Verdana"/>
          <w:sz w:val="16"/>
          <w:szCs w:val="22"/>
          <w:lang w:val="en-US"/>
        </w:rPr>
        <w:t>Considering</w:t>
      </w:r>
      <w:proofErr w:type="gramEnd"/>
      <w:r>
        <w:rPr>
          <w:rFonts w:ascii="Verdana" w:hAnsi="Verdana"/>
          <w:sz w:val="16"/>
          <w:szCs w:val="22"/>
          <w:lang w:val="en-US"/>
        </w:rPr>
        <w:t xml:space="preserve"> paragraph ten. </w:t>
      </w:r>
      <w:r w:rsidRPr="00811C13">
        <w:rPr>
          <w:rFonts w:ascii="Verdana" w:hAnsi="Verdana" w:cs="Arial"/>
          <w:sz w:val="16"/>
          <w:lang w:val="en-GB"/>
        </w:rPr>
        <w:t xml:space="preserve"> </w:t>
      </w:r>
    </w:p>
    <w:p w:rsidR="00E4306F" w:rsidRPr="00811C13" w:rsidRDefault="00E4306F">
      <w:pPr>
        <w:pStyle w:val="Textonotapie"/>
        <w:jc w:val="both"/>
        <w:rPr>
          <w:rFonts w:ascii="Verdana" w:hAnsi="Verdana"/>
          <w:sz w:val="16"/>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06F" w:rsidRDefault="00E4306F">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E4306F" w:rsidRDefault="00E4306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06F" w:rsidRPr="00B6639D" w:rsidRDefault="00E4306F" w:rsidP="00E4306F">
    <w:pPr>
      <w:pStyle w:val="Encabezado"/>
      <w:framePr w:wrap="around" w:vAnchor="text" w:hAnchor="page" w:x="6022" w:y="-14"/>
      <w:rPr>
        <w:rStyle w:val="Nmerodepgina"/>
        <w:rFonts w:ascii="Verdana" w:hAnsi="Verdana"/>
        <w:sz w:val="20"/>
      </w:rPr>
    </w:pPr>
    <w:r w:rsidRPr="00B6639D">
      <w:rPr>
        <w:rStyle w:val="Nmerodepgina"/>
        <w:sz w:val="20"/>
      </w:rPr>
      <w:fldChar w:fldCharType="begin"/>
    </w:r>
    <w:r w:rsidRPr="00B6639D">
      <w:rPr>
        <w:rStyle w:val="Nmerodepgina"/>
        <w:rFonts w:ascii="Verdana" w:hAnsi="Verdana"/>
        <w:sz w:val="20"/>
      </w:rPr>
      <w:instrText xml:space="preserve">PAGE  </w:instrText>
    </w:r>
    <w:r w:rsidRPr="00B6639D">
      <w:rPr>
        <w:rStyle w:val="Nmerodepgina"/>
        <w:sz w:val="20"/>
      </w:rPr>
      <w:fldChar w:fldCharType="separate"/>
    </w:r>
    <w:r w:rsidR="009E1748">
      <w:rPr>
        <w:rStyle w:val="Nmerodepgina"/>
        <w:rFonts w:ascii="Verdana" w:hAnsi="Verdana"/>
        <w:noProof/>
        <w:sz w:val="20"/>
      </w:rPr>
      <w:t>4</w:t>
    </w:r>
    <w:r w:rsidRPr="00B6639D">
      <w:rPr>
        <w:rStyle w:val="Nmerodepgina"/>
        <w:sz w:val="20"/>
      </w:rPr>
      <w:fldChar w:fldCharType="end"/>
    </w:r>
  </w:p>
  <w:p w:rsidR="00E4306F" w:rsidRDefault="00E4306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425C4"/>
    <w:multiLevelType w:val="hybridMultilevel"/>
    <w:tmpl w:val="1D083A68"/>
    <w:lvl w:ilvl="0" w:tplc="D340E420">
      <w:start w:val="7"/>
      <w:numFmt w:val="decimal"/>
      <w:lvlText w:val="%1."/>
      <w:lvlJc w:val="left"/>
      <w:pPr>
        <w:tabs>
          <w:tab w:val="num" w:pos="675"/>
        </w:tabs>
        <w:ind w:left="675" w:hanging="675"/>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
    <w:nsid w:val="09B7621D"/>
    <w:multiLevelType w:val="hybridMultilevel"/>
    <w:tmpl w:val="9ADA0298"/>
    <w:lvl w:ilvl="0" w:tplc="2936C926">
      <w:start w:val="1"/>
      <w:numFmt w:val="decimal"/>
      <w:lvlText w:val="%1."/>
      <w:lvlJc w:val="left"/>
      <w:pPr>
        <w:tabs>
          <w:tab w:val="num" w:pos="720"/>
        </w:tabs>
        <w:ind w:left="720" w:hanging="360"/>
      </w:pPr>
    </w:lvl>
    <w:lvl w:ilvl="1" w:tplc="13127886" w:tentative="1">
      <w:start w:val="1"/>
      <w:numFmt w:val="decimal"/>
      <w:lvlText w:val="%2."/>
      <w:lvlJc w:val="left"/>
      <w:pPr>
        <w:tabs>
          <w:tab w:val="num" w:pos="1440"/>
        </w:tabs>
        <w:ind w:left="1440" w:hanging="360"/>
      </w:pPr>
    </w:lvl>
    <w:lvl w:ilvl="2" w:tplc="1DBC09D2" w:tentative="1">
      <w:start w:val="1"/>
      <w:numFmt w:val="decimal"/>
      <w:lvlText w:val="%3."/>
      <w:lvlJc w:val="left"/>
      <w:pPr>
        <w:tabs>
          <w:tab w:val="num" w:pos="2160"/>
        </w:tabs>
        <w:ind w:left="2160" w:hanging="360"/>
      </w:pPr>
    </w:lvl>
    <w:lvl w:ilvl="3" w:tplc="EACE3238" w:tentative="1">
      <w:start w:val="1"/>
      <w:numFmt w:val="decimal"/>
      <w:lvlText w:val="%4."/>
      <w:lvlJc w:val="left"/>
      <w:pPr>
        <w:tabs>
          <w:tab w:val="num" w:pos="2880"/>
        </w:tabs>
        <w:ind w:left="2880" w:hanging="360"/>
      </w:pPr>
    </w:lvl>
    <w:lvl w:ilvl="4" w:tplc="9F8A6B80" w:tentative="1">
      <w:start w:val="1"/>
      <w:numFmt w:val="decimal"/>
      <w:lvlText w:val="%5."/>
      <w:lvlJc w:val="left"/>
      <w:pPr>
        <w:tabs>
          <w:tab w:val="num" w:pos="3600"/>
        </w:tabs>
        <w:ind w:left="3600" w:hanging="360"/>
      </w:pPr>
    </w:lvl>
    <w:lvl w:ilvl="5" w:tplc="849E23A2" w:tentative="1">
      <w:start w:val="1"/>
      <w:numFmt w:val="decimal"/>
      <w:lvlText w:val="%6."/>
      <w:lvlJc w:val="left"/>
      <w:pPr>
        <w:tabs>
          <w:tab w:val="num" w:pos="4320"/>
        </w:tabs>
        <w:ind w:left="4320" w:hanging="360"/>
      </w:pPr>
    </w:lvl>
    <w:lvl w:ilvl="6" w:tplc="A09E2FB6" w:tentative="1">
      <w:start w:val="1"/>
      <w:numFmt w:val="decimal"/>
      <w:lvlText w:val="%7."/>
      <w:lvlJc w:val="left"/>
      <w:pPr>
        <w:tabs>
          <w:tab w:val="num" w:pos="5040"/>
        </w:tabs>
        <w:ind w:left="5040" w:hanging="360"/>
      </w:pPr>
    </w:lvl>
    <w:lvl w:ilvl="7" w:tplc="065E5A70" w:tentative="1">
      <w:start w:val="1"/>
      <w:numFmt w:val="decimal"/>
      <w:lvlText w:val="%8."/>
      <w:lvlJc w:val="left"/>
      <w:pPr>
        <w:tabs>
          <w:tab w:val="num" w:pos="5760"/>
        </w:tabs>
        <w:ind w:left="5760" w:hanging="360"/>
      </w:pPr>
    </w:lvl>
    <w:lvl w:ilvl="8" w:tplc="A666AEF0" w:tentative="1">
      <w:start w:val="1"/>
      <w:numFmt w:val="decimal"/>
      <w:lvlText w:val="%9."/>
      <w:lvlJc w:val="left"/>
      <w:pPr>
        <w:tabs>
          <w:tab w:val="num" w:pos="6480"/>
        </w:tabs>
        <w:ind w:left="6480" w:hanging="360"/>
      </w:pPr>
    </w:lvl>
  </w:abstractNum>
  <w:abstractNum w:abstractNumId="2">
    <w:nsid w:val="1A7831C1"/>
    <w:multiLevelType w:val="hybridMultilevel"/>
    <w:tmpl w:val="E952A3E4"/>
    <w:lvl w:ilvl="0" w:tplc="6F94BB98">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CF87A7A"/>
    <w:multiLevelType w:val="hybridMultilevel"/>
    <w:tmpl w:val="EAE6F710"/>
    <w:lvl w:ilvl="0" w:tplc="9B8A9D82">
      <w:start w:val="7"/>
      <w:numFmt w:val="decimal"/>
      <w:lvlText w:val="%1."/>
      <w:lvlJc w:val="left"/>
      <w:pPr>
        <w:tabs>
          <w:tab w:val="num" w:pos="675"/>
        </w:tabs>
        <w:ind w:left="675" w:hanging="675"/>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
    <w:nsid w:val="25777790"/>
    <w:multiLevelType w:val="hybridMultilevel"/>
    <w:tmpl w:val="C67E79EC"/>
    <w:lvl w:ilvl="0" w:tplc="21C02BC6">
      <w:start w:val="1"/>
      <w:numFmt w:val="decimal"/>
      <w:lvlText w:val="%1."/>
      <w:lvlJc w:val="left"/>
      <w:pPr>
        <w:tabs>
          <w:tab w:val="num" w:pos="705"/>
        </w:tabs>
        <w:ind w:left="705" w:hanging="705"/>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
    <w:nsid w:val="2E8E2815"/>
    <w:multiLevelType w:val="hybridMultilevel"/>
    <w:tmpl w:val="3A1CBC7C"/>
    <w:lvl w:ilvl="0" w:tplc="B7CA5A86">
      <w:start w:val="4"/>
      <w:numFmt w:val="lowerLetter"/>
      <w:lvlText w:val="%1)"/>
      <w:lvlJc w:val="left"/>
      <w:pPr>
        <w:tabs>
          <w:tab w:val="num" w:pos="1410"/>
        </w:tabs>
        <w:ind w:left="1410" w:hanging="735"/>
      </w:pPr>
      <w:rPr>
        <w:rFonts w:hint="default"/>
      </w:rPr>
    </w:lvl>
    <w:lvl w:ilvl="1" w:tplc="0C0A0019" w:tentative="1">
      <w:start w:val="1"/>
      <w:numFmt w:val="lowerLetter"/>
      <w:lvlText w:val="%2."/>
      <w:lvlJc w:val="left"/>
      <w:pPr>
        <w:tabs>
          <w:tab w:val="num" w:pos="1755"/>
        </w:tabs>
        <w:ind w:left="1755" w:hanging="360"/>
      </w:pPr>
    </w:lvl>
    <w:lvl w:ilvl="2" w:tplc="0C0A001B" w:tentative="1">
      <w:start w:val="1"/>
      <w:numFmt w:val="lowerRoman"/>
      <w:lvlText w:val="%3."/>
      <w:lvlJc w:val="right"/>
      <w:pPr>
        <w:tabs>
          <w:tab w:val="num" w:pos="2475"/>
        </w:tabs>
        <w:ind w:left="2475" w:hanging="180"/>
      </w:pPr>
    </w:lvl>
    <w:lvl w:ilvl="3" w:tplc="0C0A000F" w:tentative="1">
      <w:start w:val="1"/>
      <w:numFmt w:val="decimal"/>
      <w:lvlText w:val="%4."/>
      <w:lvlJc w:val="left"/>
      <w:pPr>
        <w:tabs>
          <w:tab w:val="num" w:pos="3195"/>
        </w:tabs>
        <w:ind w:left="3195" w:hanging="360"/>
      </w:pPr>
    </w:lvl>
    <w:lvl w:ilvl="4" w:tplc="0C0A0019" w:tentative="1">
      <w:start w:val="1"/>
      <w:numFmt w:val="lowerLetter"/>
      <w:lvlText w:val="%5."/>
      <w:lvlJc w:val="left"/>
      <w:pPr>
        <w:tabs>
          <w:tab w:val="num" w:pos="3915"/>
        </w:tabs>
        <w:ind w:left="3915" w:hanging="360"/>
      </w:pPr>
    </w:lvl>
    <w:lvl w:ilvl="5" w:tplc="0C0A001B" w:tentative="1">
      <w:start w:val="1"/>
      <w:numFmt w:val="lowerRoman"/>
      <w:lvlText w:val="%6."/>
      <w:lvlJc w:val="right"/>
      <w:pPr>
        <w:tabs>
          <w:tab w:val="num" w:pos="4635"/>
        </w:tabs>
        <w:ind w:left="4635" w:hanging="180"/>
      </w:pPr>
    </w:lvl>
    <w:lvl w:ilvl="6" w:tplc="0C0A000F" w:tentative="1">
      <w:start w:val="1"/>
      <w:numFmt w:val="decimal"/>
      <w:lvlText w:val="%7."/>
      <w:lvlJc w:val="left"/>
      <w:pPr>
        <w:tabs>
          <w:tab w:val="num" w:pos="5355"/>
        </w:tabs>
        <w:ind w:left="5355" w:hanging="360"/>
      </w:pPr>
    </w:lvl>
    <w:lvl w:ilvl="7" w:tplc="0C0A0019" w:tentative="1">
      <w:start w:val="1"/>
      <w:numFmt w:val="lowerLetter"/>
      <w:lvlText w:val="%8."/>
      <w:lvlJc w:val="left"/>
      <w:pPr>
        <w:tabs>
          <w:tab w:val="num" w:pos="6075"/>
        </w:tabs>
        <w:ind w:left="6075" w:hanging="360"/>
      </w:pPr>
    </w:lvl>
    <w:lvl w:ilvl="8" w:tplc="0C0A001B" w:tentative="1">
      <w:start w:val="1"/>
      <w:numFmt w:val="lowerRoman"/>
      <w:lvlText w:val="%9."/>
      <w:lvlJc w:val="right"/>
      <w:pPr>
        <w:tabs>
          <w:tab w:val="num" w:pos="6795"/>
        </w:tabs>
        <w:ind w:left="6795" w:hanging="180"/>
      </w:pPr>
    </w:lvl>
  </w:abstractNum>
  <w:abstractNum w:abstractNumId="6">
    <w:nsid w:val="30310525"/>
    <w:multiLevelType w:val="hybridMultilevel"/>
    <w:tmpl w:val="591262C4"/>
    <w:lvl w:ilvl="0" w:tplc="A6A4899A">
      <w:start w:val="1"/>
      <w:numFmt w:val="lowerLetter"/>
      <w:lvlText w:val="%1)"/>
      <w:lvlJc w:val="left"/>
      <w:pPr>
        <w:tabs>
          <w:tab w:val="num" w:pos="1068"/>
        </w:tabs>
        <w:ind w:left="1068" w:hanging="360"/>
      </w:pPr>
      <w:rPr>
        <w:rFonts w:hint="default"/>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7">
    <w:nsid w:val="389F65CD"/>
    <w:multiLevelType w:val="hybridMultilevel"/>
    <w:tmpl w:val="606A198E"/>
    <w:lvl w:ilvl="0" w:tplc="73C6F69A">
      <w:start w:val="2"/>
      <w:numFmt w:val="decimal"/>
      <w:lvlText w:val="%1."/>
      <w:lvlJc w:val="left"/>
      <w:pPr>
        <w:tabs>
          <w:tab w:val="num" w:pos="705"/>
        </w:tabs>
        <w:ind w:left="705" w:hanging="705"/>
      </w:pPr>
      <w:rPr>
        <w:rFonts w:hint="default"/>
      </w:rPr>
    </w:lvl>
    <w:lvl w:ilvl="1" w:tplc="A6FA6EB2">
      <w:start w:val="1"/>
      <w:numFmt w:val="lowerLetter"/>
      <w:lvlText w:val="%2)"/>
      <w:lvlJc w:val="left"/>
      <w:pPr>
        <w:tabs>
          <w:tab w:val="num" w:pos="1080"/>
        </w:tabs>
        <w:ind w:left="1080" w:hanging="360"/>
      </w:pPr>
      <w:rPr>
        <w:rFonts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8">
    <w:nsid w:val="419E0D98"/>
    <w:multiLevelType w:val="hybridMultilevel"/>
    <w:tmpl w:val="F66A0C74"/>
    <w:lvl w:ilvl="0" w:tplc="0C0A000F">
      <w:start w:val="6"/>
      <w:numFmt w:val="decimal"/>
      <w:lvlText w:val="%1."/>
      <w:lvlJc w:val="left"/>
      <w:pPr>
        <w:tabs>
          <w:tab w:val="num" w:pos="360"/>
        </w:tabs>
        <w:ind w:left="360" w:hanging="360"/>
      </w:pPr>
      <w:rPr>
        <w:rFonts w:hint="default"/>
        <w:i w:val="0"/>
      </w:rPr>
    </w:lvl>
    <w:lvl w:ilvl="1" w:tplc="0C0A0019">
      <w:start w:val="1"/>
      <w:numFmt w:val="lowerLetter"/>
      <w:lvlText w:val="%2."/>
      <w:lvlJc w:val="left"/>
      <w:pPr>
        <w:tabs>
          <w:tab w:val="num" w:pos="1080"/>
        </w:tabs>
        <w:ind w:left="1080" w:hanging="360"/>
      </w:pPr>
    </w:lvl>
    <w:lvl w:ilvl="2" w:tplc="9D460776">
      <w:start w:val="1"/>
      <w:numFmt w:val="lowerLetter"/>
      <w:lvlText w:val="%3)"/>
      <w:lvlJc w:val="left"/>
      <w:pPr>
        <w:tabs>
          <w:tab w:val="num" w:pos="1980"/>
        </w:tabs>
        <w:ind w:left="1980" w:hanging="360"/>
      </w:pPr>
      <w:rPr>
        <w:rFonts w:hint="default"/>
      </w:r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
    <w:nsid w:val="47195000"/>
    <w:multiLevelType w:val="hybridMultilevel"/>
    <w:tmpl w:val="7A86C440"/>
    <w:lvl w:ilvl="0" w:tplc="7BF29604">
      <w:start w:val="2"/>
      <w:numFmt w:val="decimal"/>
      <w:lvlText w:val="%1."/>
      <w:lvlJc w:val="left"/>
      <w:pPr>
        <w:tabs>
          <w:tab w:val="num" w:pos="675"/>
        </w:tabs>
        <w:ind w:left="675" w:hanging="675"/>
      </w:pPr>
      <w:rPr>
        <w:rFonts w:hint="default"/>
        <w:i w:val="0"/>
      </w:r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
    <w:nsid w:val="4A3B736C"/>
    <w:multiLevelType w:val="hybridMultilevel"/>
    <w:tmpl w:val="C0425244"/>
    <w:lvl w:ilvl="0" w:tplc="452AEC46">
      <w:start w:val="8"/>
      <w:numFmt w:val="decimal"/>
      <w:lvlText w:val="%1."/>
      <w:lvlJc w:val="left"/>
      <w:pPr>
        <w:tabs>
          <w:tab w:val="num" w:pos="760"/>
        </w:tabs>
        <w:ind w:left="760" w:hanging="690"/>
      </w:pPr>
      <w:rPr>
        <w:rFonts w:hint="default"/>
      </w:rPr>
    </w:lvl>
    <w:lvl w:ilvl="1" w:tplc="0C0A0019" w:tentative="1">
      <w:start w:val="1"/>
      <w:numFmt w:val="lowerLetter"/>
      <w:lvlText w:val="%2."/>
      <w:lvlJc w:val="left"/>
      <w:pPr>
        <w:tabs>
          <w:tab w:val="num" w:pos="1150"/>
        </w:tabs>
        <w:ind w:left="1150" w:hanging="360"/>
      </w:pPr>
    </w:lvl>
    <w:lvl w:ilvl="2" w:tplc="0C0A001B" w:tentative="1">
      <w:start w:val="1"/>
      <w:numFmt w:val="lowerRoman"/>
      <w:lvlText w:val="%3."/>
      <w:lvlJc w:val="right"/>
      <w:pPr>
        <w:tabs>
          <w:tab w:val="num" w:pos="1870"/>
        </w:tabs>
        <w:ind w:left="1870" w:hanging="180"/>
      </w:pPr>
    </w:lvl>
    <w:lvl w:ilvl="3" w:tplc="0C0A000F" w:tentative="1">
      <w:start w:val="1"/>
      <w:numFmt w:val="decimal"/>
      <w:lvlText w:val="%4."/>
      <w:lvlJc w:val="left"/>
      <w:pPr>
        <w:tabs>
          <w:tab w:val="num" w:pos="2590"/>
        </w:tabs>
        <w:ind w:left="2590" w:hanging="360"/>
      </w:pPr>
    </w:lvl>
    <w:lvl w:ilvl="4" w:tplc="0C0A0019" w:tentative="1">
      <w:start w:val="1"/>
      <w:numFmt w:val="lowerLetter"/>
      <w:lvlText w:val="%5."/>
      <w:lvlJc w:val="left"/>
      <w:pPr>
        <w:tabs>
          <w:tab w:val="num" w:pos="3310"/>
        </w:tabs>
        <w:ind w:left="3310" w:hanging="360"/>
      </w:pPr>
    </w:lvl>
    <w:lvl w:ilvl="5" w:tplc="0C0A001B" w:tentative="1">
      <w:start w:val="1"/>
      <w:numFmt w:val="lowerRoman"/>
      <w:lvlText w:val="%6."/>
      <w:lvlJc w:val="right"/>
      <w:pPr>
        <w:tabs>
          <w:tab w:val="num" w:pos="4030"/>
        </w:tabs>
        <w:ind w:left="4030" w:hanging="180"/>
      </w:pPr>
    </w:lvl>
    <w:lvl w:ilvl="6" w:tplc="0C0A000F" w:tentative="1">
      <w:start w:val="1"/>
      <w:numFmt w:val="decimal"/>
      <w:lvlText w:val="%7."/>
      <w:lvlJc w:val="left"/>
      <w:pPr>
        <w:tabs>
          <w:tab w:val="num" w:pos="4750"/>
        </w:tabs>
        <w:ind w:left="4750" w:hanging="360"/>
      </w:pPr>
    </w:lvl>
    <w:lvl w:ilvl="7" w:tplc="0C0A0019" w:tentative="1">
      <w:start w:val="1"/>
      <w:numFmt w:val="lowerLetter"/>
      <w:lvlText w:val="%8."/>
      <w:lvlJc w:val="left"/>
      <w:pPr>
        <w:tabs>
          <w:tab w:val="num" w:pos="5470"/>
        </w:tabs>
        <w:ind w:left="5470" w:hanging="360"/>
      </w:pPr>
    </w:lvl>
    <w:lvl w:ilvl="8" w:tplc="0C0A001B" w:tentative="1">
      <w:start w:val="1"/>
      <w:numFmt w:val="lowerRoman"/>
      <w:lvlText w:val="%9."/>
      <w:lvlJc w:val="right"/>
      <w:pPr>
        <w:tabs>
          <w:tab w:val="num" w:pos="6190"/>
        </w:tabs>
        <w:ind w:left="6190" w:hanging="180"/>
      </w:pPr>
    </w:lvl>
  </w:abstractNum>
  <w:abstractNum w:abstractNumId="11">
    <w:nsid w:val="4BFE1C5D"/>
    <w:multiLevelType w:val="hybridMultilevel"/>
    <w:tmpl w:val="46DCF700"/>
    <w:lvl w:ilvl="0" w:tplc="7E224E24">
      <w:start w:val="2"/>
      <w:numFmt w:val="lowerLetter"/>
      <w:lvlText w:val="%1)"/>
      <w:lvlJc w:val="left"/>
      <w:pPr>
        <w:tabs>
          <w:tab w:val="num" w:pos="1068"/>
        </w:tabs>
        <w:ind w:left="1068" w:hanging="360"/>
      </w:pPr>
      <w:rPr>
        <w:rFonts w:hint="default"/>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2">
    <w:nsid w:val="536510FD"/>
    <w:multiLevelType w:val="hybridMultilevel"/>
    <w:tmpl w:val="A7923CAA"/>
    <w:lvl w:ilvl="0" w:tplc="68C23190">
      <w:start w:val="2"/>
      <w:numFmt w:val="lowerLetter"/>
      <w:lvlText w:val="%1)"/>
      <w:lvlJc w:val="left"/>
      <w:pPr>
        <w:tabs>
          <w:tab w:val="num" w:pos="1413"/>
        </w:tabs>
        <w:ind w:left="1413" w:hanging="630"/>
      </w:pPr>
      <w:rPr>
        <w:rFonts w:hint="default"/>
      </w:rPr>
    </w:lvl>
    <w:lvl w:ilvl="1" w:tplc="0C0A0019" w:tentative="1">
      <w:start w:val="1"/>
      <w:numFmt w:val="lowerLetter"/>
      <w:lvlText w:val="%2."/>
      <w:lvlJc w:val="left"/>
      <w:pPr>
        <w:tabs>
          <w:tab w:val="num" w:pos="1863"/>
        </w:tabs>
        <w:ind w:left="1863" w:hanging="360"/>
      </w:pPr>
    </w:lvl>
    <w:lvl w:ilvl="2" w:tplc="0C0A001B" w:tentative="1">
      <w:start w:val="1"/>
      <w:numFmt w:val="lowerRoman"/>
      <w:lvlText w:val="%3."/>
      <w:lvlJc w:val="right"/>
      <w:pPr>
        <w:tabs>
          <w:tab w:val="num" w:pos="2583"/>
        </w:tabs>
        <w:ind w:left="2583" w:hanging="180"/>
      </w:pPr>
    </w:lvl>
    <w:lvl w:ilvl="3" w:tplc="0C0A000F" w:tentative="1">
      <w:start w:val="1"/>
      <w:numFmt w:val="decimal"/>
      <w:lvlText w:val="%4."/>
      <w:lvlJc w:val="left"/>
      <w:pPr>
        <w:tabs>
          <w:tab w:val="num" w:pos="3303"/>
        </w:tabs>
        <w:ind w:left="3303" w:hanging="360"/>
      </w:pPr>
    </w:lvl>
    <w:lvl w:ilvl="4" w:tplc="0C0A0019" w:tentative="1">
      <w:start w:val="1"/>
      <w:numFmt w:val="lowerLetter"/>
      <w:lvlText w:val="%5."/>
      <w:lvlJc w:val="left"/>
      <w:pPr>
        <w:tabs>
          <w:tab w:val="num" w:pos="4023"/>
        </w:tabs>
        <w:ind w:left="4023" w:hanging="360"/>
      </w:pPr>
    </w:lvl>
    <w:lvl w:ilvl="5" w:tplc="0C0A001B" w:tentative="1">
      <w:start w:val="1"/>
      <w:numFmt w:val="lowerRoman"/>
      <w:lvlText w:val="%6."/>
      <w:lvlJc w:val="right"/>
      <w:pPr>
        <w:tabs>
          <w:tab w:val="num" w:pos="4743"/>
        </w:tabs>
        <w:ind w:left="4743" w:hanging="180"/>
      </w:pPr>
    </w:lvl>
    <w:lvl w:ilvl="6" w:tplc="0C0A000F" w:tentative="1">
      <w:start w:val="1"/>
      <w:numFmt w:val="decimal"/>
      <w:lvlText w:val="%7."/>
      <w:lvlJc w:val="left"/>
      <w:pPr>
        <w:tabs>
          <w:tab w:val="num" w:pos="5463"/>
        </w:tabs>
        <w:ind w:left="5463" w:hanging="360"/>
      </w:pPr>
    </w:lvl>
    <w:lvl w:ilvl="7" w:tplc="0C0A0019" w:tentative="1">
      <w:start w:val="1"/>
      <w:numFmt w:val="lowerLetter"/>
      <w:lvlText w:val="%8."/>
      <w:lvlJc w:val="left"/>
      <w:pPr>
        <w:tabs>
          <w:tab w:val="num" w:pos="6183"/>
        </w:tabs>
        <w:ind w:left="6183" w:hanging="360"/>
      </w:pPr>
    </w:lvl>
    <w:lvl w:ilvl="8" w:tplc="0C0A001B" w:tentative="1">
      <w:start w:val="1"/>
      <w:numFmt w:val="lowerRoman"/>
      <w:lvlText w:val="%9."/>
      <w:lvlJc w:val="right"/>
      <w:pPr>
        <w:tabs>
          <w:tab w:val="num" w:pos="6903"/>
        </w:tabs>
        <w:ind w:left="6903" w:hanging="180"/>
      </w:pPr>
    </w:lvl>
  </w:abstractNum>
  <w:abstractNum w:abstractNumId="13">
    <w:nsid w:val="55D63441"/>
    <w:multiLevelType w:val="hybridMultilevel"/>
    <w:tmpl w:val="E32CD546"/>
    <w:lvl w:ilvl="0" w:tplc="D3506576">
      <w:start w:val="1"/>
      <w:numFmt w:val="lowerLetter"/>
      <w:lvlText w:val="%1)"/>
      <w:lvlJc w:val="left"/>
      <w:pPr>
        <w:tabs>
          <w:tab w:val="num" w:pos="1413"/>
        </w:tabs>
        <w:ind w:left="1413" w:hanging="630"/>
      </w:pPr>
      <w:rPr>
        <w:rFonts w:hint="default"/>
      </w:rPr>
    </w:lvl>
    <w:lvl w:ilvl="1" w:tplc="0C0A0019" w:tentative="1">
      <w:start w:val="1"/>
      <w:numFmt w:val="lowerLetter"/>
      <w:lvlText w:val="%2."/>
      <w:lvlJc w:val="left"/>
      <w:pPr>
        <w:tabs>
          <w:tab w:val="num" w:pos="1863"/>
        </w:tabs>
        <w:ind w:left="1863" w:hanging="360"/>
      </w:pPr>
    </w:lvl>
    <w:lvl w:ilvl="2" w:tplc="0C0A001B" w:tentative="1">
      <w:start w:val="1"/>
      <w:numFmt w:val="lowerRoman"/>
      <w:lvlText w:val="%3."/>
      <w:lvlJc w:val="right"/>
      <w:pPr>
        <w:tabs>
          <w:tab w:val="num" w:pos="2583"/>
        </w:tabs>
        <w:ind w:left="2583" w:hanging="180"/>
      </w:pPr>
    </w:lvl>
    <w:lvl w:ilvl="3" w:tplc="0C0A000F" w:tentative="1">
      <w:start w:val="1"/>
      <w:numFmt w:val="decimal"/>
      <w:lvlText w:val="%4."/>
      <w:lvlJc w:val="left"/>
      <w:pPr>
        <w:tabs>
          <w:tab w:val="num" w:pos="3303"/>
        </w:tabs>
        <w:ind w:left="3303" w:hanging="360"/>
      </w:pPr>
    </w:lvl>
    <w:lvl w:ilvl="4" w:tplc="0C0A0019" w:tentative="1">
      <w:start w:val="1"/>
      <w:numFmt w:val="lowerLetter"/>
      <w:lvlText w:val="%5."/>
      <w:lvlJc w:val="left"/>
      <w:pPr>
        <w:tabs>
          <w:tab w:val="num" w:pos="4023"/>
        </w:tabs>
        <w:ind w:left="4023" w:hanging="360"/>
      </w:pPr>
    </w:lvl>
    <w:lvl w:ilvl="5" w:tplc="0C0A001B" w:tentative="1">
      <w:start w:val="1"/>
      <w:numFmt w:val="lowerRoman"/>
      <w:lvlText w:val="%6."/>
      <w:lvlJc w:val="right"/>
      <w:pPr>
        <w:tabs>
          <w:tab w:val="num" w:pos="4743"/>
        </w:tabs>
        <w:ind w:left="4743" w:hanging="180"/>
      </w:pPr>
    </w:lvl>
    <w:lvl w:ilvl="6" w:tplc="0C0A000F" w:tentative="1">
      <w:start w:val="1"/>
      <w:numFmt w:val="decimal"/>
      <w:lvlText w:val="%7."/>
      <w:lvlJc w:val="left"/>
      <w:pPr>
        <w:tabs>
          <w:tab w:val="num" w:pos="5463"/>
        </w:tabs>
        <w:ind w:left="5463" w:hanging="360"/>
      </w:pPr>
    </w:lvl>
    <w:lvl w:ilvl="7" w:tplc="0C0A0019" w:tentative="1">
      <w:start w:val="1"/>
      <w:numFmt w:val="lowerLetter"/>
      <w:lvlText w:val="%8."/>
      <w:lvlJc w:val="left"/>
      <w:pPr>
        <w:tabs>
          <w:tab w:val="num" w:pos="6183"/>
        </w:tabs>
        <w:ind w:left="6183" w:hanging="360"/>
      </w:pPr>
    </w:lvl>
    <w:lvl w:ilvl="8" w:tplc="0C0A001B" w:tentative="1">
      <w:start w:val="1"/>
      <w:numFmt w:val="lowerRoman"/>
      <w:lvlText w:val="%9."/>
      <w:lvlJc w:val="right"/>
      <w:pPr>
        <w:tabs>
          <w:tab w:val="num" w:pos="6903"/>
        </w:tabs>
        <w:ind w:left="6903" w:hanging="180"/>
      </w:pPr>
    </w:lvl>
  </w:abstractNum>
  <w:abstractNum w:abstractNumId="14">
    <w:nsid w:val="688D2494"/>
    <w:multiLevelType w:val="hybridMultilevel"/>
    <w:tmpl w:val="C0E004F6"/>
    <w:lvl w:ilvl="0" w:tplc="BDD4EF2A">
      <w:start w:val="2"/>
      <w:numFmt w:val="lowerLetter"/>
      <w:lvlText w:val="%1)"/>
      <w:lvlJc w:val="left"/>
      <w:pPr>
        <w:tabs>
          <w:tab w:val="num" w:pos="1410"/>
        </w:tabs>
        <w:ind w:left="1410" w:hanging="615"/>
      </w:pPr>
      <w:rPr>
        <w:rFonts w:hint="default"/>
      </w:rPr>
    </w:lvl>
    <w:lvl w:ilvl="1" w:tplc="0C0A0019" w:tentative="1">
      <w:start w:val="1"/>
      <w:numFmt w:val="lowerLetter"/>
      <w:lvlText w:val="%2."/>
      <w:lvlJc w:val="left"/>
      <w:pPr>
        <w:tabs>
          <w:tab w:val="num" w:pos="1875"/>
        </w:tabs>
        <w:ind w:left="1875" w:hanging="360"/>
      </w:pPr>
    </w:lvl>
    <w:lvl w:ilvl="2" w:tplc="0C0A001B" w:tentative="1">
      <w:start w:val="1"/>
      <w:numFmt w:val="lowerRoman"/>
      <w:lvlText w:val="%3."/>
      <w:lvlJc w:val="right"/>
      <w:pPr>
        <w:tabs>
          <w:tab w:val="num" w:pos="2595"/>
        </w:tabs>
        <w:ind w:left="2595" w:hanging="180"/>
      </w:pPr>
    </w:lvl>
    <w:lvl w:ilvl="3" w:tplc="0C0A000F" w:tentative="1">
      <w:start w:val="1"/>
      <w:numFmt w:val="decimal"/>
      <w:lvlText w:val="%4."/>
      <w:lvlJc w:val="left"/>
      <w:pPr>
        <w:tabs>
          <w:tab w:val="num" w:pos="3315"/>
        </w:tabs>
        <w:ind w:left="3315" w:hanging="360"/>
      </w:pPr>
    </w:lvl>
    <w:lvl w:ilvl="4" w:tplc="0C0A0019" w:tentative="1">
      <w:start w:val="1"/>
      <w:numFmt w:val="lowerLetter"/>
      <w:lvlText w:val="%5."/>
      <w:lvlJc w:val="left"/>
      <w:pPr>
        <w:tabs>
          <w:tab w:val="num" w:pos="4035"/>
        </w:tabs>
        <w:ind w:left="4035" w:hanging="360"/>
      </w:pPr>
    </w:lvl>
    <w:lvl w:ilvl="5" w:tplc="0C0A001B" w:tentative="1">
      <w:start w:val="1"/>
      <w:numFmt w:val="lowerRoman"/>
      <w:lvlText w:val="%6."/>
      <w:lvlJc w:val="right"/>
      <w:pPr>
        <w:tabs>
          <w:tab w:val="num" w:pos="4755"/>
        </w:tabs>
        <w:ind w:left="4755" w:hanging="180"/>
      </w:pPr>
    </w:lvl>
    <w:lvl w:ilvl="6" w:tplc="0C0A000F" w:tentative="1">
      <w:start w:val="1"/>
      <w:numFmt w:val="decimal"/>
      <w:lvlText w:val="%7."/>
      <w:lvlJc w:val="left"/>
      <w:pPr>
        <w:tabs>
          <w:tab w:val="num" w:pos="5475"/>
        </w:tabs>
        <w:ind w:left="5475" w:hanging="360"/>
      </w:pPr>
    </w:lvl>
    <w:lvl w:ilvl="7" w:tplc="0C0A0019" w:tentative="1">
      <w:start w:val="1"/>
      <w:numFmt w:val="lowerLetter"/>
      <w:lvlText w:val="%8."/>
      <w:lvlJc w:val="left"/>
      <w:pPr>
        <w:tabs>
          <w:tab w:val="num" w:pos="6195"/>
        </w:tabs>
        <w:ind w:left="6195" w:hanging="360"/>
      </w:pPr>
    </w:lvl>
    <w:lvl w:ilvl="8" w:tplc="0C0A001B" w:tentative="1">
      <w:start w:val="1"/>
      <w:numFmt w:val="lowerRoman"/>
      <w:lvlText w:val="%9."/>
      <w:lvlJc w:val="right"/>
      <w:pPr>
        <w:tabs>
          <w:tab w:val="num" w:pos="6915"/>
        </w:tabs>
        <w:ind w:left="6915" w:hanging="180"/>
      </w:pPr>
    </w:lvl>
  </w:abstractNum>
  <w:abstractNum w:abstractNumId="15">
    <w:nsid w:val="6E56161D"/>
    <w:multiLevelType w:val="hybridMultilevel"/>
    <w:tmpl w:val="9D20725E"/>
    <w:lvl w:ilvl="0" w:tplc="F48E7B0A">
      <w:start w:val="5"/>
      <w:numFmt w:val="decimal"/>
      <w:lvlText w:val="%1."/>
      <w:lvlJc w:val="left"/>
      <w:pPr>
        <w:tabs>
          <w:tab w:val="num" w:pos="675"/>
        </w:tabs>
        <w:ind w:left="675" w:hanging="675"/>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nsid w:val="79B31EDA"/>
    <w:multiLevelType w:val="hybridMultilevel"/>
    <w:tmpl w:val="66BA5E64"/>
    <w:lvl w:ilvl="0" w:tplc="203E4DF0">
      <w:start w:val="9"/>
      <w:numFmt w:val="decimal"/>
      <w:lvlText w:val="%1."/>
      <w:lvlJc w:val="left"/>
      <w:pPr>
        <w:tabs>
          <w:tab w:val="num" w:pos="1410"/>
        </w:tabs>
        <w:ind w:left="1410" w:hanging="69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num w:numId="1">
    <w:abstractNumId w:val="2"/>
  </w:num>
  <w:num w:numId="2">
    <w:abstractNumId w:val="9"/>
  </w:num>
  <w:num w:numId="3">
    <w:abstractNumId w:val="14"/>
  </w:num>
  <w:num w:numId="4">
    <w:abstractNumId w:val="11"/>
  </w:num>
  <w:num w:numId="5">
    <w:abstractNumId w:val="6"/>
  </w:num>
  <w:num w:numId="6">
    <w:abstractNumId w:val="5"/>
  </w:num>
  <w:num w:numId="7">
    <w:abstractNumId w:val="12"/>
  </w:num>
  <w:num w:numId="8">
    <w:abstractNumId w:val="13"/>
  </w:num>
  <w:num w:numId="9">
    <w:abstractNumId w:val="7"/>
  </w:num>
  <w:num w:numId="10">
    <w:abstractNumId w:val="4"/>
  </w:num>
  <w:num w:numId="11">
    <w:abstractNumId w:val="0"/>
  </w:num>
  <w:num w:numId="12">
    <w:abstractNumId w:val="3"/>
  </w:num>
  <w:num w:numId="13">
    <w:abstractNumId w:val="15"/>
  </w:num>
  <w:num w:numId="14">
    <w:abstractNumId w:val="16"/>
  </w:num>
  <w:num w:numId="15">
    <w:abstractNumId w:val="10"/>
  </w:num>
  <w:num w:numId="16">
    <w:abstractNumId w:val="8"/>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16EA"/>
    <w:rsid w:val="0043511E"/>
    <w:rsid w:val="00444CC5"/>
    <w:rsid w:val="00811C13"/>
    <w:rsid w:val="009E1748"/>
    <w:rsid w:val="00A73181"/>
    <w:rsid w:val="00A8475E"/>
    <w:rsid w:val="00E4306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s-ES" w:eastAsia="es-ES"/>
    </w:rPr>
  </w:style>
  <w:style w:type="paragraph" w:styleId="Ttulo1">
    <w:name w:val="heading 1"/>
    <w:basedOn w:val="Normal"/>
    <w:next w:val="Normal"/>
    <w:qFormat/>
    <w:pPr>
      <w:keepNext/>
      <w:jc w:val="center"/>
      <w:outlineLvl w:val="0"/>
    </w:pPr>
    <w:rPr>
      <w:rFonts w:ascii="Verdana" w:hAnsi="Verdana"/>
      <w:b/>
      <w:bCs/>
      <w:sz w:val="20"/>
    </w:rPr>
  </w:style>
  <w:style w:type="character" w:default="1" w:styleId="Fuentedeprrafopredeter">
    <w:name w:val="Default Paragraph Font"/>
  </w:style>
  <w:style w:type="table" w:default="1" w:styleId="Tablanormal">
    <w:name w:val="Normal Table"/>
    <w:semiHidden/>
    <w:rPr>
      <w:lang w:bidi="ar-SA"/>
    </w:rPr>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pPr>
      <w:tabs>
        <w:tab w:val="center" w:pos="4320"/>
        <w:tab w:val="right" w:pos="8640"/>
      </w:tabs>
    </w:pPr>
    <w:rPr>
      <w:rFonts w:ascii="Garamond" w:hAnsi="Garamond"/>
      <w:szCs w:val="20"/>
      <w:lang w:val="es-ES_tradnl" w:eastAsia="en-US"/>
    </w:rPr>
  </w:style>
  <w:style w:type="paragraph" w:styleId="Textonotapie">
    <w:name w:val="footnote text"/>
    <w:aliases w:val="Footnote reference,FA Fu,Footnote Text Char Char Char Char Char,Footnote Text Char Char Char Char"/>
    <w:basedOn w:val="Normal"/>
    <w:rPr>
      <w:rFonts w:ascii="Times" w:hAnsi="Times"/>
      <w:sz w:val="20"/>
      <w:szCs w:val="20"/>
      <w:lang w:val="es-ES_tradnl" w:eastAsia="en-US"/>
    </w:rPr>
  </w:style>
  <w:style w:type="character" w:styleId="Refdenotaalpie">
    <w:name w:val="footnote reference"/>
    <w:rPr>
      <w:vertAlign w:val="superscript"/>
    </w:rPr>
  </w:style>
  <w:style w:type="paragraph" w:styleId="Textoindependiente">
    <w:name w:val="Body Text"/>
    <w:basedOn w:val="Normal"/>
    <w:pPr>
      <w:widowControl w:val="0"/>
      <w:tabs>
        <w:tab w:val="left" w:pos="360"/>
      </w:tabs>
      <w:ind w:right="720"/>
      <w:jc w:val="both"/>
    </w:pPr>
    <w:rPr>
      <w:rFonts w:ascii="Garamond" w:hAnsi="Garamond"/>
      <w:szCs w:val="20"/>
      <w:lang w:val="es-ES_tradnl" w:eastAsia="en-US"/>
    </w:rPr>
  </w:style>
  <w:style w:type="paragraph" w:styleId="Textodebloque">
    <w:name w:val="Block Text"/>
    <w:basedOn w:val="Normal"/>
    <w:pPr>
      <w:widowControl w:val="0"/>
      <w:ind w:left="720" w:right="720"/>
      <w:jc w:val="both"/>
    </w:pPr>
    <w:rPr>
      <w:rFonts w:ascii="Garamond" w:hAnsi="Garamond"/>
      <w:sz w:val="20"/>
      <w:szCs w:val="20"/>
      <w:lang w:val="es-ES_tradnl" w:eastAsia="en-US"/>
    </w:rPr>
  </w:style>
  <w:style w:type="paragraph" w:styleId="Textoindependiente3">
    <w:name w:val="Body Text 3"/>
    <w:basedOn w:val="Normal"/>
    <w:pPr>
      <w:ind w:right="-72"/>
      <w:jc w:val="both"/>
    </w:pPr>
    <w:rPr>
      <w:rFonts w:ascii="Garamond" w:eastAsia="Times" w:hAnsi="Garamond"/>
      <w:szCs w:val="20"/>
      <w:lang w:val="es-ES_tradnl" w:eastAsia="en-US"/>
    </w:rPr>
  </w:style>
  <w:style w:type="paragraph" w:styleId="Sangradetextonormal">
    <w:name w:val="Body Text Indent"/>
    <w:basedOn w:val="Normal"/>
    <w:pPr>
      <w:ind w:right="40"/>
      <w:jc w:val="both"/>
    </w:pPr>
    <w:rPr>
      <w:rFonts w:ascii="Garamond" w:hAnsi="Garamond"/>
      <w:szCs w:val="20"/>
      <w:lang w:val="es-ES_tradnl" w:eastAsia="en-US"/>
    </w:rPr>
  </w:style>
  <w:style w:type="paragraph" w:customStyle="1" w:styleId="Lneadereferencia">
    <w:name w:val="Línea de referencia"/>
    <w:basedOn w:val="Sangradetextonormal"/>
    <w:pPr>
      <w:ind w:right="0"/>
    </w:pPr>
  </w:style>
  <w:style w:type="paragraph" w:styleId="Sangra3detindependiente">
    <w:name w:val="Body Text Indent 3"/>
    <w:basedOn w:val="Normal"/>
    <w:pPr>
      <w:ind w:left="1440"/>
      <w:jc w:val="both"/>
    </w:pPr>
    <w:rPr>
      <w:rFonts w:ascii="Garamond" w:hAnsi="Garamond"/>
      <w:b/>
      <w:szCs w:val="20"/>
      <w:lang w:val="es-ES_tradnl" w:eastAsia="en-US"/>
    </w:rPr>
  </w:style>
  <w:style w:type="character" w:styleId="nfasis">
    <w:name w:val="Emphasis"/>
    <w:qFormat/>
    <w:rPr>
      <w:i/>
      <w:iCs/>
    </w:rPr>
  </w:style>
  <w:style w:type="paragraph" w:styleId="Textoindependiente2">
    <w:name w:val="Body Text 2"/>
    <w:basedOn w:val="Normal"/>
    <w:pPr>
      <w:jc w:val="both"/>
    </w:pPr>
    <w:rPr>
      <w:rFonts w:ascii="Verdana" w:hAnsi="Verdana"/>
      <w:bCs/>
      <w:sz w:val="20"/>
    </w:rPr>
  </w:style>
  <w:style w:type="paragraph" w:styleId="Sangra2detindependiente">
    <w:name w:val="Body Text Indent 2"/>
    <w:basedOn w:val="Normal"/>
    <w:pPr>
      <w:tabs>
        <w:tab w:val="left" w:pos="680"/>
      </w:tabs>
      <w:ind w:left="708"/>
      <w:jc w:val="both"/>
    </w:pPr>
    <w:rPr>
      <w:rFonts w:ascii="Verdana" w:hAnsi="Verdana"/>
      <w:iCs/>
      <w:sz w:val="20"/>
    </w:rPr>
  </w:style>
  <w:style w:type="paragraph" w:styleId="Piedepgina">
    <w:name w:val="footer"/>
    <w:basedOn w:val="Normal"/>
    <w:semiHidden/>
    <w:rsid w:val="00ED2EEE"/>
    <w:pPr>
      <w:tabs>
        <w:tab w:val="center" w:pos="4320"/>
        <w:tab w:val="right" w:pos="8640"/>
      </w:tabs>
    </w:pPr>
  </w:style>
  <w:style w:type="character" w:styleId="Nmerodepgina">
    <w:name w:val="page number"/>
    <w:basedOn w:val="Fuentedeprrafopredeter"/>
    <w:rsid w:val="00ED2EEE"/>
  </w:style>
  <w:style w:type="paragraph" w:styleId="Textodeglobo">
    <w:name w:val="Balloon Text"/>
    <w:basedOn w:val="Normal"/>
    <w:semiHidden/>
    <w:rsid w:val="001861EF"/>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1269</Words>
  <Characters>6983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RESOLUCION 19 COMERCIANTES</vt:lpstr>
    </vt:vector>
  </TitlesOfParts>
  <Company>CORTE IDH</Company>
  <LinksUpToDate>false</LinksUpToDate>
  <CharactersWithSpaces>8236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19 COMERCIANTES</dc:title>
  <dc:creator>CLA</dc:creator>
  <cp:lastModifiedBy>Liliana Tojo</cp:lastModifiedBy>
  <cp:revision>3</cp:revision>
  <cp:lastPrinted>2017-05-24T11:52:00Z</cp:lastPrinted>
  <dcterms:created xsi:type="dcterms:W3CDTF">2017-05-24T11:52:00Z</dcterms:created>
  <dcterms:modified xsi:type="dcterms:W3CDTF">2017-05-24T11:52:00Z</dcterms:modified>
</cp:coreProperties>
</file>