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2B3C" w:rsidRDefault="00822B3C">
      <w:pPr>
        <w:ind w:right="18"/>
        <w:rPr>
          <w:rFonts w:ascii="Garamond" w:hAnsi="Garamond"/>
          <w:b/>
          <w:smallCaps/>
        </w:rPr>
      </w:pPr>
      <w:bookmarkStart w:id="0" w:name="_GoBack"/>
      <w:bookmarkEnd w:id="0"/>
    </w:p>
    <w:p w:rsidR="00822B3C" w:rsidRDefault="00822B3C">
      <w:pPr>
        <w:ind w:right="18"/>
        <w:jc w:val="center"/>
        <w:rPr>
          <w:rFonts w:ascii="Verdana" w:hAnsi="Verdana"/>
          <w:b/>
          <w:smallCaps/>
          <w:sz w:val="20"/>
        </w:rPr>
      </w:pPr>
      <w:r>
        <w:rPr>
          <w:rFonts w:ascii="Verdana" w:hAnsi="Verdana"/>
          <w:b/>
          <w:smallCaps/>
          <w:sz w:val="20"/>
        </w:rPr>
        <w:t>RESOLUCIÓN DE LA</w:t>
      </w:r>
    </w:p>
    <w:p w:rsidR="00822B3C" w:rsidRDefault="00822B3C">
      <w:pPr>
        <w:pStyle w:val="Ttulo1"/>
        <w:ind w:right="18"/>
        <w:rPr>
          <w:smallCaps/>
        </w:rPr>
      </w:pPr>
      <w:r>
        <w:t>CORTE INTERAMERICANA DE DERECHOS HUMANOS</w:t>
      </w:r>
    </w:p>
    <w:p w:rsidR="00822B3C" w:rsidRDefault="00822B3C">
      <w:pPr>
        <w:ind w:right="18"/>
        <w:jc w:val="center"/>
        <w:rPr>
          <w:rFonts w:ascii="Verdana" w:hAnsi="Verdana"/>
          <w:b/>
          <w:smallCaps/>
          <w:sz w:val="20"/>
        </w:rPr>
      </w:pPr>
      <w:r>
        <w:rPr>
          <w:rFonts w:ascii="Verdana" w:hAnsi="Verdana"/>
          <w:b/>
          <w:smallCaps/>
          <w:sz w:val="20"/>
        </w:rPr>
        <w:t>DE 2 DE FEBRERO DE 2007</w:t>
      </w:r>
    </w:p>
    <w:p w:rsidR="00822B3C" w:rsidRDefault="00822B3C">
      <w:pPr>
        <w:ind w:right="18"/>
        <w:jc w:val="both"/>
        <w:rPr>
          <w:rFonts w:ascii="Verdana" w:hAnsi="Verdana"/>
          <w:b/>
          <w:smallCaps/>
          <w:sz w:val="20"/>
        </w:rPr>
      </w:pPr>
    </w:p>
    <w:p w:rsidR="00822B3C" w:rsidRDefault="00822B3C">
      <w:pPr>
        <w:ind w:right="18"/>
        <w:jc w:val="both"/>
        <w:rPr>
          <w:rFonts w:ascii="Verdana" w:hAnsi="Verdana"/>
          <w:b/>
          <w:smallCaps/>
          <w:sz w:val="20"/>
        </w:rPr>
      </w:pPr>
    </w:p>
    <w:p w:rsidR="00822B3C" w:rsidRDefault="00822B3C">
      <w:pPr>
        <w:ind w:right="18"/>
        <w:jc w:val="center"/>
        <w:rPr>
          <w:rFonts w:ascii="Verdana" w:hAnsi="Verdana"/>
          <w:b/>
          <w:smallCaps/>
          <w:sz w:val="20"/>
        </w:rPr>
      </w:pPr>
      <w:r>
        <w:rPr>
          <w:rFonts w:ascii="Verdana" w:hAnsi="Verdana"/>
          <w:b/>
          <w:sz w:val="20"/>
          <w:lang w:val="es-ES_tradnl"/>
        </w:rPr>
        <w:t>SOLICITUD DE MEDIDAS PROVISIONALES</w:t>
      </w:r>
    </w:p>
    <w:p w:rsidR="00822B3C" w:rsidRDefault="00822B3C">
      <w:pPr>
        <w:ind w:right="18"/>
        <w:jc w:val="center"/>
        <w:rPr>
          <w:rFonts w:ascii="Verdana" w:hAnsi="Verdana"/>
          <w:b/>
          <w:smallCaps/>
          <w:sz w:val="20"/>
        </w:rPr>
      </w:pPr>
      <w:r>
        <w:rPr>
          <w:rFonts w:ascii="Verdana" w:hAnsi="Verdana"/>
          <w:b/>
          <w:smallCaps/>
          <w:sz w:val="20"/>
        </w:rPr>
        <w:t xml:space="preserve"> RESPECTO DE LA REPÚBLICA DE ARGENTINA</w:t>
      </w:r>
    </w:p>
    <w:p w:rsidR="00822B3C" w:rsidRDefault="00822B3C">
      <w:pPr>
        <w:ind w:right="18"/>
        <w:jc w:val="center"/>
        <w:rPr>
          <w:rFonts w:ascii="Verdana" w:hAnsi="Verdana"/>
          <w:b/>
          <w:smallCaps/>
          <w:sz w:val="20"/>
        </w:rPr>
      </w:pPr>
    </w:p>
    <w:p w:rsidR="00822B3C" w:rsidRDefault="00822B3C">
      <w:pPr>
        <w:ind w:right="18"/>
        <w:jc w:val="center"/>
        <w:rPr>
          <w:rFonts w:ascii="Verdana" w:hAnsi="Verdana"/>
          <w:b/>
          <w:smallCaps/>
          <w:sz w:val="20"/>
        </w:rPr>
      </w:pPr>
    </w:p>
    <w:p w:rsidR="00822B3C" w:rsidRDefault="00822B3C">
      <w:pPr>
        <w:ind w:right="18"/>
        <w:jc w:val="center"/>
        <w:rPr>
          <w:rFonts w:ascii="Verdana" w:hAnsi="Verdana"/>
          <w:b/>
          <w:smallCaps/>
          <w:sz w:val="20"/>
        </w:rPr>
      </w:pPr>
      <w:r>
        <w:rPr>
          <w:rFonts w:ascii="Verdana" w:hAnsi="Verdana"/>
          <w:b/>
          <w:smallCaps/>
          <w:sz w:val="20"/>
        </w:rPr>
        <w:t xml:space="preserve">CASO BUENO ALVES </w:t>
      </w:r>
    </w:p>
    <w:p w:rsidR="00822B3C" w:rsidRDefault="00822B3C">
      <w:pPr>
        <w:ind w:right="18"/>
        <w:jc w:val="center"/>
        <w:rPr>
          <w:rFonts w:ascii="Verdana" w:hAnsi="Verdana"/>
          <w:b/>
          <w:smallCaps/>
          <w:sz w:val="20"/>
        </w:rPr>
      </w:pPr>
    </w:p>
    <w:p w:rsidR="00822B3C" w:rsidRDefault="00822B3C">
      <w:pPr>
        <w:ind w:right="18"/>
        <w:jc w:val="both"/>
        <w:rPr>
          <w:rFonts w:ascii="Verdana" w:hAnsi="Verdana"/>
          <w:b/>
          <w:sz w:val="20"/>
        </w:rPr>
      </w:pPr>
    </w:p>
    <w:p w:rsidR="00822B3C" w:rsidRDefault="00822B3C">
      <w:pPr>
        <w:ind w:right="18"/>
        <w:jc w:val="both"/>
        <w:rPr>
          <w:rFonts w:ascii="Verdana" w:hAnsi="Verdana"/>
          <w:b/>
          <w:sz w:val="20"/>
        </w:rPr>
      </w:pPr>
    </w:p>
    <w:p w:rsidR="00822B3C" w:rsidRDefault="00822B3C">
      <w:pPr>
        <w:ind w:right="18"/>
        <w:jc w:val="both"/>
        <w:rPr>
          <w:rFonts w:ascii="Verdana" w:hAnsi="Verdana"/>
          <w:b/>
          <w:sz w:val="20"/>
        </w:rPr>
      </w:pPr>
      <w:r>
        <w:rPr>
          <w:rFonts w:ascii="Verdana" w:hAnsi="Verdana"/>
          <w:b/>
          <w:sz w:val="20"/>
        </w:rPr>
        <w:t>VISTOS:</w:t>
      </w:r>
    </w:p>
    <w:p w:rsidR="00822B3C" w:rsidRDefault="00822B3C">
      <w:pPr>
        <w:pStyle w:val="Textonotapie"/>
        <w:ind w:right="18"/>
        <w:rPr>
          <w:rFonts w:ascii="Verdana" w:hAnsi="Verdana"/>
        </w:rPr>
      </w:pPr>
    </w:p>
    <w:p w:rsidR="00822B3C" w:rsidRDefault="00822B3C">
      <w:pPr>
        <w:pStyle w:val="Sangra3detindependiente"/>
        <w:widowControl w:val="0"/>
        <w:ind w:left="0" w:right="18"/>
        <w:rPr>
          <w:rFonts w:ascii="Verdana" w:eastAsia="Times" w:hAnsi="Verdana"/>
          <w:b w:val="0"/>
          <w:sz w:val="20"/>
        </w:rPr>
      </w:pPr>
      <w:r>
        <w:rPr>
          <w:rFonts w:ascii="Verdana" w:eastAsia="Times" w:hAnsi="Verdana"/>
          <w:b w:val="0"/>
          <w:sz w:val="20"/>
        </w:rPr>
        <w:t>1.</w:t>
      </w:r>
      <w:r>
        <w:rPr>
          <w:rFonts w:ascii="Verdana" w:eastAsia="Times" w:hAnsi="Verdana"/>
          <w:b w:val="0"/>
          <w:sz w:val="20"/>
        </w:rPr>
        <w:tab/>
        <w:t>El escrito de 31 de marzo de 2006, mediante el cual la Comisión Interamericana de Derechos Humanos (en adelante “la Comisión”) demandó a la República de Argentina (en adelante “el Estado” o “Argentina”) ante la Corte Interamericana de Derechos Humanos (en adelante “la Corte” o “el Tribunal”), en relación con el caso Bueno Alves.</w:t>
      </w:r>
    </w:p>
    <w:p w:rsidR="00822B3C" w:rsidRDefault="00822B3C">
      <w:pPr>
        <w:pStyle w:val="Sangra3detindependiente"/>
        <w:widowControl w:val="0"/>
        <w:ind w:left="0" w:right="18"/>
        <w:rPr>
          <w:rFonts w:ascii="Verdana" w:eastAsia="Times" w:hAnsi="Verdana"/>
          <w:b w:val="0"/>
          <w:sz w:val="20"/>
        </w:rPr>
      </w:pPr>
    </w:p>
    <w:p w:rsidR="00822B3C" w:rsidRDefault="00822B3C">
      <w:pPr>
        <w:pStyle w:val="Sangra3detindependiente"/>
        <w:widowControl w:val="0"/>
        <w:ind w:left="0" w:right="18"/>
        <w:rPr>
          <w:rFonts w:ascii="Verdana" w:eastAsia="Times" w:hAnsi="Verdana"/>
          <w:b w:val="0"/>
          <w:sz w:val="20"/>
        </w:rPr>
      </w:pPr>
      <w:r>
        <w:rPr>
          <w:rFonts w:ascii="Verdana" w:eastAsia="Times" w:hAnsi="Verdana"/>
          <w:b w:val="0"/>
          <w:sz w:val="20"/>
        </w:rPr>
        <w:t>2.</w:t>
      </w:r>
      <w:r>
        <w:rPr>
          <w:rFonts w:ascii="Verdana" w:eastAsia="Times" w:hAnsi="Verdana"/>
          <w:b w:val="0"/>
          <w:sz w:val="20"/>
        </w:rPr>
        <w:tab/>
        <w:t>La comunicación de 20 de julio de 2006, mediante la cual la representante de la presunta víctima (en adelante “la representante”) presentó su escrito de solicitudes, argumentos y pruebas (en adelante el “escrito de solicitudes y argumentos”).</w:t>
      </w:r>
    </w:p>
    <w:p w:rsidR="00822B3C" w:rsidRPr="002A16EA" w:rsidRDefault="00822B3C">
      <w:pPr>
        <w:pStyle w:val="Sangra3detindependiente"/>
        <w:widowControl w:val="0"/>
        <w:ind w:left="0" w:right="18"/>
        <w:rPr>
          <w:rFonts w:ascii="Verdana" w:hAnsi="Verdana"/>
          <w:b w:val="0"/>
          <w:sz w:val="20"/>
          <w:highlight w:val="lightGray"/>
          <w:u w:val="single"/>
        </w:rPr>
      </w:pPr>
    </w:p>
    <w:p w:rsidR="00822B3C" w:rsidRPr="002A16EA" w:rsidRDefault="00822B3C">
      <w:pPr>
        <w:pStyle w:val="Sangra3detindependiente"/>
        <w:widowControl w:val="0"/>
        <w:ind w:left="0" w:right="18"/>
        <w:rPr>
          <w:rFonts w:ascii="Verdana" w:hAnsi="Verdana"/>
          <w:b w:val="0"/>
          <w:sz w:val="20"/>
        </w:rPr>
      </w:pPr>
      <w:r w:rsidRPr="002A16EA">
        <w:rPr>
          <w:rFonts w:ascii="Verdana" w:hAnsi="Verdana"/>
          <w:b w:val="0"/>
          <w:sz w:val="20"/>
        </w:rPr>
        <w:t>3.</w:t>
      </w:r>
      <w:r w:rsidRPr="002A16EA">
        <w:rPr>
          <w:rFonts w:ascii="Verdana" w:hAnsi="Verdana"/>
          <w:b w:val="0"/>
          <w:sz w:val="20"/>
        </w:rPr>
        <w:tab/>
        <w:t>La comunicación de 26 de septiembre de 2006, mediante la cual el Estado presentó su escrito de contestación a la demanda y observaciones al escrito de solicitudes y argumentos (en adelante la “contestación a la demanda”).</w:t>
      </w:r>
    </w:p>
    <w:p w:rsidR="00822B3C" w:rsidRPr="002A16EA" w:rsidRDefault="00822B3C">
      <w:pPr>
        <w:pStyle w:val="Sangra3detindependiente"/>
        <w:widowControl w:val="0"/>
        <w:ind w:left="0" w:right="18"/>
        <w:rPr>
          <w:rFonts w:ascii="Verdana" w:hAnsi="Verdana"/>
          <w:b w:val="0"/>
          <w:sz w:val="20"/>
        </w:rPr>
      </w:pPr>
    </w:p>
    <w:p w:rsidR="00822B3C" w:rsidRPr="00A20488" w:rsidRDefault="00822B3C">
      <w:pPr>
        <w:pStyle w:val="Sangra3detindependiente"/>
        <w:widowControl w:val="0"/>
        <w:ind w:left="0" w:right="18"/>
        <w:rPr>
          <w:rFonts w:ascii="Verdana" w:hAnsi="Verdana"/>
          <w:b w:val="0"/>
          <w:sz w:val="20"/>
        </w:rPr>
      </w:pPr>
      <w:r w:rsidRPr="002A16EA">
        <w:rPr>
          <w:rFonts w:ascii="Verdana" w:hAnsi="Verdana"/>
          <w:b w:val="0"/>
          <w:sz w:val="20"/>
        </w:rPr>
        <w:t xml:space="preserve">4. </w:t>
      </w:r>
      <w:r w:rsidRPr="002A16EA">
        <w:rPr>
          <w:rFonts w:ascii="Verdana" w:hAnsi="Verdana"/>
          <w:b w:val="0"/>
          <w:sz w:val="20"/>
        </w:rPr>
        <w:tab/>
        <w:t xml:space="preserve">La Resolución del Presidente de la Corte (en adelante “el Presidente”) de 6 de diciembre de 2006, mediante la cual, </w:t>
      </w:r>
      <w:r w:rsidRPr="002A16EA">
        <w:rPr>
          <w:rFonts w:ascii="Verdana" w:hAnsi="Verdana"/>
          <w:b w:val="0"/>
          <w:i/>
          <w:sz w:val="20"/>
        </w:rPr>
        <w:t xml:space="preserve">inter alia, </w:t>
      </w:r>
      <w:r w:rsidRPr="002A16EA">
        <w:rPr>
          <w:rFonts w:ascii="Verdana" w:hAnsi="Verdana"/>
          <w:b w:val="0"/>
          <w:sz w:val="20"/>
        </w:rPr>
        <w:t>requirió al Estado y a la representante que remitieran una terna de médicos y otra de psiquiatras o psicólogos a efectos de que el Presidente pueda designar expertos que realicen las pericias ordenadas en la misma Resolución.  Asimismo, el Presidente dispuso que “todos los gastos necesarios para la realización de los […] informes [periciales] correrá[n] por cuenta del Estado”, así como la remisión de los mismos al Tribunal.</w:t>
      </w:r>
    </w:p>
    <w:p w:rsidR="00822B3C" w:rsidRPr="002A16EA" w:rsidRDefault="00822B3C">
      <w:pPr>
        <w:pStyle w:val="Sangra3detindependiente"/>
        <w:widowControl w:val="0"/>
        <w:ind w:left="0" w:right="18"/>
        <w:rPr>
          <w:rFonts w:ascii="Verdana" w:hAnsi="Verdana"/>
          <w:b w:val="0"/>
          <w:sz w:val="20"/>
        </w:rPr>
      </w:pPr>
    </w:p>
    <w:p w:rsidR="00822B3C" w:rsidRPr="0033708D" w:rsidRDefault="00822B3C" w:rsidP="00822B3C">
      <w:pPr>
        <w:jc w:val="both"/>
        <w:rPr>
          <w:rFonts w:ascii="Verdana" w:hAnsi="Verdana"/>
          <w:sz w:val="20"/>
          <w:szCs w:val="20"/>
          <w:lang w:val="es-ES_tradnl" w:eastAsia="en-US"/>
        </w:rPr>
      </w:pPr>
      <w:r w:rsidRPr="0033708D">
        <w:rPr>
          <w:rFonts w:ascii="Verdana" w:hAnsi="Verdana"/>
          <w:sz w:val="20"/>
          <w:szCs w:val="20"/>
          <w:lang w:val="es-ES_tradnl" w:eastAsia="en-US"/>
        </w:rPr>
        <w:t>5.</w:t>
      </w:r>
      <w:r w:rsidRPr="0033708D">
        <w:rPr>
          <w:rFonts w:ascii="Verdana" w:hAnsi="Verdana"/>
          <w:sz w:val="20"/>
          <w:szCs w:val="20"/>
          <w:lang w:val="es-ES_tradnl" w:eastAsia="en-US"/>
        </w:rPr>
        <w:tab/>
        <w:t>La nota de la Secretaría de la Corte (en adelante “la Secretaría”) de 10 de enero de 2007, mediante la cual se comunicó a las partes la decisión del Presidente de nombrar a un médico y un psiquiatra propuestos por el Estado, y un médico y un psiquiatra propuestos por la representante para que realicen las experticias solicitadas el 6 de diciembre de 2006 (</w:t>
      </w:r>
      <w:r w:rsidRPr="0033708D">
        <w:rPr>
          <w:rFonts w:ascii="Verdana" w:hAnsi="Verdana"/>
          <w:i/>
          <w:sz w:val="20"/>
          <w:szCs w:val="20"/>
          <w:lang w:val="es-ES_tradnl" w:eastAsia="en-US"/>
        </w:rPr>
        <w:t xml:space="preserve">supra </w:t>
      </w:r>
      <w:r w:rsidRPr="0033708D">
        <w:rPr>
          <w:rFonts w:ascii="Verdana" w:hAnsi="Verdana"/>
          <w:sz w:val="20"/>
          <w:szCs w:val="20"/>
          <w:lang w:val="es-ES_tradnl" w:eastAsia="en-US"/>
        </w:rPr>
        <w:t xml:space="preserve">Visto 4). </w:t>
      </w:r>
    </w:p>
    <w:p w:rsidR="00822B3C" w:rsidRPr="0033708D" w:rsidRDefault="00822B3C" w:rsidP="00822B3C">
      <w:pPr>
        <w:jc w:val="both"/>
        <w:rPr>
          <w:rFonts w:ascii="Verdana" w:hAnsi="Verdana"/>
          <w:sz w:val="20"/>
          <w:szCs w:val="20"/>
          <w:lang w:val="es-ES_tradnl" w:eastAsia="en-US"/>
        </w:rPr>
      </w:pPr>
    </w:p>
    <w:p w:rsidR="00822B3C" w:rsidRPr="0033708D" w:rsidRDefault="00822B3C" w:rsidP="00822B3C">
      <w:pPr>
        <w:jc w:val="both"/>
        <w:rPr>
          <w:rFonts w:ascii="Verdana" w:hAnsi="Verdana"/>
          <w:sz w:val="20"/>
          <w:szCs w:val="20"/>
          <w:lang w:val="es-ES_tradnl" w:eastAsia="en-US"/>
        </w:rPr>
      </w:pPr>
      <w:r w:rsidRPr="0033708D">
        <w:rPr>
          <w:rFonts w:ascii="Verdana" w:hAnsi="Verdana"/>
          <w:sz w:val="20"/>
          <w:szCs w:val="20"/>
          <w:lang w:val="es-ES_tradnl" w:eastAsia="en-US"/>
        </w:rPr>
        <w:t>6.</w:t>
      </w:r>
      <w:r w:rsidRPr="0033708D">
        <w:rPr>
          <w:rFonts w:ascii="Verdana" w:hAnsi="Verdana"/>
          <w:sz w:val="20"/>
          <w:szCs w:val="20"/>
          <w:lang w:val="es-ES_tradnl" w:eastAsia="en-US"/>
        </w:rPr>
        <w:tab/>
        <w:t xml:space="preserve">La comunicación de 22 de enero de 2007 y su anexo, mediante los cuales la representante informó, </w:t>
      </w:r>
      <w:r w:rsidRPr="0033708D">
        <w:rPr>
          <w:rFonts w:ascii="Verdana" w:hAnsi="Verdana"/>
          <w:i/>
          <w:sz w:val="20"/>
          <w:szCs w:val="20"/>
          <w:lang w:val="es-ES_tradnl" w:eastAsia="en-US"/>
        </w:rPr>
        <w:t xml:space="preserve">inter alia, </w:t>
      </w:r>
      <w:r w:rsidRPr="0033708D">
        <w:rPr>
          <w:rFonts w:ascii="Verdana" w:hAnsi="Verdana"/>
          <w:sz w:val="20"/>
          <w:szCs w:val="20"/>
          <w:lang w:val="es-ES_tradnl" w:eastAsia="en-US"/>
        </w:rPr>
        <w:t>que había sido ella quien notificó a los peritos designados por el Presidente con la Resolución de 6 de diciembre de 2006 (</w:t>
      </w:r>
      <w:r w:rsidRPr="0033708D">
        <w:rPr>
          <w:rFonts w:ascii="Verdana" w:hAnsi="Verdana"/>
          <w:i/>
          <w:sz w:val="20"/>
          <w:szCs w:val="20"/>
          <w:lang w:val="es-ES_tradnl" w:eastAsia="en-US"/>
        </w:rPr>
        <w:t xml:space="preserve">supra </w:t>
      </w:r>
      <w:r w:rsidRPr="0033708D">
        <w:rPr>
          <w:rFonts w:ascii="Verdana" w:hAnsi="Verdana"/>
          <w:sz w:val="20"/>
          <w:szCs w:val="20"/>
          <w:lang w:val="es-ES_tradnl" w:eastAsia="en-US"/>
        </w:rPr>
        <w:t>Visto 4) y con la nota de Secretaría de 10 de enero de 2007 (</w:t>
      </w:r>
      <w:r w:rsidRPr="0033708D">
        <w:rPr>
          <w:rFonts w:ascii="Verdana" w:hAnsi="Verdana"/>
          <w:i/>
          <w:sz w:val="20"/>
          <w:szCs w:val="20"/>
          <w:lang w:val="es-ES_tradnl" w:eastAsia="en-US"/>
        </w:rPr>
        <w:t xml:space="preserve">supra </w:t>
      </w:r>
      <w:r w:rsidRPr="0033708D">
        <w:rPr>
          <w:rFonts w:ascii="Verdana" w:hAnsi="Verdana"/>
          <w:sz w:val="20"/>
          <w:szCs w:val="20"/>
          <w:lang w:val="es-ES_tradnl" w:eastAsia="en-US"/>
        </w:rPr>
        <w:t xml:space="preserve">Visto 5). Del mismo modo, la representante señaló que había sido ella quien retiró de la respectiva escribanía pública el informe pericial (affidávit) elaborado por tales expertos, cuyos originales estaría enviando a esta Corte. Finamente, solicitó la adopción de medidas provisionales, ante la supuesta “situación de temor, ten[s]ión, angustia e incertidumbre [provocada] por [el] acoso [al] que [se] </w:t>
      </w:r>
      <w:proofErr w:type="gramStart"/>
      <w:r w:rsidRPr="0033708D">
        <w:rPr>
          <w:rFonts w:ascii="Verdana" w:hAnsi="Verdana"/>
          <w:sz w:val="20"/>
          <w:szCs w:val="20"/>
          <w:lang w:val="es-ES_tradnl" w:eastAsia="en-US"/>
        </w:rPr>
        <w:t>encontra[</w:t>
      </w:r>
      <w:proofErr w:type="gramEnd"/>
      <w:r w:rsidRPr="0033708D">
        <w:rPr>
          <w:rFonts w:ascii="Verdana" w:hAnsi="Verdana"/>
          <w:sz w:val="20"/>
          <w:szCs w:val="20"/>
          <w:lang w:val="es-ES_tradnl" w:eastAsia="en-US"/>
        </w:rPr>
        <w:t xml:space="preserve">ban] sometidos por el </w:t>
      </w:r>
      <w:r w:rsidRPr="0033708D">
        <w:rPr>
          <w:rFonts w:ascii="Verdana" w:hAnsi="Verdana"/>
          <w:sz w:val="20"/>
          <w:szCs w:val="20"/>
          <w:lang w:val="es-ES_tradnl" w:eastAsia="en-US"/>
        </w:rPr>
        <w:lastRenderedPageBreak/>
        <w:t xml:space="preserve">Estado”. En soporte de este argumento la representante relató hechos que </w:t>
      </w:r>
      <w:r w:rsidRPr="00A20488">
        <w:rPr>
          <w:rFonts w:ascii="Verdana" w:hAnsi="Verdana"/>
          <w:sz w:val="20"/>
          <w:szCs w:val="20"/>
          <w:lang w:val="es-ES_tradnl" w:eastAsia="en-US"/>
        </w:rPr>
        <w:t>ponían</w:t>
      </w:r>
      <w:r w:rsidRPr="0033708D">
        <w:rPr>
          <w:rFonts w:ascii="Verdana" w:hAnsi="Verdana"/>
          <w:sz w:val="20"/>
          <w:szCs w:val="20"/>
          <w:lang w:val="es-ES_tradnl" w:eastAsia="en-US"/>
        </w:rPr>
        <w:t xml:space="preserve"> de manifiesto inquietudes expresadas por parte una perito del caso, miembros de la oficina de un notario público, y su propia persona, en relación al supuesto acoso que funcionarios del Estado estarían cometiendo en requerimiento de la documentación original relacionada con los peritajes ordenados por este Tribunal en el presente caso (</w:t>
      </w:r>
      <w:r w:rsidRPr="0033708D">
        <w:rPr>
          <w:rFonts w:ascii="Verdana" w:hAnsi="Verdana"/>
          <w:i/>
          <w:sz w:val="20"/>
          <w:szCs w:val="20"/>
          <w:lang w:val="es-ES_tradnl" w:eastAsia="en-US"/>
        </w:rPr>
        <w:t xml:space="preserve">supra </w:t>
      </w:r>
      <w:r w:rsidRPr="0033708D">
        <w:rPr>
          <w:rFonts w:ascii="Verdana" w:hAnsi="Verdana"/>
          <w:sz w:val="20"/>
          <w:szCs w:val="20"/>
          <w:lang w:val="es-ES_tradnl" w:eastAsia="en-US"/>
        </w:rPr>
        <w:t xml:space="preserve">Visto 4). Específicamente señaló que “la certeza de riesgo y la presión del Estado ejercida durante tantas horas, produjo pánico y el temor respecto de la seguridad de las personas que con distintos </w:t>
      </w:r>
      <w:proofErr w:type="gramStart"/>
      <w:r w:rsidRPr="0033708D">
        <w:rPr>
          <w:rFonts w:ascii="Verdana" w:hAnsi="Verdana"/>
          <w:sz w:val="20"/>
          <w:szCs w:val="20"/>
          <w:lang w:val="es-ES_tradnl" w:eastAsia="en-US"/>
        </w:rPr>
        <w:t>roles[</w:t>
      </w:r>
      <w:proofErr w:type="gramEnd"/>
      <w:r w:rsidRPr="0033708D">
        <w:rPr>
          <w:rFonts w:ascii="Verdana" w:hAnsi="Verdana"/>
          <w:sz w:val="20"/>
          <w:szCs w:val="20"/>
          <w:lang w:val="es-ES_tradnl" w:eastAsia="en-US"/>
        </w:rPr>
        <w:t>…] estaban involucradas” en la elaboración o certificación del documento pericial.</w:t>
      </w:r>
    </w:p>
    <w:p w:rsidR="00822B3C" w:rsidRPr="0033708D" w:rsidRDefault="00822B3C" w:rsidP="00822B3C">
      <w:pPr>
        <w:jc w:val="both"/>
        <w:rPr>
          <w:rFonts w:ascii="Verdana" w:hAnsi="Verdana"/>
          <w:sz w:val="20"/>
          <w:szCs w:val="20"/>
          <w:lang w:val="es-ES_tradnl" w:eastAsia="en-US"/>
        </w:rPr>
      </w:pPr>
    </w:p>
    <w:p w:rsidR="00822B3C" w:rsidRPr="0033708D" w:rsidRDefault="00822B3C" w:rsidP="00822B3C">
      <w:pPr>
        <w:jc w:val="both"/>
        <w:rPr>
          <w:rFonts w:ascii="Verdana" w:hAnsi="Verdana"/>
          <w:sz w:val="20"/>
          <w:szCs w:val="20"/>
          <w:lang w:val="es-ES_tradnl" w:eastAsia="en-US"/>
        </w:rPr>
      </w:pPr>
      <w:r w:rsidRPr="0033708D">
        <w:rPr>
          <w:rFonts w:ascii="Verdana" w:hAnsi="Verdana"/>
          <w:sz w:val="20"/>
          <w:szCs w:val="20"/>
          <w:lang w:val="es-ES_tradnl" w:eastAsia="en-US"/>
        </w:rPr>
        <w:t>7.</w:t>
      </w:r>
      <w:r w:rsidRPr="0033708D">
        <w:rPr>
          <w:rFonts w:ascii="Verdana" w:hAnsi="Verdana"/>
          <w:sz w:val="20"/>
          <w:szCs w:val="20"/>
          <w:lang w:val="es-ES_tradnl" w:eastAsia="en-US"/>
        </w:rPr>
        <w:tab/>
        <w:t>La comunicación del Estado de 22 de enero de 2007, en la que informó que la representante “retiró inconsultamente el primer testimonio del instrumento notarial y, en abierta contravención de lo dispuesto por [el Presidente] en el punto resolutivo 1 de la [Resolución] de fecha 6 de diciembre de 2006 en cuanto ordenó que la remisión de los informes al Tribunal fuera realizada por el Estado, dice haberlo ‘enviado por correo’ a [la] Secretaría [de la Corte]”.</w:t>
      </w:r>
    </w:p>
    <w:p w:rsidR="00822B3C" w:rsidRPr="0033708D" w:rsidRDefault="00822B3C" w:rsidP="00822B3C">
      <w:pPr>
        <w:jc w:val="both"/>
        <w:rPr>
          <w:rFonts w:ascii="Verdana" w:hAnsi="Verdana"/>
          <w:sz w:val="20"/>
          <w:szCs w:val="20"/>
          <w:lang w:val="es-ES_tradnl" w:eastAsia="en-US"/>
        </w:rPr>
      </w:pPr>
    </w:p>
    <w:p w:rsidR="00822B3C" w:rsidRPr="0033708D" w:rsidRDefault="00822B3C" w:rsidP="00822B3C">
      <w:pPr>
        <w:jc w:val="both"/>
        <w:rPr>
          <w:rFonts w:ascii="Verdana" w:hAnsi="Verdana"/>
          <w:sz w:val="20"/>
          <w:szCs w:val="20"/>
          <w:lang w:val="es-ES_tradnl" w:eastAsia="en-US"/>
        </w:rPr>
      </w:pPr>
      <w:r w:rsidRPr="0033708D">
        <w:rPr>
          <w:rFonts w:ascii="Verdana" w:hAnsi="Verdana"/>
          <w:sz w:val="20"/>
          <w:szCs w:val="20"/>
          <w:lang w:val="es-ES_tradnl" w:eastAsia="en-US"/>
        </w:rPr>
        <w:t>8.</w:t>
      </w:r>
      <w:r w:rsidRPr="0033708D">
        <w:rPr>
          <w:rFonts w:ascii="Verdana" w:hAnsi="Verdana"/>
          <w:sz w:val="20"/>
          <w:szCs w:val="20"/>
          <w:lang w:val="es-ES_tradnl" w:eastAsia="en-US"/>
        </w:rPr>
        <w:tab/>
        <w:t>Las notas de la Secretaría de 23 de enero de 2007, mediante las cuales, siguiendo instrucciones del Presidente de la Corte, solicitó a la representante que individualizara, a más tardar el 25 de enero de 2007, a las personas que a su consideración serían las beneficiarias de las medidas provisionales que solicitó. Asimismo, siguiendo instrucciones del Presidente de la Corte, se solicitó al Estado y la Comisión que present</w:t>
      </w:r>
      <w:r w:rsidRPr="0033708D" w:rsidDel="00115260">
        <w:rPr>
          <w:rFonts w:ascii="Verdana" w:hAnsi="Verdana"/>
          <w:sz w:val="20"/>
          <w:szCs w:val="20"/>
          <w:lang w:val="es-ES_tradnl" w:eastAsia="en-US"/>
        </w:rPr>
        <w:t>aran</w:t>
      </w:r>
      <w:r w:rsidRPr="0033708D">
        <w:rPr>
          <w:rFonts w:ascii="Verdana" w:hAnsi="Verdana"/>
          <w:sz w:val="20"/>
          <w:szCs w:val="20"/>
          <w:lang w:val="es-ES_tradnl" w:eastAsia="en-US"/>
        </w:rPr>
        <w:t xml:space="preserve"> sus observaciones a la solicitud de la representante a más tardar el 30 de enero de 2007.</w:t>
      </w:r>
    </w:p>
    <w:p w:rsidR="00822B3C" w:rsidRPr="002A16EA" w:rsidRDefault="00822B3C">
      <w:pPr>
        <w:pStyle w:val="Sangra3detindependiente"/>
        <w:widowControl w:val="0"/>
        <w:ind w:left="0" w:right="18"/>
        <w:rPr>
          <w:rFonts w:ascii="Verdana" w:hAnsi="Verdana"/>
          <w:b w:val="0"/>
          <w:sz w:val="20"/>
        </w:rPr>
      </w:pPr>
    </w:p>
    <w:p w:rsidR="00822B3C" w:rsidRPr="002A16EA" w:rsidRDefault="00822B3C">
      <w:pPr>
        <w:pStyle w:val="Sangra3detindependiente"/>
        <w:widowControl w:val="0"/>
        <w:ind w:left="0" w:right="18"/>
        <w:rPr>
          <w:rFonts w:ascii="Verdana" w:hAnsi="Verdana"/>
          <w:b w:val="0"/>
          <w:sz w:val="20"/>
        </w:rPr>
      </w:pPr>
      <w:r w:rsidRPr="002A16EA">
        <w:rPr>
          <w:rFonts w:ascii="Verdana" w:hAnsi="Verdana"/>
          <w:b w:val="0"/>
          <w:sz w:val="20"/>
        </w:rPr>
        <w:t xml:space="preserve">9. </w:t>
      </w:r>
      <w:r w:rsidRPr="002A16EA">
        <w:rPr>
          <w:rFonts w:ascii="Verdana" w:hAnsi="Verdana"/>
          <w:b w:val="0"/>
          <w:sz w:val="20"/>
        </w:rPr>
        <w:tab/>
        <w:t xml:space="preserve">La comunicación de la representante de 25 de enero de 2007, mediante la cual </w:t>
      </w:r>
      <w:r w:rsidRPr="0033708D">
        <w:rPr>
          <w:rFonts w:ascii="Verdana" w:hAnsi="Verdana"/>
          <w:b w:val="0"/>
          <w:sz w:val="20"/>
        </w:rPr>
        <w:t>individualizó los nombres de las personas sobre quienes solicitó al Tribunal dicte medidas provisionales</w:t>
      </w:r>
      <w:r w:rsidRPr="002A16EA">
        <w:rPr>
          <w:rFonts w:ascii="Verdana" w:hAnsi="Verdana"/>
          <w:b w:val="0"/>
          <w:sz w:val="20"/>
        </w:rPr>
        <w:t>, a saber: María del Socorro Nievas (perito), Germán Schenker (perito); Julio A. Ravioli (perito); Fernando Emilio Taragano (perito); Marcelo S. Senillosa (actuario); José Foppoli (actuario); Marcelo Saúl Senillosa (actuario); Eduardo Senillosa (actuario); Alejandra Irma Delgado (secretaria de la escribanía); Juan Francisco Bueno Alves (presunta víctima) y “su grupo familiar”, y Helena T. Afonso Fernández (apoderada).</w:t>
      </w:r>
    </w:p>
    <w:p w:rsidR="00822B3C" w:rsidRPr="00B93585" w:rsidRDefault="00822B3C" w:rsidP="00822B3C">
      <w:pPr>
        <w:jc w:val="both"/>
        <w:rPr>
          <w:rFonts w:ascii="Garamond" w:hAnsi="Garamond"/>
        </w:rPr>
      </w:pPr>
    </w:p>
    <w:p w:rsidR="00822B3C" w:rsidRPr="0033708D" w:rsidRDefault="00822B3C" w:rsidP="00822B3C">
      <w:pPr>
        <w:jc w:val="both"/>
        <w:rPr>
          <w:rFonts w:ascii="Verdana" w:hAnsi="Verdana"/>
          <w:sz w:val="20"/>
          <w:szCs w:val="20"/>
          <w:lang w:val="es-ES_tradnl" w:eastAsia="en-US"/>
        </w:rPr>
      </w:pPr>
      <w:r w:rsidRPr="0033708D">
        <w:rPr>
          <w:rFonts w:ascii="Verdana" w:hAnsi="Verdana"/>
          <w:sz w:val="20"/>
          <w:szCs w:val="20"/>
          <w:lang w:val="es-ES_tradnl" w:eastAsia="en-US"/>
        </w:rPr>
        <w:t>10.</w:t>
      </w:r>
      <w:r w:rsidRPr="0033708D">
        <w:rPr>
          <w:rFonts w:ascii="Verdana" w:hAnsi="Verdana"/>
          <w:sz w:val="20"/>
          <w:szCs w:val="20"/>
          <w:lang w:val="es-ES_tradnl" w:eastAsia="en-US"/>
        </w:rPr>
        <w:tab/>
        <w:t>La comunicación de 29 de enero de 2007, mediante la cual el Estado presentó sus observaciones a la solicitud de medidas provisionales (</w:t>
      </w:r>
      <w:r w:rsidRPr="0033708D">
        <w:rPr>
          <w:rFonts w:ascii="Verdana" w:hAnsi="Verdana"/>
          <w:i/>
          <w:sz w:val="20"/>
          <w:szCs w:val="20"/>
          <w:lang w:val="es-ES_tradnl" w:eastAsia="en-US"/>
        </w:rPr>
        <w:t xml:space="preserve">supra </w:t>
      </w:r>
      <w:r w:rsidRPr="0033708D">
        <w:rPr>
          <w:rFonts w:ascii="Verdana" w:hAnsi="Verdana"/>
          <w:sz w:val="20"/>
          <w:szCs w:val="20"/>
          <w:lang w:val="es-ES_tradnl" w:eastAsia="en-US"/>
        </w:rPr>
        <w:t xml:space="preserve">Visto 6). Al respecto, afirmó, </w:t>
      </w:r>
      <w:r w:rsidRPr="0033708D">
        <w:rPr>
          <w:rFonts w:ascii="Verdana" w:hAnsi="Verdana"/>
          <w:i/>
          <w:sz w:val="20"/>
          <w:szCs w:val="20"/>
          <w:lang w:val="es-ES_tradnl" w:eastAsia="en-US"/>
        </w:rPr>
        <w:t xml:space="preserve">inter alia, </w:t>
      </w:r>
      <w:r w:rsidRPr="0033708D">
        <w:rPr>
          <w:rFonts w:ascii="Verdana" w:hAnsi="Verdana"/>
          <w:sz w:val="20"/>
          <w:szCs w:val="20"/>
          <w:lang w:val="es-ES_tradnl" w:eastAsia="en-US"/>
        </w:rPr>
        <w:t>que “no existe ningún elemento ni objetivo ni subjetivo que permita aseverar que pudiera existir alguna clase de riesgo sobre la vida o integridad física de las personas que se listan […], circunstancia que amerita que [el] Tribunal rechace dicha petición”.</w:t>
      </w:r>
    </w:p>
    <w:p w:rsidR="00822B3C" w:rsidRPr="00453E4E" w:rsidRDefault="00822B3C">
      <w:pPr>
        <w:ind w:right="18"/>
        <w:jc w:val="both"/>
        <w:rPr>
          <w:rFonts w:ascii="Verdana" w:hAnsi="Verdana"/>
          <w:sz w:val="20"/>
        </w:rPr>
      </w:pPr>
    </w:p>
    <w:p w:rsidR="00822B3C" w:rsidRPr="0033708D" w:rsidRDefault="00822B3C" w:rsidP="00822B3C">
      <w:pPr>
        <w:jc w:val="both"/>
        <w:rPr>
          <w:rFonts w:ascii="Verdana" w:hAnsi="Verdana"/>
          <w:sz w:val="20"/>
          <w:szCs w:val="20"/>
          <w:lang w:val="es-ES_tradnl" w:eastAsia="en-US"/>
        </w:rPr>
      </w:pPr>
      <w:r w:rsidRPr="0033708D">
        <w:rPr>
          <w:rFonts w:ascii="Verdana" w:hAnsi="Verdana"/>
          <w:sz w:val="20"/>
          <w:szCs w:val="20"/>
          <w:lang w:val="es-ES_tradnl" w:eastAsia="en-US"/>
        </w:rPr>
        <w:t>11.</w:t>
      </w:r>
      <w:r w:rsidRPr="0033708D">
        <w:rPr>
          <w:rFonts w:ascii="Verdana" w:hAnsi="Verdana"/>
          <w:sz w:val="20"/>
          <w:szCs w:val="20"/>
          <w:lang w:val="es-ES_tradnl" w:eastAsia="en-US"/>
        </w:rPr>
        <w:tab/>
        <w:t>La comunicación de 30 de enero de 2007, mediante la cual la Comisión señaló que “no tiene observaciones”.</w:t>
      </w:r>
    </w:p>
    <w:p w:rsidR="00822B3C" w:rsidRPr="00453E4E" w:rsidRDefault="00822B3C">
      <w:pPr>
        <w:ind w:right="18"/>
        <w:jc w:val="both"/>
        <w:rPr>
          <w:rFonts w:ascii="Verdana" w:hAnsi="Verdana"/>
          <w:sz w:val="20"/>
        </w:rPr>
      </w:pPr>
    </w:p>
    <w:p w:rsidR="00822B3C" w:rsidRDefault="00822B3C">
      <w:pPr>
        <w:tabs>
          <w:tab w:val="left" w:pos="680"/>
        </w:tabs>
        <w:ind w:right="18"/>
        <w:jc w:val="both"/>
        <w:rPr>
          <w:rFonts w:ascii="Verdana" w:hAnsi="Verdana"/>
          <w:b/>
          <w:sz w:val="20"/>
        </w:rPr>
      </w:pPr>
      <w:r>
        <w:rPr>
          <w:rFonts w:ascii="Verdana" w:hAnsi="Verdana"/>
          <w:b/>
          <w:sz w:val="20"/>
        </w:rPr>
        <w:t>CONSIDERANDO:</w:t>
      </w:r>
    </w:p>
    <w:p w:rsidR="00822B3C" w:rsidRDefault="00822B3C">
      <w:pPr>
        <w:tabs>
          <w:tab w:val="left" w:pos="680"/>
        </w:tabs>
        <w:ind w:right="18"/>
        <w:jc w:val="both"/>
        <w:rPr>
          <w:rFonts w:ascii="Verdana" w:hAnsi="Verdana"/>
          <w:b/>
          <w:sz w:val="20"/>
        </w:rPr>
      </w:pPr>
    </w:p>
    <w:p w:rsidR="00822B3C" w:rsidRDefault="00822B3C">
      <w:pPr>
        <w:tabs>
          <w:tab w:val="left" w:pos="0"/>
        </w:tabs>
        <w:ind w:right="18"/>
        <w:jc w:val="both"/>
        <w:rPr>
          <w:rFonts w:ascii="Verdana" w:hAnsi="Verdana"/>
          <w:sz w:val="20"/>
          <w:lang w:val="es-ES_tradnl"/>
        </w:rPr>
      </w:pPr>
      <w:r>
        <w:rPr>
          <w:rFonts w:ascii="Verdana" w:hAnsi="Verdana"/>
          <w:sz w:val="20"/>
          <w:lang w:val="es-ES_tradnl"/>
        </w:rPr>
        <w:t>1.</w:t>
      </w:r>
      <w:r>
        <w:rPr>
          <w:rFonts w:ascii="Verdana" w:hAnsi="Verdana"/>
          <w:sz w:val="20"/>
          <w:lang w:val="es-ES_tradnl"/>
        </w:rPr>
        <w:tab/>
        <w:t xml:space="preserve">Que el artículo 63.2 de la Convención Americana sobre Derechos Humanos (en adelante “la Convención”) establece que </w:t>
      </w:r>
      <w:r>
        <w:rPr>
          <w:rFonts w:ascii="Verdana" w:hAnsi="Verdana"/>
          <w:i/>
          <w:sz w:val="20"/>
          <w:lang w:val="es-ES_tradnl"/>
        </w:rPr>
        <w:t>“</w:t>
      </w:r>
      <w:r>
        <w:rPr>
          <w:rFonts w:ascii="Verdana" w:hAnsi="Verdana"/>
          <w:sz w:val="20"/>
          <w:lang w:val="es-ES_tradnl"/>
        </w:rPr>
        <w:t>[e]n casos de extrema gravedad y urgencia, y cuando se haga necesario evitar daños irreparables a las personas”, la Corte podrá tomar, a solicitud de la Comisión, las medidas provisionales que considere pertinentes en los asuntos que aún no estén sometidos a su conocimiento.</w:t>
      </w:r>
    </w:p>
    <w:p w:rsidR="00822B3C" w:rsidRDefault="00822B3C">
      <w:pPr>
        <w:tabs>
          <w:tab w:val="left" w:pos="0"/>
        </w:tabs>
        <w:ind w:right="18"/>
        <w:jc w:val="both"/>
        <w:rPr>
          <w:rFonts w:ascii="Verdana" w:hAnsi="Verdana"/>
          <w:sz w:val="20"/>
          <w:lang w:val="es-ES_tradnl"/>
        </w:rPr>
      </w:pPr>
    </w:p>
    <w:p w:rsidR="00822B3C" w:rsidRDefault="00822B3C">
      <w:pPr>
        <w:tabs>
          <w:tab w:val="left" w:pos="0"/>
        </w:tabs>
        <w:ind w:right="18"/>
        <w:jc w:val="both"/>
        <w:rPr>
          <w:rFonts w:ascii="Verdana" w:hAnsi="Verdana"/>
          <w:sz w:val="20"/>
          <w:lang w:val="es-ES_tradnl"/>
        </w:rPr>
      </w:pPr>
      <w:r>
        <w:rPr>
          <w:rFonts w:ascii="Verdana" w:hAnsi="Verdana"/>
          <w:sz w:val="20"/>
          <w:lang w:val="es-ES_tradnl"/>
        </w:rPr>
        <w:t>2.</w:t>
      </w:r>
      <w:r>
        <w:rPr>
          <w:rFonts w:ascii="Verdana" w:hAnsi="Verdana"/>
          <w:sz w:val="20"/>
          <w:lang w:val="es-ES_tradnl"/>
        </w:rPr>
        <w:tab/>
        <w:t>Que en relación con esta materia, el artículo 25 del Reglamento dispone que:</w:t>
      </w:r>
    </w:p>
    <w:p w:rsidR="00822B3C" w:rsidRDefault="00822B3C">
      <w:pPr>
        <w:tabs>
          <w:tab w:val="left" w:pos="0"/>
        </w:tabs>
        <w:ind w:right="18"/>
        <w:jc w:val="both"/>
        <w:rPr>
          <w:rFonts w:ascii="Verdana" w:hAnsi="Verdana"/>
          <w:sz w:val="20"/>
          <w:lang w:val="es-ES_tradnl"/>
        </w:rPr>
      </w:pPr>
    </w:p>
    <w:p w:rsidR="00822B3C" w:rsidRDefault="00822B3C" w:rsidP="00822B3C">
      <w:pPr>
        <w:pStyle w:val="Textodebloque"/>
        <w:tabs>
          <w:tab w:val="left" w:pos="1080"/>
        </w:tabs>
        <w:ind w:right="558"/>
        <w:rPr>
          <w:rFonts w:ascii="Verdana" w:hAnsi="Verdana"/>
          <w:sz w:val="16"/>
        </w:rPr>
      </w:pPr>
      <w:r>
        <w:rPr>
          <w:rFonts w:ascii="Verdana" w:hAnsi="Verdana"/>
          <w:sz w:val="16"/>
        </w:rPr>
        <w:t>1.</w:t>
      </w:r>
      <w:r>
        <w:rPr>
          <w:rFonts w:ascii="Verdana" w:hAnsi="Verdana"/>
          <w:sz w:val="16"/>
        </w:rPr>
        <w:tab/>
      </w:r>
      <w:r w:rsidDel="00B03F37">
        <w:rPr>
          <w:rFonts w:ascii="Verdana" w:hAnsi="Verdana"/>
          <w:sz w:val="16"/>
        </w:rPr>
        <w:t>E</w:t>
      </w:r>
      <w:r>
        <w:rPr>
          <w:rFonts w:ascii="Verdana" w:hAnsi="Verdana"/>
          <w:sz w:val="16"/>
        </w:rPr>
        <w:t>n cualquier estado del procedimiento, siempre que se trate de casos de extrema gravedad y urgencia y cuando sea necesario para evitar daños irreparables a las personas, la Corte, de oficio o a instancia de parte, podrá ordenar las medidas provisionales que considere pertinentes, en los términos del artículo 63.2 de la Convención.</w:t>
      </w:r>
    </w:p>
    <w:p w:rsidR="00822B3C" w:rsidRDefault="00822B3C" w:rsidP="00822B3C">
      <w:pPr>
        <w:spacing w:after="40"/>
        <w:ind w:right="558"/>
        <w:jc w:val="both"/>
        <w:rPr>
          <w:rFonts w:ascii="Verdana" w:hAnsi="Verdana"/>
          <w:sz w:val="16"/>
        </w:rPr>
      </w:pPr>
    </w:p>
    <w:p w:rsidR="00822B3C" w:rsidRDefault="00822B3C" w:rsidP="00822B3C">
      <w:pPr>
        <w:spacing w:after="40"/>
        <w:ind w:left="720" w:right="558"/>
        <w:jc w:val="both"/>
        <w:rPr>
          <w:rFonts w:ascii="Verdana" w:hAnsi="Verdana"/>
          <w:sz w:val="16"/>
        </w:rPr>
      </w:pPr>
      <w:r>
        <w:rPr>
          <w:rFonts w:ascii="Verdana" w:hAnsi="Verdana"/>
          <w:sz w:val="16"/>
        </w:rPr>
        <w:t>[…]</w:t>
      </w:r>
    </w:p>
    <w:p w:rsidR="00822B3C" w:rsidRDefault="00822B3C" w:rsidP="00822B3C">
      <w:pPr>
        <w:spacing w:after="40"/>
        <w:ind w:left="720" w:right="558"/>
        <w:jc w:val="both"/>
        <w:rPr>
          <w:rFonts w:ascii="Verdana" w:hAnsi="Verdana"/>
          <w:sz w:val="16"/>
        </w:rPr>
      </w:pPr>
    </w:p>
    <w:p w:rsidR="00822B3C" w:rsidRDefault="00822B3C" w:rsidP="00822B3C">
      <w:pPr>
        <w:spacing w:after="40"/>
        <w:ind w:left="720" w:right="558"/>
        <w:jc w:val="both"/>
        <w:rPr>
          <w:rFonts w:ascii="Verdana" w:hAnsi="Verdana"/>
          <w:sz w:val="16"/>
        </w:rPr>
      </w:pPr>
      <w:r>
        <w:rPr>
          <w:rFonts w:ascii="Verdana" w:hAnsi="Verdana"/>
          <w:sz w:val="16"/>
        </w:rPr>
        <w:t>3.  En los casos contenciosos que ya se encuentren en conocimiento de la Corte, las víctimas o las presuntas víctimas, sus familiares o sus representantes debidamente acreditados, podrán presentar directamente a ésta una solicitud de medidas provisionales en relación con los referidos casos.</w:t>
      </w:r>
    </w:p>
    <w:p w:rsidR="00822B3C" w:rsidRDefault="00822B3C">
      <w:pPr>
        <w:pStyle w:val="Textoindependiente"/>
        <w:tabs>
          <w:tab w:val="left" w:pos="0"/>
        </w:tabs>
        <w:ind w:right="18"/>
        <w:rPr>
          <w:rFonts w:ascii="Verdana" w:hAnsi="Verdana"/>
          <w:sz w:val="20"/>
        </w:rPr>
      </w:pPr>
    </w:p>
    <w:p w:rsidR="00822B3C" w:rsidRDefault="00822B3C">
      <w:pPr>
        <w:ind w:right="18"/>
        <w:jc w:val="both"/>
        <w:rPr>
          <w:rFonts w:ascii="Verdana" w:hAnsi="Verdana"/>
          <w:sz w:val="20"/>
        </w:rPr>
      </w:pPr>
      <w:r>
        <w:rPr>
          <w:rFonts w:ascii="Verdana" w:hAnsi="Verdana"/>
          <w:sz w:val="20"/>
        </w:rPr>
        <w:t>3.</w:t>
      </w:r>
      <w:r>
        <w:rPr>
          <w:rFonts w:ascii="Verdana" w:hAnsi="Verdana"/>
          <w:sz w:val="20"/>
        </w:rPr>
        <w:tab/>
        <w:t>Que la presente solicitud de medidas provisionales ha sido presentada directamente por la representante de la presunta víctima en un caso que se encuentra en conocimiento de la Corte, por lo cual la misma se encuentra conforme a lo estipulado en el artículo 25 del Reglamento.</w:t>
      </w:r>
    </w:p>
    <w:p w:rsidR="00822B3C" w:rsidRPr="00B8641D" w:rsidRDefault="00822B3C">
      <w:pPr>
        <w:ind w:right="18"/>
        <w:jc w:val="both"/>
        <w:rPr>
          <w:rFonts w:ascii="Verdana" w:hAnsi="Verdana"/>
          <w:sz w:val="20"/>
        </w:rPr>
      </w:pPr>
    </w:p>
    <w:p w:rsidR="00822B3C" w:rsidRPr="00B8641D" w:rsidRDefault="00822B3C">
      <w:pPr>
        <w:pStyle w:val="Textoindependiente"/>
        <w:ind w:right="18"/>
        <w:rPr>
          <w:rFonts w:ascii="Verdana" w:hAnsi="Verdana"/>
          <w:b/>
          <w:sz w:val="20"/>
        </w:rPr>
      </w:pPr>
      <w:r w:rsidRPr="00B8641D">
        <w:rPr>
          <w:rFonts w:ascii="Verdana" w:hAnsi="Verdana"/>
          <w:sz w:val="20"/>
        </w:rPr>
        <w:t>4.</w:t>
      </w:r>
      <w:r w:rsidRPr="00B8641D">
        <w:rPr>
          <w:rFonts w:ascii="Verdana" w:hAnsi="Verdana"/>
          <w:sz w:val="20"/>
        </w:rPr>
        <w:tab/>
      </w:r>
      <w:r w:rsidRPr="00B8641D">
        <w:rPr>
          <w:rFonts w:ascii="Verdana" w:hAnsi="Verdana"/>
          <w:sz w:val="20"/>
        </w:rPr>
        <w:tab/>
        <w:t xml:space="preserve">Que las medidas provisionales pueden ordenarse siempre que en los antecedentes presentados a la Corte se demuestre </w:t>
      </w:r>
      <w:r w:rsidRPr="00B8641D">
        <w:rPr>
          <w:rFonts w:ascii="Verdana" w:hAnsi="Verdana"/>
          <w:i/>
          <w:sz w:val="20"/>
        </w:rPr>
        <w:t>prima facie</w:t>
      </w:r>
      <w:r w:rsidRPr="00B8641D">
        <w:rPr>
          <w:rFonts w:ascii="Verdana" w:hAnsi="Verdana"/>
          <w:sz w:val="20"/>
        </w:rPr>
        <w:t xml:space="preserve"> la configuración de una situación de extrema gravedad y urgencia y la inminencia de daño irreparable a las personas</w:t>
      </w:r>
      <w:r w:rsidRPr="00B8641D">
        <w:rPr>
          <w:rStyle w:val="Refdenotaalpie"/>
          <w:sz w:val="20"/>
        </w:rPr>
        <w:footnoteReference w:id="1"/>
      </w:r>
      <w:r w:rsidRPr="00B8641D">
        <w:rPr>
          <w:rFonts w:ascii="Verdana" w:hAnsi="Verdana"/>
          <w:sz w:val="20"/>
        </w:rPr>
        <w:t xml:space="preserve">. </w:t>
      </w:r>
    </w:p>
    <w:p w:rsidR="00822B3C" w:rsidRPr="00A84E4C" w:rsidRDefault="00822B3C">
      <w:pPr>
        <w:spacing w:before="20" w:after="20"/>
        <w:ind w:right="14"/>
        <w:jc w:val="both"/>
        <w:rPr>
          <w:rFonts w:ascii="Verdana" w:hAnsi="Verdana"/>
          <w:sz w:val="20"/>
        </w:rPr>
      </w:pPr>
    </w:p>
    <w:p w:rsidR="00822B3C" w:rsidRPr="00A20488" w:rsidRDefault="00822B3C">
      <w:pPr>
        <w:spacing w:before="20" w:after="20"/>
        <w:ind w:right="14"/>
        <w:jc w:val="both"/>
        <w:rPr>
          <w:rFonts w:ascii="Verdana" w:hAnsi="Verdana"/>
          <w:sz w:val="20"/>
        </w:rPr>
      </w:pPr>
      <w:r>
        <w:rPr>
          <w:rFonts w:ascii="Verdana" w:hAnsi="Verdana"/>
          <w:sz w:val="20"/>
        </w:rPr>
        <w:t>5.</w:t>
      </w:r>
      <w:r>
        <w:rPr>
          <w:rFonts w:ascii="Verdana" w:hAnsi="Verdana"/>
          <w:sz w:val="20"/>
        </w:rPr>
        <w:tab/>
        <w:t xml:space="preserve">Que después de haber examinado los hechos y circunstancias que fundamentaron la presente solicitud, este Tribunal estima que no resulta posible en este caso apreciar </w:t>
      </w:r>
      <w:r w:rsidRPr="00B8641D">
        <w:rPr>
          <w:rFonts w:ascii="Verdana" w:hAnsi="Verdana"/>
          <w:i/>
          <w:sz w:val="20"/>
        </w:rPr>
        <w:t>prima facie</w:t>
      </w:r>
      <w:r w:rsidRPr="00B8641D">
        <w:rPr>
          <w:rFonts w:ascii="Verdana" w:hAnsi="Verdana"/>
          <w:sz w:val="20"/>
        </w:rPr>
        <w:t xml:space="preserve"> que las personas listadas por la representante (</w:t>
      </w:r>
      <w:r w:rsidRPr="00B8641D">
        <w:rPr>
          <w:rFonts w:ascii="Verdana" w:hAnsi="Verdana"/>
          <w:i/>
          <w:sz w:val="20"/>
        </w:rPr>
        <w:t xml:space="preserve">supra </w:t>
      </w:r>
      <w:r w:rsidRPr="00B8641D">
        <w:rPr>
          <w:rFonts w:ascii="Verdana" w:hAnsi="Verdana"/>
          <w:sz w:val="20"/>
        </w:rPr>
        <w:t xml:space="preserve">Visto 9) se encuentren en una situación de extrema gravedad y urgencia, o que sus vidas e integridad personal se encuentran amenazadas y en grave riesgo. </w:t>
      </w:r>
    </w:p>
    <w:p w:rsidR="00822B3C" w:rsidRDefault="00822B3C">
      <w:pPr>
        <w:pStyle w:val="Lneadereferencia"/>
        <w:tabs>
          <w:tab w:val="left" w:pos="680"/>
        </w:tabs>
        <w:spacing w:before="20" w:after="20"/>
        <w:ind w:right="18"/>
        <w:rPr>
          <w:rFonts w:ascii="Verdana" w:hAnsi="Verdana"/>
        </w:rPr>
      </w:pPr>
    </w:p>
    <w:p w:rsidR="00822B3C" w:rsidRDefault="00822B3C">
      <w:pPr>
        <w:tabs>
          <w:tab w:val="left" w:pos="680"/>
        </w:tabs>
        <w:spacing w:before="20" w:after="20"/>
        <w:ind w:right="18"/>
        <w:jc w:val="both"/>
        <w:rPr>
          <w:rFonts w:ascii="Verdana" w:hAnsi="Verdana"/>
          <w:b/>
          <w:sz w:val="20"/>
        </w:rPr>
      </w:pPr>
      <w:r>
        <w:rPr>
          <w:rFonts w:ascii="Verdana" w:hAnsi="Verdana"/>
          <w:b/>
          <w:sz w:val="20"/>
        </w:rPr>
        <w:t>POR TANTO:</w:t>
      </w:r>
    </w:p>
    <w:p w:rsidR="00822B3C" w:rsidRDefault="00822B3C">
      <w:pPr>
        <w:tabs>
          <w:tab w:val="left" w:pos="680"/>
        </w:tabs>
        <w:spacing w:before="20" w:after="20"/>
        <w:ind w:right="18"/>
        <w:jc w:val="both"/>
        <w:rPr>
          <w:rFonts w:ascii="Verdana" w:hAnsi="Verdana"/>
          <w:b/>
          <w:sz w:val="20"/>
        </w:rPr>
      </w:pPr>
    </w:p>
    <w:p w:rsidR="00822B3C" w:rsidRDefault="00822B3C">
      <w:pPr>
        <w:spacing w:before="20" w:after="20"/>
        <w:ind w:right="18"/>
        <w:jc w:val="both"/>
        <w:rPr>
          <w:rFonts w:ascii="Verdana" w:hAnsi="Verdana"/>
          <w:b/>
          <w:sz w:val="20"/>
        </w:rPr>
      </w:pPr>
      <w:r>
        <w:rPr>
          <w:rFonts w:ascii="Verdana" w:hAnsi="Verdana"/>
          <w:b/>
          <w:sz w:val="20"/>
        </w:rPr>
        <w:t>LA CORTE INTERAMERICANA DE DERECHOS HUMANOS,</w:t>
      </w:r>
    </w:p>
    <w:p w:rsidR="00822B3C" w:rsidRDefault="00822B3C">
      <w:pPr>
        <w:spacing w:before="20" w:after="20"/>
        <w:ind w:right="18"/>
        <w:jc w:val="both"/>
        <w:rPr>
          <w:rFonts w:ascii="Verdana" w:hAnsi="Verdana"/>
          <w:sz w:val="20"/>
        </w:rPr>
      </w:pPr>
    </w:p>
    <w:p w:rsidR="00822B3C" w:rsidRDefault="00822B3C">
      <w:pPr>
        <w:tabs>
          <w:tab w:val="left" w:pos="680"/>
        </w:tabs>
        <w:spacing w:before="20" w:after="20"/>
        <w:ind w:right="18"/>
        <w:jc w:val="both"/>
        <w:rPr>
          <w:rFonts w:ascii="Verdana" w:hAnsi="Verdana"/>
          <w:b/>
          <w:sz w:val="20"/>
        </w:rPr>
      </w:pPr>
      <w:r>
        <w:rPr>
          <w:rFonts w:ascii="Verdana" w:hAnsi="Verdana"/>
          <w:sz w:val="20"/>
        </w:rPr>
        <w:t>en uso de las atribuciones que le confieren el artículo 63.2 de la Convención Americana sobre Derechos Humanos y el artículo 25 del Reglamento,</w:t>
      </w:r>
    </w:p>
    <w:p w:rsidR="00822B3C" w:rsidRDefault="00822B3C">
      <w:pPr>
        <w:tabs>
          <w:tab w:val="left" w:pos="680"/>
        </w:tabs>
        <w:spacing w:before="20" w:after="20"/>
        <w:ind w:right="18"/>
        <w:jc w:val="both"/>
        <w:rPr>
          <w:rFonts w:ascii="Verdana" w:hAnsi="Verdana"/>
          <w:b/>
          <w:sz w:val="20"/>
        </w:rPr>
      </w:pPr>
    </w:p>
    <w:p w:rsidR="00822B3C" w:rsidRDefault="00822B3C">
      <w:pPr>
        <w:tabs>
          <w:tab w:val="left" w:pos="680"/>
        </w:tabs>
        <w:spacing w:before="20" w:after="20"/>
        <w:ind w:right="18"/>
        <w:jc w:val="both"/>
        <w:rPr>
          <w:rFonts w:ascii="Verdana" w:hAnsi="Verdana"/>
          <w:b/>
          <w:sz w:val="20"/>
        </w:rPr>
      </w:pPr>
    </w:p>
    <w:p w:rsidR="00822B3C" w:rsidRDefault="00822B3C">
      <w:pPr>
        <w:tabs>
          <w:tab w:val="left" w:pos="680"/>
        </w:tabs>
        <w:spacing w:before="20" w:after="20"/>
        <w:ind w:right="18"/>
        <w:jc w:val="both"/>
        <w:rPr>
          <w:rFonts w:ascii="Verdana" w:hAnsi="Verdana"/>
          <w:b/>
          <w:sz w:val="20"/>
        </w:rPr>
      </w:pPr>
    </w:p>
    <w:p w:rsidR="00822B3C" w:rsidRDefault="00822B3C">
      <w:pPr>
        <w:tabs>
          <w:tab w:val="left" w:pos="680"/>
        </w:tabs>
        <w:spacing w:before="20" w:after="20"/>
        <w:ind w:right="18"/>
        <w:jc w:val="both"/>
        <w:rPr>
          <w:rFonts w:ascii="Verdana" w:hAnsi="Verdana"/>
          <w:b/>
          <w:sz w:val="20"/>
        </w:rPr>
      </w:pPr>
      <w:r>
        <w:rPr>
          <w:rFonts w:ascii="Verdana" w:hAnsi="Verdana"/>
          <w:b/>
          <w:sz w:val="20"/>
        </w:rPr>
        <w:t>RESUELVE:</w:t>
      </w:r>
    </w:p>
    <w:p w:rsidR="00822B3C" w:rsidRDefault="00822B3C">
      <w:pPr>
        <w:spacing w:before="20" w:after="20"/>
        <w:ind w:left="720" w:right="18"/>
        <w:jc w:val="both"/>
        <w:rPr>
          <w:rFonts w:ascii="Verdana" w:hAnsi="Verdana"/>
          <w:sz w:val="20"/>
        </w:rPr>
      </w:pPr>
    </w:p>
    <w:p w:rsidR="00822B3C" w:rsidRDefault="00822B3C">
      <w:pPr>
        <w:tabs>
          <w:tab w:val="num" w:pos="0"/>
        </w:tabs>
        <w:spacing w:before="20" w:after="20"/>
        <w:ind w:right="18"/>
        <w:jc w:val="both"/>
        <w:rPr>
          <w:rFonts w:ascii="Verdana" w:hAnsi="Verdana"/>
          <w:sz w:val="20"/>
        </w:rPr>
      </w:pPr>
      <w:r>
        <w:rPr>
          <w:rFonts w:ascii="Verdana" w:hAnsi="Verdana"/>
          <w:sz w:val="20"/>
        </w:rPr>
        <w:t>1.</w:t>
      </w:r>
      <w:r>
        <w:rPr>
          <w:rFonts w:ascii="Verdana" w:hAnsi="Verdana"/>
          <w:sz w:val="20"/>
        </w:rPr>
        <w:tab/>
        <w:t>Desestimar por improcedente la solicitud de medidas provisionales interpuesta por la representante de la presunta víctima.</w:t>
      </w:r>
    </w:p>
    <w:p w:rsidR="00822B3C" w:rsidRDefault="00822B3C">
      <w:pPr>
        <w:tabs>
          <w:tab w:val="num" w:pos="0"/>
        </w:tabs>
        <w:spacing w:before="20" w:after="20"/>
        <w:ind w:right="18"/>
        <w:jc w:val="both"/>
        <w:rPr>
          <w:rFonts w:ascii="Verdana" w:hAnsi="Verdana"/>
          <w:sz w:val="20"/>
        </w:rPr>
      </w:pPr>
    </w:p>
    <w:p w:rsidR="00822B3C" w:rsidRDefault="00822B3C">
      <w:pPr>
        <w:spacing w:before="20" w:after="20"/>
        <w:ind w:right="18"/>
        <w:jc w:val="both"/>
        <w:rPr>
          <w:rFonts w:ascii="Verdana" w:hAnsi="Verdana"/>
          <w:sz w:val="20"/>
        </w:rPr>
      </w:pPr>
      <w:r>
        <w:rPr>
          <w:rFonts w:ascii="Verdana" w:hAnsi="Verdana"/>
          <w:sz w:val="20"/>
        </w:rPr>
        <w:t>2.</w:t>
      </w:r>
      <w:r>
        <w:rPr>
          <w:rFonts w:ascii="Verdana" w:hAnsi="Verdana"/>
          <w:sz w:val="20"/>
        </w:rPr>
        <w:tab/>
        <w:t>Requerir a la Secretaria de la Corte que notifique la presente Resolución al Estado, a la Comisión Interamericana y a la representante.</w:t>
      </w:r>
    </w:p>
    <w:p w:rsidR="00822B3C" w:rsidRDefault="00822B3C">
      <w:pPr>
        <w:tabs>
          <w:tab w:val="left" w:pos="5400"/>
        </w:tabs>
        <w:spacing w:before="20" w:after="20"/>
        <w:rPr>
          <w:rFonts w:ascii="Verdana" w:hAnsi="Verdana"/>
          <w:sz w:val="20"/>
          <w:szCs w:val="20"/>
          <w:lang w:eastAsia="en-US"/>
        </w:rPr>
      </w:pPr>
    </w:p>
    <w:p w:rsidR="00822B3C" w:rsidRDefault="00822B3C">
      <w:pPr>
        <w:spacing w:before="20" w:after="20"/>
        <w:rPr>
          <w:rFonts w:ascii="Verdana" w:hAnsi="Verdana"/>
          <w:sz w:val="20"/>
        </w:rPr>
      </w:pPr>
      <w:r>
        <w:rPr>
          <w:rFonts w:ascii="Verdana" w:hAnsi="Verdana"/>
          <w:sz w:val="20"/>
        </w:rPr>
        <w:br w:type="page"/>
      </w:r>
    </w:p>
    <w:p w:rsidR="00822B3C" w:rsidRDefault="00822B3C" w:rsidP="00822B3C">
      <w:pPr>
        <w:jc w:val="center"/>
        <w:rPr>
          <w:rFonts w:ascii="Verdana" w:hAnsi="Verdana"/>
          <w:sz w:val="20"/>
        </w:rPr>
      </w:pPr>
    </w:p>
    <w:p w:rsidR="00822B3C" w:rsidRDefault="00822B3C" w:rsidP="00822B3C">
      <w:pPr>
        <w:jc w:val="center"/>
        <w:rPr>
          <w:rFonts w:ascii="Verdana" w:hAnsi="Verdana"/>
          <w:sz w:val="20"/>
        </w:rPr>
      </w:pPr>
    </w:p>
    <w:p w:rsidR="00822B3C" w:rsidRDefault="00822B3C" w:rsidP="00822B3C">
      <w:pPr>
        <w:jc w:val="center"/>
        <w:rPr>
          <w:rFonts w:ascii="Verdana" w:hAnsi="Verdana"/>
          <w:sz w:val="20"/>
        </w:rPr>
      </w:pPr>
    </w:p>
    <w:p w:rsidR="00822B3C" w:rsidRDefault="00822B3C" w:rsidP="00822B3C">
      <w:pPr>
        <w:rPr>
          <w:rFonts w:ascii="Verdana" w:hAnsi="Verdana"/>
          <w:sz w:val="20"/>
        </w:rPr>
      </w:pPr>
    </w:p>
    <w:p w:rsidR="00822B3C" w:rsidRDefault="00822B3C" w:rsidP="00822B3C">
      <w:pPr>
        <w:jc w:val="center"/>
        <w:rPr>
          <w:rFonts w:ascii="Verdana" w:hAnsi="Verdana"/>
          <w:sz w:val="20"/>
        </w:rPr>
      </w:pPr>
    </w:p>
    <w:p w:rsidR="00822B3C" w:rsidRDefault="00822B3C" w:rsidP="00822B3C">
      <w:pPr>
        <w:jc w:val="center"/>
        <w:rPr>
          <w:rFonts w:ascii="Verdana" w:hAnsi="Verdana"/>
          <w:sz w:val="20"/>
        </w:rPr>
      </w:pPr>
      <w:r>
        <w:rPr>
          <w:rFonts w:ascii="Verdana" w:hAnsi="Verdana"/>
          <w:sz w:val="20"/>
        </w:rPr>
        <w:t>Sergio García Ramírez</w:t>
      </w:r>
    </w:p>
    <w:p w:rsidR="00822B3C" w:rsidRDefault="00822B3C" w:rsidP="00822B3C">
      <w:pPr>
        <w:jc w:val="center"/>
        <w:rPr>
          <w:rFonts w:ascii="Verdana" w:hAnsi="Verdana"/>
          <w:sz w:val="20"/>
        </w:rPr>
      </w:pPr>
      <w:r>
        <w:rPr>
          <w:rFonts w:ascii="Verdana" w:hAnsi="Verdana"/>
          <w:sz w:val="20"/>
        </w:rPr>
        <w:t>Presidente</w:t>
      </w:r>
    </w:p>
    <w:p w:rsidR="00822B3C" w:rsidRDefault="00822B3C" w:rsidP="00822B3C">
      <w:pPr>
        <w:jc w:val="both"/>
        <w:rPr>
          <w:rFonts w:ascii="Verdana" w:hAnsi="Verdana"/>
          <w:sz w:val="20"/>
        </w:rPr>
      </w:pPr>
    </w:p>
    <w:p w:rsidR="00822B3C" w:rsidRDefault="00822B3C" w:rsidP="00822B3C">
      <w:pPr>
        <w:jc w:val="both"/>
        <w:rPr>
          <w:rFonts w:ascii="Verdana" w:hAnsi="Verdana"/>
          <w:sz w:val="20"/>
        </w:rPr>
      </w:pPr>
    </w:p>
    <w:p w:rsidR="00822B3C" w:rsidRDefault="00822B3C" w:rsidP="00822B3C">
      <w:pPr>
        <w:jc w:val="both"/>
        <w:rPr>
          <w:rFonts w:ascii="Verdana" w:hAnsi="Verdana"/>
          <w:sz w:val="20"/>
        </w:rPr>
      </w:pPr>
    </w:p>
    <w:p w:rsidR="00822B3C" w:rsidRDefault="00822B3C" w:rsidP="00822B3C">
      <w:pPr>
        <w:jc w:val="both"/>
        <w:rPr>
          <w:rFonts w:ascii="Verdana" w:hAnsi="Verdana"/>
          <w:sz w:val="20"/>
        </w:rPr>
      </w:pPr>
    </w:p>
    <w:p w:rsidR="00822B3C" w:rsidRDefault="00822B3C" w:rsidP="00822B3C">
      <w:pPr>
        <w:jc w:val="both"/>
        <w:rPr>
          <w:rFonts w:ascii="Verdana" w:hAnsi="Verdana"/>
          <w:sz w:val="20"/>
        </w:rPr>
      </w:pPr>
    </w:p>
    <w:p w:rsidR="00822B3C" w:rsidRDefault="00822B3C" w:rsidP="00822B3C">
      <w:pPr>
        <w:tabs>
          <w:tab w:val="right" w:pos="8640"/>
        </w:tabs>
        <w:jc w:val="both"/>
        <w:rPr>
          <w:rFonts w:ascii="Verdana" w:hAnsi="Verdana"/>
          <w:sz w:val="20"/>
        </w:rPr>
      </w:pPr>
      <w:r w:rsidRPr="00F6513C">
        <w:rPr>
          <w:rFonts w:ascii="Verdana" w:hAnsi="Verdana"/>
          <w:sz w:val="20"/>
        </w:rPr>
        <w:t>Cecilia Medina Quiroga</w:t>
      </w:r>
      <w:r w:rsidRPr="00F6513C">
        <w:rPr>
          <w:rFonts w:ascii="Verdana" w:hAnsi="Verdana"/>
          <w:sz w:val="20"/>
        </w:rPr>
        <w:tab/>
      </w:r>
      <w:r>
        <w:rPr>
          <w:rFonts w:ascii="Verdana" w:hAnsi="Verdana"/>
          <w:sz w:val="20"/>
        </w:rPr>
        <w:t>Manuel E. Ventura Robles</w:t>
      </w:r>
    </w:p>
    <w:p w:rsidR="00822B3C" w:rsidRDefault="00822B3C" w:rsidP="00822B3C">
      <w:pPr>
        <w:tabs>
          <w:tab w:val="right" w:pos="8640"/>
        </w:tabs>
        <w:rPr>
          <w:rFonts w:ascii="Verdana" w:hAnsi="Verdana"/>
          <w:sz w:val="20"/>
        </w:rPr>
      </w:pPr>
    </w:p>
    <w:p w:rsidR="00822B3C" w:rsidRDefault="00822B3C" w:rsidP="00822B3C">
      <w:pPr>
        <w:tabs>
          <w:tab w:val="right" w:pos="8640"/>
        </w:tabs>
        <w:rPr>
          <w:rFonts w:ascii="Verdana" w:hAnsi="Verdana"/>
          <w:sz w:val="20"/>
        </w:rPr>
      </w:pPr>
    </w:p>
    <w:p w:rsidR="00822B3C" w:rsidRDefault="00822B3C" w:rsidP="00822B3C">
      <w:pPr>
        <w:tabs>
          <w:tab w:val="right" w:pos="8640"/>
        </w:tabs>
        <w:rPr>
          <w:rFonts w:ascii="Verdana" w:hAnsi="Verdana"/>
          <w:sz w:val="20"/>
        </w:rPr>
      </w:pPr>
    </w:p>
    <w:p w:rsidR="00822B3C" w:rsidRDefault="00822B3C" w:rsidP="00822B3C">
      <w:pPr>
        <w:tabs>
          <w:tab w:val="right" w:pos="8640"/>
        </w:tabs>
        <w:rPr>
          <w:rFonts w:ascii="Verdana" w:hAnsi="Verdana"/>
          <w:sz w:val="20"/>
        </w:rPr>
      </w:pPr>
    </w:p>
    <w:p w:rsidR="00822B3C" w:rsidRDefault="00822B3C" w:rsidP="00822B3C">
      <w:pPr>
        <w:tabs>
          <w:tab w:val="right" w:pos="8640"/>
        </w:tabs>
        <w:rPr>
          <w:rFonts w:ascii="Verdana" w:hAnsi="Verdana"/>
          <w:sz w:val="20"/>
        </w:rPr>
      </w:pPr>
    </w:p>
    <w:p w:rsidR="00822B3C" w:rsidRPr="001A241F" w:rsidRDefault="00822B3C" w:rsidP="00822B3C">
      <w:pPr>
        <w:tabs>
          <w:tab w:val="right" w:pos="8640"/>
        </w:tabs>
        <w:rPr>
          <w:rFonts w:ascii="Verdana" w:hAnsi="Verdana"/>
          <w:sz w:val="20"/>
          <w:lang w:val="en-GB"/>
        </w:rPr>
      </w:pPr>
      <w:r w:rsidRPr="001A241F">
        <w:rPr>
          <w:rFonts w:ascii="Verdana" w:hAnsi="Verdana"/>
          <w:sz w:val="20"/>
          <w:lang w:val="en-GB"/>
        </w:rPr>
        <w:t xml:space="preserve">Diego García-Sayán </w:t>
      </w:r>
      <w:r w:rsidRPr="001A241F">
        <w:rPr>
          <w:rFonts w:ascii="Verdana" w:hAnsi="Verdana"/>
          <w:sz w:val="20"/>
          <w:lang w:val="en-GB"/>
        </w:rPr>
        <w:tab/>
        <w:t>Margarette May Macaulay</w:t>
      </w:r>
    </w:p>
    <w:p w:rsidR="00822B3C" w:rsidRPr="001A241F" w:rsidRDefault="00822B3C" w:rsidP="00822B3C">
      <w:pPr>
        <w:tabs>
          <w:tab w:val="right" w:pos="8640"/>
        </w:tabs>
        <w:rPr>
          <w:rFonts w:ascii="Verdana" w:hAnsi="Verdana"/>
          <w:sz w:val="20"/>
          <w:lang w:val="en-GB"/>
        </w:rPr>
      </w:pPr>
      <w:r w:rsidRPr="001A241F">
        <w:rPr>
          <w:rFonts w:ascii="Verdana" w:hAnsi="Verdana"/>
          <w:sz w:val="20"/>
          <w:lang w:val="en-GB"/>
        </w:rPr>
        <w:tab/>
      </w:r>
    </w:p>
    <w:p w:rsidR="00822B3C" w:rsidRPr="001A241F" w:rsidRDefault="00822B3C" w:rsidP="00822B3C">
      <w:pPr>
        <w:tabs>
          <w:tab w:val="right" w:pos="8640"/>
        </w:tabs>
        <w:rPr>
          <w:rFonts w:ascii="Verdana" w:hAnsi="Verdana"/>
          <w:sz w:val="20"/>
          <w:lang w:val="en-GB"/>
        </w:rPr>
      </w:pPr>
    </w:p>
    <w:p w:rsidR="00822B3C" w:rsidRPr="001A241F" w:rsidRDefault="00822B3C" w:rsidP="00822B3C">
      <w:pPr>
        <w:tabs>
          <w:tab w:val="right" w:pos="8640"/>
        </w:tabs>
        <w:rPr>
          <w:rFonts w:ascii="Verdana" w:hAnsi="Verdana"/>
          <w:sz w:val="20"/>
          <w:lang w:val="en-GB"/>
        </w:rPr>
      </w:pPr>
    </w:p>
    <w:p w:rsidR="00822B3C" w:rsidRPr="001A241F" w:rsidRDefault="00822B3C" w:rsidP="00822B3C">
      <w:pPr>
        <w:tabs>
          <w:tab w:val="right" w:pos="8640"/>
        </w:tabs>
        <w:rPr>
          <w:rFonts w:ascii="Verdana" w:hAnsi="Verdana"/>
          <w:sz w:val="20"/>
          <w:lang w:val="en-GB"/>
        </w:rPr>
      </w:pPr>
    </w:p>
    <w:p w:rsidR="00822B3C" w:rsidRDefault="00822B3C" w:rsidP="00822B3C">
      <w:pPr>
        <w:tabs>
          <w:tab w:val="right" w:pos="8640"/>
        </w:tabs>
        <w:jc w:val="center"/>
        <w:rPr>
          <w:rFonts w:ascii="Verdana" w:hAnsi="Verdana"/>
          <w:sz w:val="20"/>
        </w:rPr>
      </w:pPr>
      <w:r>
        <w:rPr>
          <w:rFonts w:ascii="Verdana" w:hAnsi="Verdana"/>
          <w:sz w:val="20"/>
        </w:rPr>
        <w:t>Rhadys Abreu Blondet</w:t>
      </w:r>
    </w:p>
    <w:p w:rsidR="00822B3C" w:rsidRDefault="00822B3C" w:rsidP="00822B3C">
      <w:pPr>
        <w:tabs>
          <w:tab w:val="left" w:pos="8460"/>
          <w:tab w:val="left" w:pos="8640"/>
        </w:tabs>
        <w:jc w:val="both"/>
        <w:rPr>
          <w:rFonts w:ascii="Verdana" w:hAnsi="Verdana"/>
          <w:sz w:val="20"/>
        </w:rPr>
      </w:pPr>
    </w:p>
    <w:p w:rsidR="00822B3C" w:rsidRDefault="00822B3C" w:rsidP="00822B3C">
      <w:pPr>
        <w:tabs>
          <w:tab w:val="left" w:pos="8460"/>
          <w:tab w:val="left" w:pos="8640"/>
        </w:tabs>
        <w:jc w:val="both"/>
        <w:rPr>
          <w:rFonts w:ascii="Verdana" w:hAnsi="Verdana"/>
          <w:sz w:val="20"/>
        </w:rPr>
      </w:pPr>
    </w:p>
    <w:p w:rsidR="00822B3C" w:rsidRDefault="00822B3C" w:rsidP="00822B3C">
      <w:pPr>
        <w:tabs>
          <w:tab w:val="left" w:pos="8460"/>
          <w:tab w:val="left" w:pos="8640"/>
        </w:tabs>
        <w:jc w:val="both"/>
        <w:rPr>
          <w:rFonts w:ascii="Verdana" w:hAnsi="Verdana"/>
          <w:sz w:val="20"/>
        </w:rPr>
      </w:pPr>
    </w:p>
    <w:p w:rsidR="00822B3C" w:rsidRDefault="00822B3C" w:rsidP="00822B3C">
      <w:pPr>
        <w:tabs>
          <w:tab w:val="left" w:pos="8460"/>
          <w:tab w:val="left" w:pos="8640"/>
        </w:tabs>
        <w:jc w:val="both"/>
        <w:rPr>
          <w:rFonts w:ascii="Verdana" w:hAnsi="Verdana"/>
          <w:sz w:val="20"/>
        </w:rPr>
      </w:pPr>
    </w:p>
    <w:p w:rsidR="00822B3C" w:rsidRDefault="00822B3C" w:rsidP="00822B3C">
      <w:pPr>
        <w:tabs>
          <w:tab w:val="left" w:pos="8460"/>
          <w:tab w:val="left" w:pos="8640"/>
        </w:tabs>
        <w:jc w:val="both"/>
        <w:rPr>
          <w:rFonts w:ascii="Verdana" w:hAnsi="Verdana"/>
          <w:sz w:val="20"/>
        </w:rPr>
      </w:pPr>
    </w:p>
    <w:p w:rsidR="00822B3C" w:rsidRDefault="00822B3C" w:rsidP="00822B3C">
      <w:pPr>
        <w:tabs>
          <w:tab w:val="left" w:pos="8460"/>
          <w:tab w:val="left" w:pos="8640"/>
        </w:tabs>
        <w:jc w:val="center"/>
        <w:rPr>
          <w:rFonts w:ascii="Verdana" w:hAnsi="Verdana"/>
          <w:sz w:val="20"/>
        </w:rPr>
      </w:pPr>
      <w:r>
        <w:rPr>
          <w:rFonts w:ascii="Verdana" w:hAnsi="Verdana"/>
          <w:sz w:val="20"/>
        </w:rPr>
        <w:t>Pablo Saavedra Alessandri</w:t>
      </w:r>
    </w:p>
    <w:p w:rsidR="00822B3C" w:rsidRDefault="00822B3C" w:rsidP="00822B3C">
      <w:pPr>
        <w:tabs>
          <w:tab w:val="left" w:pos="8460"/>
          <w:tab w:val="left" w:pos="8640"/>
        </w:tabs>
        <w:jc w:val="center"/>
        <w:rPr>
          <w:rFonts w:ascii="Verdana" w:hAnsi="Verdana"/>
          <w:sz w:val="20"/>
        </w:rPr>
      </w:pPr>
      <w:r>
        <w:rPr>
          <w:rFonts w:ascii="Verdana" w:hAnsi="Verdana"/>
          <w:sz w:val="20"/>
        </w:rPr>
        <w:t>Secretario</w:t>
      </w:r>
    </w:p>
    <w:p w:rsidR="00822B3C" w:rsidRDefault="00822B3C" w:rsidP="00822B3C">
      <w:pPr>
        <w:tabs>
          <w:tab w:val="left" w:pos="8460"/>
          <w:tab w:val="left" w:pos="8640"/>
        </w:tabs>
        <w:jc w:val="both"/>
        <w:rPr>
          <w:rFonts w:ascii="Verdana" w:hAnsi="Verdana"/>
          <w:sz w:val="20"/>
        </w:rPr>
      </w:pPr>
    </w:p>
    <w:p w:rsidR="00822B3C" w:rsidRDefault="00822B3C" w:rsidP="00822B3C">
      <w:pPr>
        <w:jc w:val="both"/>
        <w:rPr>
          <w:rFonts w:ascii="Verdana" w:hAnsi="Verdana"/>
          <w:sz w:val="20"/>
        </w:rPr>
      </w:pPr>
    </w:p>
    <w:p w:rsidR="00822B3C" w:rsidRDefault="00822B3C" w:rsidP="00822B3C">
      <w:pPr>
        <w:tabs>
          <w:tab w:val="left" w:pos="8460"/>
          <w:tab w:val="left" w:pos="8640"/>
        </w:tabs>
        <w:jc w:val="both"/>
        <w:rPr>
          <w:rFonts w:ascii="Verdana" w:hAnsi="Verdana"/>
          <w:sz w:val="20"/>
        </w:rPr>
      </w:pPr>
      <w:r>
        <w:rPr>
          <w:rFonts w:ascii="Verdana" w:hAnsi="Verdana"/>
          <w:sz w:val="20"/>
        </w:rPr>
        <w:t>Comuníquese y ejecútese,</w:t>
      </w:r>
    </w:p>
    <w:p w:rsidR="00822B3C" w:rsidRDefault="00822B3C" w:rsidP="00822B3C">
      <w:pPr>
        <w:tabs>
          <w:tab w:val="left" w:pos="8460"/>
          <w:tab w:val="left" w:pos="8640"/>
        </w:tabs>
        <w:jc w:val="both"/>
        <w:rPr>
          <w:rFonts w:ascii="Verdana" w:hAnsi="Verdana"/>
          <w:sz w:val="20"/>
        </w:rPr>
      </w:pPr>
    </w:p>
    <w:p w:rsidR="00822B3C" w:rsidRDefault="00822B3C" w:rsidP="00822B3C">
      <w:pPr>
        <w:tabs>
          <w:tab w:val="left" w:pos="8460"/>
          <w:tab w:val="left" w:pos="8640"/>
        </w:tabs>
        <w:jc w:val="both"/>
        <w:rPr>
          <w:rFonts w:ascii="Verdana" w:hAnsi="Verdana"/>
          <w:sz w:val="20"/>
        </w:rPr>
      </w:pPr>
    </w:p>
    <w:p w:rsidR="00822B3C" w:rsidRDefault="00822B3C" w:rsidP="00822B3C">
      <w:pPr>
        <w:tabs>
          <w:tab w:val="left" w:pos="8460"/>
          <w:tab w:val="left" w:pos="8640"/>
        </w:tabs>
        <w:jc w:val="both"/>
        <w:rPr>
          <w:rFonts w:ascii="Verdana" w:hAnsi="Verdana"/>
          <w:sz w:val="20"/>
        </w:rPr>
      </w:pPr>
    </w:p>
    <w:p w:rsidR="00822B3C" w:rsidRDefault="00822B3C" w:rsidP="00822B3C">
      <w:pPr>
        <w:tabs>
          <w:tab w:val="left" w:pos="8460"/>
          <w:tab w:val="left" w:pos="8640"/>
        </w:tabs>
        <w:jc w:val="both"/>
        <w:rPr>
          <w:rFonts w:ascii="Verdana" w:hAnsi="Verdana"/>
          <w:sz w:val="20"/>
        </w:rPr>
      </w:pPr>
    </w:p>
    <w:p w:rsidR="00822B3C" w:rsidRDefault="00822B3C" w:rsidP="00822B3C">
      <w:pPr>
        <w:tabs>
          <w:tab w:val="left" w:pos="8460"/>
          <w:tab w:val="left" w:pos="8640"/>
        </w:tabs>
        <w:jc w:val="both"/>
        <w:rPr>
          <w:rFonts w:ascii="Verdana" w:hAnsi="Verdana"/>
          <w:sz w:val="20"/>
        </w:rPr>
      </w:pPr>
    </w:p>
    <w:p w:rsidR="00822B3C" w:rsidRDefault="00822B3C" w:rsidP="00822B3C">
      <w:pPr>
        <w:jc w:val="right"/>
        <w:rPr>
          <w:rFonts w:ascii="Verdana" w:hAnsi="Verdana"/>
          <w:sz w:val="20"/>
        </w:rPr>
      </w:pPr>
      <w:r>
        <w:rPr>
          <w:rFonts w:ascii="Verdana" w:hAnsi="Verdana"/>
          <w:sz w:val="20"/>
        </w:rPr>
        <w:t>Sergio García Ramírez</w:t>
      </w:r>
    </w:p>
    <w:p w:rsidR="00822B3C" w:rsidRDefault="00822B3C" w:rsidP="00822B3C">
      <w:pPr>
        <w:ind w:right="720"/>
        <w:jc w:val="right"/>
        <w:rPr>
          <w:rFonts w:ascii="Verdana" w:hAnsi="Verdana"/>
          <w:sz w:val="20"/>
        </w:rPr>
      </w:pPr>
      <w:r>
        <w:rPr>
          <w:rFonts w:ascii="Verdana" w:hAnsi="Verdana"/>
          <w:sz w:val="20"/>
        </w:rPr>
        <w:t>Presidente</w:t>
      </w:r>
    </w:p>
    <w:p w:rsidR="00822B3C" w:rsidRDefault="00822B3C" w:rsidP="00822B3C">
      <w:pPr>
        <w:tabs>
          <w:tab w:val="left" w:pos="8460"/>
          <w:tab w:val="left" w:pos="8640"/>
        </w:tabs>
        <w:jc w:val="both"/>
        <w:rPr>
          <w:rFonts w:ascii="Verdana" w:hAnsi="Verdana"/>
          <w:sz w:val="20"/>
        </w:rPr>
      </w:pPr>
    </w:p>
    <w:p w:rsidR="00822B3C" w:rsidRDefault="00822B3C" w:rsidP="00822B3C">
      <w:pPr>
        <w:tabs>
          <w:tab w:val="left" w:pos="8460"/>
          <w:tab w:val="left" w:pos="8640"/>
        </w:tabs>
        <w:jc w:val="both"/>
        <w:rPr>
          <w:rFonts w:ascii="Verdana" w:hAnsi="Verdana"/>
          <w:sz w:val="20"/>
        </w:rPr>
      </w:pPr>
    </w:p>
    <w:p w:rsidR="00822B3C" w:rsidRDefault="00822B3C" w:rsidP="00822B3C">
      <w:pPr>
        <w:tabs>
          <w:tab w:val="left" w:pos="8460"/>
          <w:tab w:val="left" w:pos="8640"/>
        </w:tabs>
        <w:jc w:val="both"/>
        <w:rPr>
          <w:rFonts w:ascii="Verdana" w:hAnsi="Verdana"/>
          <w:sz w:val="20"/>
        </w:rPr>
      </w:pPr>
    </w:p>
    <w:p w:rsidR="00822B3C" w:rsidRDefault="00822B3C" w:rsidP="00822B3C">
      <w:pPr>
        <w:tabs>
          <w:tab w:val="left" w:pos="8460"/>
          <w:tab w:val="left" w:pos="8640"/>
        </w:tabs>
        <w:jc w:val="both"/>
        <w:rPr>
          <w:rFonts w:ascii="Verdana" w:hAnsi="Verdana"/>
          <w:sz w:val="20"/>
        </w:rPr>
      </w:pPr>
    </w:p>
    <w:p w:rsidR="00822B3C" w:rsidRDefault="00822B3C" w:rsidP="00822B3C">
      <w:pPr>
        <w:tabs>
          <w:tab w:val="left" w:pos="8460"/>
          <w:tab w:val="left" w:pos="8640"/>
        </w:tabs>
        <w:jc w:val="both"/>
        <w:rPr>
          <w:rFonts w:ascii="Verdana" w:hAnsi="Verdana"/>
          <w:sz w:val="20"/>
        </w:rPr>
      </w:pPr>
    </w:p>
    <w:p w:rsidR="00822B3C" w:rsidRDefault="00822B3C" w:rsidP="00822B3C">
      <w:pPr>
        <w:tabs>
          <w:tab w:val="left" w:pos="8460"/>
          <w:tab w:val="left" w:pos="8640"/>
        </w:tabs>
        <w:jc w:val="both"/>
        <w:rPr>
          <w:rFonts w:ascii="Verdana" w:hAnsi="Verdana"/>
          <w:sz w:val="20"/>
        </w:rPr>
      </w:pPr>
      <w:r>
        <w:rPr>
          <w:rFonts w:ascii="Verdana" w:hAnsi="Verdana"/>
          <w:sz w:val="20"/>
        </w:rPr>
        <w:t>Pablo Saavedra Alessandri</w:t>
      </w:r>
    </w:p>
    <w:p w:rsidR="00822B3C" w:rsidRDefault="00822B3C" w:rsidP="00822B3C">
      <w:pPr>
        <w:tabs>
          <w:tab w:val="left" w:pos="8640"/>
        </w:tabs>
        <w:ind w:left="720"/>
        <w:rPr>
          <w:rFonts w:ascii="Verdana" w:hAnsi="Verdana"/>
          <w:sz w:val="20"/>
        </w:rPr>
      </w:pPr>
      <w:r>
        <w:rPr>
          <w:rFonts w:ascii="Verdana" w:hAnsi="Verdana"/>
          <w:sz w:val="20"/>
        </w:rPr>
        <w:t xml:space="preserve">  Secretario</w:t>
      </w:r>
    </w:p>
    <w:p w:rsidR="00822B3C" w:rsidRDefault="00822B3C">
      <w:pPr>
        <w:spacing w:before="20" w:after="20"/>
        <w:rPr>
          <w:rFonts w:ascii="Verdana" w:hAnsi="Verdana"/>
          <w:sz w:val="20"/>
        </w:rPr>
      </w:pPr>
    </w:p>
    <w:p w:rsidR="00822B3C" w:rsidRPr="00D13A07" w:rsidRDefault="00822B3C">
      <w:pPr>
        <w:rPr>
          <w:rFonts w:ascii="Verdana" w:hAnsi="Verdana"/>
          <w:sz w:val="20"/>
        </w:rPr>
      </w:pPr>
    </w:p>
    <w:sectPr w:rsidR="00822B3C" w:rsidRPr="00D13A07">
      <w:headerReference w:type="even" r:id="rId7"/>
      <w:headerReference w:type="default" r:id="rId8"/>
      <w:footerReference w:type="even" r:id="rId9"/>
      <w:footerReference w:type="default" r:id="rId10"/>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6C9D" w:rsidRDefault="00826C9D">
      <w:r>
        <w:separator/>
      </w:r>
    </w:p>
  </w:endnote>
  <w:endnote w:type="continuationSeparator" w:id="0">
    <w:p w:rsidR="00826C9D" w:rsidRDefault="00826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Lucida Grande">
    <w:altName w:val="Courier New"/>
    <w:charset w:val="00"/>
    <w:family w:val="auto"/>
    <w:pitch w:val="variable"/>
    <w:sig w:usb0="03000000"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2B3C" w:rsidRDefault="00822B3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822B3C" w:rsidRDefault="00822B3C">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2B3C" w:rsidRDefault="00822B3C">
    <w:pPr>
      <w:pStyle w:val="Piedepgin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6C9D" w:rsidRDefault="00826C9D">
      <w:r>
        <w:separator/>
      </w:r>
    </w:p>
  </w:footnote>
  <w:footnote w:type="continuationSeparator" w:id="0">
    <w:p w:rsidR="00826C9D" w:rsidRDefault="00826C9D">
      <w:r>
        <w:continuationSeparator/>
      </w:r>
    </w:p>
  </w:footnote>
  <w:footnote w:id="1">
    <w:p w:rsidR="00822B3C" w:rsidRPr="00190A56" w:rsidRDefault="00822B3C" w:rsidP="00822B3C">
      <w:pPr>
        <w:jc w:val="both"/>
      </w:pPr>
      <w:r w:rsidRPr="00190A56">
        <w:rPr>
          <w:rStyle w:val="Refdenotaalpie"/>
          <w:rFonts w:ascii="Garamond" w:hAnsi="Garamond"/>
          <w:sz w:val="16"/>
        </w:rPr>
        <w:footnoteRef/>
      </w:r>
      <w:r w:rsidRPr="00190A56">
        <w:t xml:space="preserve"> </w:t>
      </w:r>
      <w:r w:rsidRPr="00190A56">
        <w:tab/>
      </w:r>
      <w:r w:rsidRPr="00E3340A">
        <w:rPr>
          <w:rFonts w:ascii="Verdana" w:hAnsi="Verdana"/>
          <w:i/>
          <w:sz w:val="16"/>
          <w:szCs w:val="22"/>
        </w:rPr>
        <w:t>Cfr. Caso 19 Comerciantes</w:t>
      </w:r>
      <w:r w:rsidRPr="00E3340A">
        <w:rPr>
          <w:rFonts w:ascii="Verdana" w:hAnsi="Verdana"/>
          <w:sz w:val="16"/>
          <w:szCs w:val="22"/>
        </w:rPr>
        <w:t xml:space="preserve">. Medidas Provisionales. Resolución de la Corte Interamericana de Derechos Humanos de 4 de julio de 2006, considerando quinto; </w:t>
      </w:r>
      <w:r w:rsidRPr="00E3340A">
        <w:rPr>
          <w:rFonts w:ascii="Verdana" w:hAnsi="Verdana"/>
          <w:i/>
          <w:sz w:val="16"/>
          <w:szCs w:val="22"/>
        </w:rPr>
        <w:t>Caso 19 Comerciantes</w:t>
      </w:r>
      <w:r w:rsidRPr="00E3340A">
        <w:rPr>
          <w:rFonts w:ascii="Verdana" w:hAnsi="Verdana"/>
          <w:sz w:val="16"/>
          <w:szCs w:val="22"/>
        </w:rPr>
        <w:t xml:space="preserve">. Medidas Provisionales. Resolución de la Corte Interamericana de Derechos Humanos 28 de abril de 2006, considerando quinto, y </w:t>
      </w:r>
      <w:r w:rsidRPr="00E3340A">
        <w:rPr>
          <w:rStyle w:val="nfasis"/>
          <w:rFonts w:ascii="Verdana" w:hAnsi="Verdana" w:cs="Arial"/>
          <w:sz w:val="16"/>
        </w:rPr>
        <w:t xml:space="preserve">Caso Bámaca Velásquez. </w:t>
      </w:r>
      <w:r w:rsidRPr="00E3340A">
        <w:rPr>
          <w:rFonts w:ascii="Verdana" w:hAnsi="Verdana" w:cs="Arial"/>
          <w:sz w:val="16"/>
        </w:rPr>
        <w:t>Medidas Provisionales. Resolución de la Corte Interamericana de Derechos Humanos de 20 de noviembre de 2003, Considerando décimo.</w:t>
      </w:r>
    </w:p>
    <w:p w:rsidR="00822B3C" w:rsidRPr="00190A56" w:rsidRDefault="00822B3C">
      <w:pPr>
        <w:pStyle w:val="Textonotapie"/>
        <w:jc w:val="both"/>
        <w:rPr>
          <w:rFonts w:ascii="Verdana" w:hAnsi="Verdana"/>
          <w:sz w:val="16"/>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2B3C" w:rsidRDefault="00822B3C">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822B3C" w:rsidRDefault="00822B3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2B3C" w:rsidRPr="00B6639D" w:rsidRDefault="00822B3C" w:rsidP="00822B3C">
    <w:pPr>
      <w:pStyle w:val="Encabezado"/>
      <w:framePr w:wrap="around" w:vAnchor="text" w:hAnchor="page" w:x="6022" w:y="-14"/>
      <w:rPr>
        <w:rStyle w:val="Nmerodepgina"/>
        <w:rFonts w:ascii="Verdana" w:hAnsi="Verdana"/>
        <w:sz w:val="20"/>
      </w:rPr>
    </w:pPr>
    <w:r w:rsidRPr="00B6639D">
      <w:rPr>
        <w:rStyle w:val="Nmerodepgina"/>
        <w:rFonts w:ascii="Verdana" w:hAnsi="Verdana"/>
        <w:sz w:val="20"/>
      </w:rPr>
      <w:t>-</w:t>
    </w:r>
    <w:r w:rsidRPr="00B6639D">
      <w:rPr>
        <w:rStyle w:val="Nmerodepgina"/>
        <w:sz w:val="20"/>
      </w:rPr>
      <w:fldChar w:fldCharType="begin"/>
    </w:r>
    <w:r w:rsidRPr="00B6639D">
      <w:rPr>
        <w:rStyle w:val="Nmerodepgina"/>
        <w:rFonts w:ascii="Verdana" w:hAnsi="Verdana"/>
        <w:sz w:val="20"/>
      </w:rPr>
      <w:instrText xml:space="preserve">PAGE  </w:instrText>
    </w:r>
    <w:r w:rsidRPr="00B6639D">
      <w:rPr>
        <w:rStyle w:val="Nmerodepgina"/>
        <w:sz w:val="20"/>
      </w:rPr>
      <w:fldChar w:fldCharType="separate"/>
    </w:r>
    <w:r w:rsidR="006E027E">
      <w:rPr>
        <w:rStyle w:val="Nmerodepgina"/>
        <w:rFonts w:ascii="Verdana" w:hAnsi="Verdana"/>
        <w:noProof/>
        <w:sz w:val="20"/>
      </w:rPr>
      <w:t>4</w:t>
    </w:r>
    <w:r w:rsidRPr="00B6639D">
      <w:rPr>
        <w:rStyle w:val="Nmerodepgina"/>
        <w:sz w:val="20"/>
      </w:rPr>
      <w:fldChar w:fldCharType="end"/>
    </w:r>
    <w:r w:rsidRPr="00B6639D">
      <w:rPr>
        <w:rStyle w:val="Nmerodepgina"/>
        <w:rFonts w:ascii="Verdana" w:hAnsi="Verdana"/>
        <w:sz w:val="20"/>
      </w:rPr>
      <w:t>-</w:t>
    </w:r>
  </w:p>
  <w:p w:rsidR="00822B3C" w:rsidRDefault="00822B3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425C4"/>
    <w:multiLevelType w:val="hybridMultilevel"/>
    <w:tmpl w:val="1D083A68"/>
    <w:lvl w:ilvl="0" w:tplc="D340E420">
      <w:start w:val="7"/>
      <w:numFmt w:val="decimal"/>
      <w:lvlText w:val="%1."/>
      <w:lvlJc w:val="left"/>
      <w:pPr>
        <w:tabs>
          <w:tab w:val="num" w:pos="675"/>
        </w:tabs>
        <w:ind w:left="675" w:hanging="675"/>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
    <w:nsid w:val="09B7621D"/>
    <w:multiLevelType w:val="hybridMultilevel"/>
    <w:tmpl w:val="9ADA0298"/>
    <w:lvl w:ilvl="0" w:tplc="2936C926">
      <w:start w:val="1"/>
      <w:numFmt w:val="decimal"/>
      <w:lvlText w:val="%1."/>
      <w:lvlJc w:val="left"/>
      <w:pPr>
        <w:tabs>
          <w:tab w:val="num" w:pos="720"/>
        </w:tabs>
        <w:ind w:left="720" w:hanging="360"/>
      </w:pPr>
    </w:lvl>
    <w:lvl w:ilvl="1" w:tplc="13127886" w:tentative="1">
      <w:start w:val="1"/>
      <w:numFmt w:val="decimal"/>
      <w:lvlText w:val="%2."/>
      <w:lvlJc w:val="left"/>
      <w:pPr>
        <w:tabs>
          <w:tab w:val="num" w:pos="1440"/>
        </w:tabs>
        <w:ind w:left="1440" w:hanging="360"/>
      </w:pPr>
    </w:lvl>
    <w:lvl w:ilvl="2" w:tplc="1DBC09D2" w:tentative="1">
      <w:start w:val="1"/>
      <w:numFmt w:val="decimal"/>
      <w:lvlText w:val="%3."/>
      <w:lvlJc w:val="left"/>
      <w:pPr>
        <w:tabs>
          <w:tab w:val="num" w:pos="2160"/>
        </w:tabs>
        <w:ind w:left="2160" w:hanging="360"/>
      </w:pPr>
    </w:lvl>
    <w:lvl w:ilvl="3" w:tplc="EACE3238" w:tentative="1">
      <w:start w:val="1"/>
      <w:numFmt w:val="decimal"/>
      <w:lvlText w:val="%4."/>
      <w:lvlJc w:val="left"/>
      <w:pPr>
        <w:tabs>
          <w:tab w:val="num" w:pos="2880"/>
        </w:tabs>
        <w:ind w:left="2880" w:hanging="360"/>
      </w:pPr>
    </w:lvl>
    <w:lvl w:ilvl="4" w:tplc="9F8A6B80" w:tentative="1">
      <w:start w:val="1"/>
      <w:numFmt w:val="decimal"/>
      <w:lvlText w:val="%5."/>
      <w:lvlJc w:val="left"/>
      <w:pPr>
        <w:tabs>
          <w:tab w:val="num" w:pos="3600"/>
        </w:tabs>
        <w:ind w:left="3600" w:hanging="360"/>
      </w:pPr>
    </w:lvl>
    <w:lvl w:ilvl="5" w:tplc="849E23A2" w:tentative="1">
      <w:start w:val="1"/>
      <w:numFmt w:val="decimal"/>
      <w:lvlText w:val="%6."/>
      <w:lvlJc w:val="left"/>
      <w:pPr>
        <w:tabs>
          <w:tab w:val="num" w:pos="4320"/>
        </w:tabs>
        <w:ind w:left="4320" w:hanging="360"/>
      </w:pPr>
    </w:lvl>
    <w:lvl w:ilvl="6" w:tplc="A09E2FB6" w:tentative="1">
      <w:start w:val="1"/>
      <w:numFmt w:val="decimal"/>
      <w:lvlText w:val="%7."/>
      <w:lvlJc w:val="left"/>
      <w:pPr>
        <w:tabs>
          <w:tab w:val="num" w:pos="5040"/>
        </w:tabs>
        <w:ind w:left="5040" w:hanging="360"/>
      </w:pPr>
    </w:lvl>
    <w:lvl w:ilvl="7" w:tplc="065E5A70" w:tentative="1">
      <w:start w:val="1"/>
      <w:numFmt w:val="decimal"/>
      <w:lvlText w:val="%8."/>
      <w:lvlJc w:val="left"/>
      <w:pPr>
        <w:tabs>
          <w:tab w:val="num" w:pos="5760"/>
        </w:tabs>
        <w:ind w:left="5760" w:hanging="360"/>
      </w:pPr>
    </w:lvl>
    <w:lvl w:ilvl="8" w:tplc="A666AEF0" w:tentative="1">
      <w:start w:val="1"/>
      <w:numFmt w:val="decimal"/>
      <w:lvlText w:val="%9."/>
      <w:lvlJc w:val="left"/>
      <w:pPr>
        <w:tabs>
          <w:tab w:val="num" w:pos="6480"/>
        </w:tabs>
        <w:ind w:left="6480" w:hanging="360"/>
      </w:pPr>
    </w:lvl>
  </w:abstractNum>
  <w:abstractNum w:abstractNumId="2">
    <w:nsid w:val="1A7831C1"/>
    <w:multiLevelType w:val="hybridMultilevel"/>
    <w:tmpl w:val="E952A3E4"/>
    <w:lvl w:ilvl="0" w:tplc="6F94BB98">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nsid w:val="1CF87A7A"/>
    <w:multiLevelType w:val="hybridMultilevel"/>
    <w:tmpl w:val="EAE6F710"/>
    <w:lvl w:ilvl="0" w:tplc="9B8A9D82">
      <w:start w:val="7"/>
      <w:numFmt w:val="decimal"/>
      <w:lvlText w:val="%1."/>
      <w:lvlJc w:val="left"/>
      <w:pPr>
        <w:tabs>
          <w:tab w:val="num" w:pos="675"/>
        </w:tabs>
        <w:ind w:left="675" w:hanging="675"/>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4">
    <w:nsid w:val="25777790"/>
    <w:multiLevelType w:val="hybridMultilevel"/>
    <w:tmpl w:val="C67E79EC"/>
    <w:lvl w:ilvl="0" w:tplc="21C02BC6">
      <w:start w:val="1"/>
      <w:numFmt w:val="decimal"/>
      <w:lvlText w:val="%1."/>
      <w:lvlJc w:val="left"/>
      <w:pPr>
        <w:tabs>
          <w:tab w:val="num" w:pos="705"/>
        </w:tabs>
        <w:ind w:left="705" w:hanging="705"/>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5">
    <w:nsid w:val="2E8E2815"/>
    <w:multiLevelType w:val="hybridMultilevel"/>
    <w:tmpl w:val="3A1CBC7C"/>
    <w:lvl w:ilvl="0" w:tplc="B7CA5A86">
      <w:start w:val="4"/>
      <w:numFmt w:val="lowerLetter"/>
      <w:lvlText w:val="%1)"/>
      <w:lvlJc w:val="left"/>
      <w:pPr>
        <w:tabs>
          <w:tab w:val="num" w:pos="1410"/>
        </w:tabs>
        <w:ind w:left="1410" w:hanging="735"/>
      </w:pPr>
      <w:rPr>
        <w:rFonts w:hint="default"/>
      </w:rPr>
    </w:lvl>
    <w:lvl w:ilvl="1" w:tplc="0C0A0019" w:tentative="1">
      <w:start w:val="1"/>
      <w:numFmt w:val="lowerLetter"/>
      <w:lvlText w:val="%2."/>
      <w:lvlJc w:val="left"/>
      <w:pPr>
        <w:tabs>
          <w:tab w:val="num" w:pos="1755"/>
        </w:tabs>
        <w:ind w:left="1755" w:hanging="360"/>
      </w:pPr>
    </w:lvl>
    <w:lvl w:ilvl="2" w:tplc="0C0A001B" w:tentative="1">
      <w:start w:val="1"/>
      <w:numFmt w:val="lowerRoman"/>
      <w:lvlText w:val="%3."/>
      <w:lvlJc w:val="right"/>
      <w:pPr>
        <w:tabs>
          <w:tab w:val="num" w:pos="2475"/>
        </w:tabs>
        <w:ind w:left="2475" w:hanging="180"/>
      </w:pPr>
    </w:lvl>
    <w:lvl w:ilvl="3" w:tplc="0C0A000F" w:tentative="1">
      <w:start w:val="1"/>
      <w:numFmt w:val="decimal"/>
      <w:lvlText w:val="%4."/>
      <w:lvlJc w:val="left"/>
      <w:pPr>
        <w:tabs>
          <w:tab w:val="num" w:pos="3195"/>
        </w:tabs>
        <w:ind w:left="3195" w:hanging="360"/>
      </w:pPr>
    </w:lvl>
    <w:lvl w:ilvl="4" w:tplc="0C0A0019" w:tentative="1">
      <w:start w:val="1"/>
      <w:numFmt w:val="lowerLetter"/>
      <w:lvlText w:val="%5."/>
      <w:lvlJc w:val="left"/>
      <w:pPr>
        <w:tabs>
          <w:tab w:val="num" w:pos="3915"/>
        </w:tabs>
        <w:ind w:left="3915" w:hanging="360"/>
      </w:pPr>
    </w:lvl>
    <w:lvl w:ilvl="5" w:tplc="0C0A001B" w:tentative="1">
      <w:start w:val="1"/>
      <w:numFmt w:val="lowerRoman"/>
      <w:lvlText w:val="%6."/>
      <w:lvlJc w:val="right"/>
      <w:pPr>
        <w:tabs>
          <w:tab w:val="num" w:pos="4635"/>
        </w:tabs>
        <w:ind w:left="4635" w:hanging="180"/>
      </w:pPr>
    </w:lvl>
    <w:lvl w:ilvl="6" w:tplc="0C0A000F" w:tentative="1">
      <w:start w:val="1"/>
      <w:numFmt w:val="decimal"/>
      <w:lvlText w:val="%7."/>
      <w:lvlJc w:val="left"/>
      <w:pPr>
        <w:tabs>
          <w:tab w:val="num" w:pos="5355"/>
        </w:tabs>
        <w:ind w:left="5355" w:hanging="360"/>
      </w:pPr>
    </w:lvl>
    <w:lvl w:ilvl="7" w:tplc="0C0A0019" w:tentative="1">
      <w:start w:val="1"/>
      <w:numFmt w:val="lowerLetter"/>
      <w:lvlText w:val="%8."/>
      <w:lvlJc w:val="left"/>
      <w:pPr>
        <w:tabs>
          <w:tab w:val="num" w:pos="6075"/>
        </w:tabs>
        <w:ind w:left="6075" w:hanging="360"/>
      </w:pPr>
    </w:lvl>
    <w:lvl w:ilvl="8" w:tplc="0C0A001B" w:tentative="1">
      <w:start w:val="1"/>
      <w:numFmt w:val="lowerRoman"/>
      <w:lvlText w:val="%9."/>
      <w:lvlJc w:val="right"/>
      <w:pPr>
        <w:tabs>
          <w:tab w:val="num" w:pos="6795"/>
        </w:tabs>
        <w:ind w:left="6795" w:hanging="180"/>
      </w:pPr>
    </w:lvl>
  </w:abstractNum>
  <w:abstractNum w:abstractNumId="6">
    <w:nsid w:val="30310525"/>
    <w:multiLevelType w:val="hybridMultilevel"/>
    <w:tmpl w:val="591262C4"/>
    <w:lvl w:ilvl="0" w:tplc="A6A4899A">
      <w:start w:val="1"/>
      <w:numFmt w:val="lowerLetter"/>
      <w:lvlText w:val="%1)"/>
      <w:lvlJc w:val="left"/>
      <w:pPr>
        <w:tabs>
          <w:tab w:val="num" w:pos="1068"/>
        </w:tabs>
        <w:ind w:left="1068" w:hanging="360"/>
      </w:pPr>
      <w:rPr>
        <w:rFonts w:hint="default"/>
      </w:rPr>
    </w:lvl>
    <w:lvl w:ilvl="1" w:tplc="0C0A0019">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7">
    <w:nsid w:val="389F65CD"/>
    <w:multiLevelType w:val="hybridMultilevel"/>
    <w:tmpl w:val="606A198E"/>
    <w:lvl w:ilvl="0" w:tplc="73C6F69A">
      <w:start w:val="2"/>
      <w:numFmt w:val="decimal"/>
      <w:lvlText w:val="%1."/>
      <w:lvlJc w:val="left"/>
      <w:pPr>
        <w:tabs>
          <w:tab w:val="num" w:pos="705"/>
        </w:tabs>
        <w:ind w:left="705" w:hanging="705"/>
      </w:pPr>
      <w:rPr>
        <w:rFonts w:hint="default"/>
      </w:rPr>
    </w:lvl>
    <w:lvl w:ilvl="1" w:tplc="A6FA6EB2">
      <w:start w:val="1"/>
      <w:numFmt w:val="lowerLetter"/>
      <w:lvlText w:val="%2)"/>
      <w:lvlJc w:val="left"/>
      <w:pPr>
        <w:tabs>
          <w:tab w:val="num" w:pos="1080"/>
        </w:tabs>
        <w:ind w:left="1080" w:hanging="360"/>
      </w:pPr>
      <w:rPr>
        <w:rFonts w:hint="default"/>
      </w:r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8">
    <w:nsid w:val="419E0D98"/>
    <w:multiLevelType w:val="hybridMultilevel"/>
    <w:tmpl w:val="F66A0C74"/>
    <w:lvl w:ilvl="0" w:tplc="0C0A000F">
      <w:start w:val="6"/>
      <w:numFmt w:val="decimal"/>
      <w:lvlText w:val="%1."/>
      <w:lvlJc w:val="left"/>
      <w:pPr>
        <w:tabs>
          <w:tab w:val="num" w:pos="360"/>
        </w:tabs>
        <w:ind w:left="360" w:hanging="360"/>
      </w:pPr>
      <w:rPr>
        <w:rFonts w:hint="default"/>
        <w:i w:val="0"/>
      </w:rPr>
    </w:lvl>
    <w:lvl w:ilvl="1" w:tplc="0C0A0019">
      <w:start w:val="1"/>
      <w:numFmt w:val="lowerLetter"/>
      <w:lvlText w:val="%2."/>
      <w:lvlJc w:val="left"/>
      <w:pPr>
        <w:tabs>
          <w:tab w:val="num" w:pos="1080"/>
        </w:tabs>
        <w:ind w:left="1080" w:hanging="360"/>
      </w:pPr>
    </w:lvl>
    <w:lvl w:ilvl="2" w:tplc="9D460776">
      <w:start w:val="1"/>
      <w:numFmt w:val="lowerLetter"/>
      <w:lvlText w:val="%3)"/>
      <w:lvlJc w:val="left"/>
      <w:pPr>
        <w:tabs>
          <w:tab w:val="num" w:pos="1980"/>
        </w:tabs>
        <w:ind w:left="1980" w:hanging="360"/>
      </w:pPr>
      <w:rPr>
        <w:rFonts w:hint="default"/>
      </w:r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9">
    <w:nsid w:val="47195000"/>
    <w:multiLevelType w:val="hybridMultilevel"/>
    <w:tmpl w:val="7A86C440"/>
    <w:lvl w:ilvl="0" w:tplc="7BF29604">
      <w:start w:val="2"/>
      <w:numFmt w:val="decimal"/>
      <w:lvlText w:val="%1."/>
      <w:lvlJc w:val="left"/>
      <w:pPr>
        <w:tabs>
          <w:tab w:val="num" w:pos="675"/>
        </w:tabs>
        <w:ind w:left="675" w:hanging="675"/>
      </w:pPr>
      <w:rPr>
        <w:rFonts w:hint="default"/>
        <w:i w:val="0"/>
      </w:rPr>
    </w:lvl>
    <w:lvl w:ilvl="1" w:tplc="0C0A0019">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0">
    <w:nsid w:val="4A3B736C"/>
    <w:multiLevelType w:val="hybridMultilevel"/>
    <w:tmpl w:val="C0425244"/>
    <w:lvl w:ilvl="0" w:tplc="452AEC46">
      <w:start w:val="8"/>
      <w:numFmt w:val="decimal"/>
      <w:lvlText w:val="%1."/>
      <w:lvlJc w:val="left"/>
      <w:pPr>
        <w:tabs>
          <w:tab w:val="num" w:pos="760"/>
        </w:tabs>
        <w:ind w:left="760" w:hanging="690"/>
      </w:pPr>
      <w:rPr>
        <w:rFonts w:hint="default"/>
      </w:rPr>
    </w:lvl>
    <w:lvl w:ilvl="1" w:tplc="0C0A0019" w:tentative="1">
      <w:start w:val="1"/>
      <w:numFmt w:val="lowerLetter"/>
      <w:lvlText w:val="%2."/>
      <w:lvlJc w:val="left"/>
      <w:pPr>
        <w:tabs>
          <w:tab w:val="num" w:pos="1150"/>
        </w:tabs>
        <w:ind w:left="1150" w:hanging="360"/>
      </w:pPr>
    </w:lvl>
    <w:lvl w:ilvl="2" w:tplc="0C0A001B" w:tentative="1">
      <w:start w:val="1"/>
      <w:numFmt w:val="lowerRoman"/>
      <w:lvlText w:val="%3."/>
      <w:lvlJc w:val="right"/>
      <w:pPr>
        <w:tabs>
          <w:tab w:val="num" w:pos="1870"/>
        </w:tabs>
        <w:ind w:left="1870" w:hanging="180"/>
      </w:pPr>
    </w:lvl>
    <w:lvl w:ilvl="3" w:tplc="0C0A000F" w:tentative="1">
      <w:start w:val="1"/>
      <w:numFmt w:val="decimal"/>
      <w:lvlText w:val="%4."/>
      <w:lvlJc w:val="left"/>
      <w:pPr>
        <w:tabs>
          <w:tab w:val="num" w:pos="2590"/>
        </w:tabs>
        <w:ind w:left="2590" w:hanging="360"/>
      </w:pPr>
    </w:lvl>
    <w:lvl w:ilvl="4" w:tplc="0C0A0019" w:tentative="1">
      <w:start w:val="1"/>
      <w:numFmt w:val="lowerLetter"/>
      <w:lvlText w:val="%5."/>
      <w:lvlJc w:val="left"/>
      <w:pPr>
        <w:tabs>
          <w:tab w:val="num" w:pos="3310"/>
        </w:tabs>
        <w:ind w:left="3310" w:hanging="360"/>
      </w:pPr>
    </w:lvl>
    <w:lvl w:ilvl="5" w:tplc="0C0A001B" w:tentative="1">
      <w:start w:val="1"/>
      <w:numFmt w:val="lowerRoman"/>
      <w:lvlText w:val="%6."/>
      <w:lvlJc w:val="right"/>
      <w:pPr>
        <w:tabs>
          <w:tab w:val="num" w:pos="4030"/>
        </w:tabs>
        <w:ind w:left="4030" w:hanging="180"/>
      </w:pPr>
    </w:lvl>
    <w:lvl w:ilvl="6" w:tplc="0C0A000F" w:tentative="1">
      <w:start w:val="1"/>
      <w:numFmt w:val="decimal"/>
      <w:lvlText w:val="%7."/>
      <w:lvlJc w:val="left"/>
      <w:pPr>
        <w:tabs>
          <w:tab w:val="num" w:pos="4750"/>
        </w:tabs>
        <w:ind w:left="4750" w:hanging="360"/>
      </w:pPr>
    </w:lvl>
    <w:lvl w:ilvl="7" w:tplc="0C0A0019" w:tentative="1">
      <w:start w:val="1"/>
      <w:numFmt w:val="lowerLetter"/>
      <w:lvlText w:val="%8."/>
      <w:lvlJc w:val="left"/>
      <w:pPr>
        <w:tabs>
          <w:tab w:val="num" w:pos="5470"/>
        </w:tabs>
        <w:ind w:left="5470" w:hanging="360"/>
      </w:pPr>
    </w:lvl>
    <w:lvl w:ilvl="8" w:tplc="0C0A001B" w:tentative="1">
      <w:start w:val="1"/>
      <w:numFmt w:val="lowerRoman"/>
      <w:lvlText w:val="%9."/>
      <w:lvlJc w:val="right"/>
      <w:pPr>
        <w:tabs>
          <w:tab w:val="num" w:pos="6190"/>
        </w:tabs>
        <w:ind w:left="6190" w:hanging="180"/>
      </w:pPr>
    </w:lvl>
  </w:abstractNum>
  <w:abstractNum w:abstractNumId="11">
    <w:nsid w:val="4BFE1C5D"/>
    <w:multiLevelType w:val="hybridMultilevel"/>
    <w:tmpl w:val="46DCF700"/>
    <w:lvl w:ilvl="0" w:tplc="7E224E24">
      <w:start w:val="2"/>
      <w:numFmt w:val="lowerLetter"/>
      <w:lvlText w:val="%1)"/>
      <w:lvlJc w:val="left"/>
      <w:pPr>
        <w:tabs>
          <w:tab w:val="num" w:pos="1068"/>
        </w:tabs>
        <w:ind w:left="1068" w:hanging="360"/>
      </w:pPr>
      <w:rPr>
        <w:rFonts w:hint="default"/>
      </w:rPr>
    </w:lvl>
    <w:lvl w:ilvl="1" w:tplc="0C0A0019">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12">
    <w:nsid w:val="536510FD"/>
    <w:multiLevelType w:val="hybridMultilevel"/>
    <w:tmpl w:val="A7923CAA"/>
    <w:lvl w:ilvl="0" w:tplc="68C23190">
      <w:start w:val="2"/>
      <w:numFmt w:val="lowerLetter"/>
      <w:lvlText w:val="%1)"/>
      <w:lvlJc w:val="left"/>
      <w:pPr>
        <w:tabs>
          <w:tab w:val="num" w:pos="1413"/>
        </w:tabs>
        <w:ind w:left="1413" w:hanging="630"/>
      </w:pPr>
      <w:rPr>
        <w:rFonts w:hint="default"/>
      </w:rPr>
    </w:lvl>
    <w:lvl w:ilvl="1" w:tplc="0C0A0019" w:tentative="1">
      <w:start w:val="1"/>
      <w:numFmt w:val="lowerLetter"/>
      <w:lvlText w:val="%2."/>
      <w:lvlJc w:val="left"/>
      <w:pPr>
        <w:tabs>
          <w:tab w:val="num" w:pos="1863"/>
        </w:tabs>
        <w:ind w:left="1863" w:hanging="360"/>
      </w:pPr>
    </w:lvl>
    <w:lvl w:ilvl="2" w:tplc="0C0A001B" w:tentative="1">
      <w:start w:val="1"/>
      <w:numFmt w:val="lowerRoman"/>
      <w:lvlText w:val="%3."/>
      <w:lvlJc w:val="right"/>
      <w:pPr>
        <w:tabs>
          <w:tab w:val="num" w:pos="2583"/>
        </w:tabs>
        <w:ind w:left="2583" w:hanging="180"/>
      </w:pPr>
    </w:lvl>
    <w:lvl w:ilvl="3" w:tplc="0C0A000F" w:tentative="1">
      <w:start w:val="1"/>
      <w:numFmt w:val="decimal"/>
      <w:lvlText w:val="%4."/>
      <w:lvlJc w:val="left"/>
      <w:pPr>
        <w:tabs>
          <w:tab w:val="num" w:pos="3303"/>
        </w:tabs>
        <w:ind w:left="3303" w:hanging="360"/>
      </w:pPr>
    </w:lvl>
    <w:lvl w:ilvl="4" w:tplc="0C0A0019" w:tentative="1">
      <w:start w:val="1"/>
      <w:numFmt w:val="lowerLetter"/>
      <w:lvlText w:val="%5."/>
      <w:lvlJc w:val="left"/>
      <w:pPr>
        <w:tabs>
          <w:tab w:val="num" w:pos="4023"/>
        </w:tabs>
        <w:ind w:left="4023" w:hanging="360"/>
      </w:pPr>
    </w:lvl>
    <w:lvl w:ilvl="5" w:tplc="0C0A001B" w:tentative="1">
      <w:start w:val="1"/>
      <w:numFmt w:val="lowerRoman"/>
      <w:lvlText w:val="%6."/>
      <w:lvlJc w:val="right"/>
      <w:pPr>
        <w:tabs>
          <w:tab w:val="num" w:pos="4743"/>
        </w:tabs>
        <w:ind w:left="4743" w:hanging="180"/>
      </w:pPr>
    </w:lvl>
    <w:lvl w:ilvl="6" w:tplc="0C0A000F" w:tentative="1">
      <w:start w:val="1"/>
      <w:numFmt w:val="decimal"/>
      <w:lvlText w:val="%7."/>
      <w:lvlJc w:val="left"/>
      <w:pPr>
        <w:tabs>
          <w:tab w:val="num" w:pos="5463"/>
        </w:tabs>
        <w:ind w:left="5463" w:hanging="360"/>
      </w:pPr>
    </w:lvl>
    <w:lvl w:ilvl="7" w:tplc="0C0A0019" w:tentative="1">
      <w:start w:val="1"/>
      <w:numFmt w:val="lowerLetter"/>
      <w:lvlText w:val="%8."/>
      <w:lvlJc w:val="left"/>
      <w:pPr>
        <w:tabs>
          <w:tab w:val="num" w:pos="6183"/>
        </w:tabs>
        <w:ind w:left="6183" w:hanging="360"/>
      </w:pPr>
    </w:lvl>
    <w:lvl w:ilvl="8" w:tplc="0C0A001B" w:tentative="1">
      <w:start w:val="1"/>
      <w:numFmt w:val="lowerRoman"/>
      <w:lvlText w:val="%9."/>
      <w:lvlJc w:val="right"/>
      <w:pPr>
        <w:tabs>
          <w:tab w:val="num" w:pos="6903"/>
        </w:tabs>
        <w:ind w:left="6903" w:hanging="180"/>
      </w:pPr>
    </w:lvl>
  </w:abstractNum>
  <w:abstractNum w:abstractNumId="13">
    <w:nsid w:val="55D63441"/>
    <w:multiLevelType w:val="hybridMultilevel"/>
    <w:tmpl w:val="E32CD546"/>
    <w:lvl w:ilvl="0" w:tplc="D3506576">
      <w:start w:val="1"/>
      <w:numFmt w:val="lowerLetter"/>
      <w:lvlText w:val="%1)"/>
      <w:lvlJc w:val="left"/>
      <w:pPr>
        <w:tabs>
          <w:tab w:val="num" w:pos="1413"/>
        </w:tabs>
        <w:ind w:left="1413" w:hanging="630"/>
      </w:pPr>
      <w:rPr>
        <w:rFonts w:hint="default"/>
      </w:rPr>
    </w:lvl>
    <w:lvl w:ilvl="1" w:tplc="0C0A0019" w:tentative="1">
      <w:start w:val="1"/>
      <w:numFmt w:val="lowerLetter"/>
      <w:lvlText w:val="%2."/>
      <w:lvlJc w:val="left"/>
      <w:pPr>
        <w:tabs>
          <w:tab w:val="num" w:pos="1863"/>
        </w:tabs>
        <w:ind w:left="1863" w:hanging="360"/>
      </w:pPr>
    </w:lvl>
    <w:lvl w:ilvl="2" w:tplc="0C0A001B" w:tentative="1">
      <w:start w:val="1"/>
      <w:numFmt w:val="lowerRoman"/>
      <w:lvlText w:val="%3."/>
      <w:lvlJc w:val="right"/>
      <w:pPr>
        <w:tabs>
          <w:tab w:val="num" w:pos="2583"/>
        </w:tabs>
        <w:ind w:left="2583" w:hanging="180"/>
      </w:pPr>
    </w:lvl>
    <w:lvl w:ilvl="3" w:tplc="0C0A000F" w:tentative="1">
      <w:start w:val="1"/>
      <w:numFmt w:val="decimal"/>
      <w:lvlText w:val="%4."/>
      <w:lvlJc w:val="left"/>
      <w:pPr>
        <w:tabs>
          <w:tab w:val="num" w:pos="3303"/>
        </w:tabs>
        <w:ind w:left="3303" w:hanging="360"/>
      </w:pPr>
    </w:lvl>
    <w:lvl w:ilvl="4" w:tplc="0C0A0019" w:tentative="1">
      <w:start w:val="1"/>
      <w:numFmt w:val="lowerLetter"/>
      <w:lvlText w:val="%5."/>
      <w:lvlJc w:val="left"/>
      <w:pPr>
        <w:tabs>
          <w:tab w:val="num" w:pos="4023"/>
        </w:tabs>
        <w:ind w:left="4023" w:hanging="360"/>
      </w:pPr>
    </w:lvl>
    <w:lvl w:ilvl="5" w:tplc="0C0A001B" w:tentative="1">
      <w:start w:val="1"/>
      <w:numFmt w:val="lowerRoman"/>
      <w:lvlText w:val="%6."/>
      <w:lvlJc w:val="right"/>
      <w:pPr>
        <w:tabs>
          <w:tab w:val="num" w:pos="4743"/>
        </w:tabs>
        <w:ind w:left="4743" w:hanging="180"/>
      </w:pPr>
    </w:lvl>
    <w:lvl w:ilvl="6" w:tplc="0C0A000F" w:tentative="1">
      <w:start w:val="1"/>
      <w:numFmt w:val="decimal"/>
      <w:lvlText w:val="%7."/>
      <w:lvlJc w:val="left"/>
      <w:pPr>
        <w:tabs>
          <w:tab w:val="num" w:pos="5463"/>
        </w:tabs>
        <w:ind w:left="5463" w:hanging="360"/>
      </w:pPr>
    </w:lvl>
    <w:lvl w:ilvl="7" w:tplc="0C0A0019" w:tentative="1">
      <w:start w:val="1"/>
      <w:numFmt w:val="lowerLetter"/>
      <w:lvlText w:val="%8."/>
      <w:lvlJc w:val="left"/>
      <w:pPr>
        <w:tabs>
          <w:tab w:val="num" w:pos="6183"/>
        </w:tabs>
        <w:ind w:left="6183" w:hanging="360"/>
      </w:pPr>
    </w:lvl>
    <w:lvl w:ilvl="8" w:tplc="0C0A001B" w:tentative="1">
      <w:start w:val="1"/>
      <w:numFmt w:val="lowerRoman"/>
      <w:lvlText w:val="%9."/>
      <w:lvlJc w:val="right"/>
      <w:pPr>
        <w:tabs>
          <w:tab w:val="num" w:pos="6903"/>
        </w:tabs>
        <w:ind w:left="6903" w:hanging="180"/>
      </w:pPr>
    </w:lvl>
  </w:abstractNum>
  <w:abstractNum w:abstractNumId="14">
    <w:nsid w:val="688D2494"/>
    <w:multiLevelType w:val="hybridMultilevel"/>
    <w:tmpl w:val="C0E004F6"/>
    <w:lvl w:ilvl="0" w:tplc="BDD4EF2A">
      <w:start w:val="2"/>
      <w:numFmt w:val="lowerLetter"/>
      <w:lvlText w:val="%1)"/>
      <w:lvlJc w:val="left"/>
      <w:pPr>
        <w:tabs>
          <w:tab w:val="num" w:pos="1410"/>
        </w:tabs>
        <w:ind w:left="1410" w:hanging="615"/>
      </w:pPr>
      <w:rPr>
        <w:rFonts w:hint="default"/>
      </w:rPr>
    </w:lvl>
    <w:lvl w:ilvl="1" w:tplc="0C0A0019" w:tentative="1">
      <w:start w:val="1"/>
      <w:numFmt w:val="lowerLetter"/>
      <w:lvlText w:val="%2."/>
      <w:lvlJc w:val="left"/>
      <w:pPr>
        <w:tabs>
          <w:tab w:val="num" w:pos="1875"/>
        </w:tabs>
        <w:ind w:left="1875" w:hanging="360"/>
      </w:pPr>
    </w:lvl>
    <w:lvl w:ilvl="2" w:tplc="0C0A001B" w:tentative="1">
      <w:start w:val="1"/>
      <w:numFmt w:val="lowerRoman"/>
      <w:lvlText w:val="%3."/>
      <w:lvlJc w:val="right"/>
      <w:pPr>
        <w:tabs>
          <w:tab w:val="num" w:pos="2595"/>
        </w:tabs>
        <w:ind w:left="2595" w:hanging="180"/>
      </w:pPr>
    </w:lvl>
    <w:lvl w:ilvl="3" w:tplc="0C0A000F" w:tentative="1">
      <w:start w:val="1"/>
      <w:numFmt w:val="decimal"/>
      <w:lvlText w:val="%4."/>
      <w:lvlJc w:val="left"/>
      <w:pPr>
        <w:tabs>
          <w:tab w:val="num" w:pos="3315"/>
        </w:tabs>
        <w:ind w:left="3315" w:hanging="360"/>
      </w:pPr>
    </w:lvl>
    <w:lvl w:ilvl="4" w:tplc="0C0A0019" w:tentative="1">
      <w:start w:val="1"/>
      <w:numFmt w:val="lowerLetter"/>
      <w:lvlText w:val="%5."/>
      <w:lvlJc w:val="left"/>
      <w:pPr>
        <w:tabs>
          <w:tab w:val="num" w:pos="4035"/>
        </w:tabs>
        <w:ind w:left="4035" w:hanging="360"/>
      </w:pPr>
    </w:lvl>
    <w:lvl w:ilvl="5" w:tplc="0C0A001B" w:tentative="1">
      <w:start w:val="1"/>
      <w:numFmt w:val="lowerRoman"/>
      <w:lvlText w:val="%6."/>
      <w:lvlJc w:val="right"/>
      <w:pPr>
        <w:tabs>
          <w:tab w:val="num" w:pos="4755"/>
        </w:tabs>
        <w:ind w:left="4755" w:hanging="180"/>
      </w:pPr>
    </w:lvl>
    <w:lvl w:ilvl="6" w:tplc="0C0A000F" w:tentative="1">
      <w:start w:val="1"/>
      <w:numFmt w:val="decimal"/>
      <w:lvlText w:val="%7."/>
      <w:lvlJc w:val="left"/>
      <w:pPr>
        <w:tabs>
          <w:tab w:val="num" w:pos="5475"/>
        </w:tabs>
        <w:ind w:left="5475" w:hanging="360"/>
      </w:pPr>
    </w:lvl>
    <w:lvl w:ilvl="7" w:tplc="0C0A0019" w:tentative="1">
      <w:start w:val="1"/>
      <w:numFmt w:val="lowerLetter"/>
      <w:lvlText w:val="%8."/>
      <w:lvlJc w:val="left"/>
      <w:pPr>
        <w:tabs>
          <w:tab w:val="num" w:pos="6195"/>
        </w:tabs>
        <w:ind w:left="6195" w:hanging="360"/>
      </w:pPr>
    </w:lvl>
    <w:lvl w:ilvl="8" w:tplc="0C0A001B" w:tentative="1">
      <w:start w:val="1"/>
      <w:numFmt w:val="lowerRoman"/>
      <w:lvlText w:val="%9."/>
      <w:lvlJc w:val="right"/>
      <w:pPr>
        <w:tabs>
          <w:tab w:val="num" w:pos="6915"/>
        </w:tabs>
        <w:ind w:left="6915" w:hanging="180"/>
      </w:pPr>
    </w:lvl>
  </w:abstractNum>
  <w:abstractNum w:abstractNumId="15">
    <w:nsid w:val="6E56161D"/>
    <w:multiLevelType w:val="hybridMultilevel"/>
    <w:tmpl w:val="9D20725E"/>
    <w:lvl w:ilvl="0" w:tplc="F48E7B0A">
      <w:start w:val="5"/>
      <w:numFmt w:val="decimal"/>
      <w:lvlText w:val="%1."/>
      <w:lvlJc w:val="left"/>
      <w:pPr>
        <w:tabs>
          <w:tab w:val="num" w:pos="675"/>
        </w:tabs>
        <w:ind w:left="675" w:hanging="675"/>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6">
    <w:nsid w:val="79B31EDA"/>
    <w:multiLevelType w:val="hybridMultilevel"/>
    <w:tmpl w:val="66BA5E64"/>
    <w:lvl w:ilvl="0" w:tplc="203E4DF0">
      <w:start w:val="9"/>
      <w:numFmt w:val="decimal"/>
      <w:lvlText w:val="%1."/>
      <w:lvlJc w:val="left"/>
      <w:pPr>
        <w:tabs>
          <w:tab w:val="num" w:pos="1410"/>
        </w:tabs>
        <w:ind w:left="1410" w:hanging="690"/>
      </w:pPr>
      <w:rPr>
        <w:rFonts w:hint="default"/>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num w:numId="1">
    <w:abstractNumId w:val="2"/>
  </w:num>
  <w:num w:numId="2">
    <w:abstractNumId w:val="9"/>
  </w:num>
  <w:num w:numId="3">
    <w:abstractNumId w:val="14"/>
  </w:num>
  <w:num w:numId="4">
    <w:abstractNumId w:val="11"/>
  </w:num>
  <w:num w:numId="5">
    <w:abstractNumId w:val="6"/>
  </w:num>
  <w:num w:numId="6">
    <w:abstractNumId w:val="5"/>
  </w:num>
  <w:num w:numId="7">
    <w:abstractNumId w:val="12"/>
  </w:num>
  <w:num w:numId="8">
    <w:abstractNumId w:val="13"/>
  </w:num>
  <w:num w:numId="9">
    <w:abstractNumId w:val="7"/>
  </w:num>
  <w:num w:numId="10">
    <w:abstractNumId w:val="4"/>
  </w:num>
  <w:num w:numId="11">
    <w:abstractNumId w:val="0"/>
  </w:num>
  <w:num w:numId="12">
    <w:abstractNumId w:val="3"/>
  </w:num>
  <w:num w:numId="13">
    <w:abstractNumId w:val="15"/>
  </w:num>
  <w:num w:numId="14">
    <w:abstractNumId w:val="16"/>
  </w:num>
  <w:num w:numId="15">
    <w:abstractNumId w:val="10"/>
  </w:num>
  <w:num w:numId="16">
    <w:abstractNumId w:val="8"/>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8"/>
  <w:hyphenationZone w:val="425"/>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A16EA"/>
    <w:rsid w:val="001A241F"/>
    <w:rsid w:val="006E027E"/>
    <w:rsid w:val="00822B3C"/>
    <w:rsid w:val="00826C9D"/>
    <w:rsid w:val="00BD3A8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s-ES" w:eastAsia="es-ES"/>
    </w:rPr>
  </w:style>
  <w:style w:type="paragraph" w:styleId="Ttulo1">
    <w:name w:val="heading 1"/>
    <w:basedOn w:val="Normal"/>
    <w:next w:val="Normal"/>
    <w:qFormat/>
    <w:pPr>
      <w:keepNext/>
      <w:jc w:val="center"/>
      <w:outlineLvl w:val="0"/>
    </w:pPr>
    <w:rPr>
      <w:rFonts w:ascii="Verdana" w:hAnsi="Verdana"/>
      <w:b/>
      <w:bCs/>
      <w:sz w:val="20"/>
    </w:rPr>
  </w:style>
  <w:style w:type="character" w:default="1" w:styleId="Fuentedeprrafopredeter">
    <w:name w:val="Default Paragraph Font"/>
  </w:style>
  <w:style w:type="table" w:default="1" w:styleId="Tablanormal">
    <w:name w:val="Normal Table"/>
    <w:semiHidden/>
    <w:rPr>
      <w:lang w:bidi="ar-SA"/>
    </w:rPr>
    <w:tblPr>
      <w:tblInd w:w="0" w:type="dxa"/>
      <w:tblCellMar>
        <w:top w:w="0" w:type="dxa"/>
        <w:left w:w="108" w:type="dxa"/>
        <w:bottom w:w="0" w:type="dxa"/>
        <w:right w:w="108" w:type="dxa"/>
      </w:tblCellMar>
    </w:tblPr>
  </w:style>
  <w:style w:type="numbering" w:default="1" w:styleId="Sinlista">
    <w:name w:val="No List"/>
    <w:semiHidden/>
  </w:style>
  <w:style w:type="paragraph" w:styleId="Encabezado">
    <w:name w:val="header"/>
    <w:basedOn w:val="Normal"/>
    <w:pPr>
      <w:tabs>
        <w:tab w:val="center" w:pos="4320"/>
        <w:tab w:val="right" w:pos="8640"/>
      </w:tabs>
    </w:pPr>
    <w:rPr>
      <w:rFonts w:ascii="Garamond" w:hAnsi="Garamond"/>
      <w:szCs w:val="20"/>
      <w:lang w:val="es-ES_tradnl" w:eastAsia="en-US"/>
    </w:rPr>
  </w:style>
  <w:style w:type="paragraph" w:styleId="Textonotapie">
    <w:name w:val="footnote text"/>
    <w:aliases w:val="Footnote reference,FA Fu,Footnote Text Char Char Char Char Char,Footnote Text Char Char Char Char"/>
    <w:basedOn w:val="Normal"/>
    <w:rPr>
      <w:rFonts w:ascii="Times" w:hAnsi="Times"/>
      <w:sz w:val="20"/>
      <w:szCs w:val="20"/>
      <w:lang w:val="es-ES_tradnl" w:eastAsia="en-US"/>
    </w:rPr>
  </w:style>
  <w:style w:type="character" w:styleId="Refdenotaalpie">
    <w:name w:val="footnote reference"/>
    <w:rPr>
      <w:vertAlign w:val="superscript"/>
    </w:rPr>
  </w:style>
  <w:style w:type="paragraph" w:styleId="Textoindependiente">
    <w:name w:val="Body Text"/>
    <w:basedOn w:val="Normal"/>
    <w:pPr>
      <w:widowControl w:val="0"/>
      <w:tabs>
        <w:tab w:val="left" w:pos="360"/>
      </w:tabs>
      <w:ind w:right="720"/>
      <w:jc w:val="both"/>
    </w:pPr>
    <w:rPr>
      <w:rFonts w:ascii="Garamond" w:hAnsi="Garamond"/>
      <w:szCs w:val="20"/>
      <w:lang w:val="es-ES_tradnl" w:eastAsia="en-US"/>
    </w:rPr>
  </w:style>
  <w:style w:type="paragraph" w:styleId="Textodebloque">
    <w:name w:val="Block Text"/>
    <w:basedOn w:val="Normal"/>
    <w:pPr>
      <w:widowControl w:val="0"/>
      <w:ind w:left="720" w:right="720"/>
      <w:jc w:val="both"/>
    </w:pPr>
    <w:rPr>
      <w:rFonts w:ascii="Garamond" w:hAnsi="Garamond"/>
      <w:sz w:val="20"/>
      <w:szCs w:val="20"/>
      <w:lang w:val="es-ES_tradnl" w:eastAsia="en-US"/>
    </w:rPr>
  </w:style>
  <w:style w:type="paragraph" w:styleId="Textoindependiente3">
    <w:name w:val="Body Text 3"/>
    <w:basedOn w:val="Normal"/>
    <w:pPr>
      <w:ind w:right="-72"/>
      <w:jc w:val="both"/>
    </w:pPr>
    <w:rPr>
      <w:rFonts w:ascii="Garamond" w:eastAsia="Times" w:hAnsi="Garamond"/>
      <w:szCs w:val="20"/>
      <w:lang w:val="es-ES_tradnl" w:eastAsia="en-US"/>
    </w:rPr>
  </w:style>
  <w:style w:type="paragraph" w:styleId="Sangradetextonormal">
    <w:name w:val="Body Text Indent"/>
    <w:basedOn w:val="Normal"/>
    <w:pPr>
      <w:ind w:right="40"/>
      <w:jc w:val="both"/>
    </w:pPr>
    <w:rPr>
      <w:rFonts w:ascii="Garamond" w:hAnsi="Garamond"/>
      <w:szCs w:val="20"/>
      <w:lang w:val="es-ES_tradnl" w:eastAsia="en-US"/>
    </w:rPr>
  </w:style>
  <w:style w:type="paragraph" w:customStyle="1" w:styleId="Lneadereferencia">
    <w:name w:val="Línea de referencia"/>
    <w:basedOn w:val="Sangradetextonormal"/>
    <w:pPr>
      <w:ind w:right="0"/>
    </w:pPr>
  </w:style>
  <w:style w:type="paragraph" w:styleId="Sangra3detindependiente">
    <w:name w:val="Body Text Indent 3"/>
    <w:basedOn w:val="Normal"/>
    <w:pPr>
      <w:ind w:left="1440"/>
      <w:jc w:val="both"/>
    </w:pPr>
    <w:rPr>
      <w:rFonts w:ascii="Garamond" w:hAnsi="Garamond"/>
      <w:b/>
      <w:szCs w:val="20"/>
      <w:lang w:val="es-ES_tradnl" w:eastAsia="en-US"/>
    </w:rPr>
  </w:style>
  <w:style w:type="character" w:styleId="nfasis">
    <w:name w:val="Emphasis"/>
    <w:qFormat/>
    <w:rPr>
      <w:i/>
      <w:iCs/>
    </w:rPr>
  </w:style>
  <w:style w:type="paragraph" w:styleId="Textoindependiente2">
    <w:name w:val="Body Text 2"/>
    <w:basedOn w:val="Normal"/>
    <w:pPr>
      <w:jc w:val="both"/>
    </w:pPr>
    <w:rPr>
      <w:rFonts w:ascii="Verdana" w:hAnsi="Verdana"/>
      <w:bCs/>
      <w:sz w:val="20"/>
    </w:rPr>
  </w:style>
  <w:style w:type="paragraph" w:styleId="Sangra2detindependiente">
    <w:name w:val="Body Text Indent 2"/>
    <w:basedOn w:val="Normal"/>
    <w:pPr>
      <w:tabs>
        <w:tab w:val="left" w:pos="680"/>
      </w:tabs>
      <w:ind w:left="708"/>
      <w:jc w:val="both"/>
    </w:pPr>
    <w:rPr>
      <w:rFonts w:ascii="Verdana" w:hAnsi="Verdana"/>
      <w:iCs/>
      <w:sz w:val="20"/>
    </w:rPr>
  </w:style>
  <w:style w:type="paragraph" w:styleId="Piedepgina">
    <w:name w:val="footer"/>
    <w:basedOn w:val="Normal"/>
    <w:semiHidden/>
    <w:rsid w:val="00ED2EEE"/>
    <w:pPr>
      <w:tabs>
        <w:tab w:val="center" w:pos="4320"/>
        <w:tab w:val="right" w:pos="8640"/>
      </w:tabs>
    </w:pPr>
  </w:style>
  <w:style w:type="character" w:styleId="Nmerodepgina">
    <w:name w:val="page number"/>
    <w:basedOn w:val="Fuentedeprrafopredeter"/>
    <w:rsid w:val="00ED2EEE"/>
  </w:style>
  <w:style w:type="paragraph" w:styleId="Textodeglobo">
    <w:name w:val="Balloon Text"/>
    <w:basedOn w:val="Normal"/>
    <w:semiHidden/>
    <w:rsid w:val="001861EF"/>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1292</Words>
  <Characters>7110</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RESOLUCION 19 COMERCIANTES</vt:lpstr>
    </vt:vector>
  </TitlesOfParts>
  <Company>CORTE IDH</Company>
  <LinksUpToDate>false</LinksUpToDate>
  <CharactersWithSpaces>8386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RESOLUCION 19 COMERCIANTES</dc:title>
  <dc:creator>CLA</dc:creator>
  <cp:lastModifiedBy>Liliana Tojo</cp:lastModifiedBy>
  <cp:revision>3</cp:revision>
  <cp:lastPrinted>2017-05-24T11:51:00Z</cp:lastPrinted>
  <dcterms:created xsi:type="dcterms:W3CDTF">2017-05-24T11:51:00Z</dcterms:created>
  <dcterms:modified xsi:type="dcterms:W3CDTF">2017-05-24T11:51:00Z</dcterms:modified>
</cp:coreProperties>
</file>