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B80" w:rsidRPr="00C432E6" w:rsidRDefault="00D35B80" w:rsidP="0066078C">
      <w:pPr>
        <w:rPr>
          <w:rFonts w:ascii="Verdana" w:hAnsi="Verdana"/>
          <w:b/>
          <w:sz w:val="20"/>
        </w:rPr>
      </w:pPr>
    </w:p>
    <w:p w:rsidR="00D35B80" w:rsidRPr="00C432E6" w:rsidRDefault="00D35B80" w:rsidP="0066078C">
      <w:pPr>
        <w:jc w:val="center"/>
        <w:rPr>
          <w:rFonts w:ascii="Verdana" w:hAnsi="Verdana"/>
          <w:b/>
          <w:sz w:val="20"/>
        </w:rPr>
      </w:pPr>
      <w:r w:rsidRPr="00C432E6">
        <w:rPr>
          <w:rFonts w:ascii="Verdana" w:hAnsi="Verdana"/>
          <w:b/>
          <w:sz w:val="20"/>
        </w:rPr>
        <w:t>RESOLUCIÓN DE LA</w:t>
      </w:r>
    </w:p>
    <w:p w:rsidR="00D35B80" w:rsidRPr="00C432E6" w:rsidRDefault="00D35B80" w:rsidP="0066078C">
      <w:pPr>
        <w:jc w:val="center"/>
        <w:rPr>
          <w:rFonts w:ascii="Verdana" w:hAnsi="Verdana"/>
          <w:b/>
          <w:sz w:val="20"/>
        </w:rPr>
      </w:pPr>
    </w:p>
    <w:p w:rsidR="00793B21" w:rsidRDefault="00D35B80" w:rsidP="00793B21">
      <w:pPr>
        <w:jc w:val="center"/>
        <w:rPr>
          <w:rFonts w:ascii="Times New Roman" w:hAnsi="Times New Roman"/>
          <w:szCs w:val="24"/>
          <w:lang w:val="es-CR" w:eastAsia="es-CR"/>
        </w:rPr>
      </w:pPr>
      <w:r w:rsidRPr="00C432E6">
        <w:rPr>
          <w:rFonts w:ascii="Verdana" w:hAnsi="Verdana"/>
          <w:b/>
          <w:sz w:val="20"/>
        </w:rPr>
        <w:t>CORTE INTERAMERICANA DE DERECHOS HUMANOS</w:t>
      </w:r>
      <w:r w:rsidR="00793B21">
        <w:rPr>
          <w:rStyle w:val="Refdenotaalpie"/>
          <w:rFonts w:ascii="Verdana" w:hAnsi="Verdana" w:cs="Verdana"/>
          <w:b/>
          <w:bCs/>
          <w:lang w:val="es-ES"/>
        </w:rPr>
        <w:footnoteReference w:customMarkFollows="1" w:id="1"/>
        <w:t>*</w:t>
      </w:r>
    </w:p>
    <w:p w:rsidR="00D35B80" w:rsidRPr="00793B21" w:rsidRDefault="00D35B80" w:rsidP="0066078C">
      <w:pPr>
        <w:jc w:val="center"/>
        <w:rPr>
          <w:rFonts w:ascii="Verdana" w:hAnsi="Verdana"/>
          <w:b/>
          <w:sz w:val="20"/>
          <w:lang w:val="es-CR"/>
        </w:rPr>
      </w:pPr>
    </w:p>
    <w:p w:rsidR="00D35B80" w:rsidRPr="00C432E6" w:rsidRDefault="00D35B80" w:rsidP="0066078C">
      <w:pPr>
        <w:jc w:val="center"/>
        <w:rPr>
          <w:rFonts w:ascii="Verdana" w:hAnsi="Verdana"/>
          <w:sz w:val="20"/>
        </w:rPr>
      </w:pPr>
    </w:p>
    <w:p w:rsidR="00D35B80" w:rsidRPr="00C432E6" w:rsidRDefault="00D35B80" w:rsidP="0066078C">
      <w:pPr>
        <w:jc w:val="center"/>
        <w:rPr>
          <w:rFonts w:ascii="Verdana" w:hAnsi="Verdana"/>
          <w:b/>
          <w:sz w:val="20"/>
        </w:rPr>
      </w:pPr>
      <w:r w:rsidRPr="00C432E6">
        <w:rPr>
          <w:rFonts w:ascii="Verdana" w:hAnsi="Verdana"/>
          <w:b/>
          <w:sz w:val="20"/>
        </w:rPr>
        <w:t xml:space="preserve">DE </w:t>
      </w:r>
      <w:r w:rsidR="00B11AAE">
        <w:rPr>
          <w:rFonts w:ascii="Verdana" w:hAnsi="Verdana"/>
          <w:b/>
          <w:sz w:val="20"/>
        </w:rPr>
        <w:t>1</w:t>
      </w:r>
      <w:r w:rsidRPr="00C432E6">
        <w:rPr>
          <w:rFonts w:ascii="Verdana" w:hAnsi="Verdana"/>
          <w:b/>
          <w:sz w:val="20"/>
        </w:rPr>
        <w:t xml:space="preserve"> DE </w:t>
      </w:r>
      <w:r w:rsidR="00EC4AE2">
        <w:rPr>
          <w:rFonts w:ascii="Verdana" w:hAnsi="Verdana"/>
          <w:b/>
          <w:sz w:val="20"/>
        </w:rPr>
        <w:t>SEPTIEMBRE</w:t>
      </w:r>
      <w:r w:rsidRPr="00C432E6">
        <w:rPr>
          <w:rFonts w:ascii="Verdana" w:hAnsi="Verdana"/>
          <w:b/>
          <w:sz w:val="20"/>
        </w:rPr>
        <w:t xml:space="preserve"> DE 2016</w:t>
      </w:r>
    </w:p>
    <w:p w:rsidR="00D35B80" w:rsidRPr="00C432E6" w:rsidRDefault="00D35B80" w:rsidP="0066078C">
      <w:pPr>
        <w:jc w:val="center"/>
        <w:rPr>
          <w:rFonts w:ascii="Verdana" w:hAnsi="Verdana"/>
          <w:b/>
          <w:sz w:val="20"/>
        </w:rPr>
      </w:pPr>
    </w:p>
    <w:p w:rsidR="00D35B80" w:rsidRPr="00C432E6" w:rsidRDefault="00D35B80" w:rsidP="0066078C">
      <w:pPr>
        <w:jc w:val="center"/>
        <w:rPr>
          <w:rFonts w:ascii="Verdana" w:hAnsi="Verdana"/>
          <w:b/>
          <w:sz w:val="20"/>
        </w:rPr>
      </w:pPr>
    </w:p>
    <w:p w:rsidR="00D35B80" w:rsidRPr="00C432E6" w:rsidRDefault="00D35B80" w:rsidP="0066078C">
      <w:pPr>
        <w:jc w:val="center"/>
        <w:rPr>
          <w:rFonts w:ascii="Verdana" w:hAnsi="Verdana"/>
          <w:b/>
          <w:sz w:val="20"/>
        </w:rPr>
      </w:pPr>
      <w:r w:rsidRPr="00C432E6">
        <w:rPr>
          <w:rFonts w:ascii="Verdana" w:hAnsi="Verdana"/>
          <w:b/>
          <w:sz w:val="20"/>
        </w:rPr>
        <w:t>CASO HERMANAS SERRANO CRUZ VS. EL SALVADOR</w:t>
      </w:r>
    </w:p>
    <w:p w:rsidR="00D35B80" w:rsidRDefault="00D35B80" w:rsidP="0066078C">
      <w:pPr>
        <w:jc w:val="center"/>
        <w:rPr>
          <w:rFonts w:ascii="Verdana" w:hAnsi="Verdana"/>
          <w:b/>
          <w:sz w:val="20"/>
        </w:rPr>
      </w:pPr>
    </w:p>
    <w:p w:rsidR="00D7578B" w:rsidRPr="00C432E6" w:rsidRDefault="00D7578B" w:rsidP="0066078C">
      <w:pPr>
        <w:jc w:val="center"/>
        <w:rPr>
          <w:rFonts w:ascii="Verdana" w:hAnsi="Verdana"/>
          <w:b/>
          <w:sz w:val="20"/>
        </w:rPr>
      </w:pPr>
    </w:p>
    <w:p w:rsidR="00D35B80" w:rsidRPr="00C432E6" w:rsidRDefault="00D35B80" w:rsidP="0066078C">
      <w:pPr>
        <w:jc w:val="center"/>
        <w:rPr>
          <w:rFonts w:ascii="Verdana" w:hAnsi="Verdana"/>
          <w:b/>
          <w:sz w:val="20"/>
        </w:rPr>
      </w:pPr>
      <w:r w:rsidRPr="00C432E6">
        <w:rPr>
          <w:rFonts w:ascii="Verdana" w:hAnsi="Verdana"/>
          <w:b/>
          <w:sz w:val="20"/>
        </w:rPr>
        <w:t>SUPERVISIÓN DE CUMPLIMIENTO DE SENTENCIA</w:t>
      </w:r>
    </w:p>
    <w:p w:rsidR="00D35B80" w:rsidRDefault="00D35B80" w:rsidP="0066078C">
      <w:pPr>
        <w:rPr>
          <w:rFonts w:ascii="Verdana" w:hAnsi="Verdana"/>
          <w:sz w:val="20"/>
        </w:rPr>
      </w:pPr>
    </w:p>
    <w:p w:rsidR="00D7578B" w:rsidRDefault="00D7578B" w:rsidP="0066078C">
      <w:pPr>
        <w:rPr>
          <w:rFonts w:ascii="Verdana" w:hAnsi="Verdana"/>
          <w:sz w:val="20"/>
        </w:rPr>
      </w:pPr>
    </w:p>
    <w:p w:rsidR="00D7578B" w:rsidRPr="00C432E6" w:rsidRDefault="00D7578B" w:rsidP="0066078C">
      <w:pPr>
        <w:rPr>
          <w:rFonts w:ascii="Verdana" w:hAnsi="Verdana"/>
          <w:sz w:val="20"/>
        </w:rPr>
      </w:pPr>
    </w:p>
    <w:p w:rsidR="00D35B80" w:rsidRPr="00C432E6" w:rsidRDefault="00D35B80" w:rsidP="0066078C">
      <w:pPr>
        <w:rPr>
          <w:rFonts w:ascii="Verdana" w:hAnsi="Verdana"/>
          <w:b/>
          <w:sz w:val="20"/>
        </w:rPr>
      </w:pPr>
      <w:r w:rsidRPr="00C432E6">
        <w:rPr>
          <w:rFonts w:ascii="Verdana" w:hAnsi="Verdana"/>
          <w:b/>
          <w:sz w:val="20"/>
        </w:rPr>
        <w:t>VISTO:</w:t>
      </w:r>
    </w:p>
    <w:p w:rsidR="00D35B80" w:rsidRPr="00C432E6" w:rsidRDefault="00D35B80" w:rsidP="0066078C">
      <w:pPr>
        <w:rPr>
          <w:rFonts w:ascii="Verdana" w:hAnsi="Verdana"/>
          <w:sz w:val="20"/>
        </w:rPr>
      </w:pPr>
    </w:p>
    <w:p w:rsidR="00C102B2" w:rsidRPr="006421F8" w:rsidRDefault="00D35B80" w:rsidP="00D52786">
      <w:pPr>
        <w:pStyle w:val="Prrafodelista"/>
        <w:numPr>
          <w:ilvl w:val="0"/>
          <w:numId w:val="2"/>
        </w:numPr>
        <w:ind w:left="0" w:firstLine="0"/>
        <w:jc w:val="both"/>
        <w:rPr>
          <w:rFonts w:ascii="Verdana" w:eastAsia="Calibri" w:hAnsi="Verdana"/>
          <w:sz w:val="20"/>
          <w:lang w:val="es-CR" w:eastAsia="es-CR"/>
        </w:rPr>
      </w:pPr>
      <w:bookmarkStart w:id="0" w:name="_Ref461533346"/>
      <w:r w:rsidRPr="00C432E6">
        <w:rPr>
          <w:rFonts w:ascii="Verdana" w:hAnsi="Verdana"/>
          <w:sz w:val="20"/>
        </w:rPr>
        <w:t>La Sentencia de fondo, reparaciones y costas (en adelante “la Sentencia”) dictada por la Corte Interamericana de Derechos Humanos (en adelante “la Corte”, “la Corte Interamericana” o “este Tribunal”) el</w:t>
      </w:r>
      <w:r w:rsidR="00291E4F" w:rsidRPr="00C432E6">
        <w:rPr>
          <w:rFonts w:ascii="Verdana" w:hAnsi="Verdana"/>
          <w:sz w:val="20"/>
        </w:rPr>
        <w:t xml:space="preserve"> 1 de m</w:t>
      </w:r>
      <w:r w:rsidRPr="00C432E6">
        <w:rPr>
          <w:rFonts w:ascii="Verdana" w:hAnsi="Verdana"/>
          <w:sz w:val="20"/>
        </w:rPr>
        <w:t>arzo de 2005</w:t>
      </w:r>
      <w:r w:rsidRPr="00C432E6">
        <w:rPr>
          <w:rStyle w:val="Refdenotaalpie"/>
          <w:rFonts w:ascii="Verdana" w:hAnsi="Verdana"/>
          <w:sz w:val="20"/>
        </w:rPr>
        <w:footnoteReference w:id="2"/>
      </w:r>
      <w:r w:rsidRPr="00C432E6">
        <w:rPr>
          <w:rFonts w:ascii="Verdana" w:hAnsi="Verdana"/>
          <w:sz w:val="20"/>
        </w:rPr>
        <w:t>.</w:t>
      </w:r>
      <w:r w:rsidR="00D52786">
        <w:rPr>
          <w:rFonts w:ascii="Verdana" w:hAnsi="Verdana"/>
          <w:sz w:val="20"/>
        </w:rPr>
        <w:t xml:space="preserve"> </w:t>
      </w:r>
      <w:r w:rsidRPr="00C432E6">
        <w:rPr>
          <w:rFonts w:ascii="Verdana" w:hAnsi="Verdana"/>
          <w:sz w:val="20"/>
        </w:rPr>
        <w:t xml:space="preserve"> </w:t>
      </w:r>
      <w:r w:rsidR="00793B21">
        <w:rPr>
          <w:rFonts w:ascii="Verdana" w:hAnsi="Verdana"/>
          <w:sz w:val="20"/>
        </w:rPr>
        <w:t xml:space="preserve">La Corte declaró al Estado de El Salvador (en adelante “el Estado” o “El Salvador”) responsable por la falta de investigación de la desaparición </w:t>
      </w:r>
      <w:r w:rsidR="00D52786" w:rsidRPr="00D52786">
        <w:rPr>
          <w:rFonts w:ascii="Verdana" w:hAnsi="Verdana"/>
          <w:sz w:val="20"/>
        </w:rPr>
        <w:t xml:space="preserve">de las hermanas Ernestina y </w:t>
      </w:r>
      <w:proofErr w:type="spellStart"/>
      <w:r w:rsidR="00D52786" w:rsidRPr="00D52786">
        <w:rPr>
          <w:rFonts w:ascii="Verdana" w:hAnsi="Verdana"/>
          <w:sz w:val="20"/>
        </w:rPr>
        <w:t>Erlinda</w:t>
      </w:r>
      <w:proofErr w:type="spellEnd"/>
      <w:r w:rsidR="00D52786" w:rsidRPr="00D52786">
        <w:rPr>
          <w:rFonts w:ascii="Verdana" w:hAnsi="Verdana"/>
          <w:sz w:val="20"/>
        </w:rPr>
        <w:t xml:space="preserve"> Serrano Cruz, la cual habría ocurrido en junio de 1982 en Chalatenango, cometida por militares integrantes del Batallón </w:t>
      </w:r>
      <w:proofErr w:type="spellStart"/>
      <w:r w:rsidR="00D52786" w:rsidRPr="00D52786">
        <w:rPr>
          <w:rFonts w:ascii="Verdana" w:hAnsi="Verdana"/>
          <w:sz w:val="20"/>
        </w:rPr>
        <w:t>Atlacatl</w:t>
      </w:r>
      <w:proofErr w:type="spellEnd"/>
      <w:r w:rsidR="00D52786" w:rsidRPr="00D52786">
        <w:rPr>
          <w:rFonts w:ascii="Verdana" w:hAnsi="Verdana"/>
          <w:sz w:val="20"/>
        </w:rPr>
        <w:t xml:space="preserve"> en el marco del operativo militar denominado “Operación Limpieza” o “la guinda de mayo”</w:t>
      </w:r>
      <w:r w:rsidR="00D52786">
        <w:rPr>
          <w:rStyle w:val="Refdenotaalpie"/>
          <w:rFonts w:ascii="Verdana" w:hAnsi="Verdana"/>
          <w:sz w:val="20"/>
        </w:rPr>
        <w:footnoteReference w:id="3"/>
      </w:r>
      <w:r w:rsidR="00D52786" w:rsidRPr="00D52786">
        <w:rPr>
          <w:rFonts w:ascii="Verdana" w:hAnsi="Verdana"/>
          <w:sz w:val="20"/>
        </w:rPr>
        <w:t>.</w:t>
      </w:r>
      <w:r w:rsidR="00D52786">
        <w:rPr>
          <w:rFonts w:ascii="Verdana" w:hAnsi="Verdana"/>
          <w:sz w:val="20"/>
        </w:rPr>
        <w:t xml:space="preserve"> </w:t>
      </w:r>
      <w:r w:rsidR="00D52786" w:rsidRPr="00D52786">
        <w:rPr>
          <w:rFonts w:ascii="Verdana" w:hAnsi="Verdana"/>
          <w:sz w:val="20"/>
        </w:rPr>
        <w:t xml:space="preserve">Al analizar  las violaciones a los derechos consagrados en los artículos 8.1 y 25 de la Convención, el Tribunal </w:t>
      </w:r>
      <w:r w:rsidR="00793B21">
        <w:rPr>
          <w:rFonts w:ascii="Verdana" w:hAnsi="Verdana"/>
          <w:sz w:val="20"/>
        </w:rPr>
        <w:t>constató</w:t>
      </w:r>
      <w:r w:rsidR="00D52786" w:rsidRPr="00D52786">
        <w:rPr>
          <w:rFonts w:ascii="Verdana" w:hAnsi="Verdana"/>
          <w:sz w:val="20"/>
        </w:rPr>
        <w:t xml:space="preserve"> que tanto</w:t>
      </w:r>
      <w:r w:rsidR="00793B21">
        <w:rPr>
          <w:rFonts w:ascii="Verdana" w:hAnsi="Verdana"/>
          <w:sz w:val="20"/>
        </w:rPr>
        <w:t xml:space="preserve"> en </w:t>
      </w:r>
      <w:r w:rsidR="00D52786" w:rsidRPr="00D52786">
        <w:rPr>
          <w:rFonts w:ascii="Verdana" w:hAnsi="Verdana"/>
          <w:sz w:val="20"/>
        </w:rPr>
        <w:t>el recurso de h</w:t>
      </w:r>
      <w:r w:rsidR="00D52786">
        <w:rPr>
          <w:rFonts w:ascii="Verdana" w:hAnsi="Verdana"/>
          <w:sz w:val="20"/>
        </w:rPr>
        <w:t>á</w:t>
      </w:r>
      <w:r w:rsidR="00D52786" w:rsidRPr="00D52786">
        <w:rPr>
          <w:rFonts w:ascii="Verdana" w:hAnsi="Verdana"/>
          <w:sz w:val="20"/>
        </w:rPr>
        <w:t xml:space="preserve">beas corpus tramitado ante la Sala Constitucional de la Corte Suprema de Justicia, como </w:t>
      </w:r>
      <w:r w:rsidR="00793B21">
        <w:rPr>
          <w:rFonts w:ascii="Verdana" w:hAnsi="Verdana"/>
          <w:sz w:val="20"/>
        </w:rPr>
        <w:t xml:space="preserve">en </w:t>
      </w:r>
      <w:r w:rsidR="00D52786" w:rsidRPr="00D52786">
        <w:rPr>
          <w:rFonts w:ascii="Verdana" w:hAnsi="Verdana"/>
          <w:sz w:val="20"/>
        </w:rPr>
        <w:t xml:space="preserve">el proceso penal tramitado ante el Juzgado de Primera Instancia de Chalatenango </w:t>
      </w:r>
      <w:r w:rsidR="00793B21">
        <w:rPr>
          <w:rFonts w:ascii="Verdana" w:hAnsi="Verdana"/>
          <w:sz w:val="20"/>
        </w:rPr>
        <w:t>existieron</w:t>
      </w:r>
      <w:r w:rsidR="00D52786" w:rsidRPr="00D52786">
        <w:rPr>
          <w:rFonts w:ascii="Verdana" w:hAnsi="Verdana"/>
          <w:sz w:val="20"/>
        </w:rPr>
        <w:t xml:space="preserve"> graves omisiones en la reca</w:t>
      </w:r>
      <w:r w:rsidR="00D52786">
        <w:rPr>
          <w:rFonts w:ascii="Verdana" w:hAnsi="Verdana"/>
          <w:sz w:val="20"/>
        </w:rPr>
        <w:t>uda</w:t>
      </w:r>
      <w:r w:rsidR="00D52786" w:rsidRPr="00D52786">
        <w:rPr>
          <w:rFonts w:ascii="Verdana" w:hAnsi="Verdana"/>
          <w:sz w:val="20"/>
        </w:rPr>
        <w:t xml:space="preserve">ción de la prueba debido a la falta de voluntad por parte de la Fiscalía y de los jueces para solicitar y ordenar las diligencias probatorias que fuesen necesarias para determinar la verdad de los hechos, ubicar el paradero de las víctimas e investigar y sancionar a los responsables. De igual forma, la Corte determinó que las investigaciones no fueron realizadas con la debida eficacia tomando en consideración las particularidades de los hechos del presente caso y que no </w:t>
      </w:r>
      <w:r w:rsidR="00793B21">
        <w:rPr>
          <w:rFonts w:ascii="Verdana" w:hAnsi="Verdana"/>
          <w:sz w:val="20"/>
        </w:rPr>
        <w:t>se cumplió</w:t>
      </w:r>
      <w:r w:rsidR="00D52786" w:rsidRPr="00D52786">
        <w:rPr>
          <w:rFonts w:ascii="Verdana" w:hAnsi="Verdana"/>
          <w:sz w:val="20"/>
        </w:rPr>
        <w:t xml:space="preserve"> con </w:t>
      </w:r>
      <w:r w:rsidR="00793B21">
        <w:rPr>
          <w:rFonts w:ascii="Verdana" w:hAnsi="Verdana"/>
          <w:sz w:val="20"/>
        </w:rPr>
        <w:t>el</w:t>
      </w:r>
      <w:r w:rsidR="00D52786" w:rsidRPr="00D52786">
        <w:rPr>
          <w:rFonts w:ascii="Verdana" w:hAnsi="Verdana"/>
          <w:sz w:val="20"/>
        </w:rPr>
        <w:t xml:space="preserve"> deber de conducir con diligencia dichos procesos. Finalmente, la Corte hizo referencia a que el Estado no había observado el principio del plazo razonable en el marco del proceso penal tramitado ante el Juzgado de Primera Instancia de Chalatenango</w:t>
      </w:r>
      <w:r w:rsidR="00D52786">
        <w:rPr>
          <w:rFonts w:ascii="Verdana" w:hAnsi="Verdana"/>
          <w:sz w:val="20"/>
        </w:rPr>
        <w:t>.</w:t>
      </w:r>
      <w:r w:rsidR="00D52786" w:rsidRPr="00D52786">
        <w:rPr>
          <w:rFonts w:ascii="Verdana" w:hAnsi="Verdana"/>
          <w:sz w:val="20"/>
        </w:rPr>
        <w:t xml:space="preserve"> </w:t>
      </w:r>
      <w:r w:rsidR="00C102B2" w:rsidRPr="00C432E6">
        <w:rPr>
          <w:rFonts w:ascii="Verdana" w:hAnsi="Verdana"/>
          <w:sz w:val="20"/>
        </w:rPr>
        <w:t xml:space="preserve">Al momento de dictarse la </w:t>
      </w:r>
      <w:r w:rsidR="00C102B2" w:rsidRPr="00C432E6">
        <w:rPr>
          <w:rFonts w:ascii="Verdana" w:hAnsi="Verdana"/>
          <w:sz w:val="20"/>
        </w:rPr>
        <w:lastRenderedPageBreak/>
        <w:t>Sentencia, los hechos del presente caso se mantenían en impunidad y las hermanas Serrano Cruz continuaban desaparecidas.</w:t>
      </w:r>
      <w:r w:rsidR="003105E7">
        <w:rPr>
          <w:rFonts w:ascii="Verdana" w:hAnsi="Verdana"/>
          <w:sz w:val="20"/>
        </w:rPr>
        <w:t xml:space="preserve"> La Corte estable</w:t>
      </w:r>
      <w:r w:rsidR="005F2C5A">
        <w:rPr>
          <w:rFonts w:ascii="Verdana" w:hAnsi="Verdana"/>
          <w:sz w:val="20"/>
        </w:rPr>
        <w:t xml:space="preserve">ció que su Sentencia constituye, por sí misma, </w:t>
      </w:r>
      <w:r w:rsidR="003105E7">
        <w:rPr>
          <w:rFonts w:ascii="Verdana" w:hAnsi="Verdana"/>
          <w:sz w:val="20"/>
        </w:rPr>
        <w:t>una forma de reparación y, adicionalmente ordenó al Estado determinadas medidas de reparación (</w:t>
      </w:r>
      <w:r w:rsidR="003105E7">
        <w:rPr>
          <w:rFonts w:ascii="Verdana" w:hAnsi="Verdana"/>
          <w:i/>
          <w:sz w:val="20"/>
        </w:rPr>
        <w:t>infra</w:t>
      </w:r>
      <w:r w:rsidR="003105E7">
        <w:rPr>
          <w:rFonts w:ascii="Verdana" w:hAnsi="Verdana"/>
          <w:sz w:val="20"/>
        </w:rPr>
        <w:t xml:space="preserve"> Considerando </w:t>
      </w:r>
      <w:r w:rsidR="00D52786">
        <w:rPr>
          <w:rFonts w:ascii="Verdana" w:hAnsi="Verdana"/>
          <w:sz w:val="20"/>
        </w:rPr>
        <w:fldChar w:fldCharType="begin"/>
      </w:r>
      <w:r w:rsidR="00D52786">
        <w:rPr>
          <w:rFonts w:ascii="Verdana" w:hAnsi="Verdana"/>
          <w:sz w:val="20"/>
        </w:rPr>
        <w:instrText xml:space="preserve"> REF _Ref461533114 \r \h </w:instrText>
      </w:r>
      <w:r w:rsidR="00D52786">
        <w:rPr>
          <w:rFonts w:ascii="Verdana" w:hAnsi="Verdana"/>
          <w:sz w:val="20"/>
        </w:rPr>
      </w:r>
      <w:r w:rsidR="00D52786">
        <w:rPr>
          <w:rFonts w:ascii="Verdana" w:hAnsi="Verdana"/>
          <w:sz w:val="20"/>
        </w:rPr>
        <w:fldChar w:fldCharType="separate"/>
      </w:r>
      <w:r w:rsidR="00D676EE">
        <w:rPr>
          <w:rFonts w:ascii="Verdana" w:hAnsi="Verdana"/>
          <w:sz w:val="20"/>
        </w:rPr>
        <w:t>1</w:t>
      </w:r>
      <w:r w:rsidR="00D52786">
        <w:rPr>
          <w:rFonts w:ascii="Verdana" w:hAnsi="Verdana"/>
          <w:sz w:val="20"/>
        </w:rPr>
        <w:fldChar w:fldCharType="end"/>
      </w:r>
      <w:r w:rsidR="003105E7">
        <w:rPr>
          <w:rFonts w:ascii="Verdana" w:hAnsi="Verdana"/>
          <w:sz w:val="20"/>
        </w:rPr>
        <w:t>).</w:t>
      </w:r>
      <w:bookmarkEnd w:id="0"/>
    </w:p>
    <w:p w:rsidR="00D7578B" w:rsidRPr="006421F8" w:rsidRDefault="00D7578B" w:rsidP="0066078C">
      <w:pPr>
        <w:rPr>
          <w:rFonts w:ascii="Verdana" w:eastAsia="Calibri" w:hAnsi="Verdana"/>
          <w:sz w:val="20"/>
          <w:lang w:val="es-CR" w:eastAsia="es-CR"/>
        </w:rPr>
      </w:pPr>
    </w:p>
    <w:p w:rsidR="00D35B80" w:rsidRPr="006421F8" w:rsidRDefault="00D35B80" w:rsidP="0074538E">
      <w:pPr>
        <w:pStyle w:val="Prrafodelista"/>
        <w:numPr>
          <w:ilvl w:val="0"/>
          <w:numId w:val="2"/>
        </w:numPr>
        <w:ind w:left="0" w:firstLine="0"/>
        <w:jc w:val="both"/>
        <w:rPr>
          <w:rFonts w:ascii="Verdana" w:eastAsia="Calibri" w:hAnsi="Verdana"/>
          <w:sz w:val="20"/>
          <w:lang w:val="es-CR" w:eastAsia="es-CR"/>
        </w:rPr>
      </w:pPr>
      <w:r w:rsidRPr="00C432E6">
        <w:rPr>
          <w:rFonts w:ascii="Verdana" w:hAnsi="Verdana"/>
          <w:sz w:val="20"/>
        </w:rPr>
        <w:t xml:space="preserve"> </w:t>
      </w:r>
      <w:bookmarkStart w:id="1" w:name="_Ref461533365"/>
      <w:r w:rsidRPr="00C432E6">
        <w:rPr>
          <w:rFonts w:ascii="Verdana" w:hAnsi="Verdana"/>
          <w:sz w:val="20"/>
        </w:rPr>
        <w:t>La</w:t>
      </w:r>
      <w:r w:rsidR="002013BF">
        <w:rPr>
          <w:rFonts w:ascii="Verdana" w:hAnsi="Verdana"/>
          <w:sz w:val="20"/>
        </w:rPr>
        <w:t>s Resoluciones</w:t>
      </w:r>
      <w:r w:rsidRPr="00C432E6">
        <w:rPr>
          <w:rFonts w:ascii="Verdana" w:hAnsi="Verdana"/>
          <w:sz w:val="20"/>
        </w:rPr>
        <w:t xml:space="preserve"> de supervisión de cumplimiento de </w:t>
      </w:r>
      <w:r w:rsidR="00793B21">
        <w:rPr>
          <w:rFonts w:ascii="Verdana" w:hAnsi="Verdana"/>
          <w:sz w:val="20"/>
        </w:rPr>
        <w:t>s</w:t>
      </w:r>
      <w:r w:rsidRPr="00C432E6">
        <w:rPr>
          <w:rFonts w:ascii="Verdana" w:hAnsi="Verdana"/>
          <w:sz w:val="20"/>
        </w:rPr>
        <w:t>entenc</w:t>
      </w:r>
      <w:r w:rsidR="00C102B2" w:rsidRPr="00C432E6">
        <w:rPr>
          <w:rFonts w:ascii="Verdana" w:hAnsi="Verdana"/>
          <w:sz w:val="20"/>
        </w:rPr>
        <w:t xml:space="preserve">ia emitidas el 22 de </w:t>
      </w:r>
      <w:r w:rsidR="00C102B2" w:rsidRPr="0074538E">
        <w:rPr>
          <w:rFonts w:ascii="Verdana" w:eastAsia="Calibri" w:hAnsi="Verdana" w:cs="Verdana"/>
          <w:sz w:val="20"/>
        </w:rPr>
        <w:t>septiembre</w:t>
      </w:r>
      <w:r w:rsidR="00C102B2" w:rsidRPr="00C432E6">
        <w:rPr>
          <w:rFonts w:ascii="Verdana" w:hAnsi="Verdana"/>
          <w:sz w:val="20"/>
        </w:rPr>
        <w:t xml:space="preserve"> de 2006</w:t>
      </w:r>
      <w:r w:rsidR="00C102B2" w:rsidRPr="00C432E6">
        <w:rPr>
          <w:rStyle w:val="Refdenotaalpie"/>
          <w:rFonts w:ascii="Verdana" w:hAnsi="Verdana"/>
          <w:sz w:val="20"/>
        </w:rPr>
        <w:footnoteReference w:id="4"/>
      </w:r>
      <w:r w:rsidR="00C102B2" w:rsidRPr="00C432E6">
        <w:rPr>
          <w:rFonts w:ascii="Verdana" w:hAnsi="Verdana"/>
          <w:sz w:val="20"/>
        </w:rPr>
        <w:t>, el 3 de julio de 2007</w:t>
      </w:r>
      <w:r w:rsidR="00C102B2" w:rsidRPr="00C432E6">
        <w:rPr>
          <w:rStyle w:val="Refdenotaalpie"/>
          <w:rFonts w:ascii="Verdana" w:hAnsi="Verdana"/>
          <w:sz w:val="20"/>
        </w:rPr>
        <w:footnoteReference w:id="5"/>
      </w:r>
      <w:r w:rsidR="00C102B2" w:rsidRPr="00C432E6">
        <w:rPr>
          <w:rFonts w:ascii="Verdana" w:hAnsi="Verdana"/>
          <w:sz w:val="20"/>
        </w:rPr>
        <w:t xml:space="preserve"> y el 3 de febrero de 2010</w:t>
      </w:r>
      <w:r w:rsidR="00C102B2" w:rsidRPr="00C432E6">
        <w:rPr>
          <w:rStyle w:val="Refdenotaalpie"/>
          <w:rFonts w:ascii="Verdana" w:hAnsi="Verdana"/>
          <w:sz w:val="20"/>
        </w:rPr>
        <w:footnoteReference w:id="6"/>
      </w:r>
      <w:r w:rsidR="00C102B2" w:rsidRPr="00C432E6">
        <w:rPr>
          <w:rFonts w:ascii="Verdana" w:hAnsi="Verdana"/>
          <w:sz w:val="20"/>
        </w:rPr>
        <w:t>.</w:t>
      </w:r>
      <w:bookmarkEnd w:id="1"/>
      <w:r w:rsidR="00C102B2" w:rsidRPr="00C432E6">
        <w:rPr>
          <w:rFonts w:ascii="Verdana" w:hAnsi="Verdana"/>
          <w:sz w:val="20"/>
        </w:rPr>
        <w:t xml:space="preserve"> </w:t>
      </w:r>
    </w:p>
    <w:p w:rsidR="00D35B80" w:rsidRPr="006421F8" w:rsidRDefault="00D35B80" w:rsidP="0066078C">
      <w:pPr>
        <w:rPr>
          <w:rFonts w:ascii="Verdana" w:eastAsia="Calibri" w:hAnsi="Verdana"/>
          <w:sz w:val="20"/>
          <w:lang w:val="es-CR" w:eastAsia="es-CR"/>
        </w:rPr>
      </w:pPr>
    </w:p>
    <w:p w:rsidR="003F6BD8" w:rsidRPr="006421F8" w:rsidRDefault="00D35B80" w:rsidP="0074538E">
      <w:pPr>
        <w:pStyle w:val="Prrafodelista"/>
        <w:numPr>
          <w:ilvl w:val="0"/>
          <w:numId w:val="2"/>
        </w:numPr>
        <w:ind w:left="0" w:firstLine="0"/>
        <w:jc w:val="both"/>
        <w:rPr>
          <w:rFonts w:ascii="Verdana" w:eastAsia="Calibri" w:hAnsi="Verdana"/>
          <w:sz w:val="20"/>
          <w:lang w:val="es-CR" w:eastAsia="es-CR"/>
        </w:rPr>
      </w:pPr>
      <w:r w:rsidRPr="003F0853">
        <w:rPr>
          <w:rFonts w:ascii="Verdana" w:hAnsi="Verdana"/>
          <w:sz w:val="20"/>
        </w:rPr>
        <w:t xml:space="preserve">Los </w:t>
      </w:r>
      <w:r w:rsidR="00793B21">
        <w:rPr>
          <w:rFonts w:ascii="Verdana" w:hAnsi="Verdana"/>
          <w:sz w:val="20"/>
        </w:rPr>
        <w:t>cinco informes presentados por el Estado entre febrero de 2010 y mayo de 2015</w:t>
      </w:r>
      <w:r w:rsidR="00793B21">
        <w:rPr>
          <w:rStyle w:val="Refdenotaalpie"/>
          <w:rFonts w:ascii="Verdana" w:hAnsi="Verdana"/>
          <w:sz w:val="20"/>
        </w:rPr>
        <w:footnoteReference w:id="7"/>
      </w:r>
      <w:r w:rsidRPr="003F0853">
        <w:rPr>
          <w:rFonts w:ascii="Verdana" w:hAnsi="Verdana"/>
          <w:sz w:val="20"/>
        </w:rPr>
        <w:t>.</w:t>
      </w:r>
    </w:p>
    <w:p w:rsidR="00D7578B" w:rsidRDefault="00D7578B" w:rsidP="0066078C">
      <w:pPr>
        <w:rPr>
          <w:rFonts w:ascii="Verdana" w:hAnsi="Verdana"/>
          <w:sz w:val="20"/>
        </w:rPr>
      </w:pPr>
    </w:p>
    <w:p w:rsidR="00D35B80" w:rsidRPr="006421F8" w:rsidRDefault="00D35B80" w:rsidP="0074538E">
      <w:pPr>
        <w:pStyle w:val="Prrafodelista"/>
        <w:numPr>
          <w:ilvl w:val="0"/>
          <w:numId w:val="2"/>
        </w:numPr>
        <w:ind w:left="0" w:firstLine="0"/>
        <w:jc w:val="both"/>
        <w:rPr>
          <w:rFonts w:ascii="Verdana" w:eastAsia="Calibri" w:hAnsi="Verdana"/>
          <w:sz w:val="20"/>
          <w:lang w:val="es-CR" w:eastAsia="es-CR"/>
        </w:rPr>
      </w:pPr>
      <w:r w:rsidRPr="003F6BD8">
        <w:rPr>
          <w:rFonts w:ascii="Verdana" w:hAnsi="Verdana"/>
          <w:sz w:val="20"/>
        </w:rPr>
        <w:t xml:space="preserve">Los </w:t>
      </w:r>
      <w:r w:rsidR="00793B21">
        <w:rPr>
          <w:rFonts w:ascii="Verdana" w:hAnsi="Verdana"/>
          <w:sz w:val="20"/>
        </w:rPr>
        <w:t xml:space="preserve">cinco </w:t>
      </w:r>
      <w:r w:rsidRPr="003F6BD8">
        <w:rPr>
          <w:rFonts w:ascii="Verdana" w:hAnsi="Verdana"/>
          <w:sz w:val="20"/>
        </w:rPr>
        <w:t xml:space="preserve">escritos de observaciones a los informes estatales referidos, presentados por las </w:t>
      </w:r>
      <w:r w:rsidRPr="0074538E">
        <w:rPr>
          <w:rFonts w:ascii="Verdana" w:eastAsia="Calibri" w:hAnsi="Verdana" w:cs="Verdana"/>
          <w:sz w:val="20"/>
        </w:rPr>
        <w:t>representantes</w:t>
      </w:r>
      <w:r w:rsidRPr="003F6BD8">
        <w:rPr>
          <w:rFonts w:ascii="Verdana" w:hAnsi="Verdana"/>
          <w:sz w:val="20"/>
        </w:rPr>
        <w:t xml:space="preserve"> de las víctimas</w:t>
      </w:r>
      <w:r w:rsidRPr="003F0853">
        <w:rPr>
          <w:rStyle w:val="Refdenotaalpie"/>
          <w:rFonts w:ascii="Verdana" w:hAnsi="Verdana"/>
          <w:sz w:val="20"/>
        </w:rPr>
        <w:footnoteReference w:id="8"/>
      </w:r>
      <w:r w:rsidR="00793B21">
        <w:rPr>
          <w:rFonts w:ascii="Verdana" w:hAnsi="Verdana"/>
          <w:sz w:val="20"/>
        </w:rPr>
        <w:t xml:space="preserve"> entre agosto de 2010 y julio de 2015</w:t>
      </w:r>
      <w:r w:rsidR="00793B21">
        <w:rPr>
          <w:rStyle w:val="Refdenotaalpie"/>
          <w:rFonts w:ascii="Verdana" w:hAnsi="Verdana"/>
          <w:sz w:val="20"/>
        </w:rPr>
        <w:footnoteReference w:id="9"/>
      </w:r>
      <w:r w:rsidR="00793B21">
        <w:rPr>
          <w:rFonts w:ascii="Verdana" w:hAnsi="Verdana"/>
          <w:sz w:val="20"/>
        </w:rPr>
        <w:t xml:space="preserve">. </w:t>
      </w:r>
    </w:p>
    <w:p w:rsidR="00D7578B" w:rsidRPr="00D52786" w:rsidRDefault="00D7578B" w:rsidP="0066078C">
      <w:pPr>
        <w:rPr>
          <w:rFonts w:ascii="Verdana" w:hAnsi="Verdana"/>
          <w:sz w:val="20"/>
          <w:lang w:val="es-CR"/>
        </w:rPr>
      </w:pPr>
    </w:p>
    <w:p w:rsidR="00D35B80" w:rsidRPr="0052000D" w:rsidRDefault="00D35B80" w:rsidP="0074538E">
      <w:pPr>
        <w:pStyle w:val="Prrafodelista"/>
        <w:numPr>
          <w:ilvl w:val="0"/>
          <w:numId w:val="2"/>
        </w:numPr>
        <w:ind w:left="0" w:firstLine="0"/>
        <w:jc w:val="both"/>
        <w:rPr>
          <w:rFonts w:ascii="Verdana" w:hAnsi="Verdana"/>
          <w:sz w:val="20"/>
          <w:lang w:val="es-CR"/>
        </w:rPr>
      </w:pPr>
      <w:r w:rsidRPr="00C432E6">
        <w:rPr>
          <w:rFonts w:ascii="Verdana" w:hAnsi="Verdana"/>
          <w:sz w:val="20"/>
        </w:rPr>
        <w:t xml:space="preserve">Los </w:t>
      </w:r>
      <w:r w:rsidR="00793B21">
        <w:rPr>
          <w:rFonts w:ascii="Verdana" w:hAnsi="Verdana"/>
          <w:sz w:val="20"/>
        </w:rPr>
        <w:t xml:space="preserve">cuatro </w:t>
      </w:r>
      <w:r w:rsidRPr="00C432E6">
        <w:rPr>
          <w:rFonts w:ascii="Verdana" w:hAnsi="Verdana"/>
          <w:sz w:val="20"/>
        </w:rPr>
        <w:t xml:space="preserve">escritos de observaciones a los informes estatales referidos, presentados por la </w:t>
      </w:r>
      <w:r w:rsidRPr="0074538E">
        <w:rPr>
          <w:rFonts w:ascii="Verdana" w:eastAsia="Calibri" w:hAnsi="Verdana" w:cs="Verdana"/>
          <w:sz w:val="20"/>
        </w:rPr>
        <w:t>Comisión</w:t>
      </w:r>
      <w:r w:rsidRPr="00C432E6">
        <w:rPr>
          <w:rFonts w:ascii="Verdana" w:hAnsi="Verdana"/>
          <w:sz w:val="20"/>
        </w:rPr>
        <w:t xml:space="preserve"> Interamericana de Derechos Humanos (en adelante la “Comisión Interamericana” o la “Comisión”) </w:t>
      </w:r>
      <w:r w:rsidR="00793B21">
        <w:rPr>
          <w:rFonts w:ascii="Verdana" w:hAnsi="Verdana"/>
          <w:sz w:val="20"/>
        </w:rPr>
        <w:t>entre noviembre de 2010 y julio de 2015</w:t>
      </w:r>
      <w:r w:rsidR="00793B21">
        <w:rPr>
          <w:rStyle w:val="Refdenotaalpie"/>
          <w:rFonts w:ascii="Verdana" w:hAnsi="Verdana"/>
          <w:sz w:val="20"/>
        </w:rPr>
        <w:footnoteReference w:id="10"/>
      </w:r>
      <w:r w:rsidR="00793B21">
        <w:rPr>
          <w:rFonts w:ascii="Verdana" w:hAnsi="Verdana"/>
          <w:sz w:val="20"/>
        </w:rPr>
        <w:t xml:space="preserve">. </w:t>
      </w:r>
    </w:p>
    <w:p w:rsidR="0052000D" w:rsidRDefault="0052000D" w:rsidP="0052000D">
      <w:pPr>
        <w:pStyle w:val="Prrafodelista"/>
        <w:rPr>
          <w:rFonts w:ascii="Verdana" w:hAnsi="Verdana"/>
          <w:sz w:val="20"/>
          <w:lang w:val="es-CR"/>
        </w:rPr>
      </w:pPr>
    </w:p>
    <w:p w:rsidR="0052000D" w:rsidRPr="0052000D" w:rsidRDefault="0052000D" w:rsidP="0052000D">
      <w:pPr>
        <w:pStyle w:val="Prrafodelista"/>
        <w:numPr>
          <w:ilvl w:val="0"/>
          <w:numId w:val="2"/>
        </w:numPr>
        <w:ind w:left="0" w:firstLine="0"/>
        <w:jc w:val="both"/>
        <w:rPr>
          <w:rFonts w:ascii="Verdana" w:hAnsi="Verdana"/>
          <w:sz w:val="20"/>
        </w:rPr>
      </w:pPr>
      <w:bookmarkStart w:id="2" w:name="_Ref461448428"/>
      <w:r>
        <w:rPr>
          <w:rFonts w:ascii="Verdana" w:hAnsi="Verdana"/>
          <w:sz w:val="20"/>
        </w:rPr>
        <w:t xml:space="preserve">La </w:t>
      </w:r>
      <w:r w:rsidRPr="0052000D">
        <w:rPr>
          <w:rFonts w:ascii="Verdana" w:eastAsia="Calibri" w:hAnsi="Verdana" w:cs="Verdana"/>
          <w:sz w:val="20"/>
        </w:rPr>
        <w:t>audiencia</w:t>
      </w:r>
      <w:r>
        <w:rPr>
          <w:rFonts w:ascii="Verdana" w:hAnsi="Verdana"/>
          <w:sz w:val="20"/>
        </w:rPr>
        <w:t xml:space="preserve"> privada de supervisión de cumplimiento de sentencia conjunta para el presente caso y el caso </w:t>
      </w:r>
      <w:r>
        <w:rPr>
          <w:rFonts w:ascii="Verdana" w:hAnsi="Verdana"/>
          <w:i/>
          <w:sz w:val="20"/>
        </w:rPr>
        <w:t xml:space="preserve">Contreras y </w:t>
      </w:r>
      <w:r w:rsidR="00793B21">
        <w:rPr>
          <w:rFonts w:ascii="Verdana" w:hAnsi="Verdana"/>
          <w:i/>
          <w:sz w:val="20"/>
        </w:rPr>
        <w:t>o</w:t>
      </w:r>
      <w:r>
        <w:rPr>
          <w:rFonts w:ascii="Verdana" w:hAnsi="Verdana"/>
          <w:i/>
          <w:sz w:val="20"/>
        </w:rPr>
        <w:t>tros</w:t>
      </w:r>
      <w:r>
        <w:rPr>
          <w:rFonts w:ascii="Verdana" w:hAnsi="Verdana"/>
          <w:sz w:val="20"/>
        </w:rPr>
        <w:t>, celebrada el 24 de junio de 2016</w:t>
      </w:r>
      <w:r>
        <w:rPr>
          <w:rStyle w:val="Refdenotaalpie"/>
          <w:rFonts w:ascii="Verdana" w:hAnsi="Verdana"/>
          <w:sz w:val="20"/>
        </w:rPr>
        <w:footnoteReference w:id="11"/>
      </w:r>
      <w:r>
        <w:rPr>
          <w:rFonts w:ascii="Verdana" w:hAnsi="Verdana"/>
          <w:sz w:val="20"/>
        </w:rPr>
        <w:t>.</w:t>
      </w:r>
      <w:bookmarkEnd w:id="2"/>
    </w:p>
    <w:p w:rsidR="00D35B80" w:rsidRDefault="00D35B80" w:rsidP="0066078C">
      <w:pPr>
        <w:rPr>
          <w:rFonts w:ascii="Verdana" w:hAnsi="Verdana"/>
          <w:sz w:val="20"/>
          <w:lang w:val="es-CR"/>
        </w:rPr>
      </w:pPr>
    </w:p>
    <w:p w:rsidR="00D7578B" w:rsidRDefault="00D7578B" w:rsidP="0066078C">
      <w:pPr>
        <w:rPr>
          <w:rFonts w:ascii="Verdana" w:hAnsi="Verdana"/>
          <w:sz w:val="20"/>
          <w:lang w:val="es-CR"/>
        </w:rPr>
      </w:pPr>
    </w:p>
    <w:p w:rsidR="00D7578B" w:rsidRDefault="00D7578B" w:rsidP="0066078C">
      <w:pPr>
        <w:rPr>
          <w:rFonts w:ascii="Verdana" w:hAnsi="Verdana"/>
          <w:sz w:val="20"/>
          <w:lang w:val="es-CR"/>
        </w:rPr>
      </w:pPr>
    </w:p>
    <w:p w:rsidR="00D7578B" w:rsidRDefault="00D7578B" w:rsidP="0066078C">
      <w:pPr>
        <w:rPr>
          <w:rFonts w:ascii="Verdana" w:hAnsi="Verdana"/>
          <w:sz w:val="20"/>
          <w:lang w:val="es-CR"/>
        </w:rPr>
      </w:pPr>
    </w:p>
    <w:p w:rsidR="00D35B80" w:rsidRPr="00C432E6" w:rsidRDefault="00D35B80" w:rsidP="0066078C">
      <w:pPr>
        <w:rPr>
          <w:rFonts w:ascii="Verdana" w:hAnsi="Verdana"/>
          <w:b/>
          <w:sz w:val="20"/>
        </w:rPr>
      </w:pPr>
      <w:r w:rsidRPr="00C432E6">
        <w:rPr>
          <w:rFonts w:ascii="Verdana" w:hAnsi="Verdana"/>
          <w:b/>
          <w:sz w:val="20"/>
        </w:rPr>
        <w:t xml:space="preserve">CONSIDERANDO QUE: </w:t>
      </w:r>
    </w:p>
    <w:p w:rsidR="00D35B80" w:rsidRDefault="00D35B80" w:rsidP="0066078C">
      <w:pPr>
        <w:rPr>
          <w:rFonts w:ascii="Verdana" w:hAnsi="Verdana"/>
          <w:sz w:val="20"/>
        </w:rPr>
      </w:pPr>
      <w:r w:rsidRPr="00C432E6">
        <w:rPr>
          <w:rFonts w:ascii="Verdana" w:hAnsi="Verdana"/>
          <w:sz w:val="20"/>
        </w:rPr>
        <w:tab/>
      </w:r>
    </w:p>
    <w:p w:rsidR="003105E7" w:rsidRDefault="00D35B80" w:rsidP="0074538E">
      <w:pPr>
        <w:pStyle w:val="Prrafodelista"/>
        <w:numPr>
          <w:ilvl w:val="0"/>
          <w:numId w:val="10"/>
        </w:numPr>
        <w:ind w:left="0" w:firstLine="0"/>
        <w:jc w:val="both"/>
        <w:rPr>
          <w:rFonts w:ascii="Verdana" w:hAnsi="Verdana"/>
          <w:sz w:val="20"/>
        </w:rPr>
      </w:pPr>
      <w:bookmarkStart w:id="3" w:name="_Ref440036199"/>
      <w:bookmarkStart w:id="4" w:name="_Ref461533114"/>
      <w:r w:rsidRPr="00C432E6">
        <w:rPr>
          <w:rFonts w:ascii="Verdana" w:hAnsi="Verdana"/>
          <w:sz w:val="20"/>
        </w:rPr>
        <w:t>En el ejercicio de su función jurisdiccional de supervisar el cumplimiento de sus decisiones</w:t>
      </w:r>
      <w:r w:rsidRPr="00C432E6">
        <w:rPr>
          <w:rStyle w:val="Refdenotaalpie"/>
          <w:rFonts w:ascii="Verdana" w:hAnsi="Verdana"/>
          <w:sz w:val="20"/>
        </w:rPr>
        <w:footnoteReference w:id="12"/>
      </w:r>
      <w:r w:rsidRPr="00C432E6">
        <w:rPr>
          <w:rFonts w:ascii="Verdana" w:hAnsi="Verdana"/>
          <w:sz w:val="20"/>
        </w:rPr>
        <w:t>, la Corte ha venido supervisando la ejecución de la Sentencia</w:t>
      </w:r>
      <w:r w:rsidR="001B76BD">
        <w:rPr>
          <w:rFonts w:ascii="Verdana" w:hAnsi="Verdana"/>
          <w:sz w:val="20"/>
        </w:rPr>
        <w:t xml:space="preserve"> del presente </w:t>
      </w:r>
      <w:r w:rsidR="001B76BD">
        <w:rPr>
          <w:rFonts w:ascii="Verdana" w:hAnsi="Verdana"/>
          <w:sz w:val="20"/>
        </w:rPr>
        <w:lastRenderedPageBreak/>
        <w:t>caso</w:t>
      </w:r>
      <w:r w:rsidRPr="00C432E6">
        <w:rPr>
          <w:rFonts w:ascii="Verdana" w:hAnsi="Verdana"/>
          <w:sz w:val="20"/>
        </w:rPr>
        <w:t xml:space="preserve"> e</w:t>
      </w:r>
      <w:r w:rsidR="003F0853">
        <w:rPr>
          <w:rFonts w:ascii="Verdana" w:hAnsi="Verdana"/>
          <w:sz w:val="20"/>
        </w:rPr>
        <w:t xml:space="preserve">mitida en el 2005 </w:t>
      </w:r>
      <w:r w:rsidRPr="00C432E6">
        <w:rPr>
          <w:rFonts w:ascii="Verdana" w:hAnsi="Verdana"/>
          <w:sz w:val="20"/>
        </w:rPr>
        <w:t>(</w:t>
      </w:r>
      <w:r w:rsidRPr="00C432E6">
        <w:rPr>
          <w:rFonts w:ascii="Verdana" w:hAnsi="Verdana"/>
          <w:i/>
          <w:sz w:val="20"/>
        </w:rPr>
        <w:t>supra</w:t>
      </w:r>
      <w:r w:rsidR="00FB1780">
        <w:rPr>
          <w:rFonts w:ascii="Verdana" w:hAnsi="Verdana"/>
          <w:sz w:val="20"/>
        </w:rPr>
        <w:t xml:space="preserve"> </w:t>
      </w:r>
      <w:r w:rsidRPr="00C432E6">
        <w:rPr>
          <w:rFonts w:ascii="Verdana" w:hAnsi="Verdana"/>
          <w:sz w:val="20"/>
        </w:rPr>
        <w:t xml:space="preserve">Visto </w:t>
      </w:r>
      <w:r w:rsidR="0052000D">
        <w:rPr>
          <w:rFonts w:ascii="Verdana" w:hAnsi="Verdana"/>
          <w:sz w:val="20"/>
        </w:rPr>
        <w:fldChar w:fldCharType="begin"/>
      </w:r>
      <w:r w:rsidR="0052000D">
        <w:rPr>
          <w:rFonts w:ascii="Verdana" w:hAnsi="Verdana"/>
          <w:sz w:val="20"/>
        </w:rPr>
        <w:instrText xml:space="preserve"> REF _Ref461533346 \r \h </w:instrText>
      </w:r>
      <w:r w:rsidR="0052000D">
        <w:rPr>
          <w:rFonts w:ascii="Verdana" w:hAnsi="Verdana"/>
          <w:sz w:val="20"/>
        </w:rPr>
      </w:r>
      <w:r w:rsidR="0052000D">
        <w:rPr>
          <w:rFonts w:ascii="Verdana" w:hAnsi="Verdana"/>
          <w:sz w:val="20"/>
        </w:rPr>
        <w:fldChar w:fldCharType="separate"/>
      </w:r>
      <w:r w:rsidR="00D676EE">
        <w:rPr>
          <w:rFonts w:ascii="Verdana" w:hAnsi="Verdana"/>
          <w:sz w:val="20"/>
        </w:rPr>
        <w:t>1</w:t>
      </w:r>
      <w:r w:rsidR="0052000D">
        <w:rPr>
          <w:rFonts w:ascii="Verdana" w:hAnsi="Verdana"/>
          <w:sz w:val="20"/>
        </w:rPr>
        <w:fldChar w:fldCharType="end"/>
      </w:r>
      <w:r w:rsidRPr="00C432E6">
        <w:rPr>
          <w:rFonts w:ascii="Verdana" w:hAnsi="Verdana"/>
          <w:sz w:val="20"/>
        </w:rPr>
        <w:t xml:space="preserve">). </w:t>
      </w:r>
      <w:bookmarkEnd w:id="3"/>
      <w:r w:rsidR="003105E7">
        <w:rPr>
          <w:rFonts w:ascii="Verdana" w:hAnsi="Verdana"/>
          <w:sz w:val="20"/>
        </w:rPr>
        <w:t xml:space="preserve"> En las Resoluciones dictadas entre 2006 y 2010 (</w:t>
      </w:r>
      <w:r w:rsidR="003105E7">
        <w:rPr>
          <w:rFonts w:ascii="Verdana" w:hAnsi="Verdana"/>
          <w:i/>
          <w:sz w:val="20"/>
        </w:rPr>
        <w:t>supra</w:t>
      </w:r>
      <w:r w:rsidR="003105E7">
        <w:rPr>
          <w:rFonts w:ascii="Verdana" w:hAnsi="Verdana"/>
          <w:sz w:val="20"/>
        </w:rPr>
        <w:t xml:space="preserve"> Visto </w:t>
      </w:r>
      <w:r w:rsidR="0052000D">
        <w:rPr>
          <w:rFonts w:ascii="Verdana" w:hAnsi="Verdana"/>
          <w:sz w:val="20"/>
        </w:rPr>
        <w:fldChar w:fldCharType="begin"/>
      </w:r>
      <w:r w:rsidR="0052000D">
        <w:rPr>
          <w:rFonts w:ascii="Verdana" w:hAnsi="Verdana"/>
          <w:sz w:val="20"/>
        </w:rPr>
        <w:instrText xml:space="preserve"> REF _Ref461533365 \r \h </w:instrText>
      </w:r>
      <w:r w:rsidR="0052000D">
        <w:rPr>
          <w:rFonts w:ascii="Verdana" w:hAnsi="Verdana"/>
          <w:sz w:val="20"/>
        </w:rPr>
      </w:r>
      <w:r w:rsidR="0052000D">
        <w:rPr>
          <w:rFonts w:ascii="Verdana" w:hAnsi="Verdana"/>
          <w:sz w:val="20"/>
        </w:rPr>
        <w:fldChar w:fldCharType="separate"/>
      </w:r>
      <w:r w:rsidR="00D676EE">
        <w:rPr>
          <w:rFonts w:ascii="Verdana" w:hAnsi="Verdana"/>
          <w:sz w:val="20"/>
        </w:rPr>
        <w:t>2</w:t>
      </w:r>
      <w:r w:rsidR="0052000D">
        <w:rPr>
          <w:rFonts w:ascii="Verdana" w:hAnsi="Verdana"/>
          <w:sz w:val="20"/>
        </w:rPr>
        <w:fldChar w:fldCharType="end"/>
      </w:r>
      <w:r w:rsidR="003105E7">
        <w:rPr>
          <w:rFonts w:ascii="Verdana" w:hAnsi="Verdana"/>
          <w:sz w:val="20"/>
        </w:rPr>
        <w:t xml:space="preserve">) la Corte declaró que el Estado cumplió con </w:t>
      </w:r>
      <w:r w:rsidR="00793B21">
        <w:rPr>
          <w:rFonts w:ascii="Verdana" w:hAnsi="Verdana"/>
          <w:sz w:val="20"/>
        </w:rPr>
        <w:t>las siguientes reparaciones:</w:t>
      </w:r>
      <w:r w:rsidR="003105E7">
        <w:rPr>
          <w:rFonts w:ascii="Verdana" w:hAnsi="Verdana"/>
          <w:sz w:val="20"/>
        </w:rPr>
        <w:t xml:space="preserve"> (i) </w:t>
      </w:r>
      <w:r w:rsidR="003105E7" w:rsidRPr="0074538E">
        <w:rPr>
          <w:rFonts w:ascii="Verdana" w:eastAsia="Calibri" w:hAnsi="Verdana" w:cs="Verdana"/>
          <w:sz w:val="20"/>
        </w:rPr>
        <w:t>designar</w:t>
      </w:r>
      <w:r w:rsidR="003105E7">
        <w:rPr>
          <w:rFonts w:ascii="Verdana" w:hAnsi="Verdana"/>
          <w:sz w:val="20"/>
        </w:rPr>
        <w:t xml:space="preserve"> un día dedicado a los niños y niñas que, por diversos motivos, desaparecieron durante el conflicto armado interno</w:t>
      </w:r>
      <w:r w:rsidR="0052000D">
        <w:rPr>
          <w:rFonts w:ascii="Verdana" w:hAnsi="Verdana"/>
          <w:sz w:val="20"/>
        </w:rPr>
        <w:t>;</w:t>
      </w:r>
      <w:r w:rsidR="003105E7">
        <w:rPr>
          <w:rFonts w:ascii="Verdana" w:hAnsi="Verdana"/>
          <w:sz w:val="20"/>
        </w:rPr>
        <w:t xml:space="preserve"> </w:t>
      </w:r>
      <w:r w:rsidR="0066078C">
        <w:rPr>
          <w:rFonts w:ascii="Verdana" w:hAnsi="Verdana"/>
          <w:sz w:val="20"/>
        </w:rPr>
        <w:t>(ii) establecer un enlace al texto completo de la Sentencia de fondo, reparaciones y costas en la página web de búsqueda</w:t>
      </w:r>
      <w:r w:rsidR="0052000D">
        <w:rPr>
          <w:rFonts w:ascii="Verdana" w:hAnsi="Verdana"/>
          <w:sz w:val="20"/>
        </w:rPr>
        <w:t>;</w:t>
      </w:r>
      <w:r w:rsidR="0066078C">
        <w:rPr>
          <w:rFonts w:ascii="Verdana" w:hAnsi="Verdana"/>
          <w:sz w:val="20"/>
        </w:rPr>
        <w:t xml:space="preserve"> (iii) realizar los pagos </w:t>
      </w:r>
      <w:r w:rsidR="00793B21">
        <w:rPr>
          <w:rFonts w:ascii="Verdana" w:hAnsi="Verdana"/>
          <w:sz w:val="20"/>
        </w:rPr>
        <w:t>de las indemnizaciones</w:t>
      </w:r>
      <w:r w:rsidR="0066078C">
        <w:rPr>
          <w:rFonts w:ascii="Verdana" w:hAnsi="Verdana"/>
          <w:sz w:val="20"/>
        </w:rPr>
        <w:t xml:space="preserve"> por concepto de daño material e inmaterial y por concepto de reintegro de costas y gastos</w:t>
      </w:r>
      <w:r w:rsidR="0052000D">
        <w:rPr>
          <w:rFonts w:ascii="Verdana" w:hAnsi="Verdana"/>
          <w:sz w:val="20"/>
        </w:rPr>
        <w:t>;</w:t>
      </w:r>
      <w:r w:rsidR="0066078C">
        <w:rPr>
          <w:rFonts w:ascii="Verdana" w:hAnsi="Verdana"/>
          <w:sz w:val="20"/>
        </w:rPr>
        <w:t xml:space="preserve"> (iv) realizar un acto público de reconocimiento de su responsabilidad</w:t>
      </w:r>
      <w:r w:rsidR="00793B21">
        <w:rPr>
          <w:rFonts w:ascii="Verdana" w:hAnsi="Verdana"/>
          <w:sz w:val="20"/>
        </w:rPr>
        <w:t xml:space="preserve"> internacional</w:t>
      </w:r>
      <w:r w:rsidR="0066078C">
        <w:rPr>
          <w:rFonts w:ascii="Verdana" w:hAnsi="Verdana"/>
          <w:sz w:val="20"/>
        </w:rPr>
        <w:t xml:space="preserve"> en relación con las violaciones declaradas en la Sentencia y de desagravio a las víctimas y sus familiares,</w:t>
      </w:r>
      <w:r w:rsidR="0052000D">
        <w:rPr>
          <w:rFonts w:ascii="Verdana" w:hAnsi="Verdana"/>
          <w:sz w:val="20"/>
        </w:rPr>
        <w:t xml:space="preserve"> y</w:t>
      </w:r>
      <w:r w:rsidR="0066078C">
        <w:rPr>
          <w:rFonts w:ascii="Verdana" w:hAnsi="Verdana"/>
          <w:sz w:val="20"/>
        </w:rPr>
        <w:t xml:space="preserve"> </w:t>
      </w:r>
      <w:r w:rsidR="003105E7">
        <w:rPr>
          <w:rFonts w:ascii="Verdana" w:hAnsi="Verdana"/>
          <w:sz w:val="20"/>
        </w:rPr>
        <w:t>(</w:t>
      </w:r>
      <w:r w:rsidR="0066078C">
        <w:rPr>
          <w:rFonts w:ascii="Verdana" w:hAnsi="Verdana"/>
          <w:sz w:val="20"/>
        </w:rPr>
        <w:t>v</w:t>
      </w:r>
      <w:r w:rsidR="003105E7">
        <w:rPr>
          <w:rFonts w:ascii="Verdana" w:hAnsi="Verdana"/>
          <w:sz w:val="20"/>
        </w:rPr>
        <w:t xml:space="preserve">) </w:t>
      </w:r>
      <w:r w:rsidR="003105E7" w:rsidRPr="003105E7">
        <w:rPr>
          <w:rFonts w:ascii="Verdana" w:hAnsi="Verdana"/>
          <w:sz w:val="20"/>
        </w:rPr>
        <w:t xml:space="preserve">publicar, al menos por una vez, en el Diario Oficial, </w:t>
      </w:r>
      <w:r w:rsidR="00793B21">
        <w:rPr>
          <w:rFonts w:ascii="Verdana" w:hAnsi="Verdana"/>
          <w:sz w:val="20"/>
        </w:rPr>
        <w:t>determinadas</w:t>
      </w:r>
      <w:r w:rsidR="003105E7" w:rsidRPr="003105E7">
        <w:rPr>
          <w:rFonts w:ascii="Verdana" w:hAnsi="Verdana"/>
          <w:sz w:val="20"/>
        </w:rPr>
        <w:t xml:space="preserve"> partes de la Sentencia sobre fondo, reparaciones</w:t>
      </w:r>
      <w:r w:rsidR="003105E7">
        <w:rPr>
          <w:rFonts w:ascii="Verdana" w:hAnsi="Verdana"/>
          <w:sz w:val="20"/>
        </w:rPr>
        <w:t xml:space="preserve"> y costas. La Corte, igualmente, determinó en su Resolución de </w:t>
      </w:r>
      <w:r w:rsidR="00007BD6">
        <w:rPr>
          <w:rFonts w:ascii="Verdana" w:hAnsi="Verdana"/>
          <w:sz w:val="20"/>
        </w:rPr>
        <w:t>2006</w:t>
      </w:r>
      <w:r w:rsidR="003105E7">
        <w:rPr>
          <w:rFonts w:ascii="Verdana" w:hAnsi="Verdana"/>
          <w:sz w:val="20"/>
        </w:rPr>
        <w:t xml:space="preserve"> que el Estado dio cumplimiento parcial a la obligación de </w:t>
      </w:r>
      <w:r w:rsidR="0066078C">
        <w:rPr>
          <w:rFonts w:ascii="Verdana" w:hAnsi="Verdana"/>
          <w:sz w:val="20"/>
        </w:rPr>
        <w:t xml:space="preserve">crear una página </w:t>
      </w:r>
      <w:r w:rsidR="0066078C" w:rsidRPr="00892B1C">
        <w:rPr>
          <w:rFonts w:ascii="Verdana" w:hAnsi="Verdana"/>
          <w:i/>
          <w:sz w:val="20"/>
        </w:rPr>
        <w:t>web</w:t>
      </w:r>
      <w:r w:rsidR="0066078C">
        <w:rPr>
          <w:rFonts w:ascii="Verdana" w:hAnsi="Verdana"/>
          <w:sz w:val="20"/>
        </w:rPr>
        <w:t xml:space="preserve"> de búsqueda de desaparecidos (</w:t>
      </w:r>
      <w:r w:rsidR="0066078C">
        <w:rPr>
          <w:rFonts w:ascii="Verdana" w:hAnsi="Verdana"/>
          <w:i/>
          <w:sz w:val="20"/>
        </w:rPr>
        <w:t>infra</w:t>
      </w:r>
      <w:r w:rsidR="0066078C">
        <w:rPr>
          <w:rFonts w:ascii="Verdana" w:hAnsi="Verdana"/>
          <w:sz w:val="20"/>
        </w:rPr>
        <w:t xml:space="preserve"> Considerando </w:t>
      </w:r>
      <w:r w:rsidR="00892B1C">
        <w:rPr>
          <w:rFonts w:ascii="Verdana" w:hAnsi="Verdana"/>
          <w:sz w:val="20"/>
        </w:rPr>
        <w:fldChar w:fldCharType="begin"/>
      </w:r>
      <w:r w:rsidR="00892B1C">
        <w:rPr>
          <w:rFonts w:ascii="Verdana" w:hAnsi="Verdana"/>
          <w:sz w:val="20"/>
        </w:rPr>
        <w:instrText xml:space="preserve"> REF _Ref461533450 \r \h </w:instrText>
      </w:r>
      <w:r w:rsidR="00892B1C">
        <w:rPr>
          <w:rFonts w:ascii="Verdana" w:hAnsi="Verdana"/>
          <w:sz w:val="20"/>
        </w:rPr>
      </w:r>
      <w:r w:rsidR="00892B1C">
        <w:rPr>
          <w:rFonts w:ascii="Verdana" w:hAnsi="Verdana"/>
          <w:sz w:val="20"/>
        </w:rPr>
        <w:fldChar w:fldCharType="separate"/>
      </w:r>
      <w:r w:rsidR="00D676EE">
        <w:rPr>
          <w:rFonts w:ascii="Verdana" w:hAnsi="Verdana"/>
          <w:sz w:val="20"/>
        </w:rPr>
        <w:t>7</w:t>
      </w:r>
      <w:r w:rsidR="00892B1C">
        <w:rPr>
          <w:rFonts w:ascii="Verdana" w:hAnsi="Verdana"/>
          <w:sz w:val="20"/>
        </w:rPr>
        <w:fldChar w:fldCharType="end"/>
      </w:r>
      <w:r w:rsidR="0066078C">
        <w:rPr>
          <w:rFonts w:ascii="Verdana" w:hAnsi="Verdana"/>
          <w:sz w:val="20"/>
        </w:rPr>
        <w:t>)</w:t>
      </w:r>
      <w:r w:rsidR="0066078C">
        <w:rPr>
          <w:rStyle w:val="Refdenotaalpie"/>
          <w:rFonts w:ascii="Verdana" w:hAnsi="Verdana"/>
          <w:sz w:val="20"/>
        </w:rPr>
        <w:footnoteReference w:id="13"/>
      </w:r>
      <w:r w:rsidR="0066078C">
        <w:rPr>
          <w:rFonts w:ascii="Verdana" w:hAnsi="Verdana"/>
          <w:sz w:val="20"/>
        </w:rPr>
        <w:t>.</w:t>
      </w:r>
      <w:bookmarkEnd w:id="4"/>
      <w:r w:rsidR="003105E7">
        <w:rPr>
          <w:rFonts w:ascii="Verdana" w:hAnsi="Verdana"/>
          <w:sz w:val="20"/>
        </w:rPr>
        <w:t xml:space="preserve"> </w:t>
      </w:r>
    </w:p>
    <w:p w:rsidR="003105E7" w:rsidRDefault="003105E7" w:rsidP="0066078C">
      <w:pPr>
        <w:rPr>
          <w:rFonts w:ascii="Verdana" w:hAnsi="Verdana"/>
          <w:sz w:val="20"/>
        </w:rPr>
      </w:pPr>
    </w:p>
    <w:p w:rsidR="00D35B80" w:rsidRPr="00C432E6" w:rsidRDefault="00D35B80" w:rsidP="0074538E">
      <w:pPr>
        <w:pStyle w:val="Prrafodelista"/>
        <w:numPr>
          <w:ilvl w:val="0"/>
          <w:numId w:val="10"/>
        </w:numPr>
        <w:ind w:left="0" w:firstLine="0"/>
        <w:jc w:val="both"/>
        <w:rPr>
          <w:rFonts w:ascii="Verdana" w:hAnsi="Verdana"/>
          <w:sz w:val="20"/>
        </w:rPr>
      </w:pPr>
      <w:r w:rsidRPr="00C432E6">
        <w:rPr>
          <w:rFonts w:ascii="Verdana" w:hAnsi="Verdana"/>
          <w:sz w:val="20"/>
        </w:rPr>
        <w:t xml:space="preserve">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por ésta, lo cual es fundamental para evaluar el estado de cumplimiento de la Sentencia en su conjunto. </w:t>
      </w:r>
    </w:p>
    <w:p w:rsidR="00D35B80" w:rsidRPr="00C432E6" w:rsidRDefault="00D35B80" w:rsidP="0066078C">
      <w:pPr>
        <w:rPr>
          <w:rFonts w:ascii="Verdana" w:hAnsi="Verdana"/>
          <w:sz w:val="20"/>
        </w:rPr>
      </w:pPr>
    </w:p>
    <w:p w:rsidR="00D35B80" w:rsidRPr="00C432E6" w:rsidRDefault="00D35B80" w:rsidP="0074538E">
      <w:pPr>
        <w:pStyle w:val="Prrafodelista"/>
        <w:numPr>
          <w:ilvl w:val="0"/>
          <w:numId w:val="10"/>
        </w:numPr>
        <w:ind w:left="0" w:firstLine="0"/>
        <w:jc w:val="both"/>
        <w:rPr>
          <w:rFonts w:ascii="Verdana" w:hAnsi="Verdana"/>
          <w:sz w:val="20"/>
        </w:rPr>
      </w:pPr>
      <w:r w:rsidRPr="00C432E6">
        <w:rPr>
          <w:rFonts w:ascii="Verdana" w:hAnsi="Verdana"/>
          <w:sz w:val="20"/>
        </w:rPr>
        <w:t>Los Estados Parte en la Convención deben garantizar el cumplimiento de las disposiciones convencionales y sus efectos propios (</w:t>
      </w:r>
      <w:proofErr w:type="spellStart"/>
      <w:r w:rsidRPr="00C432E6">
        <w:rPr>
          <w:rFonts w:ascii="Verdana" w:hAnsi="Verdana"/>
          <w:i/>
          <w:sz w:val="20"/>
        </w:rPr>
        <w:t>effet</w:t>
      </w:r>
      <w:proofErr w:type="spellEnd"/>
      <w:r w:rsidRPr="00C432E6">
        <w:rPr>
          <w:rFonts w:ascii="Verdana" w:hAnsi="Verdana"/>
          <w:i/>
          <w:sz w:val="20"/>
        </w:rPr>
        <w:t xml:space="preserve"> </w:t>
      </w:r>
      <w:proofErr w:type="spellStart"/>
      <w:r w:rsidRPr="00C432E6">
        <w:rPr>
          <w:rFonts w:ascii="Verdana" w:hAnsi="Verdana"/>
          <w:i/>
          <w:sz w:val="20"/>
        </w:rPr>
        <w:t>utile</w:t>
      </w:r>
      <w:proofErr w:type="spellEnd"/>
      <w:r w:rsidRPr="00C432E6">
        <w:rPr>
          <w:rFonts w:ascii="Verdana" w:hAnsi="Verdana"/>
          <w:sz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C432E6">
        <w:rPr>
          <w:rStyle w:val="Refdenotaalpie"/>
          <w:rFonts w:ascii="Verdana" w:hAnsi="Verdana"/>
          <w:sz w:val="20"/>
        </w:rPr>
        <w:footnoteReference w:id="14"/>
      </w:r>
      <w:r w:rsidRPr="00C432E6">
        <w:rPr>
          <w:rFonts w:ascii="Verdana" w:hAnsi="Verdana"/>
          <w:sz w:val="20"/>
        </w:rPr>
        <w:t>.</w:t>
      </w:r>
    </w:p>
    <w:p w:rsidR="00D35B80" w:rsidRPr="00C432E6" w:rsidRDefault="00D35B80" w:rsidP="0066078C">
      <w:pPr>
        <w:rPr>
          <w:rFonts w:ascii="Verdana" w:hAnsi="Verdana"/>
          <w:sz w:val="20"/>
        </w:rPr>
      </w:pPr>
    </w:p>
    <w:p w:rsidR="00F87152" w:rsidRDefault="0066078C" w:rsidP="0074538E">
      <w:pPr>
        <w:pStyle w:val="Prrafodelista"/>
        <w:numPr>
          <w:ilvl w:val="0"/>
          <w:numId w:val="10"/>
        </w:numPr>
        <w:ind w:left="0" w:firstLine="0"/>
        <w:jc w:val="both"/>
        <w:rPr>
          <w:rFonts w:ascii="Verdana" w:hAnsi="Verdana"/>
          <w:sz w:val="20"/>
        </w:rPr>
      </w:pPr>
      <w:bookmarkStart w:id="5" w:name="_Ref450551448"/>
      <w:r>
        <w:rPr>
          <w:rFonts w:ascii="Verdana" w:hAnsi="Verdana"/>
          <w:sz w:val="20"/>
        </w:rPr>
        <w:t>La Corte</w:t>
      </w:r>
      <w:r w:rsidR="00D35B80" w:rsidRPr="005570D7">
        <w:rPr>
          <w:rFonts w:ascii="Verdana" w:hAnsi="Verdana"/>
          <w:sz w:val="20"/>
        </w:rPr>
        <w:t xml:space="preserve"> se pronunciará</w:t>
      </w:r>
      <w:r>
        <w:rPr>
          <w:rFonts w:ascii="Verdana" w:hAnsi="Verdana"/>
          <w:sz w:val="20"/>
        </w:rPr>
        <w:t xml:space="preserve"> sobre</w:t>
      </w:r>
      <w:r w:rsidR="001B76BD" w:rsidRPr="005570D7">
        <w:rPr>
          <w:rFonts w:ascii="Verdana" w:hAnsi="Verdana"/>
          <w:sz w:val="20"/>
        </w:rPr>
        <w:t xml:space="preserve"> </w:t>
      </w:r>
      <w:r w:rsidR="00675909">
        <w:rPr>
          <w:rFonts w:ascii="Verdana" w:hAnsi="Verdana"/>
          <w:sz w:val="20"/>
        </w:rPr>
        <w:t xml:space="preserve">dos medidas de reparación que el Estado ha </w:t>
      </w:r>
      <w:r>
        <w:rPr>
          <w:rFonts w:ascii="Verdana" w:hAnsi="Verdana"/>
          <w:sz w:val="20"/>
        </w:rPr>
        <w:t xml:space="preserve">cumplido o ha </w:t>
      </w:r>
      <w:r w:rsidR="001B76BD" w:rsidRPr="005570D7">
        <w:rPr>
          <w:rFonts w:ascii="Verdana" w:hAnsi="Verdana"/>
          <w:sz w:val="20"/>
        </w:rPr>
        <w:t>venido dando cumplimiento</w:t>
      </w:r>
      <w:r w:rsidR="00D35B80" w:rsidRPr="005570D7">
        <w:rPr>
          <w:rFonts w:ascii="Verdana" w:hAnsi="Verdana"/>
          <w:sz w:val="20"/>
        </w:rPr>
        <w:t>.</w:t>
      </w:r>
      <w:bookmarkEnd w:id="5"/>
      <w:r w:rsidRPr="0066078C">
        <w:rPr>
          <w:rFonts w:ascii="Verdana" w:hAnsi="Verdana"/>
          <w:sz w:val="20"/>
        </w:rPr>
        <w:t xml:space="preserve"> </w:t>
      </w:r>
      <w:r>
        <w:rPr>
          <w:rFonts w:ascii="Verdana" w:hAnsi="Verdana"/>
          <w:sz w:val="20"/>
        </w:rPr>
        <w:t xml:space="preserve">Con respecto a las </w:t>
      </w:r>
      <w:r w:rsidR="00675909">
        <w:rPr>
          <w:rFonts w:ascii="Verdana" w:hAnsi="Verdana"/>
          <w:sz w:val="20"/>
        </w:rPr>
        <w:t xml:space="preserve">otras </w:t>
      </w:r>
      <w:r>
        <w:rPr>
          <w:rFonts w:ascii="Verdana" w:hAnsi="Verdana"/>
          <w:sz w:val="20"/>
        </w:rPr>
        <w:t>tres medidas de reparación,</w:t>
      </w:r>
      <w:r w:rsidR="00675909">
        <w:rPr>
          <w:rFonts w:ascii="Verdana" w:hAnsi="Verdana"/>
          <w:sz w:val="20"/>
        </w:rPr>
        <w:t xml:space="preserve"> la Corte </w:t>
      </w:r>
      <w:r w:rsidR="00793B21">
        <w:rPr>
          <w:rFonts w:ascii="Verdana" w:hAnsi="Verdana"/>
          <w:sz w:val="20"/>
        </w:rPr>
        <w:t>celebró una audiencia de supervisión en junio de 2016(</w:t>
      </w:r>
      <w:r w:rsidR="00793B21">
        <w:rPr>
          <w:rFonts w:ascii="Verdana" w:hAnsi="Verdana"/>
          <w:i/>
          <w:sz w:val="20"/>
        </w:rPr>
        <w:t>supra</w:t>
      </w:r>
      <w:r w:rsidR="00793B21">
        <w:rPr>
          <w:rFonts w:ascii="Verdana" w:hAnsi="Verdana"/>
          <w:sz w:val="20"/>
        </w:rPr>
        <w:t xml:space="preserve"> Visto </w:t>
      </w:r>
      <w:r w:rsidR="00793B21">
        <w:rPr>
          <w:rFonts w:ascii="Verdana" w:hAnsi="Verdana"/>
          <w:sz w:val="20"/>
        </w:rPr>
        <w:fldChar w:fldCharType="begin"/>
      </w:r>
      <w:r w:rsidR="00793B21">
        <w:rPr>
          <w:rFonts w:ascii="Verdana" w:hAnsi="Verdana"/>
          <w:sz w:val="20"/>
        </w:rPr>
        <w:instrText xml:space="preserve"> REF _Ref461448428 \r \h </w:instrText>
      </w:r>
      <w:r w:rsidR="00793B21">
        <w:rPr>
          <w:rFonts w:ascii="Verdana" w:hAnsi="Verdana"/>
          <w:sz w:val="20"/>
        </w:rPr>
      </w:r>
      <w:r w:rsidR="00793B21">
        <w:rPr>
          <w:rFonts w:ascii="Verdana" w:hAnsi="Verdana"/>
          <w:sz w:val="20"/>
        </w:rPr>
        <w:fldChar w:fldCharType="separate"/>
      </w:r>
      <w:r w:rsidR="00D676EE">
        <w:rPr>
          <w:rFonts w:ascii="Verdana" w:hAnsi="Verdana"/>
          <w:sz w:val="20"/>
        </w:rPr>
        <w:t>6</w:t>
      </w:r>
      <w:r w:rsidR="00793B21">
        <w:rPr>
          <w:rFonts w:ascii="Verdana" w:hAnsi="Verdana"/>
          <w:sz w:val="20"/>
        </w:rPr>
        <w:fldChar w:fldCharType="end"/>
      </w:r>
      <w:r w:rsidR="00793B21">
        <w:rPr>
          <w:rFonts w:ascii="Verdana" w:hAnsi="Verdana"/>
          <w:sz w:val="20"/>
        </w:rPr>
        <w:t xml:space="preserve"> e </w:t>
      </w:r>
      <w:r w:rsidR="00793B21">
        <w:rPr>
          <w:rFonts w:ascii="Verdana" w:hAnsi="Verdana"/>
          <w:i/>
          <w:sz w:val="20"/>
        </w:rPr>
        <w:t>infra</w:t>
      </w:r>
      <w:r w:rsidR="00793B21">
        <w:rPr>
          <w:rFonts w:ascii="Verdana" w:hAnsi="Verdana"/>
          <w:sz w:val="20"/>
        </w:rPr>
        <w:t xml:space="preserve"> Considerando </w:t>
      </w:r>
      <w:r w:rsidR="00793B21">
        <w:rPr>
          <w:rFonts w:ascii="Verdana" w:hAnsi="Verdana"/>
          <w:sz w:val="20"/>
        </w:rPr>
        <w:fldChar w:fldCharType="begin"/>
      </w:r>
      <w:r w:rsidR="00793B21">
        <w:rPr>
          <w:rFonts w:ascii="Verdana" w:hAnsi="Verdana"/>
          <w:sz w:val="20"/>
        </w:rPr>
        <w:instrText xml:space="preserve"> REF _Ref461533634 \r \h </w:instrText>
      </w:r>
      <w:r w:rsidR="00793B21">
        <w:rPr>
          <w:rFonts w:ascii="Verdana" w:hAnsi="Verdana"/>
          <w:sz w:val="20"/>
        </w:rPr>
      </w:r>
      <w:r w:rsidR="00793B21">
        <w:rPr>
          <w:rFonts w:ascii="Verdana" w:hAnsi="Verdana"/>
          <w:sz w:val="20"/>
        </w:rPr>
        <w:fldChar w:fldCharType="separate"/>
      </w:r>
      <w:r w:rsidR="00D676EE">
        <w:rPr>
          <w:rFonts w:ascii="Verdana" w:hAnsi="Verdana"/>
          <w:sz w:val="20"/>
        </w:rPr>
        <w:t>18</w:t>
      </w:r>
      <w:r w:rsidR="00793B21">
        <w:rPr>
          <w:rFonts w:ascii="Verdana" w:hAnsi="Verdana"/>
          <w:sz w:val="20"/>
        </w:rPr>
        <w:fldChar w:fldCharType="end"/>
      </w:r>
      <w:r w:rsidR="00793B21">
        <w:rPr>
          <w:rFonts w:ascii="Verdana" w:hAnsi="Verdana"/>
          <w:sz w:val="20"/>
        </w:rPr>
        <w:t xml:space="preserve">), por lo que </w:t>
      </w:r>
      <w:r w:rsidR="00675909">
        <w:rPr>
          <w:rFonts w:ascii="Verdana" w:hAnsi="Verdana"/>
          <w:sz w:val="20"/>
        </w:rPr>
        <w:t>efectuará una solicitud de información y valorará su nivel de cumplimiento en una posterior resolución (</w:t>
      </w:r>
      <w:r w:rsidR="00675909">
        <w:rPr>
          <w:rFonts w:ascii="Verdana" w:hAnsi="Verdana"/>
          <w:i/>
          <w:sz w:val="20"/>
        </w:rPr>
        <w:t>infra</w:t>
      </w:r>
      <w:r w:rsidR="00675909">
        <w:rPr>
          <w:rFonts w:ascii="Verdana" w:hAnsi="Verdana"/>
          <w:sz w:val="20"/>
        </w:rPr>
        <w:t xml:space="preserve"> Considerando </w:t>
      </w:r>
      <w:r w:rsidR="00675909">
        <w:rPr>
          <w:rFonts w:ascii="Verdana" w:hAnsi="Verdana"/>
          <w:sz w:val="20"/>
        </w:rPr>
        <w:fldChar w:fldCharType="begin"/>
      </w:r>
      <w:r w:rsidR="00675909">
        <w:rPr>
          <w:rFonts w:ascii="Verdana" w:hAnsi="Verdana"/>
          <w:sz w:val="20"/>
        </w:rPr>
        <w:instrText xml:space="preserve"> REF _Ref461533643 \r \h </w:instrText>
      </w:r>
      <w:r w:rsidR="00675909">
        <w:rPr>
          <w:rFonts w:ascii="Verdana" w:hAnsi="Verdana"/>
          <w:sz w:val="20"/>
        </w:rPr>
      </w:r>
      <w:r w:rsidR="00675909">
        <w:rPr>
          <w:rFonts w:ascii="Verdana" w:hAnsi="Verdana"/>
          <w:sz w:val="20"/>
        </w:rPr>
        <w:fldChar w:fldCharType="separate"/>
      </w:r>
      <w:r w:rsidR="00D676EE">
        <w:rPr>
          <w:rFonts w:ascii="Verdana" w:hAnsi="Verdana"/>
          <w:sz w:val="20"/>
        </w:rPr>
        <w:t>19</w:t>
      </w:r>
      <w:r w:rsidR="00675909">
        <w:rPr>
          <w:rFonts w:ascii="Verdana" w:hAnsi="Verdana"/>
          <w:sz w:val="20"/>
        </w:rPr>
        <w:fldChar w:fldCharType="end"/>
      </w:r>
      <w:r w:rsidR="00675909">
        <w:rPr>
          <w:rFonts w:ascii="Verdana" w:hAnsi="Verdana"/>
          <w:sz w:val="20"/>
        </w:rPr>
        <w:t xml:space="preserve">).  </w:t>
      </w:r>
      <w:r w:rsidR="00793B21">
        <w:rPr>
          <w:rFonts w:ascii="Verdana" w:hAnsi="Verdana"/>
          <w:sz w:val="20"/>
        </w:rPr>
        <w:t>E</w:t>
      </w:r>
      <w:r w:rsidR="00675909">
        <w:rPr>
          <w:rFonts w:ascii="Verdana" w:hAnsi="Verdana"/>
          <w:sz w:val="20"/>
        </w:rPr>
        <w:t>l pedido de información toma en cuenta la aportada durante la</w:t>
      </w:r>
      <w:r w:rsidR="00793B21">
        <w:rPr>
          <w:rFonts w:ascii="Verdana" w:hAnsi="Verdana"/>
          <w:sz w:val="20"/>
        </w:rPr>
        <w:t xml:space="preserve"> referida</w:t>
      </w:r>
      <w:r w:rsidR="00675909">
        <w:rPr>
          <w:rFonts w:ascii="Verdana" w:hAnsi="Verdana"/>
          <w:sz w:val="20"/>
        </w:rPr>
        <w:t xml:space="preserve"> audiencia.</w:t>
      </w:r>
      <w:r>
        <w:rPr>
          <w:rFonts w:ascii="Verdana" w:hAnsi="Verdana"/>
          <w:sz w:val="20"/>
        </w:rPr>
        <w:t xml:space="preserve"> El Tribunal estructurará sus consideraciones en el siguiente orden:</w:t>
      </w:r>
    </w:p>
    <w:p w:rsidR="0074538E" w:rsidRPr="00606587" w:rsidRDefault="0074538E" w:rsidP="00606587">
      <w:pPr>
        <w:pStyle w:val="TtulodeTDC"/>
        <w:ind w:left="567"/>
        <w:rPr>
          <w:sz w:val="18"/>
          <w:szCs w:val="18"/>
        </w:rPr>
      </w:pPr>
    </w:p>
    <w:p w:rsidR="00971B9B" w:rsidRPr="006421F8" w:rsidRDefault="0074538E" w:rsidP="00606587">
      <w:pPr>
        <w:pStyle w:val="TDC1"/>
        <w:ind w:left="567"/>
        <w:rPr>
          <w:rFonts w:ascii="Calibri" w:eastAsia="Times New Roman" w:hAnsi="Calibri"/>
          <w:i/>
          <w:sz w:val="18"/>
          <w:szCs w:val="18"/>
          <w:lang w:val="es-CR" w:eastAsia="es-CR"/>
        </w:rPr>
      </w:pPr>
      <w:r w:rsidRPr="00606587">
        <w:rPr>
          <w:i/>
          <w:sz w:val="18"/>
          <w:szCs w:val="18"/>
        </w:rPr>
        <w:fldChar w:fldCharType="begin"/>
      </w:r>
      <w:r w:rsidRPr="00606587">
        <w:rPr>
          <w:i/>
          <w:sz w:val="18"/>
          <w:szCs w:val="18"/>
        </w:rPr>
        <w:instrText xml:space="preserve"> TOC \o "1-3" \h \z \u </w:instrText>
      </w:r>
      <w:r w:rsidRPr="00606587">
        <w:rPr>
          <w:i/>
          <w:sz w:val="18"/>
          <w:szCs w:val="18"/>
        </w:rPr>
        <w:fldChar w:fldCharType="separate"/>
      </w:r>
      <w:hyperlink w:anchor="_Toc458162508" w:history="1">
        <w:r w:rsidR="00971B9B" w:rsidRPr="00606587">
          <w:rPr>
            <w:rStyle w:val="Hipervnculo"/>
            <w:i/>
            <w:sz w:val="18"/>
            <w:szCs w:val="18"/>
          </w:rPr>
          <w:t>A.Creación de página web de búsqueda de desaparecidos</w:t>
        </w:r>
        <w:r w:rsidR="00971B9B" w:rsidRPr="00606587">
          <w:rPr>
            <w:i/>
            <w:webHidden/>
            <w:sz w:val="18"/>
            <w:szCs w:val="18"/>
          </w:rPr>
          <w:tab/>
        </w:r>
        <w:r w:rsidR="00971B9B" w:rsidRPr="00606587">
          <w:rPr>
            <w:i/>
            <w:webHidden/>
            <w:sz w:val="18"/>
            <w:szCs w:val="18"/>
          </w:rPr>
          <w:fldChar w:fldCharType="begin"/>
        </w:r>
        <w:r w:rsidR="00971B9B" w:rsidRPr="00606587">
          <w:rPr>
            <w:i/>
            <w:webHidden/>
            <w:sz w:val="18"/>
            <w:szCs w:val="18"/>
          </w:rPr>
          <w:instrText xml:space="preserve"> PAGEREF _Toc458162508 \h </w:instrText>
        </w:r>
        <w:r w:rsidR="00971B9B" w:rsidRPr="00606587">
          <w:rPr>
            <w:i/>
            <w:webHidden/>
            <w:sz w:val="18"/>
            <w:szCs w:val="18"/>
          </w:rPr>
        </w:r>
        <w:r w:rsidR="00971B9B" w:rsidRPr="00606587">
          <w:rPr>
            <w:i/>
            <w:webHidden/>
            <w:sz w:val="18"/>
            <w:szCs w:val="18"/>
          </w:rPr>
          <w:fldChar w:fldCharType="separate"/>
        </w:r>
        <w:r w:rsidR="00D676EE">
          <w:rPr>
            <w:i/>
            <w:webHidden/>
            <w:sz w:val="18"/>
            <w:szCs w:val="18"/>
          </w:rPr>
          <w:t>4</w:t>
        </w:r>
        <w:r w:rsidR="00971B9B" w:rsidRPr="00606587">
          <w:rPr>
            <w:i/>
            <w:webHidden/>
            <w:sz w:val="18"/>
            <w:szCs w:val="18"/>
          </w:rPr>
          <w:fldChar w:fldCharType="end"/>
        </w:r>
      </w:hyperlink>
    </w:p>
    <w:p w:rsidR="00971B9B" w:rsidRPr="006421F8" w:rsidRDefault="00CF0EFE" w:rsidP="00606587">
      <w:pPr>
        <w:pStyle w:val="TDC1"/>
        <w:ind w:left="567"/>
        <w:rPr>
          <w:rFonts w:ascii="Calibri" w:eastAsia="Times New Roman" w:hAnsi="Calibri"/>
          <w:i/>
          <w:sz w:val="18"/>
          <w:szCs w:val="18"/>
          <w:lang w:val="es-CR" w:eastAsia="es-CR"/>
        </w:rPr>
      </w:pPr>
      <w:hyperlink w:anchor="_Toc458162509" w:history="1">
        <w:r w:rsidR="00971B9B" w:rsidRPr="00606587">
          <w:rPr>
            <w:rStyle w:val="Hipervnculo"/>
            <w:i/>
            <w:sz w:val="18"/>
            <w:szCs w:val="18"/>
          </w:rPr>
          <w:t>B.Tratamiento médico y psicológico.</w:t>
        </w:r>
        <w:r w:rsidR="00971B9B" w:rsidRPr="00606587">
          <w:rPr>
            <w:i/>
            <w:webHidden/>
            <w:sz w:val="18"/>
            <w:szCs w:val="18"/>
          </w:rPr>
          <w:tab/>
        </w:r>
        <w:r w:rsidR="00971B9B" w:rsidRPr="00606587">
          <w:rPr>
            <w:i/>
            <w:webHidden/>
            <w:sz w:val="18"/>
            <w:szCs w:val="18"/>
          </w:rPr>
          <w:fldChar w:fldCharType="begin"/>
        </w:r>
        <w:r w:rsidR="00971B9B" w:rsidRPr="00606587">
          <w:rPr>
            <w:i/>
            <w:webHidden/>
            <w:sz w:val="18"/>
            <w:szCs w:val="18"/>
          </w:rPr>
          <w:instrText xml:space="preserve"> PAGEREF _Toc458162509 \h </w:instrText>
        </w:r>
        <w:r w:rsidR="00971B9B" w:rsidRPr="00606587">
          <w:rPr>
            <w:i/>
            <w:webHidden/>
            <w:sz w:val="18"/>
            <w:szCs w:val="18"/>
          </w:rPr>
        </w:r>
        <w:r w:rsidR="00971B9B" w:rsidRPr="00606587">
          <w:rPr>
            <w:i/>
            <w:webHidden/>
            <w:sz w:val="18"/>
            <w:szCs w:val="18"/>
          </w:rPr>
          <w:fldChar w:fldCharType="separate"/>
        </w:r>
        <w:r w:rsidR="00D676EE">
          <w:rPr>
            <w:i/>
            <w:webHidden/>
            <w:sz w:val="18"/>
            <w:szCs w:val="18"/>
          </w:rPr>
          <w:t>7</w:t>
        </w:r>
        <w:r w:rsidR="00971B9B" w:rsidRPr="00606587">
          <w:rPr>
            <w:i/>
            <w:webHidden/>
            <w:sz w:val="18"/>
            <w:szCs w:val="18"/>
          </w:rPr>
          <w:fldChar w:fldCharType="end"/>
        </w:r>
      </w:hyperlink>
    </w:p>
    <w:p w:rsidR="00971B9B" w:rsidRPr="006421F8" w:rsidRDefault="00CF0EFE" w:rsidP="00606587">
      <w:pPr>
        <w:pStyle w:val="TDC1"/>
        <w:ind w:left="567"/>
        <w:rPr>
          <w:rFonts w:ascii="Calibri" w:eastAsia="Times New Roman" w:hAnsi="Calibri"/>
          <w:i/>
          <w:sz w:val="18"/>
          <w:szCs w:val="18"/>
          <w:lang w:val="es-CR" w:eastAsia="es-CR"/>
        </w:rPr>
      </w:pPr>
      <w:hyperlink w:anchor="_Toc458162510" w:history="1">
        <w:r w:rsidR="00971B9B" w:rsidRPr="00606587">
          <w:rPr>
            <w:rStyle w:val="Hipervnculo"/>
            <w:i/>
            <w:sz w:val="18"/>
            <w:szCs w:val="18"/>
          </w:rPr>
          <w:t>C.Solicitud de información sobre reparaciones supervisadas en la audiencia de junio de 2016</w:t>
        </w:r>
        <w:r w:rsidR="00971B9B" w:rsidRPr="00606587">
          <w:rPr>
            <w:i/>
            <w:webHidden/>
            <w:sz w:val="18"/>
            <w:szCs w:val="18"/>
          </w:rPr>
          <w:tab/>
        </w:r>
        <w:r w:rsidR="00971B9B" w:rsidRPr="00606587">
          <w:rPr>
            <w:i/>
            <w:webHidden/>
            <w:sz w:val="18"/>
            <w:szCs w:val="18"/>
          </w:rPr>
          <w:fldChar w:fldCharType="begin"/>
        </w:r>
        <w:r w:rsidR="00971B9B" w:rsidRPr="00606587">
          <w:rPr>
            <w:i/>
            <w:webHidden/>
            <w:sz w:val="18"/>
            <w:szCs w:val="18"/>
          </w:rPr>
          <w:instrText xml:space="preserve"> PAGEREF _Toc458162510 \h </w:instrText>
        </w:r>
        <w:r w:rsidR="00971B9B" w:rsidRPr="00606587">
          <w:rPr>
            <w:i/>
            <w:webHidden/>
            <w:sz w:val="18"/>
            <w:szCs w:val="18"/>
          </w:rPr>
        </w:r>
        <w:r w:rsidR="00971B9B" w:rsidRPr="00606587">
          <w:rPr>
            <w:i/>
            <w:webHidden/>
            <w:sz w:val="18"/>
            <w:szCs w:val="18"/>
          </w:rPr>
          <w:fldChar w:fldCharType="separate"/>
        </w:r>
        <w:r w:rsidR="00D676EE">
          <w:rPr>
            <w:i/>
            <w:webHidden/>
            <w:sz w:val="18"/>
            <w:szCs w:val="18"/>
          </w:rPr>
          <w:t>10</w:t>
        </w:r>
        <w:r w:rsidR="00971B9B" w:rsidRPr="00606587">
          <w:rPr>
            <w:i/>
            <w:webHidden/>
            <w:sz w:val="18"/>
            <w:szCs w:val="18"/>
          </w:rPr>
          <w:fldChar w:fldCharType="end"/>
        </w:r>
      </w:hyperlink>
    </w:p>
    <w:p w:rsidR="0074538E" w:rsidRPr="00606587" w:rsidRDefault="0074538E" w:rsidP="00606587">
      <w:pPr>
        <w:ind w:left="567"/>
        <w:rPr>
          <w:sz w:val="18"/>
          <w:szCs w:val="18"/>
        </w:rPr>
      </w:pPr>
      <w:r w:rsidRPr="00606587">
        <w:rPr>
          <w:bCs/>
          <w:i/>
          <w:noProof/>
          <w:sz w:val="18"/>
          <w:szCs w:val="18"/>
        </w:rPr>
        <w:fldChar w:fldCharType="end"/>
      </w:r>
    </w:p>
    <w:p w:rsidR="00EC4AE2" w:rsidRDefault="00EC4AE2" w:rsidP="00EC4AE2">
      <w:pPr>
        <w:pStyle w:val="Prrafodelista"/>
        <w:ind w:left="0"/>
        <w:jc w:val="both"/>
        <w:rPr>
          <w:rFonts w:ascii="Verdana" w:hAnsi="Verdana"/>
          <w:sz w:val="20"/>
        </w:rPr>
      </w:pPr>
    </w:p>
    <w:p w:rsidR="00760B04" w:rsidRDefault="00760B04" w:rsidP="00EC4AE2">
      <w:pPr>
        <w:pStyle w:val="Prrafodelista"/>
        <w:ind w:left="0"/>
        <w:jc w:val="both"/>
        <w:rPr>
          <w:rFonts w:ascii="Verdana" w:hAnsi="Verdana"/>
          <w:sz w:val="20"/>
        </w:rPr>
      </w:pPr>
    </w:p>
    <w:p w:rsidR="00EC4AE2" w:rsidRPr="00A6121F" w:rsidRDefault="00EC4AE2" w:rsidP="00EC4AE2">
      <w:pPr>
        <w:pStyle w:val="Prrafodelista"/>
        <w:numPr>
          <w:ilvl w:val="0"/>
          <w:numId w:val="3"/>
        </w:numPr>
        <w:jc w:val="both"/>
        <w:outlineLvl w:val="0"/>
        <w:rPr>
          <w:rFonts w:ascii="Verdana" w:hAnsi="Verdana"/>
          <w:b/>
          <w:sz w:val="20"/>
        </w:rPr>
      </w:pPr>
      <w:bookmarkStart w:id="6" w:name="_Toc458162508"/>
      <w:r w:rsidRPr="00A6121F">
        <w:rPr>
          <w:rFonts w:ascii="Verdana" w:hAnsi="Verdana"/>
          <w:b/>
          <w:sz w:val="20"/>
        </w:rPr>
        <w:t xml:space="preserve">Creación de página </w:t>
      </w:r>
      <w:r w:rsidRPr="00A6121F">
        <w:rPr>
          <w:rFonts w:ascii="Verdana" w:hAnsi="Verdana"/>
          <w:b/>
          <w:i/>
          <w:sz w:val="20"/>
        </w:rPr>
        <w:t>web</w:t>
      </w:r>
      <w:r w:rsidRPr="00A6121F">
        <w:rPr>
          <w:rFonts w:ascii="Verdana" w:hAnsi="Verdana"/>
          <w:b/>
          <w:sz w:val="20"/>
        </w:rPr>
        <w:t xml:space="preserve"> de búsqueda de desaparecidos</w:t>
      </w:r>
      <w:bookmarkEnd w:id="6"/>
    </w:p>
    <w:p w:rsidR="00EC4AE2" w:rsidRPr="00F64C07" w:rsidRDefault="00EC4AE2" w:rsidP="00EC4AE2">
      <w:pPr>
        <w:rPr>
          <w:rFonts w:ascii="Verdana" w:hAnsi="Verdana"/>
          <w:sz w:val="20"/>
          <w:lang w:val="es-CO"/>
        </w:rPr>
      </w:pPr>
    </w:p>
    <w:p w:rsidR="00EC4AE2" w:rsidRDefault="00971B9B" w:rsidP="00EC4AE2">
      <w:pPr>
        <w:ind w:left="720"/>
        <w:rPr>
          <w:rFonts w:ascii="Verdana" w:hAnsi="Verdana"/>
          <w:b/>
          <w:i/>
          <w:sz w:val="20"/>
        </w:rPr>
      </w:pPr>
      <w:r>
        <w:rPr>
          <w:rFonts w:ascii="Verdana" w:hAnsi="Verdana"/>
          <w:b/>
          <w:i/>
          <w:sz w:val="20"/>
        </w:rPr>
        <w:t>A</w:t>
      </w:r>
      <w:r w:rsidR="00EC4AE2" w:rsidRPr="00C432E6">
        <w:rPr>
          <w:rFonts w:ascii="Verdana" w:hAnsi="Verdana"/>
          <w:b/>
          <w:i/>
          <w:sz w:val="20"/>
        </w:rPr>
        <w:t xml:space="preserve">.1 </w:t>
      </w:r>
      <w:r w:rsidR="00EC4AE2" w:rsidRPr="00C432E6">
        <w:rPr>
          <w:rFonts w:ascii="Verdana" w:hAnsi="Verdana"/>
          <w:b/>
          <w:i/>
          <w:sz w:val="20"/>
        </w:rPr>
        <w:tab/>
        <w:t xml:space="preserve"> Medida ordenada por la Corte y supervisión realizada en </w:t>
      </w:r>
      <w:r w:rsidR="00A6121F">
        <w:rPr>
          <w:rFonts w:ascii="Verdana" w:hAnsi="Verdana"/>
          <w:b/>
          <w:i/>
          <w:sz w:val="20"/>
        </w:rPr>
        <w:t>R</w:t>
      </w:r>
      <w:r w:rsidR="00EC4AE2" w:rsidRPr="00C432E6">
        <w:rPr>
          <w:rFonts w:ascii="Verdana" w:hAnsi="Verdana"/>
          <w:b/>
          <w:i/>
          <w:sz w:val="20"/>
        </w:rPr>
        <w:t xml:space="preserve">esolución anterior </w:t>
      </w:r>
    </w:p>
    <w:p w:rsidR="00EC4AE2" w:rsidRPr="00C432E6" w:rsidRDefault="00EC4AE2" w:rsidP="00EC4AE2">
      <w:pPr>
        <w:rPr>
          <w:rFonts w:ascii="Verdana" w:hAnsi="Verdana"/>
          <w:b/>
          <w:i/>
          <w:sz w:val="20"/>
        </w:rPr>
      </w:pPr>
    </w:p>
    <w:p w:rsidR="00EC4AE2" w:rsidRPr="00182A65" w:rsidRDefault="00EC4AE2" w:rsidP="00EC4AE2">
      <w:pPr>
        <w:pStyle w:val="Prrafodelista"/>
        <w:numPr>
          <w:ilvl w:val="0"/>
          <w:numId w:val="10"/>
        </w:numPr>
        <w:ind w:left="0" w:firstLine="0"/>
        <w:jc w:val="both"/>
        <w:rPr>
          <w:rFonts w:ascii="Verdana" w:hAnsi="Verdana"/>
          <w:b/>
          <w:sz w:val="20"/>
        </w:rPr>
      </w:pPr>
      <w:r w:rsidRPr="00E9519F">
        <w:rPr>
          <w:rFonts w:ascii="Verdana" w:hAnsi="Verdana"/>
          <w:sz w:val="20"/>
        </w:rPr>
        <w:t>En el punto resolutivo séptimo y en</w:t>
      </w:r>
      <w:r>
        <w:rPr>
          <w:rFonts w:ascii="Verdana" w:hAnsi="Verdana"/>
          <w:sz w:val="20"/>
        </w:rPr>
        <w:t xml:space="preserve"> los</w:t>
      </w:r>
      <w:r w:rsidRPr="00E9519F">
        <w:rPr>
          <w:rFonts w:ascii="Verdana" w:hAnsi="Verdana"/>
          <w:sz w:val="20"/>
        </w:rPr>
        <w:t xml:space="preserve"> párrafo</w:t>
      </w:r>
      <w:r>
        <w:rPr>
          <w:rFonts w:ascii="Verdana" w:hAnsi="Verdana"/>
          <w:sz w:val="20"/>
        </w:rPr>
        <w:t>s</w:t>
      </w:r>
      <w:r w:rsidRPr="00E9519F">
        <w:rPr>
          <w:rFonts w:ascii="Verdana" w:hAnsi="Verdana"/>
          <w:sz w:val="20"/>
        </w:rPr>
        <w:t xml:space="preserve"> </w:t>
      </w:r>
      <w:r>
        <w:rPr>
          <w:rFonts w:ascii="Verdana" w:hAnsi="Verdana"/>
          <w:sz w:val="20"/>
        </w:rPr>
        <w:t>189 a 191</w:t>
      </w:r>
      <w:r w:rsidRPr="00E9519F">
        <w:rPr>
          <w:rFonts w:ascii="Verdana" w:hAnsi="Verdana"/>
          <w:sz w:val="20"/>
        </w:rPr>
        <w:t xml:space="preserve"> de la Sentencia, la Corte ordenó al Estado “</w:t>
      </w:r>
      <w:r w:rsidRPr="00182A65">
        <w:rPr>
          <w:rFonts w:ascii="Verdana" w:hAnsi="Verdana"/>
          <w:sz w:val="20"/>
        </w:rPr>
        <w:t xml:space="preserve">la creación de una base de datos mediante el diseño de una página </w:t>
      </w:r>
      <w:r w:rsidRPr="00A6121F">
        <w:rPr>
          <w:rFonts w:ascii="Verdana" w:hAnsi="Verdana"/>
          <w:i/>
          <w:sz w:val="20"/>
        </w:rPr>
        <w:t>web</w:t>
      </w:r>
      <w:r w:rsidRPr="00182A65">
        <w:rPr>
          <w:rFonts w:ascii="Verdana" w:hAnsi="Verdana"/>
          <w:sz w:val="20"/>
        </w:rPr>
        <w:t xml:space="preserve"> de búsqueda de desaparecidos, en la cual, mediante la implementación de una base de datos, se difunda los nombres y apellidos, posibles características físicas, y todos los datos con los que se cuenta de las hermanas Serrano Cruz, así como de sus familiares</w:t>
      </w:r>
      <w:r>
        <w:rPr>
          <w:rFonts w:ascii="Verdana" w:hAnsi="Verdana"/>
          <w:sz w:val="20"/>
        </w:rPr>
        <w:t>”</w:t>
      </w:r>
      <w:r w:rsidR="00931FA4">
        <w:rPr>
          <w:rStyle w:val="Refdenotaalpie"/>
          <w:rFonts w:ascii="Verdana" w:hAnsi="Verdana"/>
          <w:sz w:val="20"/>
        </w:rPr>
        <w:footnoteReference w:id="15"/>
      </w:r>
      <w:r>
        <w:rPr>
          <w:rFonts w:ascii="Verdana" w:hAnsi="Verdana"/>
          <w:sz w:val="20"/>
        </w:rPr>
        <w:t xml:space="preserve">. En dicha página </w:t>
      </w:r>
      <w:r w:rsidRPr="00A6121F">
        <w:rPr>
          <w:rFonts w:ascii="Verdana" w:hAnsi="Verdana"/>
          <w:i/>
          <w:sz w:val="20"/>
        </w:rPr>
        <w:t>web</w:t>
      </w:r>
      <w:r>
        <w:rPr>
          <w:rFonts w:ascii="Verdana" w:hAnsi="Verdana"/>
          <w:sz w:val="20"/>
        </w:rPr>
        <w:t>, el Estado debe establecer “direcciones y teléfonos de contacto de instituciones estatales […</w:t>
      </w:r>
      <w:r w:rsidR="00007BD6">
        <w:rPr>
          <w:rFonts w:ascii="Verdana" w:hAnsi="Verdana"/>
          <w:sz w:val="20"/>
        </w:rPr>
        <w:t>,</w:t>
      </w:r>
      <w:r>
        <w:rPr>
          <w:rFonts w:ascii="Verdana" w:hAnsi="Verdana"/>
          <w:sz w:val="20"/>
        </w:rPr>
        <w:t>] de la comisión nacional de búsqueda […</w:t>
      </w:r>
      <w:r w:rsidR="00007BD6">
        <w:rPr>
          <w:rFonts w:ascii="Verdana" w:hAnsi="Verdana"/>
          <w:sz w:val="20"/>
        </w:rPr>
        <w:t>,</w:t>
      </w:r>
      <w:r>
        <w:rPr>
          <w:rFonts w:ascii="Verdana" w:hAnsi="Verdana"/>
          <w:sz w:val="20"/>
        </w:rPr>
        <w:t>]</w:t>
      </w:r>
      <w:r w:rsidR="00007BD6">
        <w:rPr>
          <w:rFonts w:ascii="Verdana" w:hAnsi="Verdana"/>
          <w:sz w:val="20"/>
        </w:rPr>
        <w:t xml:space="preserve"> </w:t>
      </w:r>
      <w:r>
        <w:rPr>
          <w:rFonts w:ascii="Verdana" w:hAnsi="Verdana"/>
          <w:sz w:val="20"/>
        </w:rPr>
        <w:t xml:space="preserve">así como de asociaciones civiles como Pro-Búsqueda, con el propósito de que, en caso que las hermanas Serrano Cruz se encontraran con vida y contactaran dicha página, tanto ellas como cualquier persona que poseyeran datos sobre dichas hermanas, puedan ubicar a los familiares, a las instituciones estatales o no estatales pertinentes, o remitir información sobre Ernestina y </w:t>
      </w:r>
      <w:proofErr w:type="spellStart"/>
      <w:r>
        <w:rPr>
          <w:rFonts w:ascii="Verdana" w:hAnsi="Verdana"/>
          <w:sz w:val="20"/>
        </w:rPr>
        <w:t>Erlinda</w:t>
      </w:r>
      <w:proofErr w:type="spellEnd"/>
      <w:r>
        <w:rPr>
          <w:rFonts w:ascii="Verdana" w:hAnsi="Verdana"/>
          <w:sz w:val="20"/>
        </w:rPr>
        <w:t xml:space="preserve"> y su paradero”</w:t>
      </w:r>
      <w:r>
        <w:rPr>
          <w:rStyle w:val="Refdenotaalpie"/>
          <w:rFonts w:ascii="Verdana" w:hAnsi="Verdana"/>
          <w:sz w:val="20"/>
        </w:rPr>
        <w:footnoteReference w:id="16"/>
      </w:r>
      <w:r>
        <w:rPr>
          <w:rFonts w:ascii="Verdana" w:hAnsi="Verdana"/>
          <w:sz w:val="20"/>
        </w:rPr>
        <w:t xml:space="preserve">. </w:t>
      </w:r>
    </w:p>
    <w:p w:rsidR="00EC4AE2" w:rsidRPr="00182A65" w:rsidRDefault="00EC4AE2" w:rsidP="00EC4AE2">
      <w:pPr>
        <w:pStyle w:val="Prrafodelista"/>
        <w:ind w:left="0"/>
        <w:jc w:val="both"/>
        <w:rPr>
          <w:rFonts w:ascii="Verdana" w:hAnsi="Verdana"/>
          <w:b/>
          <w:sz w:val="20"/>
        </w:rPr>
      </w:pPr>
    </w:p>
    <w:p w:rsidR="00EC4AE2" w:rsidRPr="008D4E19" w:rsidRDefault="00EC4AE2" w:rsidP="00EC4AE2">
      <w:pPr>
        <w:pStyle w:val="Prrafodelista"/>
        <w:numPr>
          <w:ilvl w:val="0"/>
          <w:numId w:val="10"/>
        </w:numPr>
        <w:ind w:left="0" w:firstLine="0"/>
        <w:jc w:val="both"/>
        <w:rPr>
          <w:rFonts w:ascii="Verdana" w:hAnsi="Verdana"/>
          <w:b/>
          <w:sz w:val="20"/>
        </w:rPr>
      </w:pPr>
      <w:bookmarkStart w:id="7" w:name="_Ref461534031"/>
      <w:r w:rsidRPr="00F42D9D">
        <w:rPr>
          <w:rFonts w:ascii="Verdana" w:hAnsi="Verdana"/>
          <w:sz w:val="20"/>
        </w:rPr>
        <w:t>Mediante</w:t>
      </w:r>
      <w:r>
        <w:rPr>
          <w:rFonts w:ascii="Verdana" w:hAnsi="Verdana"/>
          <w:sz w:val="20"/>
        </w:rPr>
        <w:t xml:space="preserve"> Resolución de 2006 (</w:t>
      </w:r>
      <w:r>
        <w:rPr>
          <w:rFonts w:ascii="Verdana" w:hAnsi="Verdana"/>
          <w:i/>
          <w:sz w:val="20"/>
        </w:rPr>
        <w:t>supra</w:t>
      </w:r>
      <w:r>
        <w:rPr>
          <w:rFonts w:ascii="Verdana" w:hAnsi="Verdana"/>
          <w:sz w:val="20"/>
        </w:rPr>
        <w:t xml:space="preserve"> Visto </w:t>
      </w:r>
      <w:r w:rsidR="00931FA4">
        <w:rPr>
          <w:rFonts w:ascii="Verdana" w:hAnsi="Verdana"/>
          <w:sz w:val="20"/>
        </w:rPr>
        <w:fldChar w:fldCharType="begin"/>
      </w:r>
      <w:r w:rsidR="00931FA4">
        <w:rPr>
          <w:rFonts w:ascii="Verdana" w:hAnsi="Verdana"/>
          <w:sz w:val="20"/>
        </w:rPr>
        <w:instrText xml:space="preserve"> REF _Ref461533365 \r \h </w:instrText>
      </w:r>
      <w:r w:rsidR="00931FA4">
        <w:rPr>
          <w:rFonts w:ascii="Verdana" w:hAnsi="Verdana"/>
          <w:sz w:val="20"/>
        </w:rPr>
      </w:r>
      <w:r w:rsidR="00931FA4">
        <w:rPr>
          <w:rFonts w:ascii="Verdana" w:hAnsi="Verdana"/>
          <w:sz w:val="20"/>
        </w:rPr>
        <w:fldChar w:fldCharType="separate"/>
      </w:r>
      <w:r w:rsidR="00D676EE">
        <w:rPr>
          <w:rFonts w:ascii="Verdana" w:hAnsi="Verdana"/>
          <w:sz w:val="20"/>
        </w:rPr>
        <w:t>2</w:t>
      </w:r>
      <w:r w:rsidR="00931FA4">
        <w:rPr>
          <w:rFonts w:ascii="Verdana" w:hAnsi="Verdana"/>
          <w:sz w:val="20"/>
        </w:rPr>
        <w:fldChar w:fldCharType="end"/>
      </w:r>
      <w:r>
        <w:rPr>
          <w:rFonts w:ascii="Verdana" w:hAnsi="Verdana"/>
          <w:sz w:val="20"/>
        </w:rPr>
        <w:t>), la Corte declaró que El Salvador dio cumplimiento parcial a esta medida, ya que “[l]</w:t>
      </w:r>
      <w:r w:rsidRPr="00B824BD">
        <w:rPr>
          <w:rFonts w:ascii="Verdana" w:hAnsi="Verdana"/>
          <w:sz w:val="20"/>
        </w:rPr>
        <w:t>a página fue creada y en ella se establecen direcciones y teléfonos de contacto de la Comisión Interinstitucional de Búsqueda, así como de instituciones estatales tales como la Procuraduría General de la República, Procuraduría para la Defensa de los Derechos Humanos, la Policía Nacional Civil, el Ministerio de Relaciones Exteriores, el Ministerio de la Gobernación, el Ministerio de la Defensa Nacional, el Juzgado de Primera Instancia de Chalatenango y el Instituto Salvadoreño para el Desarrollo Integral de la Niñez y de la Adolescencia</w:t>
      </w:r>
      <w:r w:rsidR="00007BD6">
        <w:rPr>
          <w:rFonts w:ascii="Verdana" w:hAnsi="Verdana"/>
          <w:sz w:val="20"/>
        </w:rPr>
        <w:t>”</w:t>
      </w:r>
      <w:r w:rsidRPr="00B824BD">
        <w:rPr>
          <w:rFonts w:ascii="Verdana" w:hAnsi="Verdana"/>
          <w:sz w:val="20"/>
        </w:rPr>
        <w:t xml:space="preserve">. Asimismo, </w:t>
      </w:r>
      <w:r w:rsidR="00007BD6">
        <w:rPr>
          <w:rFonts w:ascii="Verdana" w:hAnsi="Verdana"/>
          <w:sz w:val="20"/>
        </w:rPr>
        <w:t>se indicó que “</w:t>
      </w:r>
      <w:r w:rsidRPr="00B824BD">
        <w:rPr>
          <w:rFonts w:ascii="Verdana" w:hAnsi="Verdana"/>
          <w:sz w:val="20"/>
        </w:rPr>
        <w:t xml:space="preserve">posee enlaces con otras páginas web de instituciones o asociaciones civiles y de organismos internacionales dedicados a la búsqueda de niños y jóvenes desaparecidos, tales como Pro-Búsqueda, Abuelas de Plaza de Mayo, Red Latinoamericana de Desaparecidos y Federación Latinoamericana de Asociaciones de Familiares de Detenidos-Desaparecidos, así como enlaces con otros organismos internacionales y las direcciones y teléfonos de contacto de </w:t>
      </w:r>
      <w:r w:rsidR="00931FA4">
        <w:rPr>
          <w:rFonts w:ascii="Verdana" w:hAnsi="Verdana"/>
          <w:sz w:val="20"/>
        </w:rPr>
        <w:t>[E]</w:t>
      </w:r>
      <w:proofErr w:type="spellStart"/>
      <w:r w:rsidRPr="00B824BD">
        <w:rPr>
          <w:rFonts w:ascii="Verdana" w:hAnsi="Verdana"/>
          <w:sz w:val="20"/>
        </w:rPr>
        <w:t>mbajadas</w:t>
      </w:r>
      <w:proofErr w:type="spellEnd"/>
      <w:r w:rsidRPr="00B824BD">
        <w:rPr>
          <w:rFonts w:ascii="Verdana" w:hAnsi="Verdana"/>
          <w:sz w:val="20"/>
        </w:rPr>
        <w:t xml:space="preserve"> y </w:t>
      </w:r>
      <w:r w:rsidR="00931FA4">
        <w:rPr>
          <w:rFonts w:ascii="Verdana" w:hAnsi="Verdana"/>
          <w:sz w:val="20"/>
        </w:rPr>
        <w:t>[C]</w:t>
      </w:r>
      <w:proofErr w:type="spellStart"/>
      <w:r w:rsidRPr="00B824BD">
        <w:rPr>
          <w:rFonts w:ascii="Verdana" w:hAnsi="Verdana"/>
          <w:sz w:val="20"/>
        </w:rPr>
        <w:t>onsulados</w:t>
      </w:r>
      <w:proofErr w:type="spellEnd"/>
      <w:r w:rsidRPr="00B824BD">
        <w:rPr>
          <w:rFonts w:ascii="Verdana" w:hAnsi="Verdana"/>
          <w:sz w:val="20"/>
        </w:rPr>
        <w:t xml:space="preserve"> acreditados en El Salvador</w:t>
      </w:r>
      <w:r>
        <w:rPr>
          <w:rFonts w:ascii="Verdana" w:hAnsi="Verdana"/>
          <w:sz w:val="20"/>
        </w:rPr>
        <w:t>”</w:t>
      </w:r>
      <w:r w:rsidR="008D4E19">
        <w:rPr>
          <w:rFonts w:ascii="Verdana" w:hAnsi="Verdana"/>
          <w:sz w:val="20"/>
        </w:rPr>
        <w:t xml:space="preserve">. </w:t>
      </w:r>
      <w:r w:rsidR="008D4E19" w:rsidRPr="008D4E19">
        <w:rPr>
          <w:rFonts w:ascii="Verdana" w:hAnsi="Verdana"/>
          <w:sz w:val="20"/>
          <w:lang w:val="es-CR"/>
        </w:rPr>
        <w:t xml:space="preserve">En dicha Resolución, la </w:t>
      </w:r>
      <w:r w:rsidR="008D4E19" w:rsidRPr="008D4E19">
        <w:rPr>
          <w:rFonts w:ascii="Verdana" w:hAnsi="Verdana"/>
          <w:sz w:val="20"/>
        </w:rPr>
        <w:t>Corte</w:t>
      </w:r>
      <w:r w:rsidR="008D4E19" w:rsidRPr="008D4E19">
        <w:rPr>
          <w:rFonts w:ascii="Verdana" w:hAnsi="Verdana"/>
          <w:sz w:val="20"/>
          <w:lang w:val="es-CR"/>
        </w:rPr>
        <w:t xml:space="preserve"> consideró necesario que “se agregue información de la que se dispone, tal como el posible lugar, época y circunstancias de la desaparición de las hermanas Serrano Cruz, así como información sobre sus familiares”</w:t>
      </w:r>
      <w:r w:rsidRPr="008D4E19">
        <w:rPr>
          <w:rFonts w:ascii="Verdana" w:hAnsi="Verdana"/>
          <w:sz w:val="20"/>
        </w:rPr>
        <w:t>.</w:t>
      </w:r>
      <w:bookmarkEnd w:id="7"/>
      <w:r w:rsidRPr="008D4E19">
        <w:rPr>
          <w:rFonts w:ascii="Verdana" w:hAnsi="Verdana"/>
          <w:sz w:val="20"/>
        </w:rPr>
        <w:t xml:space="preserve"> </w:t>
      </w:r>
    </w:p>
    <w:p w:rsidR="00EC4AE2" w:rsidRPr="00B824BD" w:rsidRDefault="00EC4AE2" w:rsidP="00EC4AE2">
      <w:pPr>
        <w:pStyle w:val="Prrafodelista"/>
        <w:ind w:left="0"/>
        <w:jc w:val="both"/>
        <w:rPr>
          <w:rFonts w:ascii="Verdana" w:hAnsi="Verdana"/>
          <w:b/>
          <w:sz w:val="20"/>
        </w:rPr>
      </w:pPr>
    </w:p>
    <w:p w:rsidR="00EC4AE2" w:rsidRPr="00E9519F" w:rsidRDefault="00EC4AE2" w:rsidP="00EC4AE2">
      <w:pPr>
        <w:pStyle w:val="Prrafodelista"/>
        <w:numPr>
          <w:ilvl w:val="0"/>
          <w:numId w:val="10"/>
        </w:numPr>
        <w:ind w:left="0" w:firstLine="0"/>
        <w:jc w:val="both"/>
        <w:rPr>
          <w:rFonts w:ascii="Verdana" w:hAnsi="Verdana"/>
          <w:b/>
          <w:sz w:val="20"/>
        </w:rPr>
      </w:pPr>
      <w:bookmarkStart w:id="8" w:name="_Ref461533450"/>
      <w:r>
        <w:rPr>
          <w:rFonts w:ascii="Verdana" w:hAnsi="Verdana"/>
          <w:sz w:val="20"/>
        </w:rPr>
        <w:t>En su Resolución de 2007 (</w:t>
      </w:r>
      <w:r>
        <w:rPr>
          <w:rFonts w:ascii="Verdana" w:hAnsi="Verdana"/>
          <w:i/>
          <w:sz w:val="20"/>
        </w:rPr>
        <w:t>supra</w:t>
      </w:r>
      <w:r>
        <w:rPr>
          <w:rFonts w:ascii="Verdana" w:hAnsi="Verdana"/>
          <w:sz w:val="20"/>
        </w:rPr>
        <w:t xml:space="preserve"> Visto </w:t>
      </w:r>
      <w:r w:rsidR="00A31A5D">
        <w:rPr>
          <w:rFonts w:ascii="Verdana" w:hAnsi="Verdana"/>
          <w:sz w:val="20"/>
        </w:rPr>
        <w:fldChar w:fldCharType="begin"/>
      </w:r>
      <w:r w:rsidR="00A31A5D">
        <w:rPr>
          <w:rFonts w:ascii="Verdana" w:hAnsi="Verdana"/>
          <w:sz w:val="20"/>
        </w:rPr>
        <w:instrText xml:space="preserve"> REF _Ref461533365 \r \h </w:instrText>
      </w:r>
      <w:r w:rsidR="00A31A5D">
        <w:rPr>
          <w:rFonts w:ascii="Verdana" w:hAnsi="Verdana"/>
          <w:sz w:val="20"/>
        </w:rPr>
      </w:r>
      <w:r w:rsidR="00A31A5D">
        <w:rPr>
          <w:rFonts w:ascii="Verdana" w:hAnsi="Verdana"/>
          <w:sz w:val="20"/>
        </w:rPr>
        <w:fldChar w:fldCharType="separate"/>
      </w:r>
      <w:r w:rsidR="00D676EE">
        <w:rPr>
          <w:rFonts w:ascii="Verdana" w:hAnsi="Verdana"/>
          <w:sz w:val="20"/>
        </w:rPr>
        <w:t>2</w:t>
      </w:r>
      <w:r w:rsidR="00A31A5D">
        <w:rPr>
          <w:rFonts w:ascii="Verdana" w:hAnsi="Verdana"/>
          <w:sz w:val="20"/>
        </w:rPr>
        <w:fldChar w:fldCharType="end"/>
      </w:r>
      <w:r>
        <w:rPr>
          <w:rFonts w:ascii="Verdana" w:hAnsi="Verdana"/>
          <w:sz w:val="20"/>
        </w:rPr>
        <w:t>), la Corte consideró que “</w:t>
      </w:r>
      <w:r w:rsidRPr="00B824BD">
        <w:rPr>
          <w:rFonts w:ascii="Verdana" w:hAnsi="Verdana"/>
          <w:sz w:val="20"/>
        </w:rPr>
        <w:t xml:space="preserve">en términos generales la página web creada por el Estado cumple con los parámetros estipulados </w:t>
      </w:r>
      <w:r w:rsidRPr="00B824BD">
        <w:rPr>
          <w:rFonts w:ascii="Verdana" w:hAnsi="Verdana"/>
          <w:sz w:val="20"/>
        </w:rPr>
        <w:lastRenderedPageBreak/>
        <w:t>en los párrafos 189 a 191 de la Sentencia</w:t>
      </w:r>
      <w:r>
        <w:rPr>
          <w:rFonts w:ascii="Verdana" w:hAnsi="Verdana"/>
          <w:sz w:val="20"/>
        </w:rPr>
        <w:t>”</w:t>
      </w:r>
      <w:r>
        <w:rPr>
          <w:rStyle w:val="Refdenotaalpie"/>
          <w:rFonts w:ascii="Verdana" w:hAnsi="Verdana"/>
          <w:sz w:val="20"/>
        </w:rPr>
        <w:footnoteReference w:id="17"/>
      </w:r>
      <w:r>
        <w:rPr>
          <w:rFonts w:ascii="Verdana" w:hAnsi="Verdana"/>
          <w:sz w:val="20"/>
        </w:rPr>
        <w:t>, pero estimó conveniente que “</w:t>
      </w:r>
      <w:r w:rsidRPr="00B824BD">
        <w:rPr>
          <w:rFonts w:ascii="Verdana" w:hAnsi="Verdana"/>
          <w:sz w:val="20"/>
        </w:rPr>
        <w:t>el Estado presente información sobre las medidas que ha adoptado para propiciar la formación y desarrollo de una red internacional de búsqueda</w:t>
      </w:r>
      <w:r>
        <w:rPr>
          <w:rFonts w:ascii="Verdana" w:hAnsi="Verdana"/>
          <w:sz w:val="20"/>
        </w:rPr>
        <w:t>”. Finalmente, en su Resolución de 2010 (</w:t>
      </w:r>
      <w:r>
        <w:rPr>
          <w:rFonts w:ascii="Verdana" w:hAnsi="Verdana"/>
          <w:i/>
          <w:sz w:val="20"/>
        </w:rPr>
        <w:t xml:space="preserve">supra </w:t>
      </w:r>
      <w:r>
        <w:rPr>
          <w:rFonts w:ascii="Verdana" w:hAnsi="Verdana"/>
          <w:sz w:val="20"/>
        </w:rPr>
        <w:t xml:space="preserve">Visto </w:t>
      </w:r>
      <w:r w:rsidR="00A31A5D">
        <w:rPr>
          <w:rFonts w:ascii="Verdana" w:hAnsi="Verdana"/>
          <w:sz w:val="20"/>
        </w:rPr>
        <w:fldChar w:fldCharType="begin"/>
      </w:r>
      <w:r w:rsidR="00A31A5D">
        <w:rPr>
          <w:rFonts w:ascii="Verdana" w:hAnsi="Verdana"/>
          <w:sz w:val="20"/>
        </w:rPr>
        <w:instrText xml:space="preserve"> REF _Ref461533365 \r \h </w:instrText>
      </w:r>
      <w:r w:rsidR="00A31A5D">
        <w:rPr>
          <w:rFonts w:ascii="Verdana" w:hAnsi="Verdana"/>
          <w:sz w:val="20"/>
        </w:rPr>
      </w:r>
      <w:r w:rsidR="00A31A5D">
        <w:rPr>
          <w:rFonts w:ascii="Verdana" w:hAnsi="Verdana"/>
          <w:sz w:val="20"/>
        </w:rPr>
        <w:fldChar w:fldCharType="separate"/>
      </w:r>
      <w:r w:rsidR="00D676EE">
        <w:rPr>
          <w:rFonts w:ascii="Verdana" w:hAnsi="Verdana"/>
          <w:sz w:val="20"/>
        </w:rPr>
        <w:t>2</w:t>
      </w:r>
      <w:r w:rsidR="00A31A5D">
        <w:rPr>
          <w:rFonts w:ascii="Verdana" w:hAnsi="Verdana"/>
          <w:sz w:val="20"/>
        </w:rPr>
        <w:fldChar w:fldCharType="end"/>
      </w:r>
      <w:r>
        <w:rPr>
          <w:rFonts w:ascii="Verdana" w:hAnsi="Verdana"/>
          <w:sz w:val="20"/>
        </w:rPr>
        <w:t>),</w:t>
      </w:r>
      <w:r w:rsidR="008D4E19">
        <w:rPr>
          <w:rFonts w:ascii="Verdana" w:hAnsi="Verdana"/>
          <w:sz w:val="20"/>
        </w:rPr>
        <w:t xml:space="preserve"> tomando en cuenta que el Estado informó que la página web de búsqueda se encontraba “temporalmente inhabilitada”,</w:t>
      </w:r>
      <w:r>
        <w:rPr>
          <w:rFonts w:ascii="Verdana" w:hAnsi="Verdana"/>
          <w:sz w:val="20"/>
        </w:rPr>
        <w:t xml:space="preserve"> la Corte</w:t>
      </w:r>
      <w:r w:rsidR="008D4E19">
        <w:rPr>
          <w:rFonts w:ascii="Verdana" w:hAnsi="Verdana"/>
          <w:sz w:val="20"/>
        </w:rPr>
        <w:t xml:space="preserve"> le</w:t>
      </w:r>
      <w:r>
        <w:rPr>
          <w:rFonts w:ascii="Verdana" w:hAnsi="Verdana"/>
          <w:sz w:val="20"/>
        </w:rPr>
        <w:t xml:space="preserve"> requirió </w:t>
      </w:r>
      <w:r w:rsidR="008D4E19">
        <w:rPr>
          <w:rFonts w:ascii="Verdana" w:hAnsi="Verdana"/>
          <w:sz w:val="20"/>
        </w:rPr>
        <w:t>que</w:t>
      </w:r>
      <w:r>
        <w:rPr>
          <w:rFonts w:ascii="Verdana" w:hAnsi="Verdana"/>
          <w:sz w:val="20"/>
        </w:rPr>
        <w:t xml:space="preserve"> “reestablezca el funcionamiento, a la mayor brevedad, de la página </w:t>
      </w:r>
      <w:r>
        <w:rPr>
          <w:rFonts w:ascii="Verdana" w:hAnsi="Verdana"/>
          <w:i/>
          <w:sz w:val="20"/>
        </w:rPr>
        <w:t>web</w:t>
      </w:r>
      <w:r>
        <w:rPr>
          <w:rFonts w:ascii="Verdana" w:hAnsi="Verdana"/>
          <w:sz w:val="20"/>
        </w:rPr>
        <w:t xml:space="preserve"> de búsqueda, la cual debe cumplir </w:t>
      </w:r>
      <w:r>
        <w:rPr>
          <w:rFonts w:ascii="Verdana" w:hAnsi="Verdana"/>
          <w:sz w:val="20"/>
          <w:lang w:val="es-ES"/>
        </w:rPr>
        <w:t>con los parámetros establecidos por la Corte en su Sentencia […</w:t>
      </w:r>
      <w:r w:rsidR="008D4E19">
        <w:rPr>
          <w:rFonts w:ascii="Verdana" w:hAnsi="Verdana"/>
          <w:sz w:val="20"/>
          <w:lang w:val="es-ES"/>
        </w:rPr>
        <w:t>, para]</w:t>
      </w:r>
      <w:r w:rsidRPr="000355B4">
        <w:rPr>
          <w:rFonts w:ascii="Verdana" w:hAnsi="Verdana"/>
          <w:sz w:val="20"/>
          <w:lang w:val="es-ES"/>
        </w:rPr>
        <w:t xml:space="preserve"> constituirse como una herramienta eficaz para determinar el paradero de Ernestina y </w:t>
      </w:r>
      <w:proofErr w:type="spellStart"/>
      <w:r w:rsidRPr="000355B4">
        <w:rPr>
          <w:rFonts w:ascii="Verdana" w:hAnsi="Verdana"/>
          <w:sz w:val="20"/>
          <w:lang w:val="es-ES"/>
        </w:rPr>
        <w:t>Erlinda</w:t>
      </w:r>
      <w:proofErr w:type="spellEnd"/>
      <w:r w:rsidRPr="000355B4">
        <w:rPr>
          <w:rFonts w:ascii="Verdana" w:hAnsi="Verdana"/>
          <w:sz w:val="20"/>
          <w:lang w:val="es-ES"/>
        </w:rPr>
        <w:t xml:space="preserve"> Serrano Cruz</w:t>
      </w:r>
      <w:r>
        <w:rPr>
          <w:rFonts w:ascii="Verdana" w:hAnsi="Verdana"/>
          <w:sz w:val="20"/>
          <w:lang w:val="es-ES"/>
        </w:rPr>
        <w:t>”.</w:t>
      </w:r>
      <w:bookmarkEnd w:id="8"/>
    </w:p>
    <w:p w:rsidR="00EC4AE2" w:rsidRDefault="00EC4AE2" w:rsidP="00EC4AE2">
      <w:pPr>
        <w:jc w:val="both"/>
        <w:outlineLvl w:val="0"/>
        <w:rPr>
          <w:rFonts w:ascii="Verdana" w:hAnsi="Verdana"/>
          <w:b/>
          <w:sz w:val="20"/>
          <w:lang w:val="es-CO"/>
        </w:rPr>
      </w:pPr>
    </w:p>
    <w:p w:rsidR="00EC4AE2" w:rsidRPr="00C432E6" w:rsidRDefault="00971B9B" w:rsidP="00EC4AE2">
      <w:pPr>
        <w:ind w:left="720"/>
        <w:rPr>
          <w:rFonts w:ascii="Verdana" w:hAnsi="Verdana"/>
          <w:b/>
          <w:i/>
          <w:sz w:val="20"/>
          <w:lang w:val="es-CO"/>
        </w:rPr>
      </w:pPr>
      <w:r>
        <w:rPr>
          <w:rFonts w:ascii="Verdana" w:hAnsi="Verdana"/>
          <w:b/>
          <w:i/>
          <w:sz w:val="20"/>
          <w:lang w:val="es-CO"/>
        </w:rPr>
        <w:t>A</w:t>
      </w:r>
      <w:r w:rsidR="00EC4AE2" w:rsidRPr="00C432E6">
        <w:rPr>
          <w:rFonts w:ascii="Verdana" w:hAnsi="Verdana"/>
          <w:b/>
          <w:i/>
          <w:sz w:val="20"/>
          <w:lang w:val="es-CO"/>
        </w:rPr>
        <w:t>.</w:t>
      </w:r>
      <w:r w:rsidR="00EC4AE2">
        <w:rPr>
          <w:rFonts w:ascii="Verdana" w:hAnsi="Verdana"/>
          <w:b/>
          <w:i/>
          <w:sz w:val="20"/>
          <w:lang w:val="es-CO"/>
        </w:rPr>
        <w:t>2</w:t>
      </w:r>
      <w:r w:rsidR="00EC4AE2" w:rsidRPr="00C432E6">
        <w:rPr>
          <w:rFonts w:ascii="Verdana" w:hAnsi="Verdana"/>
          <w:b/>
          <w:i/>
          <w:sz w:val="20"/>
          <w:lang w:val="es-CO"/>
        </w:rPr>
        <w:t xml:space="preserve">  </w:t>
      </w:r>
      <w:r w:rsidR="00EC4AE2" w:rsidRPr="0074538E">
        <w:rPr>
          <w:rFonts w:ascii="Verdana" w:hAnsi="Verdana"/>
          <w:b/>
          <w:i/>
          <w:sz w:val="20"/>
        </w:rPr>
        <w:t>Consideraciones</w:t>
      </w:r>
      <w:r w:rsidR="00EC4AE2" w:rsidRPr="00C432E6">
        <w:rPr>
          <w:rFonts w:ascii="Verdana" w:hAnsi="Verdana"/>
          <w:b/>
          <w:i/>
          <w:sz w:val="20"/>
          <w:lang w:val="es-CO"/>
        </w:rPr>
        <w:t xml:space="preserve"> de la Corte</w:t>
      </w:r>
    </w:p>
    <w:p w:rsidR="00EC4AE2" w:rsidRDefault="00EC4AE2" w:rsidP="00EC4AE2">
      <w:pPr>
        <w:jc w:val="both"/>
        <w:outlineLvl w:val="0"/>
        <w:rPr>
          <w:rFonts w:ascii="Verdana" w:hAnsi="Verdana"/>
          <w:sz w:val="20"/>
          <w:lang w:val="es-CO"/>
        </w:rPr>
      </w:pPr>
    </w:p>
    <w:p w:rsidR="00EC4AE2" w:rsidRDefault="00EC4AE2" w:rsidP="00EC4AE2">
      <w:pPr>
        <w:pStyle w:val="Prrafodelista"/>
        <w:numPr>
          <w:ilvl w:val="0"/>
          <w:numId w:val="10"/>
        </w:numPr>
        <w:ind w:left="0" w:firstLine="0"/>
        <w:jc w:val="both"/>
        <w:rPr>
          <w:rFonts w:ascii="Verdana" w:hAnsi="Verdana"/>
          <w:sz w:val="20"/>
          <w:lang w:val="es-CO"/>
        </w:rPr>
      </w:pPr>
      <w:bookmarkStart w:id="9" w:name="_Ref461696501"/>
      <w:r>
        <w:rPr>
          <w:rFonts w:ascii="Verdana" w:hAnsi="Verdana"/>
          <w:sz w:val="20"/>
          <w:lang w:val="es-CO"/>
        </w:rPr>
        <w:t xml:space="preserve">La </w:t>
      </w:r>
      <w:r w:rsidRPr="00421DB6">
        <w:rPr>
          <w:rFonts w:ascii="Verdana" w:hAnsi="Verdana"/>
          <w:sz w:val="20"/>
        </w:rPr>
        <w:t>Corte</w:t>
      </w:r>
      <w:r>
        <w:rPr>
          <w:rFonts w:ascii="Verdana" w:hAnsi="Verdana"/>
          <w:sz w:val="20"/>
          <w:lang w:val="es-CO"/>
        </w:rPr>
        <w:t xml:space="preserve"> constata que fue creada una página </w:t>
      </w:r>
      <w:r w:rsidRPr="00A31A5D">
        <w:rPr>
          <w:rFonts w:ascii="Verdana" w:hAnsi="Verdana"/>
          <w:i/>
          <w:sz w:val="20"/>
          <w:lang w:val="es-CO"/>
        </w:rPr>
        <w:t>web</w:t>
      </w:r>
      <w:r>
        <w:rPr>
          <w:rFonts w:ascii="Verdana" w:hAnsi="Verdana"/>
          <w:sz w:val="20"/>
          <w:lang w:val="es-CO"/>
        </w:rPr>
        <w:t xml:space="preserve"> de búsqueda de desaparecidos, a través de la página </w:t>
      </w:r>
      <w:r w:rsidRPr="00A31A5D">
        <w:rPr>
          <w:rFonts w:ascii="Verdana" w:hAnsi="Verdana"/>
          <w:i/>
          <w:sz w:val="20"/>
          <w:lang w:val="es-CO"/>
        </w:rPr>
        <w:t>web</w:t>
      </w:r>
      <w:r>
        <w:rPr>
          <w:rFonts w:ascii="Verdana" w:hAnsi="Verdana"/>
          <w:sz w:val="20"/>
          <w:lang w:val="es-CO"/>
        </w:rPr>
        <w:t xml:space="preserve"> de la Comisión Nacional de Búsqueda</w:t>
      </w:r>
      <w:r w:rsidR="00A31A5D">
        <w:rPr>
          <w:rFonts w:ascii="Verdana" w:hAnsi="Verdana"/>
          <w:sz w:val="20"/>
          <w:lang w:val="es-CO"/>
        </w:rPr>
        <w:t xml:space="preserve"> de Niñas y Niños Desaparecidos durante el Conflicto Armado Interno</w:t>
      </w:r>
      <w:r w:rsidR="004F53F2">
        <w:rPr>
          <w:rStyle w:val="Refdenotaalpie"/>
          <w:rFonts w:ascii="Verdana" w:hAnsi="Verdana"/>
          <w:sz w:val="20"/>
          <w:lang w:val="es-CO"/>
        </w:rPr>
        <w:footnoteReference w:id="18"/>
      </w:r>
      <w:r>
        <w:rPr>
          <w:rFonts w:ascii="Verdana" w:hAnsi="Verdana"/>
          <w:sz w:val="20"/>
          <w:lang w:val="es-CO"/>
        </w:rPr>
        <w:t xml:space="preserve">, de la cual se desprende que </w:t>
      </w:r>
      <w:r w:rsidR="00011472">
        <w:rPr>
          <w:rFonts w:ascii="Verdana" w:hAnsi="Verdana"/>
          <w:sz w:val="20"/>
          <w:lang w:val="es-CO"/>
        </w:rPr>
        <w:t>esa</w:t>
      </w:r>
      <w:r>
        <w:rPr>
          <w:rFonts w:ascii="Verdana" w:hAnsi="Verdana"/>
          <w:sz w:val="20"/>
          <w:lang w:val="es-CO"/>
        </w:rPr>
        <w:t xml:space="preserve"> Comisión maneja una base de datos que contiene, entre otros</w:t>
      </w:r>
      <w:r w:rsidR="00011472">
        <w:rPr>
          <w:rFonts w:ascii="Verdana" w:hAnsi="Verdana"/>
          <w:sz w:val="20"/>
          <w:lang w:val="es-CO"/>
        </w:rPr>
        <w:t>:</w:t>
      </w:r>
      <w:r>
        <w:rPr>
          <w:rFonts w:ascii="Verdana" w:hAnsi="Verdana"/>
          <w:sz w:val="20"/>
          <w:lang w:val="es-CO"/>
        </w:rPr>
        <w:t xml:space="preserve"> los formularios de búsqueda de un niño o niña, búsqueda de familia, o de personas que cuentan con información sobre algún caso en el marco de las competencias de dicha Comisión</w:t>
      </w:r>
      <w:r>
        <w:rPr>
          <w:rStyle w:val="Refdenotaalpie"/>
          <w:rFonts w:ascii="Verdana" w:hAnsi="Verdana"/>
          <w:sz w:val="20"/>
          <w:lang w:val="es-CO"/>
        </w:rPr>
        <w:footnoteReference w:id="19"/>
      </w:r>
      <w:r>
        <w:rPr>
          <w:rFonts w:ascii="Verdana" w:hAnsi="Verdana"/>
          <w:sz w:val="20"/>
          <w:lang w:val="es-CO"/>
        </w:rPr>
        <w:t xml:space="preserve">. En dicha página </w:t>
      </w:r>
      <w:r w:rsidRPr="00A31A5D">
        <w:rPr>
          <w:rFonts w:ascii="Verdana" w:hAnsi="Verdana"/>
          <w:i/>
          <w:sz w:val="20"/>
          <w:lang w:val="es-CO"/>
        </w:rPr>
        <w:t>web</w:t>
      </w:r>
      <w:r>
        <w:rPr>
          <w:rFonts w:ascii="Verdana" w:hAnsi="Verdana"/>
          <w:sz w:val="20"/>
          <w:lang w:val="es-CO"/>
        </w:rPr>
        <w:t>,</w:t>
      </w:r>
      <w:r w:rsidR="00011472">
        <w:rPr>
          <w:rFonts w:ascii="Verdana" w:hAnsi="Verdana"/>
          <w:sz w:val="20"/>
          <w:lang w:val="es-CO"/>
        </w:rPr>
        <w:t xml:space="preserve"> se encuentran disponibles</w:t>
      </w:r>
      <w:r>
        <w:rPr>
          <w:rFonts w:ascii="Verdana" w:hAnsi="Verdana"/>
          <w:sz w:val="20"/>
          <w:lang w:val="es-CO"/>
        </w:rPr>
        <w:t xml:space="preserve"> (i) la información con la que se cuenta de los niños y niñas desaparecidos durante el conflicto armado salvadoreño</w:t>
      </w:r>
      <w:r>
        <w:rPr>
          <w:rStyle w:val="Refdenotaalpie"/>
          <w:rFonts w:ascii="Verdana" w:hAnsi="Verdana"/>
          <w:sz w:val="20"/>
          <w:lang w:val="es-CO"/>
        </w:rPr>
        <w:footnoteReference w:id="20"/>
      </w:r>
      <w:r>
        <w:rPr>
          <w:rFonts w:ascii="Verdana" w:hAnsi="Verdana"/>
          <w:sz w:val="20"/>
          <w:lang w:val="es-CO"/>
        </w:rPr>
        <w:t>, entre otros, sobre las hermanas Serrano Cruz</w:t>
      </w:r>
      <w:r>
        <w:rPr>
          <w:rStyle w:val="Refdenotaalpie"/>
          <w:rFonts w:ascii="Verdana" w:hAnsi="Verdana"/>
          <w:sz w:val="20"/>
          <w:lang w:val="es-CO"/>
        </w:rPr>
        <w:footnoteReference w:id="21"/>
      </w:r>
      <w:r w:rsidR="00A31A5D">
        <w:rPr>
          <w:rFonts w:ascii="Verdana" w:hAnsi="Verdana"/>
          <w:sz w:val="20"/>
          <w:lang w:val="es-CO"/>
        </w:rPr>
        <w:t>;</w:t>
      </w:r>
      <w:r>
        <w:rPr>
          <w:rFonts w:ascii="Verdana" w:hAnsi="Verdana"/>
          <w:sz w:val="20"/>
          <w:lang w:val="es-CO"/>
        </w:rPr>
        <w:t xml:space="preserve"> (ii) la dirección y los medios de contacto</w:t>
      </w:r>
      <w:r>
        <w:rPr>
          <w:rStyle w:val="Refdenotaalpie"/>
          <w:rFonts w:ascii="Verdana" w:hAnsi="Verdana"/>
          <w:sz w:val="20"/>
          <w:lang w:val="es-CO"/>
        </w:rPr>
        <w:footnoteReference w:id="22"/>
      </w:r>
      <w:r>
        <w:rPr>
          <w:rFonts w:ascii="Verdana" w:hAnsi="Verdana"/>
          <w:sz w:val="20"/>
          <w:lang w:val="es-CO"/>
        </w:rPr>
        <w:t xml:space="preserve"> con la Comisión Nacional de Búsqueda,</w:t>
      </w:r>
      <w:r w:rsidR="00011472">
        <w:rPr>
          <w:rFonts w:ascii="Verdana" w:hAnsi="Verdana"/>
          <w:sz w:val="20"/>
          <w:lang w:val="es-CO"/>
        </w:rPr>
        <w:t xml:space="preserve"> y</w:t>
      </w:r>
      <w:r>
        <w:rPr>
          <w:rFonts w:ascii="Verdana" w:hAnsi="Verdana"/>
          <w:sz w:val="20"/>
          <w:lang w:val="es-CO"/>
        </w:rPr>
        <w:t xml:space="preserve"> (iii) enlaces directos con otras instituciones, tanto asociaciones civiles como organizaciones internacionales, con </w:t>
      </w:r>
      <w:r w:rsidR="004F53F2">
        <w:rPr>
          <w:rFonts w:ascii="Verdana" w:hAnsi="Verdana"/>
          <w:sz w:val="20"/>
          <w:lang w:val="es-CO"/>
        </w:rPr>
        <w:t>conocimiento de casos relacionados</w:t>
      </w:r>
      <w:r>
        <w:rPr>
          <w:rFonts w:ascii="Verdana" w:hAnsi="Verdana"/>
          <w:sz w:val="20"/>
          <w:lang w:val="es-CO"/>
        </w:rPr>
        <w:t xml:space="preserve"> a la búsqueda de niñas y niños desaparecidos en el conflicto armado interno salvadoreño</w:t>
      </w:r>
      <w:r>
        <w:rPr>
          <w:rStyle w:val="Refdenotaalpie"/>
          <w:rFonts w:ascii="Verdana" w:hAnsi="Verdana"/>
          <w:sz w:val="20"/>
          <w:lang w:val="es-CO"/>
        </w:rPr>
        <w:footnoteReference w:id="23"/>
      </w:r>
      <w:r>
        <w:rPr>
          <w:rFonts w:ascii="Verdana" w:hAnsi="Verdana"/>
          <w:sz w:val="20"/>
          <w:lang w:val="es-CO"/>
        </w:rPr>
        <w:t xml:space="preserve">. Igualmente, se constata que en dicha </w:t>
      </w:r>
      <w:r>
        <w:rPr>
          <w:rFonts w:ascii="Verdana" w:hAnsi="Verdana"/>
          <w:sz w:val="20"/>
          <w:lang w:val="es-CO"/>
        </w:rPr>
        <w:lastRenderedPageBreak/>
        <w:t xml:space="preserve">página web se encuentran publicadas las Sentencias de la Corte Interamericana de los casos </w:t>
      </w:r>
      <w:r>
        <w:rPr>
          <w:rFonts w:ascii="Verdana" w:hAnsi="Verdana"/>
          <w:i/>
          <w:sz w:val="20"/>
          <w:lang w:val="es-CO"/>
        </w:rPr>
        <w:t>Hermanas Serrano Cruz, Contreras y Otros</w:t>
      </w:r>
      <w:r>
        <w:rPr>
          <w:rFonts w:ascii="Verdana" w:hAnsi="Verdana"/>
          <w:sz w:val="20"/>
          <w:lang w:val="es-CO"/>
        </w:rPr>
        <w:t xml:space="preserve">, </w:t>
      </w:r>
      <w:proofErr w:type="spellStart"/>
      <w:r>
        <w:rPr>
          <w:rFonts w:ascii="Verdana" w:hAnsi="Verdana"/>
          <w:i/>
          <w:sz w:val="20"/>
          <w:lang w:val="es-CO"/>
        </w:rPr>
        <w:t>Rochac</w:t>
      </w:r>
      <w:proofErr w:type="spellEnd"/>
      <w:r>
        <w:rPr>
          <w:rFonts w:ascii="Verdana" w:hAnsi="Verdana"/>
          <w:i/>
          <w:sz w:val="20"/>
          <w:lang w:val="es-CO"/>
        </w:rPr>
        <w:t xml:space="preserve"> Hernández y otros</w:t>
      </w:r>
      <w:r>
        <w:rPr>
          <w:rFonts w:ascii="Verdana" w:hAnsi="Verdana"/>
          <w:sz w:val="20"/>
          <w:lang w:val="es-CO"/>
        </w:rPr>
        <w:t>,</w:t>
      </w:r>
      <w:r>
        <w:rPr>
          <w:rFonts w:ascii="Verdana" w:hAnsi="Verdana"/>
          <w:i/>
          <w:sz w:val="20"/>
          <w:lang w:val="es-CO"/>
        </w:rPr>
        <w:t xml:space="preserve"> </w:t>
      </w:r>
      <w:r>
        <w:rPr>
          <w:rFonts w:ascii="Verdana" w:hAnsi="Verdana"/>
          <w:sz w:val="20"/>
          <w:lang w:val="es-CO"/>
        </w:rPr>
        <w:t xml:space="preserve">y de las </w:t>
      </w:r>
      <w:r>
        <w:rPr>
          <w:rFonts w:ascii="Verdana" w:hAnsi="Verdana"/>
          <w:i/>
          <w:sz w:val="20"/>
          <w:lang w:val="es-CO"/>
        </w:rPr>
        <w:t>Masacres de El Mozote y lugares aledaños</w:t>
      </w:r>
      <w:r>
        <w:rPr>
          <w:rStyle w:val="Refdenotaalpie"/>
          <w:rFonts w:ascii="Verdana" w:hAnsi="Verdana"/>
          <w:i/>
          <w:sz w:val="20"/>
          <w:lang w:val="es-CO"/>
        </w:rPr>
        <w:footnoteReference w:id="24"/>
      </w:r>
      <w:r w:rsidR="00011472">
        <w:rPr>
          <w:rFonts w:ascii="Verdana" w:hAnsi="Verdana"/>
          <w:sz w:val="20"/>
          <w:lang w:val="es-CO"/>
        </w:rPr>
        <w:t xml:space="preserve">. Asimismo, se </w:t>
      </w:r>
      <w:r w:rsidR="00A31A5D">
        <w:rPr>
          <w:rFonts w:ascii="Verdana" w:hAnsi="Verdana"/>
          <w:sz w:val="20"/>
          <w:lang w:val="es-CO"/>
        </w:rPr>
        <w:t>evidencia que</w:t>
      </w:r>
      <w:r w:rsidR="00011472">
        <w:rPr>
          <w:rFonts w:ascii="Verdana" w:hAnsi="Verdana"/>
          <w:sz w:val="20"/>
          <w:lang w:val="es-CO"/>
        </w:rPr>
        <w:t xml:space="preserve"> en la página </w:t>
      </w:r>
      <w:r w:rsidR="00011472" w:rsidRPr="00A31A5D">
        <w:rPr>
          <w:rFonts w:ascii="Verdana" w:hAnsi="Verdana"/>
          <w:i/>
          <w:sz w:val="20"/>
          <w:lang w:val="es-CO"/>
        </w:rPr>
        <w:t>web</w:t>
      </w:r>
      <w:r>
        <w:rPr>
          <w:rFonts w:ascii="Verdana" w:hAnsi="Verdana"/>
          <w:sz w:val="20"/>
          <w:lang w:val="es-CO"/>
        </w:rPr>
        <w:t xml:space="preserve"> existen publicaciones de revistas </w:t>
      </w:r>
      <w:r w:rsidR="00011472">
        <w:rPr>
          <w:rFonts w:ascii="Verdana" w:hAnsi="Verdana"/>
          <w:sz w:val="20"/>
          <w:lang w:val="es-CO"/>
        </w:rPr>
        <w:t>y</w:t>
      </w:r>
      <w:r>
        <w:rPr>
          <w:rFonts w:ascii="Verdana" w:hAnsi="Verdana"/>
          <w:sz w:val="20"/>
          <w:lang w:val="es-CO"/>
        </w:rPr>
        <w:t xml:space="preserve"> por medio de audiovisuales, en las que se promociona que se brinde información a la Comisión Nacional de Búsqueda sobre casos sobre los que se tiene conocimiento que están relacionados a niños y niñas desaparecidas durante el conflicto armado</w:t>
      </w:r>
      <w:r>
        <w:rPr>
          <w:rStyle w:val="Refdenotaalpie"/>
          <w:rFonts w:ascii="Verdana" w:hAnsi="Verdana"/>
          <w:sz w:val="20"/>
          <w:lang w:val="es-CO"/>
        </w:rPr>
        <w:footnoteReference w:id="25"/>
      </w:r>
      <w:r w:rsidR="00A31A5D">
        <w:rPr>
          <w:rFonts w:ascii="Verdana" w:hAnsi="Verdana"/>
          <w:sz w:val="20"/>
          <w:lang w:val="es-CO"/>
        </w:rPr>
        <w:t>. Igualmente,</w:t>
      </w:r>
      <w:r>
        <w:rPr>
          <w:rFonts w:ascii="Verdana" w:hAnsi="Verdana"/>
          <w:sz w:val="20"/>
          <w:lang w:val="es-CO"/>
        </w:rPr>
        <w:t xml:space="preserve"> se encuentran publicad</w:t>
      </w:r>
      <w:r w:rsidR="00A31A5D">
        <w:rPr>
          <w:rFonts w:ascii="Verdana" w:hAnsi="Verdana"/>
          <w:sz w:val="20"/>
          <w:lang w:val="es-CO"/>
        </w:rPr>
        <w:t>o</w:t>
      </w:r>
      <w:r>
        <w:rPr>
          <w:rFonts w:ascii="Verdana" w:hAnsi="Verdana"/>
          <w:sz w:val="20"/>
          <w:lang w:val="es-CO"/>
        </w:rPr>
        <w:t>s algun</w:t>
      </w:r>
      <w:r w:rsidR="00A31A5D">
        <w:rPr>
          <w:rFonts w:ascii="Verdana" w:hAnsi="Verdana"/>
          <w:sz w:val="20"/>
          <w:lang w:val="es-CO"/>
        </w:rPr>
        <w:t>o</w:t>
      </w:r>
      <w:r>
        <w:rPr>
          <w:rFonts w:ascii="Verdana" w:hAnsi="Verdana"/>
          <w:sz w:val="20"/>
          <w:lang w:val="es-CO"/>
        </w:rPr>
        <w:t>s textos jurídicos, tanto nacionales como internacionales, relativos a los estándares sobre la prohibición de la desaparición forzada y la lucha contra la impunidad, entre otros</w:t>
      </w:r>
      <w:r>
        <w:rPr>
          <w:rStyle w:val="Refdenotaalpie"/>
          <w:rFonts w:ascii="Verdana" w:hAnsi="Verdana"/>
          <w:sz w:val="20"/>
          <w:lang w:val="es-CO"/>
        </w:rPr>
        <w:footnoteReference w:id="26"/>
      </w:r>
      <w:r>
        <w:rPr>
          <w:rFonts w:ascii="Verdana" w:hAnsi="Verdana"/>
          <w:sz w:val="20"/>
          <w:lang w:val="es-CO"/>
        </w:rPr>
        <w:t>. Finalmente, la Corte toma nota de la publicidad de dicha página web a través de redes sociales como Facebook</w:t>
      </w:r>
      <w:r>
        <w:rPr>
          <w:rStyle w:val="Refdenotaalpie"/>
          <w:rFonts w:ascii="Verdana" w:hAnsi="Verdana"/>
          <w:sz w:val="20"/>
          <w:lang w:val="es-CO"/>
        </w:rPr>
        <w:footnoteReference w:id="27"/>
      </w:r>
      <w:r>
        <w:rPr>
          <w:rFonts w:ascii="Verdana" w:hAnsi="Verdana"/>
          <w:sz w:val="20"/>
          <w:lang w:val="es-CO"/>
        </w:rPr>
        <w:t>, Twitter</w:t>
      </w:r>
      <w:r>
        <w:rPr>
          <w:rStyle w:val="Refdenotaalpie"/>
          <w:rFonts w:ascii="Verdana" w:hAnsi="Verdana"/>
          <w:sz w:val="20"/>
          <w:lang w:val="es-CO"/>
        </w:rPr>
        <w:footnoteReference w:id="28"/>
      </w:r>
      <w:r>
        <w:rPr>
          <w:rFonts w:ascii="Verdana" w:hAnsi="Verdana"/>
          <w:sz w:val="20"/>
          <w:lang w:val="es-CO"/>
        </w:rPr>
        <w:t xml:space="preserve"> y </w:t>
      </w:r>
      <w:proofErr w:type="spellStart"/>
      <w:r>
        <w:rPr>
          <w:rFonts w:ascii="Verdana" w:hAnsi="Verdana"/>
          <w:sz w:val="20"/>
          <w:lang w:val="es-CO"/>
        </w:rPr>
        <w:t>Youtube</w:t>
      </w:r>
      <w:proofErr w:type="spellEnd"/>
      <w:r>
        <w:rPr>
          <w:rStyle w:val="Refdenotaalpie"/>
          <w:rFonts w:ascii="Verdana" w:hAnsi="Verdana"/>
          <w:sz w:val="20"/>
          <w:lang w:val="es-CO"/>
        </w:rPr>
        <w:footnoteReference w:id="29"/>
      </w:r>
      <w:r>
        <w:rPr>
          <w:rFonts w:ascii="Verdana" w:hAnsi="Verdana"/>
          <w:sz w:val="20"/>
          <w:lang w:val="es-CO"/>
        </w:rPr>
        <w:t>, que, tal como lo afirma el Estado, son relevantes “tomando en cuenta la necesidad de comunicación con públicos extranjeros, como jóvenes adoptados y familias adoptivas”.</w:t>
      </w:r>
      <w:bookmarkEnd w:id="9"/>
    </w:p>
    <w:p w:rsidR="00EC4AE2" w:rsidRDefault="00EC4AE2" w:rsidP="00EC4AE2">
      <w:pPr>
        <w:pStyle w:val="Prrafodelista"/>
        <w:ind w:left="0"/>
        <w:jc w:val="both"/>
        <w:rPr>
          <w:rFonts w:ascii="Verdana" w:hAnsi="Verdana"/>
          <w:sz w:val="20"/>
          <w:lang w:val="es-CO"/>
        </w:rPr>
      </w:pPr>
    </w:p>
    <w:p w:rsidR="00011472" w:rsidRPr="00011472" w:rsidRDefault="00011472" w:rsidP="00EC4AE2">
      <w:pPr>
        <w:pStyle w:val="Prrafodelista"/>
        <w:numPr>
          <w:ilvl w:val="0"/>
          <w:numId w:val="10"/>
        </w:numPr>
        <w:ind w:left="0" w:firstLine="0"/>
        <w:jc w:val="both"/>
        <w:rPr>
          <w:rFonts w:ascii="Verdana" w:hAnsi="Verdana"/>
          <w:sz w:val="20"/>
          <w:lang w:val="es-CO"/>
        </w:rPr>
      </w:pPr>
      <w:r>
        <w:rPr>
          <w:rFonts w:ascii="Verdana" w:hAnsi="Verdana"/>
          <w:sz w:val="20"/>
          <w:lang w:val="es-CO"/>
        </w:rPr>
        <w:t>T</w:t>
      </w:r>
      <w:r w:rsidR="00EC4AE2">
        <w:rPr>
          <w:rFonts w:ascii="Verdana" w:hAnsi="Verdana"/>
          <w:sz w:val="20"/>
          <w:lang w:val="es-CO"/>
        </w:rPr>
        <w:t>anto las representantes como la Comisión coincidieron</w:t>
      </w:r>
      <w:r w:rsidR="004F53F2">
        <w:rPr>
          <w:rFonts w:ascii="Verdana" w:hAnsi="Verdana"/>
          <w:sz w:val="20"/>
          <w:lang w:val="es-CO"/>
        </w:rPr>
        <w:t>,</w:t>
      </w:r>
      <w:r w:rsidR="00EC4AE2">
        <w:rPr>
          <w:rFonts w:ascii="Verdana" w:hAnsi="Verdana"/>
          <w:sz w:val="20"/>
          <w:lang w:val="es-CO"/>
        </w:rPr>
        <w:t xml:space="preserve"> en la audiencia de supervisión de cumplimiento</w:t>
      </w:r>
      <w:r w:rsidR="004F53F2">
        <w:rPr>
          <w:rFonts w:ascii="Verdana" w:hAnsi="Verdana"/>
          <w:sz w:val="20"/>
          <w:lang w:val="es-CO"/>
        </w:rPr>
        <w:t xml:space="preserve"> de junio de 2016,</w:t>
      </w:r>
      <w:r w:rsidR="00EC4AE2">
        <w:rPr>
          <w:rFonts w:ascii="Verdana" w:hAnsi="Verdana"/>
          <w:sz w:val="20"/>
          <w:lang w:val="es-CO"/>
        </w:rPr>
        <w:t xml:space="preserve"> en el cumplimiento </w:t>
      </w:r>
      <w:r w:rsidR="00EC4AE2" w:rsidRPr="00011472">
        <w:rPr>
          <w:rFonts w:ascii="Verdana" w:hAnsi="Verdana"/>
          <w:sz w:val="20"/>
          <w:lang w:val="es-CO"/>
        </w:rPr>
        <w:t>de esta medida</w:t>
      </w:r>
      <w:r w:rsidRPr="00011472">
        <w:rPr>
          <w:rStyle w:val="Refdenotaalpie"/>
          <w:rFonts w:ascii="Verdana" w:hAnsi="Verdana"/>
          <w:sz w:val="20"/>
          <w:lang w:val="es-CO"/>
        </w:rPr>
        <w:footnoteReference w:id="30"/>
      </w:r>
      <w:r w:rsidR="00EC4AE2" w:rsidRPr="00011472">
        <w:rPr>
          <w:rFonts w:ascii="Verdana" w:hAnsi="Verdana"/>
          <w:sz w:val="20"/>
          <w:lang w:val="es-CO"/>
        </w:rPr>
        <w:t xml:space="preserve">. </w:t>
      </w:r>
    </w:p>
    <w:p w:rsidR="00011472" w:rsidRPr="00011472" w:rsidRDefault="00011472" w:rsidP="00011472">
      <w:pPr>
        <w:pStyle w:val="Prrafodelista"/>
        <w:rPr>
          <w:rFonts w:ascii="Verdana" w:hAnsi="Verdana"/>
          <w:sz w:val="20"/>
          <w:lang w:val="es-CO"/>
        </w:rPr>
      </w:pPr>
    </w:p>
    <w:p w:rsidR="00EC4AE2" w:rsidRDefault="00EC4AE2" w:rsidP="00EC4AE2">
      <w:pPr>
        <w:pStyle w:val="Prrafodelista"/>
        <w:numPr>
          <w:ilvl w:val="0"/>
          <w:numId w:val="10"/>
        </w:numPr>
        <w:ind w:left="0" w:firstLine="0"/>
        <w:jc w:val="both"/>
        <w:rPr>
          <w:rFonts w:ascii="Verdana" w:hAnsi="Verdana"/>
          <w:sz w:val="20"/>
          <w:lang w:val="es-CO"/>
        </w:rPr>
      </w:pPr>
      <w:bookmarkStart w:id="10" w:name="_Ref461701544"/>
      <w:r w:rsidRPr="00D64368">
        <w:rPr>
          <w:rFonts w:ascii="Verdana" w:hAnsi="Verdana"/>
          <w:sz w:val="20"/>
          <w:lang w:val="es-CO"/>
        </w:rPr>
        <w:t xml:space="preserve">Teniendo en cuenta lo anterior, la Corte considera que el Estado ha dado cumplimiento total </w:t>
      </w:r>
      <w:r w:rsidR="004F53F2">
        <w:rPr>
          <w:rFonts w:ascii="Verdana" w:hAnsi="Verdana"/>
          <w:sz w:val="20"/>
          <w:lang w:val="es-CO"/>
        </w:rPr>
        <w:t>a</w:t>
      </w:r>
      <w:r w:rsidRPr="00D64368">
        <w:rPr>
          <w:rFonts w:ascii="Verdana" w:hAnsi="Verdana"/>
          <w:sz w:val="20"/>
          <w:lang w:val="es-CO"/>
        </w:rPr>
        <w:t xml:space="preserve"> la reparación relativa a la </w:t>
      </w:r>
      <w:r w:rsidR="00011472">
        <w:rPr>
          <w:rFonts w:ascii="Verdana" w:hAnsi="Verdana"/>
          <w:sz w:val="20"/>
          <w:lang w:val="es-CO"/>
        </w:rPr>
        <w:t>c</w:t>
      </w:r>
      <w:r w:rsidRPr="00D64368">
        <w:rPr>
          <w:rFonts w:ascii="Verdana" w:hAnsi="Verdana"/>
          <w:sz w:val="20"/>
          <w:lang w:val="es-CO"/>
        </w:rPr>
        <w:t xml:space="preserve">reación de página </w:t>
      </w:r>
      <w:r w:rsidRPr="00A31A5D">
        <w:rPr>
          <w:rFonts w:ascii="Verdana" w:hAnsi="Verdana"/>
          <w:i/>
          <w:sz w:val="20"/>
          <w:lang w:val="es-CO"/>
        </w:rPr>
        <w:t>web</w:t>
      </w:r>
      <w:r>
        <w:rPr>
          <w:rFonts w:ascii="Verdana" w:hAnsi="Verdana"/>
          <w:sz w:val="20"/>
          <w:lang w:val="es-CO"/>
        </w:rPr>
        <w:t xml:space="preserve"> de búsqueda de niños y niñas desaparecidos durante el conflicto armado salvadoreño, y considera que puede dar por concluida la supervisión de esta medida. En efecto, las medidas adoptadas por el Estado (</w:t>
      </w:r>
      <w:r>
        <w:rPr>
          <w:rFonts w:ascii="Verdana" w:hAnsi="Verdana"/>
          <w:i/>
          <w:sz w:val="20"/>
          <w:lang w:val="es-CO"/>
        </w:rPr>
        <w:t>supra</w:t>
      </w:r>
      <w:r>
        <w:rPr>
          <w:rFonts w:ascii="Verdana" w:hAnsi="Verdana"/>
          <w:sz w:val="20"/>
          <w:lang w:val="es-CO"/>
        </w:rPr>
        <w:t xml:space="preserve"> Considerando </w:t>
      </w:r>
      <w:r w:rsidR="00A31A5D">
        <w:rPr>
          <w:rFonts w:ascii="Verdana" w:hAnsi="Verdana"/>
          <w:sz w:val="20"/>
          <w:lang w:val="es-CO"/>
        </w:rPr>
        <w:fldChar w:fldCharType="begin"/>
      </w:r>
      <w:r w:rsidR="00A31A5D">
        <w:rPr>
          <w:rFonts w:ascii="Verdana" w:hAnsi="Verdana"/>
          <w:sz w:val="20"/>
          <w:lang w:val="es-CO"/>
        </w:rPr>
        <w:instrText xml:space="preserve"> REF _Ref461696501 \r \h </w:instrText>
      </w:r>
      <w:r w:rsidR="00A31A5D">
        <w:rPr>
          <w:rFonts w:ascii="Verdana" w:hAnsi="Verdana"/>
          <w:sz w:val="20"/>
          <w:lang w:val="es-CO"/>
        </w:rPr>
      </w:r>
      <w:r w:rsidR="00A31A5D">
        <w:rPr>
          <w:rFonts w:ascii="Verdana" w:hAnsi="Verdana"/>
          <w:sz w:val="20"/>
          <w:lang w:val="es-CO"/>
        </w:rPr>
        <w:fldChar w:fldCharType="separate"/>
      </w:r>
      <w:r w:rsidR="00D676EE">
        <w:rPr>
          <w:rFonts w:ascii="Verdana" w:hAnsi="Verdana"/>
          <w:sz w:val="20"/>
          <w:lang w:val="es-CO"/>
        </w:rPr>
        <w:t>8</w:t>
      </w:r>
      <w:r w:rsidR="00A31A5D">
        <w:rPr>
          <w:rFonts w:ascii="Verdana" w:hAnsi="Verdana"/>
          <w:sz w:val="20"/>
          <w:lang w:val="es-CO"/>
        </w:rPr>
        <w:fldChar w:fldCharType="end"/>
      </w:r>
      <w:r>
        <w:rPr>
          <w:rFonts w:ascii="Verdana" w:hAnsi="Verdana"/>
          <w:sz w:val="20"/>
          <w:lang w:val="es-CO"/>
        </w:rPr>
        <w:t>) cumplen con el propósito de lo ordenado en los párrafos 189 a 191 de la Sentencia, en el sentido que se permit</w:t>
      </w:r>
      <w:r w:rsidR="00A31A5D">
        <w:rPr>
          <w:rFonts w:ascii="Verdana" w:hAnsi="Verdana"/>
          <w:sz w:val="20"/>
          <w:lang w:val="es-CO"/>
        </w:rPr>
        <w:t>e</w:t>
      </w:r>
      <w:r>
        <w:rPr>
          <w:rFonts w:ascii="Verdana" w:hAnsi="Verdana"/>
          <w:sz w:val="20"/>
          <w:lang w:val="es-CO"/>
        </w:rPr>
        <w:t xml:space="preserve"> crear una base de datos en la que se difunda la información relevante para favorecer que las personas</w:t>
      </w:r>
      <w:r w:rsidR="004F53F2">
        <w:rPr>
          <w:rFonts w:ascii="Verdana" w:hAnsi="Verdana"/>
          <w:sz w:val="20"/>
          <w:lang w:val="es-CO"/>
        </w:rPr>
        <w:t xml:space="preserve"> desaparecidas que se encontrare</w:t>
      </w:r>
      <w:r>
        <w:rPr>
          <w:rFonts w:ascii="Verdana" w:hAnsi="Verdana"/>
          <w:sz w:val="20"/>
          <w:lang w:val="es-CO"/>
        </w:rPr>
        <w:t xml:space="preserve">n con vida </w:t>
      </w:r>
      <w:r w:rsidR="004F53F2">
        <w:rPr>
          <w:rFonts w:ascii="Verdana" w:hAnsi="Verdana"/>
          <w:sz w:val="20"/>
          <w:lang w:val="es-CO"/>
        </w:rPr>
        <w:t>puedan</w:t>
      </w:r>
      <w:r>
        <w:rPr>
          <w:rFonts w:ascii="Verdana" w:hAnsi="Verdana"/>
          <w:sz w:val="20"/>
          <w:lang w:val="es-CO"/>
        </w:rPr>
        <w:t xml:space="preserve"> contactar dicha página, y que</w:t>
      </w:r>
      <w:r w:rsidR="00A31A5D">
        <w:rPr>
          <w:rFonts w:ascii="Verdana" w:hAnsi="Verdana"/>
          <w:sz w:val="20"/>
          <w:lang w:val="es-CO"/>
        </w:rPr>
        <w:t>,</w:t>
      </w:r>
      <w:r>
        <w:rPr>
          <w:rFonts w:ascii="Verdana" w:hAnsi="Verdana"/>
          <w:sz w:val="20"/>
          <w:lang w:val="es-CO"/>
        </w:rPr>
        <w:t xml:space="preserve"> igualmente</w:t>
      </w:r>
      <w:r w:rsidR="00A31A5D">
        <w:rPr>
          <w:rFonts w:ascii="Verdana" w:hAnsi="Verdana"/>
          <w:sz w:val="20"/>
          <w:lang w:val="es-CO"/>
        </w:rPr>
        <w:t>,</w:t>
      </w:r>
      <w:r>
        <w:rPr>
          <w:rFonts w:ascii="Verdana" w:hAnsi="Verdana"/>
          <w:sz w:val="20"/>
          <w:lang w:val="es-CO"/>
        </w:rPr>
        <w:t xml:space="preserve"> se facilite a los familiares de las personas desaparecidas y a las instituciones competentes información sobre su paradero. </w:t>
      </w:r>
      <w:r w:rsidR="00A31A5D">
        <w:rPr>
          <w:rFonts w:ascii="Verdana" w:hAnsi="Verdana"/>
          <w:sz w:val="20"/>
          <w:lang w:val="es-CO"/>
        </w:rPr>
        <w:t>L</w:t>
      </w:r>
      <w:r>
        <w:rPr>
          <w:rFonts w:ascii="Verdana" w:hAnsi="Verdana"/>
          <w:sz w:val="20"/>
          <w:lang w:val="es-CO"/>
        </w:rPr>
        <w:t xml:space="preserve">a Corte hace notar que dicha página </w:t>
      </w:r>
      <w:r w:rsidRPr="00A31A5D">
        <w:rPr>
          <w:rFonts w:ascii="Verdana" w:hAnsi="Verdana"/>
          <w:i/>
          <w:sz w:val="20"/>
          <w:lang w:val="es-CO"/>
        </w:rPr>
        <w:t>web</w:t>
      </w:r>
      <w:r>
        <w:rPr>
          <w:rFonts w:ascii="Verdana" w:hAnsi="Verdana"/>
          <w:sz w:val="20"/>
          <w:lang w:val="es-CO"/>
        </w:rPr>
        <w:t xml:space="preserve"> cuenta con alcance internacional, especialmente a través de las redes sociales que facilitan la difusión nacional e internacional de la labor de la Comisión Nacional de Búsqueda y del funcionamiento de la página </w:t>
      </w:r>
      <w:r w:rsidRPr="00A31A5D">
        <w:rPr>
          <w:rFonts w:ascii="Verdana" w:hAnsi="Verdana"/>
          <w:i/>
          <w:sz w:val="20"/>
          <w:lang w:val="es-CO"/>
        </w:rPr>
        <w:t>web</w:t>
      </w:r>
      <w:r>
        <w:rPr>
          <w:rFonts w:ascii="Verdana" w:hAnsi="Verdana"/>
          <w:sz w:val="20"/>
          <w:lang w:val="es-CO"/>
        </w:rPr>
        <w:t xml:space="preserve"> referida</w:t>
      </w:r>
      <w:r>
        <w:rPr>
          <w:rStyle w:val="Refdenotaalpie"/>
          <w:rFonts w:ascii="Verdana" w:hAnsi="Verdana"/>
          <w:sz w:val="20"/>
          <w:lang w:val="es-CO"/>
        </w:rPr>
        <w:footnoteReference w:id="31"/>
      </w:r>
      <w:r>
        <w:rPr>
          <w:rFonts w:ascii="Verdana" w:hAnsi="Verdana"/>
          <w:sz w:val="20"/>
          <w:lang w:val="es-CO"/>
        </w:rPr>
        <w:t xml:space="preserve">.  </w:t>
      </w:r>
      <w:r>
        <w:rPr>
          <w:rFonts w:ascii="Verdana" w:hAnsi="Verdana"/>
          <w:sz w:val="20"/>
          <w:lang w:val="es-CO"/>
        </w:rPr>
        <w:lastRenderedPageBreak/>
        <w:t>Ahora bien, la Corte enfatiza, tal como lo solicitaron los representantes y la Comisión</w:t>
      </w:r>
      <w:r w:rsidR="00011472">
        <w:rPr>
          <w:rStyle w:val="Refdenotaalpie"/>
          <w:rFonts w:ascii="Verdana" w:hAnsi="Verdana"/>
          <w:sz w:val="20"/>
          <w:lang w:val="es-CO"/>
        </w:rPr>
        <w:footnoteReference w:id="32"/>
      </w:r>
      <w:r>
        <w:rPr>
          <w:rFonts w:ascii="Verdana" w:hAnsi="Verdana"/>
          <w:sz w:val="20"/>
          <w:lang w:val="es-CO"/>
        </w:rPr>
        <w:t xml:space="preserve">, que el Estado debe asegurarse del funcionamiento </w:t>
      </w:r>
      <w:r w:rsidR="00011472">
        <w:rPr>
          <w:rFonts w:ascii="Verdana" w:hAnsi="Verdana"/>
          <w:sz w:val="20"/>
          <w:lang w:val="es-CO"/>
        </w:rPr>
        <w:t xml:space="preserve">permanente </w:t>
      </w:r>
      <w:r>
        <w:rPr>
          <w:rFonts w:ascii="Verdana" w:hAnsi="Verdana"/>
          <w:sz w:val="20"/>
          <w:lang w:val="es-CO"/>
        </w:rPr>
        <w:t xml:space="preserve">de esta página </w:t>
      </w:r>
      <w:r w:rsidRPr="006D3A8E">
        <w:rPr>
          <w:rFonts w:ascii="Verdana" w:hAnsi="Verdana"/>
          <w:i/>
          <w:sz w:val="20"/>
          <w:lang w:val="es-CO"/>
        </w:rPr>
        <w:t>web</w:t>
      </w:r>
      <w:r>
        <w:rPr>
          <w:rFonts w:ascii="Verdana" w:hAnsi="Verdana"/>
          <w:sz w:val="20"/>
          <w:lang w:val="es-CO"/>
        </w:rPr>
        <w:t xml:space="preserve">, siguiendo los parámetros dispuestos en los párrafos 189 a 191 de la Sentencia, de forma que </w:t>
      </w:r>
      <w:r w:rsidR="004F53F2">
        <w:rPr>
          <w:rFonts w:ascii="Verdana" w:hAnsi="Verdana"/>
          <w:sz w:val="20"/>
          <w:lang w:val="es-CO"/>
        </w:rPr>
        <w:t>continúe</w:t>
      </w:r>
      <w:r>
        <w:rPr>
          <w:rFonts w:ascii="Verdana" w:hAnsi="Verdana"/>
          <w:sz w:val="20"/>
          <w:lang w:val="es-CO"/>
        </w:rPr>
        <w:t xml:space="preserve"> constituy</w:t>
      </w:r>
      <w:r w:rsidR="00011472">
        <w:rPr>
          <w:rFonts w:ascii="Verdana" w:hAnsi="Verdana"/>
          <w:sz w:val="20"/>
          <w:lang w:val="es-CO"/>
        </w:rPr>
        <w:t>e</w:t>
      </w:r>
      <w:r>
        <w:rPr>
          <w:rFonts w:ascii="Verdana" w:hAnsi="Verdana"/>
          <w:sz w:val="20"/>
          <w:lang w:val="es-CO"/>
        </w:rPr>
        <w:t>ndo una herramienta eficaz para la búsqueda del paradero de aquellos niños y niñas desaparecidas durante el conflicto armado salvadoreño.</w:t>
      </w:r>
      <w:bookmarkEnd w:id="10"/>
    </w:p>
    <w:p w:rsidR="00EC4AE2" w:rsidRDefault="00EC4AE2" w:rsidP="00EC4AE2">
      <w:pPr>
        <w:pStyle w:val="Prrafodelista"/>
        <w:jc w:val="both"/>
        <w:outlineLvl w:val="0"/>
        <w:rPr>
          <w:rFonts w:ascii="Verdana" w:hAnsi="Verdana"/>
          <w:b/>
          <w:sz w:val="20"/>
          <w:lang w:val="es-CO"/>
        </w:rPr>
      </w:pPr>
    </w:p>
    <w:p w:rsidR="00011472" w:rsidRPr="00EC4AE2" w:rsidRDefault="00011472" w:rsidP="00EC4AE2">
      <w:pPr>
        <w:pStyle w:val="Prrafodelista"/>
        <w:jc w:val="both"/>
        <w:outlineLvl w:val="0"/>
        <w:rPr>
          <w:rFonts w:ascii="Verdana" w:hAnsi="Verdana"/>
          <w:b/>
          <w:sz w:val="20"/>
          <w:lang w:val="es-CO"/>
        </w:rPr>
      </w:pPr>
    </w:p>
    <w:p w:rsidR="00F87152" w:rsidRPr="0033667B" w:rsidRDefault="0074538E" w:rsidP="0074538E">
      <w:pPr>
        <w:pStyle w:val="Prrafodelista"/>
        <w:numPr>
          <w:ilvl w:val="0"/>
          <w:numId w:val="3"/>
        </w:numPr>
        <w:jc w:val="both"/>
        <w:outlineLvl w:val="0"/>
        <w:rPr>
          <w:rFonts w:ascii="Verdana" w:hAnsi="Verdana"/>
          <w:b/>
          <w:sz w:val="20"/>
        </w:rPr>
      </w:pPr>
      <w:bookmarkStart w:id="11" w:name="_Toc458162509"/>
      <w:r>
        <w:rPr>
          <w:rFonts w:ascii="Verdana" w:hAnsi="Verdana"/>
          <w:b/>
          <w:sz w:val="20"/>
        </w:rPr>
        <w:t>Tratamiento médico y psicológico</w:t>
      </w:r>
      <w:bookmarkEnd w:id="11"/>
      <w:r w:rsidR="00F87152" w:rsidRPr="0033667B">
        <w:rPr>
          <w:rFonts w:ascii="Verdana" w:hAnsi="Verdana"/>
          <w:b/>
          <w:sz w:val="20"/>
        </w:rPr>
        <w:t xml:space="preserve"> </w:t>
      </w:r>
    </w:p>
    <w:p w:rsidR="00F87152" w:rsidRPr="00C432E6" w:rsidRDefault="00F87152" w:rsidP="00F87152">
      <w:pPr>
        <w:jc w:val="both"/>
        <w:outlineLvl w:val="0"/>
        <w:rPr>
          <w:rFonts w:ascii="Verdana" w:hAnsi="Verdana"/>
          <w:b/>
          <w:sz w:val="20"/>
        </w:rPr>
      </w:pPr>
    </w:p>
    <w:p w:rsidR="00F87152" w:rsidRPr="00C432E6" w:rsidRDefault="00971B9B" w:rsidP="006D3A8E">
      <w:pPr>
        <w:ind w:left="720"/>
        <w:jc w:val="both"/>
        <w:rPr>
          <w:rFonts w:ascii="Verdana" w:hAnsi="Verdana"/>
          <w:b/>
          <w:i/>
          <w:sz w:val="20"/>
        </w:rPr>
      </w:pPr>
      <w:bookmarkStart w:id="12" w:name="_Toc457290846"/>
      <w:r>
        <w:rPr>
          <w:rFonts w:ascii="Verdana" w:hAnsi="Verdana"/>
          <w:b/>
          <w:i/>
          <w:sz w:val="20"/>
        </w:rPr>
        <w:t>B</w:t>
      </w:r>
      <w:r w:rsidR="00F87152" w:rsidRPr="00C432E6">
        <w:rPr>
          <w:rFonts w:ascii="Verdana" w:hAnsi="Verdana"/>
          <w:b/>
          <w:i/>
          <w:sz w:val="20"/>
        </w:rPr>
        <w:t xml:space="preserve">.1 </w:t>
      </w:r>
      <w:r w:rsidR="00F87152" w:rsidRPr="00C432E6">
        <w:rPr>
          <w:rFonts w:ascii="Verdana" w:hAnsi="Verdana"/>
          <w:b/>
          <w:i/>
          <w:sz w:val="20"/>
        </w:rPr>
        <w:tab/>
        <w:t xml:space="preserve"> Medida ordenada por la Corte y supervisión realizada en </w:t>
      </w:r>
      <w:r w:rsidR="006D3A8E">
        <w:rPr>
          <w:rFonts w:ascii="Verdana" w:hAnsi="Verdana"/>
          <w:b/>
          <w:i/>
          <w:sz w:val="20"/>
        </w:rPr>
        <w:t>R</w:t>
      </w:r>
      <w:r w:rsidR="00F87152" w:rsidRPr="00C432E6">
        <w:rPr>
          <w:rFonts w:ascii="Verdana" w:hAnsi="Verdana"/>
          <w:b/>
          <w:i/>
          <w:sz w:val="20"/>
        </w:rPr>
        <w:t>esolución anterior</w:t>
      </w:r>
      <w:bookmarkEnd w:id="12"/>
      <w:r w:rsidR="00F87152" w:rsidRPr="00C432E6">
        <w:rPr>
          <w:rFonts w:ascii="Verdana" w:hAnsi="Verdana"/>
          <w:b/>
          <w:i/>
          <w:sz w:val="20"/>
        </w:rPr>
        <w:t xml:space="preserve"> </w:t>
      </w:r>
    </w:p>
    <w:p w:rsidR="00336EC7" w:rsidRPr="00C432E6" w:rsidRDefault="00336EC7" w:rsidP="00F87152">
      <w:pPr>
        <w:ind w:left="1416" w:hanging="696"/>
        <w:jc w:val="both"/>
        <w:outlineLvl w:val="0"/>
        <w:rPr>
          <w:rFonts w:ascii="Verdana" w:hAnsi="Verdana"/>
          <w:b/>
          <w:i/>
          <w:sz w:val="20"/>
        </w:rPr>
      </w:pPr>
    </w:p>
    <w:p w:rsidR="00F87152" w:rsidRDefault="00F87152" w:rsidP="0074538E">
      <w:pPr>
        <w:pStyle w:val="Prrafodelista"/>
        <w:numPr>
          <w:ilvl w:val="0"/>
          <w:numId w:val="10"/>
        </w:numPr>
        <w:ind w:left="0" w:firstLine="0"/>
        <w:jc w:val="both"/>
        <w:rPr>
          <w:rFonts w:ascii="Verdana" w:hAnsi="Verdana"/>
          <w:sz w:val="20"/>
          <w:lang w:val="es-CO"/>
        </w:rPr>
      </w:pPr>
      <w:r w:rsidRPr="00C432E6">
        <w:rPr>
          <w:rFonts w:ascii="Verdana" w:hAnsi="Verdana"/>
          <w:sz w:val="20"/>
        </w:rPr>
        <w:t>En el punto resolutivo undécimo y en los párrafos 197 a 200</w:t>
      </w:r>
      <w:r w:rsidR="00C70936">
        <w:rPr>
          <w:rStyle w:val="Refdenotaalpie"/>
          <w:rFonts w:ascii="Verdana" w:hAnsi="Verdana"/>
          <w:sz w:val="20"/>
        </w:rPr>
        <w:footnoteReference w:id="33"/>
      </w:r>
      <w:r w:rsidRPr="00C432E6">
        <w:rPr>
          <w:rFonts w:ascii="Verdana" w:hAnsi="Verdana"/>
          <w:sz w:val="20"/>
        </w:rPr>
        <w:t xml:space="preserve"> de la Sentencia, la Corte ordenó al Estado </w:t>
      </w:r>
      <w:r w:rsidRPr="00C432E6">
        <w:rPr>
          <w:rFonts w:ascii="Verdana" w:hAnsi="Verdana"/>
          <w:sz w:val="20"/>
          <w:lang w:val="es-CO"/>
        </w:rPr>
        <w:t>“brindar gratuitamente, a través de sus instituciones de salud especializadas, el tratamiento médico y psicológico requerido por los familiares de las víctimas, incluyendo los medicamentos que éstos requieran, tomando en consideración los padecimientos de cada uno de ellos, después de realizar una evaluación individual</w:t>
      </w:r>
      <w:r w:rsidR="00336EC7" w:rsidRPr="00C432E6">
        <w:rPr>
          <w:rFonts w:ascii="Verdana" w:hAnsi="Verdana"/>
          <w:sz w:val="20"/>
          <w:lang w:val="es-CO"/>
        </w:rPr>
        <w:t>”. Al respecto</w:t>
      </w:r>
      <w:r w:rsidR="00DD63B8">
        <w:rPr>
          <w:rFonts w:ascii="Verdana" w:hAnsi="Verdana"/>
          <w:sz w:val="20"/>
          <w:lang w:val="es-CO"/>
        </w:rPr>
        <w:t>, en</w:t>
      </w:r>
      <w:r w:rsidR="00336EC7" w:rsidRPr="00C432E6">
        <w:rPr>
          <w:rFonts w:ascii="Verdana" w:hAnsi="Verdana"/>
          <w:sz w:val="20"/>
          <w:lang w:val="es-CO"/>
        </w:rPr>
        <w:t xml:space="preserve"> la Sentencia</w:t>
      </w:r>
      <w:r w:rsidR="00DD63B8">
        <w:rPr>
          <w:rFonts w:ascii="Verdana" w:hAnsi="Verdana"/>
          <w:sz w:val="20"/>
          <w:lang w:val="es-CO"/>
        </w:rPr>
        <w:t xml:space="preserve"> se</w:t>
      </w:r>
      <w:r w:rsidR="00336EC7" w:rsidRPr="00C432E6">
        <w:rPr>
          <w:rFonts w:ascii="Verdana" w:hAnsi="Verdana"/>
          <w:sz w:val="20"/>
          <w:lang w:val="es-CO"/>
        </w:rPr>
        <w:t xml:space="preserve"> dispuso que</w:t>
      </w:r>
      <w:r w:rsidRPr="00C432E6">
        <w:rPr>
          <w:rFonts w:ascii="Verdana" w:hAnsi="Verdana"/>
          <w:i/>
          <w:sz w:val="20"/>
          <w:lang w:val="es-CO"/>
        </w:rPr>
        <w:t xml:space="preserve"> </w:t>
      </w:r>
      <w:r w:rsidR="00336EC7" w:rsidRPr="00C432E6">
        <w:rPr>
          <w:rFonts w:ascii="Verdana" w:hAnsi="Verdana"/>
          <w:sz w:val="20"/>
          <w:lang w:val="es-CO"/>
        </w:rPr>
        <w:t>“</w:t>
      </w:r>
      <w:r w:rsidR="00DD63B8">
        <w:rPr>
          <w:rFonts w:ascii="Verdana" w:hAnsi="Verdana"/>
          <w:sz w:val="20"/>
          <w:lang w:val="es-CO"/>
        </w:rPr>
        <w:t>[e]</w:t>
      </w:r>
      <w:r w:rsidRPr="00C432E6">
        <w:rPr>
          <w:rFonts w:ascii="Verdana" w:hAnsi="Verdana"/>
          <w:sz w:val="20"/>
          <w:lang w:val="es-CO"/>
        </w:rPr>
        <w:t xml:space="preserve">n caso de que Ernestina y </w:t>
      </w:r>
      <w:proofErr w:type="spellStart"/>
      <w:r w:rsidRPr="00C432E6">
        <w:rPr>
          <w:rFonts w:ascii="Verdana" w:hAnsi="Verdana"/>
          <w:sz w:val="20"/>
          <w:lang w:val="es-CO"/>
        </w:rPr>
        <w:t>Erlinda</w:t>
      </w:r>
      <w:proofErr w:type="spellEnd"/>
      <w:r w:rsidRPr="00C432E6">
        <w:rPr>
          <w:rFonts w:ascii="Verdana" w:hAnsi="Verdana"/>
          <w:sz w:val="20"/>
          <w:lang w:val="es-CO"/>
        </w:rPr>
        <w:t xml:space="preserve"> Serrano Cruz sean encontradas con vida, el Estado también deberá brindarles los referidos trat</w:t>
      </w:r>
      <w:r w:rsidR="00336EC7" w:rsidRPr="00C432E6">
        <w:rPr>
          <w:rFonts w:ascii="Verdana" w:hAnsi="Verdana"/>
          <w:sz w:val="20"/>
          <w:lang w:val="es-CO"/>
        </w:rPr>
        <w:t>amientos médicos y psicoló</w:t>
      </w:r>
      <w:r w:rsidR="00C70936">
        <w:rPr>
          <w:rFonts w:ascii="Verdana" w:hAnsi="Verdana"/>
          <w:sz w:val="20"/>
          <w:lang w:val="es-CO"/>
        </w:rPr>
        <w:t xml:space="preserve">gicos”. </w:t>
      </w:r>
      <w:r w:rsidR="0074538E">
        <w:rPr>
          <w:rFonts w:ascii="Verdana" w:hAnsi="Verdana"/>
          <w:sz w:val="20"/>
          <w:lang w:val="es-CO"/>
        </w:rPr>
        <w:t xml:space="preserve"> Según la Sentencia, la medida tiene como objeto “reducir los padecimientos físicos y psicológicos de los familiares de Ernestina y </w:t>
      </w:r>
      <w:proofErr w:type="spellStart"/>
      <w:r w:rsidR="0074538E">
        <w:rPr>
          <w:rFonts w:ascii="Verdana" w:hAnsi="Verdana"/>
          <w:sz w:val="20"/>
          <w:lang w:val="es-CO"/>
        </w:rPr>
        <w:t>Erlinda</w:t>
      </w:r>
      <w:proofErr w:type="spellEnd"/>
      <w:r w:rsidR="0074538E">
        <w:rPr>
          <w:rFonts w:ascii="Verdana" w:hAnsi="Verdana"/>
          <w:sz w:val="20"/>
          <w:lang w:val="es-CO"/>
        </w:rPr>
        <w:t xml:space="preserve"> derivados de la situación de la violación”.</w:t>
      </w:r>
    </w:p>
    <w:p w:rsidR="00D44261" w:rsidRPr="00C432E6" w:rsidRDefault="00D44261" w:rsidP="00D44261">
      <w:pPr>
        <w:pStyle w:val="Prrafodelista"/>
        <w:ind w:left="0"/>
        <w:jc w:val="both"/>
        <w:outlineLvl w:val="0"/>
        <w:rPr>
          <w:rFonts w:ascii="Verdana" w:hAnsi="Verdana"/>
          <w:sz w:val="20"/>
          <w:lang w:val="es-CO"/>
        </w:rPr>
      </w:pPr>
    </w:p>
    <w:p w:rsidR="00A15DCB" w:rsidRPr="00D926D8" w:rsidRDefault="00DD63B8" w:rsidP="0066078C">
      <w:pPr>
        <w:pStyle w:val="Prrafodelista"/>
        <w:numPr>
          <w:ilvl w:val="0"/>
          <w:numId w:val="10"/>
        </w:numPr>
        <w:ind w:left="0" w:firstLine="0"/>
        <w:jc w:val="both"/>
        <w:rPr>
          <w:rFonts w:ascii="Verdana" w:hAnsi="Verdana"/>
          <w:sz w:val="20"/>
          <w:lang w:val="es-CO"/>
        </w:rPr>
      </w:pPr>
      <w:r>
        <w:rPr>
          <w:rFonts w:ascii="Verdana" w:hAnsi="Verdana"/>
          <w:sz w:val="20"/>
          <w:lang w:val="es-CO"/>
        </w:rPr>
        <w:t>Mediante su</w:t>
      </w:r>
      <w:r w:rsidRPr="00DB4303">
        <w:rPr>
          <w:rFonts w:ascii="Verdana" w:hAnsi="Verdana"/>
          <w:sz w:val="20"/>
          <w:lang w:val="es-CO"/>
        </w:rPr>
        <w:t xml:space="preserve"> </w:t>
      </w:r>
      <w:r w:rsidR="00DB4303" w:rsidRPr="00DB4303">
        <w:rPr>
          <w:rFonts w:ascii="Verdana" w:hAnsi="Verdana"/>
          <w:sz w:val="20"/>
          <w:lang w:val="es-CO"/>
        </w:rPr>
        <w:t xml:space="preserve">Resolución de 2010, la Corte </w:t>
      </w:r>
      <w:r>
        <w:rPr>
          <w:rFonts w:ascii="Verdana" w:hAnsi="Verdana"/>
          <w:sz w:val="20"/>
          <w:lang w:val="es-CO"/>
        </w:rPr>
        <w:t>constató y valoró</w:t>
      </w:r>
      <w:r w:rsidR="00DB4303" w:rsidRPr="00DB4303">
        <w:rPr>
          <w:rFonts w:ascii="Verdana" w:hAnsi="Verdana"/>
          <w:sz w:val="20"/>
          <w:lang w:val="es-CO"/>
        </w:rPr>
        <w:t xml:space="preserve"> </w:t>
      </w:r>
      <w:r w:rsidR="00DE4E1B">
        <w:rPr>
          <w:rFonts w:ascii="Verdana" w:hAnsi="Verdana"/>
          <w:sz w:val="20"/>
          <w:lang w:val="es-CO"/>
        </w:rPr>
        <w:t>algunos</w:t>
      </w:r>
      <w:r>
        <w:rPr>
          <w:rFonts w:ascii="Verdana" w:hAnsi="Verdana"/>
          <w:sz w:val="20"/>
          <w:lang w:val="es-CO"/>
        </w:rPr>
        <w:t xml:space="preserve"> “</w:t>
      </w:r>
      <w:r w:rsidR="00DB4303" w:rsidRPr="00DB4303">
        <w:rPr>
          <w:rFonts w:ascii="Verdana" w:hAnsi="Verdana"/>
          <w:sz w:val="20"/>
          <w:lang w:val="es-CO"/>
        </w:rPr>
        <w:t xml:space="preserve">avances realizados con respecto al tratamiento médico gratuito a favor de la familia Serrano Cruz, incluyendo además, la gratuidad de los medicamentos utilizados, y los gastos de transporte y </w:t>
      </w:r>
      <w:r w:rsidR="00DB4303" w:rsidRPr="0074538E">
        <w:rPr>
          <w:rFonts w:ascii="Verdana" w:hAnsi="Verdana"/>
          <w:sz w:val="20"/>
        </w:rPr>
        <w:t>alimentación</w:t>
      </w:r>
      <w:r w:rsidR="00DB4303" w:rsidRPr="00DB4303">
        <w:rPr>
          <w:rFonts w:ascii="Verdana" w:hAnsi="Verdana"/>
          <w:sz w:val="20"/>
          <w:lang w:val="es-CO"/>
        </w:rPr>
        <w:t xml:space="preserve"> relacionados con dicha atención”</w:t>
      </w:r>
      <w:r w:rsidR="00DB4303" w:rsidRPr="00744FB8">
        <w:rPr>
          <w:rStyle w:val="Refdenotaalpie"/>
          <w:rFonts w:ascii="Verdana" w:hAnsi="Verdana"/>
          <w:sz w:val="20"/>
          <w:lang w:val="es-CO"/>
        </w:rPr>
        <w:footnoteReference w:id="34"/>
      </w:r>
      <w:r w:rsidR="00DB4303" w:rsidRPr="00DB4303">
        <w:rPr>
          <w:rFonts w:ascii="Verdana" w:hAnsi="Verdana"/>
          <w:sz w:val="20"/>
          <w:lang w:val="es-CO"/>
        </w:rPr>
        <w:t>. As</w:t>
      </w:r>
      <w:r w:rsidR="001522F2">
        <w:rPr>
          <w:rFonts w:ascii="Verdana" w:hAnsi="Verdana"/>
          <w:sz w:val="20"/>
          <w:lang w:val="es-CO"/>
        </w:rPr>
        <w:t>i</w:t>
      </w:r>
      <w:r w:rsidR="0033667B">
        <w:rPr>
          <w:rFonts w:ascii="Verdana" w:hAnsi="Verdana"/>
          <w:sz w:val="20"/>
          <w:lang w:val="es-CO"/>
        </w:rPr>
        <w:t>mismo, valoró l</w:t>
      </w:r>
      <w:r w:rsidR="00DB4303" w:rsidRPr="00DB4303">
        <w:rPr>
          <w:rFonts w:ascii="Verdana" w:hAnsi="Verdana"/>
          <w:sz w:val="20"/>
          <w:lang w:val="es-CO"/>
        </w:rPr>
        <w:t>os esfuerzos realizados por el Estado “con el fin de mejorar la coordinación interna para cumplir de la mejor manera con esta medida de reparación y subsanar las deficiencias que en el pasado fueron informadas por los representantes”</w:t>
      </w:r>
      <w:r w:rsidR="00DB4303" w:rsidRPr="00744FB8">
        <w:rPr>
          <w:rStyle w:val="Refdenotaalpie"/>
          <w:rFonts w:ascii="Verdana" w:hAnsi="Verdana"/>
          <w:sz w:val="20"/>
          <w:lang w:val="es-CO"/>
        </w:rPr>
        <w:footnoteReference w:id="35"/>
      </w:r>
      <w:r w:rsidR="00DB4303" w:rsidRPr="00DB4303">
        <w:rPr>
          <w:rFonts w:ascii="Verdana" w:hAnsi="Verdana"/>
          <w:sz w:val="20"/>
          <w:lang w:val="es-CO"/>
        </w:rPr>
        <w:t xml:space="preserve">. Respecto a la atención </w:t>
      </w:r>
      <w:r w:rsidR="00DB4303" w:rsidRPr="00DB4303">
        <w:rPr>
          <w:rFonts w:ascii="Verdana" w:hAnsi="Verdana"/>
          <w:sz w:val="20"/>
          <w:lang w:val="es-CO"/>
        </w:rPr>
        <w:lastRenderedPageBreak/>
        <w:t>psicológica, la Corte valoró “la firma de un acuerdo para proveer dicha atención por el plazo de dos años, por medio de una profesional que goza de la confianza de los familiares y que dicho tratamiento y los gastos directamente vinculados serán cubiertos en su totalidad por el Estado”</w:t>
      </w:r>
      <w:r w:rsidR="00DE4E1B">
        <w:rPr>
          <w:rStyle w:val="Refdenotaalpie"/>
          <w:rFonts w:ascii="Verdana" w:hAnsi="Verdana"/>
          <w:sz w:val="20"/>
          <w:lang w:val="es-CO"/>
        </w:rPr>
        <w:footnoteReference w:id="36"/>
      </w:r>
      <w:r w:rsidR="00E04E06">
        <w:rPr>
          <w:rFonts w:ascii="Verdana" w:hAnsi="Verdana"/>
          <w:sz w:val="20"/>
          <w:lang w:val="es-CO"/>
        </w:rPr>
        <w:t xml:space="preserve">. </w:t>
      </w:r>
      <w:r w:rsidR="00166852">
        <w:rPr>
          <w:rFonts w:ascii="Verdana" w:hAnsi="Verdana"/>
          <w:sz w:val="20"/>
          <w:lang w:val="es-CO"/>
        </w:rPr>
        <w:t>L</w:t>
      </w:r>
      <w:r w:rsidR="00E04E06">
        <w:rPr>
          <w:rFonts w:ascii="Verdana" w:hAnsi="Verdana"/>
          <w:sz w:val="20"/>
          <w:lang w:val="es-CO"/>
        </w:rPr>
        <w:t>a</w:t>
      </w:r>
      <w:r w:rsidR="005570D7" w:rsidRPr="00DB4303">
        <w:rPr>
          <w:rFonts w:ascii="Verdana" w:hAnsi="Verdana"/>
          <w:sz w:val="20"/>
          <w:lang w:val="es-CO"/>
        </w:rPr>
        <w:t xml:space="preserve"> </w:t>
      </w:r>
      <w:r w:rsidR="00DB4303" w:rsidRPr="00DB4303">
        <w:rPr>
          <w:rFonts w:ascii="Verdana" w:hAnsi="Verdana"/>
          <w:sz w:val="20"/>
          <w:lang w:val="es-CO"/>
        </w:rPr>
        <w:t>Corte solicitó al Estado informar “sobre la provisión del tratamiento</w:t>
      </w:r>
      <w:r w:rsidR="003F6BD8">
        <w:rPr>
          <w:rFonts w:ascii="Verdana" w:hAnsi="Verdana"/>
          <w:sz w:val="20"/>
          <w:lang w:val="es-CO"/>
        </w:rPr>
        <w:t xml:space="preserve"> médico y, en particular, […] </w:t>
      </w:r>
      <w:r w:rsidR="00DB4303" w:rsidRPr="00DB4303">
        <w:rPr>
          <w:rFonts w:ascii="Verdana" w:hAnsi="Verdana"/>
          <w:sz w:val="20"/>
          <w:lang w:val="es-CO"/>
        </w:rPr>
        <w:t>los avances en la coordinación con las autoridades competentes del Ministerio de Salud y Acción Social y el personal médico sobre las obligaciones que derivan de la Sentencia, respecto a la prestación de asistencia médica a favor de los familiares indicados”</w:t>
      </w:r>
      <w:r w:rsidR="00DC79BB">
        <w:rPr>
          <w:rFonts w:ascii="Verdana" w:hAnsi="Verdana"/>
          <w:sz w:val="20"/>
          <w:lang w:val="es-CO"/>
        </w:rPr>
        <w:t>.</w:t>
      </w:r>
      <w:r w:rsidR="00DB4303" w:rsidRPr="00DB4303">
        <w:rPr>
          <w:rFonts w:ascii="Verdana" w:hAnsi="Verdana"/>
          <w:sz w:val="20"/>
          <w:lang w:val="es-CO"/>
        </w:rPr>
        <w:t xml:space="preserve"> As</w:t>
      </w:r>
      <w:r w:rsidR="00626388">
        <w:rPr>
          <w:rFonts w:ascii="Verdana" w:hAnsi="Verdana"/>
          <w:sz w:val="20"/>
          <w:lang w:val="es-CO"/>
        </w:rPr>
        <w:t>imismo, solicitó a El Salvador</w:t>
      </w:r>
      <w:r w:rsidR="00DB4303" w:rsidRPr="00DB4303">
        <w:rPr>
          <w:rFonts w:ascii="Verdana" w:hAnsi="Verdana"/>
          <w:sz w:val="20"/>
          <w:lang w:val="es-CO"/>
        </w:rPr>
        <w:t xml:space="preserve"> “informar sobre la implementación del Convenio Interinstitucional con la Universidad Centroamericana José Simeón Cañas para la provisión de atención psicológica”</w:t>
      </w:r>
      <w:r w:rsidR="00DB4303" w:rsidRPr="00744FB8">
        <w:rPr>
          <w:rStyle w:val="Refdenotaalpie"/>
          <w:rFonts w:ascii="Verdana" w:hAnsi="Verdana"/>
          <w:sz w:val="20"/>
          <w:lang w:val="es-CO"/>
        </w:rPr>
        <w:footnoteReference w:id="37"/>
      </w:r>
      <w:r w:rsidR="00DB4303" w:rsidRPr="00DB4303">
        <w:rPr>
          <w:rFonts w:ascii="Verdana" w:hAnsi="Verdana"/>
          <w:sz w:val="20"/>
          <w:lang w:val="es-CO"/>
        </w:rPr>
        <w:t xml:space="preserve">.  </w:t>
      </w:r>
    </w:p>
    <w:p w:rsidR="002B30E3" w:rsidRPr="00C432E6" w:rsidRDefault="002B30E3" w:rsidP="00BE578D">
      <w:pPr>
        <w:pStyle w:val="Prrafodelista"/>
        <w:ind w:left="0" w:firstLine="720"/>
        <w:jc w:val="both"/>
        <w:outlineLvl w:val="0"/>
        <w:rPr>
          <w:rFonts w:ascii="Verdana" w:hAnsi="Verdana"/>
          <w:b/>
          <w:i/>
          <w:sz w:val="20"/>
          <w:lang w:val="es-CO"/>
        </w:rPr>
      </w:pPr>
    </w:p>
    <w:p w:rsidR="00336EC7" w:rsidRPr="00C432E6" w:rsidRDefault="00971B9B" w:rsidP="0074538E">
      <w:pPr>
        <w:ind w:left="720"/>
        <w:rPr>
          <w:rFonts w:ascii="Verdana" w:hAnsi="Verdana"/>
          <w:b/>
          <w:i/>
          <w:sz w:val="20"/>
          <w:lang w:val="es-CO"/>
        </w:rPr>
      </w:pPr>
      <w:bookmarkStart w:id="13" w:name="_Toc457290848"/>
      <w:r>
        <w:rPr>
          <w:rFonts w:ascii="Verdana" w:hAnsi="Verdana"/>
          <w:b/>
          <w:i/>
          <w:sz w:val="20"/>
          <w:lang w:val="es-CO"/>
        </w:rPr>
        <w:t>B</w:t>
      </w:r>
      <w:r w:rsidR="002B30E3" w:rsidRPr="00C432E6">
        <w:rPr>
          <w:rFonts w:ascii="Verdana" w:hAnsi="Verdana"/>
          <w:b/>
          <w:i/>
          <w:sz w:val="20"/>
          <w:lang w:val="es-CO"/>
        </w:rPr>
        <w:t>.</w:t>
      </w:r>
      <w:r w:rsidR="000E627C">
        <w:rPr>
          <w:rFonts w:ascii="Verdana" w:hAnsi="Verdana"/>
          <w:b/>
          <w:i/>
          <w:sz w:val="20"/>
          <w:lang w:val="es-CO"/>
        </w:rPr>
        <w:t>2</w:t>
      </w:r>
      <w:r w:rsidR="00336EC7" w:rsidRPr="00C432E6">
        <w:rPr>
          <w:rFonts w:ascii="Verdana" w:hAnsi="Verdana"/>
          <w:b/>
          <w:i/>
          <w:sz w:val="20"/>
          <w:lang w:val="es-CO"/>
        </w:rPr>
        <w:t xml:space="preserve">  </w:t>
      </w:r>
      <w:r w:rsidR="00336EC7" w:rsidRPr="0074538E">
        <w:rPr>
          <w:rFonts w:ascii="Verdana" w:hAnsi="Verdana"/>
          <w:b/>
          <w:i/>
          <w:sz w:val="20"/>
        </w:rPr>
        <w:t>Consideraciones</w:t>
      </w:r>
      <w:r w:rsidR="00336EC7" w:rsidRPr="00C432E6">
        <w:rPr>
          <w:rFonts w:ascii="Verdana" w:hAnsi="Verdana"/>
          <w:b/>
          <w:i/>
          <w:sz w:val="20"/>
          <w:lang w:val="es-CO"/>
        </w:rPr>
        <w:t xml:space="preserve"> de la Corte</w:t>
      </w:r>
      <w:bookmarkEnd w:id="13"/>
    </w:p>
    <w:p w:rsidR="0073406D" w:rsidRPr="00C432E6" w:rsidRDefault="0073406D" w:rsidP="00BE578D">
      <w:pPr>
        <w:pStyle w:val="Prrafodelista"/>
        <w:ind w:left="0"/>
        <w:jc w:val="both"/>
        <w:outlineLvl w:val="0"/>
        <w:rPr>
          <w:rFonts w:ascii="Verdana" w:hAnsi="Verdana"/>
          <w:sz w:val="20"/>
          <w:lang w:val="es-CO"/>
        </w:rPr>
      </w:pPr>
    </w:p>
    <w:p w:rsidR="00FC0337" w:rsidRPr="004474B7" w:rsidRDefault="00FC0337" w:rsidP="006B3611">
      <w:pPr>
        <w:pStyle w:val="Prrafodelista"/>
        <w:numPr>
          <w:ilvl w:val="0"/>
          <w:numId w:val="10"/>
        </w:numPr>
        <w:ind w:left="0" w:firstLine="0"/>
        <w:jc w:val="both"/>
        <w:rPr>
          <w:rFonts w:ascii="Verdana" w:hAnsi="Verdana"/>
          <w:sz w:val="20"/>
        </w:rPr>
      </w:pPr>
      <w:bookmarkStart w:id="14" w:name="_Ref461700583"/>
      <w:r w:rsidRPr="004474B7">
        <w:rPr>
          <w:rFonts w:ascii="Verdana" w:hAnsi="Verdana"/>
          <w:sz w:val="20"/>
        </w:rPr>
        <w:t>Con relación al tratamiento médico, el Estado presentó</w:t>
      </w:r>
      <w:r w:rsidR="00017B60">
        <w:rPr>
          <w:rFonts w:ascii="Verdana" w:hAnsi="Verdana"/>
          <w:sz w:val="20"/>
        </w:rPr>
        <w:t>,</w:t>
      </w:r>
      <w:r w:rsidRPr="004474B7">
        <w:rPr>
          <w:rFonts w:ascii="Verdana" w:hAnsi="Verdana"/>
          <w:sz w:val="20"/>
        </w:rPr>
        <w:t xml:space="preserve"> </w:t>
      </w:r>
      <w:r w:rsidR="00017B60">
        <w:rPr>
          <w:rFonts w:ascii="Verdana" w:hAnsi="Verdana"/>
          <w:sz w:val="20"/>
        </w:rPr>
        <w:t>como anexo a</w:t>
      </w:r>
      <w:r w:rsidRPr="004474B7">
        <w:rPr>
          <w:rFonts w:ascii="Verdana" w:hAnsi="Verdana"/>
          <w:sz w:val="20"/>
        </w:rPr>
        <w:t xml:space="preserve"> su informe de 2015 un informe preparado por el Ministerio de Salud</w:t>
      </w:r>
      <w:r w:rsidR="00140F40">
        <w:rPr>
          <w:rFonts w:ascii="Verdana" w:hAnsi="Verdana"/>
          <w:sz w:val="20"/>
        </w:rPr>
        <w:t>,</w:t>
      </w:r>
      <w:r w:rsidRPr="004474B7">
        <w:rPr>
          <w:rFonts w:ascii="Verdana" w:hAnsi="Verdana"/>
          <w:sz w:val="20"/>
        </w:rPr>
        <w:t xml:space="preserve"> en el que se evidencia una lista de atenciones específicas que se han realizado entre 2014 y 2015</w:t>
      </w:r>
      <w:r w:rsidR="00140F40">
        <w:rPr>
          <w:rFonts w:ascii="Verdana" w:hAnsi="Verdana"/>
          <w:sz w:val="20"/>
        </w:rPr>
        <w:t>,</w:t>
      </w:r>
      <w:r w:rsidRPr="004474B7">
        <w:rPr>
          <w:rFonts w:ascii="Verdana" w:hAnsi="Verdana"/>
          <w:sz w:val="20"/>
        </w:rPr>
        <w:t xml:space="preserve"> </w:t>
      </w:r>
      <w:r w:rsidR="00140F40">
        <w:rPr>
          <w:rFonts w:ascii="Verdana" w:hAnsi="Verdana"/>
          <w:sz w:val="20"/>
        </w:rPr>
        <w:t>en</w:t>
      </w:r>
      <w:r w:rsidRPr="004474B7">
        <w:rPr>
          <w:rFonts w:ascii="Verdana" w:hAnsi="Verdana"/>
          <w:sz w:val="20"/>
        </w:rPr>
        <w:t xml:space="preserve"> relación </w:t>
      </w:r>
      <w:r w:rsidR="00140F40">
        <w:rPr>
          <w:rFonts w:ascii="Verdana" w:hAnsi="Verdana"/>
          <w:sz w:val="20"/>
        </w:rPr>
        <w:t>con</w:t>
      </w:r>
      <w:r w:rsidRPr="004474B7">
        <w:rPr>
          <w:rFonts w:ascii="Verdana" w:hAnsi="Verdana"/>
          <w:sz w:val="20"/>
        </w:rPr>
        <w:t xml:space="preserve"> cada uno de los beneficiarios de dicho tratamiento</w:t>
      </w:r>
      <w:r w:rsidRPr="004474B7">
        <w:rPr>
          <w:rStyle w:val="Refdenotaalpie"/>
          <w:rFonts w:ascii="Verdana" w:hAnsi="Verdana"/>
          <w:sz w:val="20"/>
        </w:rPr>
        <w:footnoteReference w:id="38"/>
      </w:r>
      <w:r w:rsidRPr="004474B7">
        <w:rPr>
          <w:rFonts w:ascii="Verdana" w:hAnsi="Verdana"/>
          <w:sz w:val="20"/>
        </w:rPr>
        <w:t xml:space="preserve">. </w:t>
      </w:r>
      <w:r w:rsidR="00017B60">
        <w:rPr>
          <w:rFonts w:ascii="Verdana" w:hAnsi="Verdana"/>
          <w:sz w:val="20"/>
        </w:rPr>
        <w:t>Del referido</w:t>
      </w:r>
      <w:r w:rsidRPr="004474B7">
        <w:rPr>
          <w:rFonts w:ascii="Verdana" w:hAnsi="Verdana"/>
          <w:sz w:val="20"/>
        </w:rPr>
        <w:t xml:space="preserve"> informe se desprenden las atenciones brindadas por el Hospital Nacional Rosales (de tercer nivel), las cuales “han sido coordinadas, gestionadas y acompañadas por un [recurso] delegado especialmente para ello y que previamente ha sido sometido a un proceso formativo de sensibilización en abordaje psicosocial”. Igualmente se enuncia</w:t>
      </w:r>
      <w:r w:rsidR="00DC79BB">
        <w:rPr>
          <w:rFonts w:ascii="Verdana" w:hAnsi="Verdana"/>
          <w:sz w:val="20"/>
        </w:rPr>
        <w:t>,</w:t>
      </w:r>
      <w:r w:rsidRPr="004474B7">
        <w:rPr>
          <w:rFonts w:ascii="Verdana" w:hAnsi="Verdana"/>
          <w:sz w:val="20"/>
        </w:rPr>
        <w:t xml:space="preserve"> en </w:t>
      </w:r>
      <w:r w:rsidR="00140F40">
        <w:rPr>
          <w:rFonts w:ascii="Verdana" w:hAnsi="Verdana"/>
          <w:sz w:val="20"/>
        </w:rPr>
        <w:t>relación con</w:t>
      </w:r>
      <w:r w:rsidRPr="004474B7">
        <w:rPr>
          <w:rFonts w:ascii="Verdana" w:hAnsi="Verdana"/>
          <w:sz w:val="20"/>
        </w:rPr>
        <w:t xml:space="preserve"> la atención de primer nivel, que se “realizó un proceso de formación en atención psicosocial dirigido a personal de la [Unidad Comunitaria de Salud Familiar] que dan cobertura a lugares donde habitan personas víctimas de graves violaciones a derechos humanos” y que dicha atención se brindó “delegando por cada establecimiento a un recurso para la atención preferencial y diferenciada de la familia Serrano Cruz”.</w:t>
      </w:r>
      <w:r w:rsidR="000E627C" w:rsidRPr="004474B7">
        <w:rPr>
          <w:rFonts w:ascii="Verdana" w:hAnsi="Verdana"/>
          <w:sz w:val="20"/>
        </w:rPr>
        <w:t xml:space="preserve"> </w:t>
      </w:r>
      <w:r w:rsidR="00140F40">
        <w:rPr>
          <w:rFonts w:ascii="Verdana" w:hAnsi="Verdana"/>
          <w:sz w:val="20"/>
        </w:rPr>
        <w:t>E</w:t>
      </w:r>
      <w:r w:rsidR="000E627C" w:rsidRPr="004474B7">
        <w:rPr>
          <w:rFonts w:ascii="Verdana" w:hAnsi="Verdana"/>
          <w:sz w:val="20"/>
        </w:rPr>
        <w:t>l Estado señaló que</w:t>
      </w:r>
      <w:r w:rsidR="00140F40">
        <w:rPr>
          <w:rFonts w:ascii="Verdana" w:hAnsi="Verdana"/>
          <w:sz w:val="20"/>
        </w:rPr>
        <w:t>,</w:t>
      </w:r>
      <w:r w:rsidR="000E627C" w:rsidRPr="004474B7">
        <w:rPr>
          <w:rFonts w:ascii="Verdana" w:hAnsi="Verdana"/>
          <w:sz w:val="20"/>
        </w:rPr>
        <w:t xml:space="preserve"> en la prestación de dicho servicio</w:t>
      </w:r>
      <w:r w:rsidR="00140F40">
        <w:rPr>
          <w:rFonts w:ascii="Verdana" w:hAnsi="Verdana"/>
          <w:sz w:val="20"/>
        </w:rPr>
        <w:t>,</w:t>
      </w:r>
      <w:r w:rsidR="000E627C" w:rsidRPr="004474B7">
        <w:rPr>
          <w:rFonts w:ascii="Verdana" w:hAnsi="Verdana"/>
          <w:sz w:val="20"/>
        </w:rPr>
        <w:t xml:space="preserve"> se ha </w:t>
      </w:r>
      <w:r w:rsidR="000E627C" w:rsidRPr="004474B7">
        <w:rPr>
          <w:rFonts w:ascii="Verdana" w:hAnsi="Verdana"/>
          <w:sz w:val="20"/>
          <w:lang w:val="es-CO"/>
        </w:rPr>
        <w:t>tomado en cuenta cada uno de los padecimientos y necesidades específicas de la familia</w:t>
      </w:r>
      <w:r w:rsidR="000E627C" w:rsidRPr="004474B7">
        <w:rPr>
          <w:rStyle w:val="Refdenotaalpie"/>
          <w:rFonts w:ascii="Verdana" w:hAnsi="Verdana"/>
          <w:sz w:val="20"/>
          <w:lang w:val="es-CO"/>
        </w:rPr>
        <w:footnoteReference w:id="39"/>
      </w:r>
      <w:r w:rsidR="000E627C" w:rsidRPr="004474B7">
        <w:rPr>
          <w:rFonts w:ascii="Verdana" w:hAnsi="Verdana"/>
          <w:sz w:val="20"/>
          <w:lang w:val="es-CO"/>
        </w:rPr>
        <w:t xml:space="preserve">. </w:t>
      </w:r>
      <w:r w:rsidRPr="004474B7">
        <w:rPr>
          <w:rFonts w:ascii="Verdana" w:hAnsi="Verdana"/>
          <w:sz w:val="20"/>
        </w:rPr>
        <w:t xml:space="preserve">Además, el Estado </w:t>
      </w:r>
      <w:r w:rsidRPr="004474B7">
        <w:rPr>
          <w:rFonts w:ascii="Verdana" w:hAnsi="Verdana"/>
          <w:sz w:val="20"/>
          <w:lang w:val="es-CO"/>
        </w:rPr>
        <w:t>hizo referencia a “un mecanismo de red por medio del cual se asegura que los medicamentos prescritos a algunos de los beneficiarios sea facilitado en el menor plazo, aún y cuando no se encuentre disponible en forma inmediata en el establecimiento de consulta”, y a la implementación de medidas dirigidas al “despacho de medicamentos a los beneficiarios a través de las oficinas regionales respectivas”.</w:t>
      </w:r>
      <w:bookmarkEnd w:id="14"/>
      <w:r w:rsidRPr="004474B7">
        <w:rPr>
          <w:rFonts w:ascii="Verdana" w:hAnsi="Verdana"/>
          <w:sz w:val="20"/>
          <w:lang w:val="es-CO"/>
        </w:rPr>
        <w:t xml:space="preserve"> </w:t>
      </w:r>
    </w:p>
    <w:p w:rsidR="00FC0337" w:rsidRDefault="00FC0337" w:rsidP="00FC0337">
      <w:pPr>
        <w:pStyle w:val="Prrafodelista"/>
        <w:ind w:left="0"/>
        <w:jc w:val="both"/>
        <w:rPr>
          <w:rFonts w:ascii="Verdana" w:hAnsi="Verdana"/>
          <w:sz w:val="20"/>
        </w:rPr>
      </w:pPr>
    </w:p>
    <w:p w:rsidR="00FC0337" w:rsidRPr="003A10F5" w:rsidRDefault="003A10F5" w:rsidP="006B3611">
      <w:pPr>
        <w:pStyle w:val="Prrafodelista"/>
        <w:numPr>
          <w:ilvl w:val="0"/>
          <w:numId w:val="10"/>
        </w:numPr>
        <w:ind w:left="0" w:firstLine="0"/>
        <w:jc w:val="both"/>
        <w:rPr>
          <w:rFonts w:ascii="Verdana" w:hAnsi="Verdana"/>
          <w:sz w:val="20"/>
        </w:rPr>
      </w:pPr>
      <w:r>
        <w:rPr>
          <w:rFonts w:ascii="Verdana" w:hAnsi="Verdana"/>
          <w:sz w:val="20"/>
        </w:rPr>
        <w:lastRenderedPageBreak/>
        <w:t>Con relación al tratamiento psicológico, la Corte constata que el Estado proporcionó, en</w:t>
      </w:r>
      <w:r w:rsidR="00017B60">
        <w:rPr>
          <w:rFonts w:ascii="Verdana" w:hAnsi="Verdana"/>
          <w:sz w:val="20"/>
        </w:rPr>
        <w:t xml:space="preserve"> el</w:t>
      </w:r>
      <w:r>
        <w:rPr>
          <w:rFonts w:ascii="Verdana" w:hAnsi="Verdana"/>
          <w:sz w:val="20"/>
        </w:rPr>
        <w:t xml:space="preserve"> 2010, copia del Convenio de Cooperación Interinstitucional entre el Ministerio de Relaciones Exteriores, la Universidad Centroamericana “José Simeón Cañas” y la Asociación Pro Búsqueda de Niños y Niñas desaparecidos, cuyo objeto es “brindar acompañamiento psicosocial a la familia Serrano Cruz, desde el Departamento de Psicología” de la referida Universidad, “para trabajar las causas y efectos de las violaciones de los derechos humanos, desde una perspectiva multidisciplinaria e integradora”</w:t>
      </w:r>
      <w:r>
        <w:rPr>
          <w:rStyle w:val="Refdenotaalpie"/>
          <w:rFonts w:ascii="Verdana" w:hAnsi="Verdana"/>
          <w:sz w:val="20"/>
        </w:rPr>
        <w:footnoteReference w:id="40"/>
      </w:r>
      <w:r>
        <w:rPr>
          <w:rFonts w:ascii="Verdana" w:hAnsi="Verdana"/>
          <w:sz w:val="20"/>
        </w:rPr>
        <w:t>. Entre otras disposiciones, se prevé que la alianza entre el Estado y la referida Universidad tiene como fin “proporcionar a la familia Serrano Cruz atención psicosocial adecuada y facilitada por expertos”, y que al Estado le corresponde designar un enlace “para dar seguimiento a los avances de la atención psicosocial brindada a la familia Serrano Cruz”</w:t>
      </w:r>
      <w:r>
        <w:rPr>
          <w:rStyle w:val="Refdenotaalpie"/>
          <w:rFonts w:ascii="Verdana" w:hAnsi="Verdana"/>
          <w:sz w:val="20"/>
        </w:rPr>
        <w:footnoteReference w:id="41"/>
      </w:r>
      <w:r>
        <w:rPr>
          <w:rFonts w:ascii="Verdana" w:hAnsi="Verdana"/>
          <w:sz w:val="20"/>
        </w:rPr>
        <w:t>. La Universidad sería la encargada de “[b]</w:t>
      </w:r>
      <w:proofErr w:type="spellStart"/>
      <w:r>
        <w:rPr>
          <w:rFonts w:ascii="Verdana" w:hAnsi="Verdana"/>
          <w:sz w:val="20"/>
        </w:rPr>
        <w:t>rindar</w:t>
      </w:r>
      <w:proofErr w:type="spellEnd"/>
      <w:r>
        <w:rPr>
          <w:rFonts w:ascii="Verdana" w:hAnsi="Verdana"/>
          <w:sz w:val="20"/>
        </w:rPr>
        <w:t xml:space="preserve"> la atención psicosocial tanto en familia, como individualmente” y “[r]</w:t>
      </w:r>
      <w:proofErr w:type="spellStart"/>
      <w:r>
        <w:rPr>
          <w:rFonts w:ascii="Verdana" w:hAnsi="Verdana"/>
          <w:sz w:val="20"/>
        </w:rPr>
        <w:t>ealizar</w:t>
      </w:r>
      <w:proofErr w:type="spellEnd"/>
      <w:r>
        <w:rPr>
          <w:rFonts w:ascii="Verdana" w:hAnsi="Verdana"/>
          <w:sz w:val="20"/>
        </w:rPr>
        <w:t xml:space="preserve"> un diagnóstico de entrada y elaborar […] informes de seguimiento, con la sola intención de retroalimentar sesiones posteriores de acompañamiento”. Además, según el Convenio, los honorarios de dicha atención psicosocial serían cubiertos por el Estado</w:t>
      </w:r>
      <w:r>
        <w:rPr>
          <w:rStyle w:val="Refdenotaalpie"/>
          <w:rFonts w:ascii="Verdana" w:hAnsi="Verdana"/>
          <w:sz w:val="20"/>
        </w:rPr>
        <w:footnoteReference w:id="42"/>
      </w:r>
      <w:r>
        <w:rPr>
          <w:rFonts w:ascii="Verdana" w:hAnsi="Verdana"/>
          <w:sz w:val="20"/>
        </w:rPr>
        <w:t>. Finalmente, según el Convenio, el mismo se encontraría vigente por dos años y “podrá prorrogarse”</w:t>
      </w:r>
      <w:r>
        <w:rPr>
          <w:rStyle w:val="Refdenotaalpie"/>
          <w:rFonts w:ascii="Verdana" w:hAnsi="Verdana"/>
          <w:sz w:val="20"/>
        </w:rPr>
        <w:footnoteReference w:id="43"/>
      </w:r>
      <w:r>
        <w:rPr>
          <w:rFonts w:ascii="Verdana" w:hAnsi="Verdana"/>
          <w:sz w:val="20"/>
        </w:rPr>
        <w:t>. El Estado informó que “[l]a ejecución del Convenio […</w:t>
      </w:r>
      <w:proofErr w:type="gramStart"/>
      <w:r>
        <w:rPr>
          <w:rFonts w:ascii="Verdana" w:hAnsi="Verdana"/>
          <w:sz w:val="20"/>
        </w:rPr>
        <w:t>]</w:t>
      </w:r>
      <w:proofErr w:type="spellStart"/>
      <w:r>
        <w:rPr>
          <w:rFonts w:ascii="Verdana" w:hAnsi="Verdana"/>
          <w:sz w:val="20"/>
        </w:rPr>
        <w:t>inici</w:t>
      </w:r>
      <w:proofErr w:type="spellEnd"/>
      <w:proofErr w:type="gramEnd"/>
      <w:r w:rsidR="00017B60">
        <w:rPr>
          <w:rFonts w:ascii="Verdana" w:hAnsi="Verdana"/>
          <w:sz w:val="20"/>
        </w:rPr>
        <w:t>[</w:t>
      </w:r>
      <w:proofErr w:type="spellStart"/>
      <w:r w:rsidR="00017B60">
        <w:rPr>
          <w:rFonts w:ascii="Verdana" w:hAnsi="Verdana"/>
          <w:sz w:val="20"/>
        </w:rPr>
        <w:t>ó</w:t>
      </w:r>
      <w:proofErr w:type="spellEnd"/>
      <w:r w:rsidR="00017B60">
        <w:rPr>
          <w:rFonts w:ascii="Verdana" w:hAnsi="Verdana"/>
          <w:sz w:val="20"/>
        </w:rPr>
        <w:t>]</w:t>
      </w:r>
      <w:r>
        <w:rPr>
          <w:rFonts w:ascii="Verdana" w:hAnsi="Verdana"/>
          <w:sz w:val="20"/>
        </w:rPr>
        <w:t xml:space="preserve"> en el mes de junio de 2010”. </w:t>
      </w:r>
      <w:r w:rsidR="00011472">
        <w:rPr>
          <w:rFonts w:ascii="Verdana" w:hAnsi="Verdana"/>
          <w:sz w:val="20"/>
        </w:rPr>
        <w:t>E</w:t>
      </w:r>
      <w:r>
        <w:rPr>
          <w:rFonts w:ascii="Verdana" w:hAnsi="Verdana"/>
          <w:sz w:val="20"/>
        </w:rPr>
        <w:t>n diciembre de 2012,</w:t>
      </w:r>
      <w:r w:rsidR="00011472">
        <w:rPr>
          <w:rFonts w:ascii="Verdana" w:hAnsi="Verdana"/>
          <w:sz w:val="20"/>
        </w:rPr>
        <w:t xml:space="preserve"> l</w:t>
      </w:r>
      <w:r w:rsidR="004538D0">
        <w:rPr>
          <w:rFonts w:ascii="Verdana" w:hAnsi="Verdana"/>
          <w:sz w:val="20"/>
        </w:rPr>
        <w:t>a</w:t>
      </w:r>
      <w:r w:rsidR="00011472">
        <w:rPr>
          <w:rFonts w:ascii="Verdana" w:hAnsi="Verdana"/>
          <w:sz w:val="20"/>
        </w:rPr>
        <w:t>s representantes</w:t>
      </w:r>
      <w:r>
        <w:rPr>
          <w:rFonts w:ascii="Verdana" w:hAnsi="Verdana"/>
          <w:sz w:val="20"/>
        </w:rPr>
        <w:t xml:space="preserve"> indicaron que “se firmó un nuevo convenio de cooperación tripartita” entre las partes antes indicadas “por un período igual que el correspondiente al convenio finalizado en enero” de 2012. </w:t>
      </w:r>
    </w:p>
    <w:p w:rsidR="003A10F5" w:rsidRPr="003A10F5" w:rsidRDefault="003A10F5" w:rsidP="003A10F5">
      <w:pPr>
        <w:pStyle w:val="Prrafodelista"/>
        <w:ind w:left="0"/>
        <w:jc w:val="both"/>
        <w:rPr>
          <w:rFonts w:ascii="Verdana" w:hAnsi="Verdana"/>
          <w:sz w:val="20"/>
        </w:rPr>
      </w:pPr>
    </w:p>
    <w:p w:rsidR="003A10F5" w:rsidRPr="00011472" w:rsidRDefault="00017B60" w:rsidP="006B3611">
      <w:pPr>
        <w:pStyle w:val="Prrafodelista"/>
        <w:numPr>
          <w:ilvl w:val="0"/>
          <w:numId w:val="10"/>
        </w:numPr>
        <w:ind w:left="0" w:firstLine="0"/>
        <w:jc w:val="both"/>
        <w:rPr>
          <w:rFonts w:ascii="Verdana" w:hAnsi="Verdana"/>
          <w:sz w:val="20"/>
        </w:rPr>
      </w:pPr>
      <w:bookmarkStart w:id="15" w:name="_Ref461700589"/>
      <w:r>
        <w:rPr>
          <w:rFonts w:ascii="Verdana" w:hAnsi="Verdana"/>
          <w:sz w:val="20"/>
        </w:rPr>
        <w:t>E</w:t>
      </w:r>
      <w:r w:rsidR="003A10F5" w:rsidRPr="00011472">
        <w:rPr>
          <w:rFonts w:ascii="Verdana" w:hAnsi="Verdana"/>
          <w:sz w:val="20"/>
        </w:rPr>
        <w:t>n su informe de 2015,</w:t>
      </w:r>
      <w:r>
        <w:rPr>
          <w:rFonts w:ascii="Verdana" w:hAnsi="Verdana"/>
          <w:sz w:val="20"/>
        </w:rPr>
        <w:t xml:space="preserve"> el Estado</w:t>
      </w:r>
      <w:r w:rsidR="003A10F5" w:rsidRPr="00011472">
        <w:rPr>
          <w:rFonts w:ascii="Verdana" w:hAnsi="Verdana"/>
          <w:sz w:val="20"/>
        </w:rPr>
        <w:t xml:space="preserve"> señaló que desde 2014, “a partir de la poca demanda que los beneficiarios hacían [del tratamiento psicosocial referido</w:t>
      </w:r>
      <w:r>
        <w:rPr>
          <w:rFonts w:ascii="Verdana" w:hAnsi="Verdana"/>
          <w:sz w:val="20"/>
        </w:rPr>
        <w:t xml:space="preserve"> </w:t>
      </w:r>
      <w:r w:rsidR="003A10F5" w:rsidRPr="00011472">
        <w:rPr>
          <w:rFonts w:ascii="Verdana" w:hAnsi="Verdana"/>
          <w:sz w:val="20"/>
        </w:rPr>
        <w:t>…</w:t>
      </w:r>
      <w:r>
        <w:rPr>
          <w:rFonts w:ascii="Verdana" w:hAnsi="Verdana"/>
          <w:sz w:val="20"/>
        </w:rPr>
        <w:t>,</w:t>
      </w:r>
      <w:r w:rsidR="003A10F5" w:rsidRPr="00011472">
        <w:rPr>
          <w:rFonts w:ascii="Verdana" w:hAnsi="Verdana"/>
          <w:sz w:val="20"/>
        </w:rPr>
        <w:t>] en el marco de una reunión sostenida con sus representantes</w:t>
      </w:r>
      <w:r w:rsidR="00140F40" w:rsidRPr="00011472">
        <w:rPr>
          <w:rFonts w:ascii="Verdana" w:hAnsi="Verdana"/>
          <w:sz w:val="20"/>
        </w:rPr>
        <w:t>[,]</w:t>
      </w:r>
      <w:r w:rsidR="003A10F5" w:rsidRPr="00011472">
        <w:rPr>
          <w:rFonts w:ascii="Verdana" w:hAnsi="Verdana"/>
          <w:sz w:val="20"/>
        </w:rPr>
        <w:t xml:space="preserve"> se estableció un mecanismo por medio del cual cada beneficiario dispondría de un número de contacto para establecer comunicación con la psicóloga cuando así se requiriese, por lo que se encuentra abierta la posibilidad de que la atención sea brindada conforme al interés que cada beneficiario exprese”</w:t>
      </w:r>
      <w:r w:rsidR="00090279">
        <w:rPr>
          <w:rFonts w:ascii="Verdana" w:hAnsi="Verdana"/>
          <w:sz w:val="20"/>
        </w:rPr>
        <w:t>.</w:t>
      </w:r>
      <w:r w:rsidR="003A10F5" w:rsidRPr="00011472">
        <w:rPr>
          <w:rFonts w:ascii="Verdana" w:hAnsi="Verdana"/>
          <w:sz w:val="20"/>
        </w:rPr>
        <w:t xml:space="preserve"> Los representantes confirmaron dicha información, no presentaron objeciones al respecto, y solicitaron que la </w:t>
      </w:r>
      <w:r>
        <w:rPr>
          <w:rFonts w:ascii="Verdana" w:hAnsi="Verdana"/>
          <w:sz w:val="20"/>
        </w:rPr>
        <w:t>atención</w:t>
      </w:r>
      <w:r w:rsidR="003A10F5" w:rsidRPr="00011472">
        <w:rPr>
          <w:rFonts w:ascii="Verdana" w:hAnsi="Verdana"/>
          <w:sz w:val="20"/>
        </w:rPr>
        <w:t xml:space="preserve"> </w:t>
      </w:r>
      <w:r>
        <w:rPr>
          <w:rFonts w:ascii="Verdana" w:hAnsi="Verdana"/>
          <w:sz w:val="20"/>
        </w:rPr>
        <w:t>“</w:t>
      </w:r>
      <w:r w:rsidR="003A10F5" w:rsidRPr="00011472">
        <w:rPr>
          <w:rFonts w:ascii="Verdana" w:hAnsi="Verdana"/>
          <w:sz w:val="20"/>
        </w:rPr>
        <w:t>se conserve disponible de acuerdo a las necesidades que las personas afectadas posean”</w:t>
      </w:r>
      <w:r w:rsidR="000E627C" w:rsidRPr="00017B60">
        <w:rPr>
          <w:rFonts w:ascii="Verdana" w:hAnsi="Verdana"/>
          <w:sz w:val="20"/>
        </w:rPr>
        <w:t>.</w:t>
      </w:r>
      <w:r w:rsidR="000E627C" w:rsidRPr="00011472">
        <w:rPr>
          <w:rFonts w:ascii="Verdana" w:hAnsi="Verdana"/>
          <w:b/>
          <w:sz w:val="20"/>
        </w:rPr>
        <w:t xml:space="preserve"> </w:t>
      </w:r>
      <w:r>
        <w:rPr>
          <w:rFonts w:ascii="Verdana" w:hAnsi="Verdana"/>
          <w:sz w:val="20"/>
          <w:lang w:val="es-CO"/>
        </w:rPr>
        <w:t>E</w:t>
      </w:r>
      <w:r w:rsidR="00011472" w:rsidRPr="00011472">
        <w:rPr>
          <w:rFonts w:ascii="Verdana" w:hAnsi="Verdana"/>
          <w:sz w:val="20"/>
          <w:lang w:val="es-CO"/>
        </w:rPr>
        <w:t>n su</w:t>
      </w:r>
      <w:r>
        <w:rPr>
          <w:rFonts w:ascii="Verdana" w:hAnsi="Verdana"/>
          <w:sz w:val="20"/>
          <w:lang w:val="es-CO"/>
        </w:rPr>
        <w:t>s observaciones</w:t>
      </w:r>
      <w:r w:rsidR="00011472" w:rsidRPr="00011472">
        <w:rPr>
          <w:rFonts w:ascii="Verdana" w:hAnsi="Verdana"/>
          <w:sz w:val="20"/>
          <w:lang w:val="es-CO"/>
        </w:rPr>
        <w:t xml:space="preserve"> de 2015,</w:t>
      </w:r>
      <w:r>
        <w:rPr>
          <w:rFonts w:ascii="Verdana" w:hAnsi="Verdana"/>
          <w:sz w:val="20"/>
          <w:lang w:val="es-CO"/>
        </w:rPr>
        <w:t xml:space="preserve"> la Comisión</w:t>
      </w:r>
      <w:r w:rsidR="00011472" w:rsidRPr="00011472">
        <w:rPr>
          <w:rFonts w:ascii="Verdana" w:hAnsi="Verdana"/>
          <w:sz w:val="20"/>
          <w:lang w:val="es-CO"/>
        </w:rPr>
        <w:t xml:space="preserve"> valoró positivamente “las acciones adoptadas por el Estado para brindar una</w:t>
      </w:r>
      <w:r w:rsidR="00090279">
        <w:rPr>
          <w:rFonts w:ascii="Verdana" w:hAnsi="Verdana"/>
          <w:sz w:val="20"/>
          <w:lang w:val="es-CO"/>
        </w:rPr>
        <w:t xml:space="preserve"> adecuada</w:t>
      </w:r>
      <w:r w:rsidR="00011472" w:rsidRPr="00011472">
        <w:rPr>
          <w:rFonts w:ascii="Verdana" w:hAnsi="Verdana"/>
          <w:sz w:val="20"/>
          <w:lang w:val="es-CO"/>
        </w:rPr>
        <w:t xml:space="preserve"> atención […] psicológica </w:t>
      </w:r>
      <w:r w:rsidR="00090279">
        <w:rPr>
          <w:rFonts w:ascii="Verdana" w:hAnsi="Verdana"/>
          <w:sz w:val="20"/>
          <w:lang w:val="es-CO"/>
        </w:rPr>
        <w:t>a los familiares</w:t>
      </w:r>
      <w:r w:rsidR="00011472" w:rsidRPr="00011472">
        <w:rPr>
          <w:rFonts w:ascii="Verdana" w:hAnsi="Verdana"/>
          <w:sz w:val="20"/>
          <w:lang w:val="es-CO"/>
        </w:rPr>
        <w:t>”.</w:t>
      </w:r>
      <w:bookmarkEnd w:id="15"/>
      <w:r w:rsidR="000E627C" w:rsidRPr="00011472">
        <w:rPr>
          <w:rFonts w:ascii="Verdana" w:hAnsi="Verdana"/>
          <w:sz w:val="20"/>
        </w:rPr>
        <w:t xml:space="preserve"> </w:t>
      </w:r>
    </w:p>
    <w:p w:rsidR="000E627C" w:rsidRPr="000E627C" w:rsidRDefault="000E627C" w:rsidP="000E627C">
      <w:pPr>
        <w:pStyle w:val="Prrafodelista"/>
        <w:rPr>
          <w:rFonts w:ascii="Verdana" w:hAnsi="Verdana"/>
          <w:sz w:val="20"/>
        </w:rPr>
      </w:pPr>
    </w:p>
    <w:p w:rsidR="00FC0337" w:rsidRPr="00011472" w:rsidRDefault="000E627C" w:rsidP="00FC0337">
      <w:pPr>
        <w:pStyle w:val="Prrafodelista"/>
        <w:numPr>
          <w:ilvl w:val="0"/>
          <w:numId w:val="10"/>
        </w:numPr>
        <w:ind w:left="0" w:firstLine="0"/>
        <w:jc w:val="both"/>
        <w:rPr>
          <w:rFonts w:ascii="Verdana" w:hAnsi="Verdana"/>
          <w:sz w:val="20"/>
        </w:rPr>
      </w:pPr>
      <w:r w:rsidRPr="00011472">
        <w:rPr>
          <w:rFonts w:ascii="Verdana" w:hAnsi="Verdana"/>
          <w:sz w:val="20"/>
        </w:rPr>
        <w:t>Para valorar tal información, la Corte toma particularmente en cuenta que en los últimos escritos de observaciones a los informes estatales, ni los representantes ni la Comisión presentaron objeciones con relación al tratamiento médico y psicológico que estarían recibiendo las víctimas (</w:t>
      </w:r>
      <w:r w:rsidRPr="00011472">
        <w:rPr>
          <w:rFonts w:ascii="Verdana" w:hAnsi="Verdana"/>
          <w:i/>
          <w:sz w:val="20"/>
        </w:rPr>
        <w:t>supra</w:t>
      </w:r>
      <w:r w:rsidRPr="00011472">
        <w:rPr>
          <w:rFonts w:ascii="Verdana" w:hAnsi="Verdana"/>
          <w:sz w:val="20"/>
        </w:rPr>
        <w:t xml:space="preserve"> Considerando</w:t>
      </w:r>
      <w:r w:rsidR="00090279">
        <w:rPr>
          <w:rFonts w:ascii="Verdana" w:hAnsi="Verdana"/>
          <w:sz w:val="20"/>
        </w:rPr>
        <w:t>s</w:t>
      </w:r>
      <w:r w:rsidRPr="00011472">
        <w:rPr>
          <w:rFonts w:ascii="Verdana" w:hAnsi="Verdana"/>
          <w:sz w:val="20"/>
        </w:rPr>
        <w:t xml:space="preserve"> </w:t>
      </w:r>
      <w:r w:rsidR="00090279">
        <w:rPr>
          <w:rFonts w:ascii="Verdana" w:hAnsi="Verdana"/>
          <w:sz w:val="20"/>
        </w:rPr>
        <w:fldChar w:fldCharType="begin"/>
      </w:r>
      <w:r w:rsidR="00090279">
        <w:rPr>
          <w:rFonts w:ascii="Verdana" w:hAnsi="Verdana"/>
          <w:sz w:val="20"/>
        </w:rPr>
        <w:instrText xml:space="preserve"> REF _Ref461700583 \r \h </w:instrText>
      </w:r>
      <w:r w:rsidR="00090279">
        <w:rPr>
          <w:rFonts w:ascii="Verdana" w:hAnsi="Verdana"/>
          <w:sz w:val="20"/>
        </w:rPr>
      </w:r>
      <w:r w:rsidR="00090279">
        <w:rPr>
          <w:rFonts w:ascii="Verdana" w:hAnsi="Verdana"/>
          <w:sz w:val="20"/>
        </w:rPr>
        <w:fldChar w:fldCharType="separate"/>
      </w:r>
      <w:r w:rsidR="00D676EE">
        <w:rPr>
          <w:rFonts w:ascii="Verdana" w:hAnsi="Verdana"/>
          <w:sz w:val="20"/>
        </w:rPr>
        <w:t>13</w:t>
      </w:r>
      <w:r w:rsidR="00090279">
        <w:rPr>
          <w:rFonts w:ascii="Verdana" w:hAnsi="Verdana"/>
          <w:sz w:val="20"/>
        </w:rPr>
        <w:fldChar w:fldCharType="end"/>
      </w:r>
      <w:r w:rsidR="00090279">
        <w:rPr>
          <w:rFonts w:ascii="Verdana" w:hAnsi="Verdana"/>
          <w:sz w:val="20"/>
        </w:rPr>
        <w:t xml:space="preserve"> a </w:t>
      </w:r>
      <w:r w:rsidR="00090279">
        <w:rPr>
          <w:rFonts w:ascii="Verdana" w:hAnsi="Verdana"/>
          <w:sz w:val="20"/>
        </w:rPr>
        <w:fldChar w:fldCharType="begin"/>
      </w:r>
      <w:r w:rsidR="00090279">
        <w:rPr>
          <w:rFonts w:ascii="Verdana" w:hAnsi="Verdana"/>
          <w:sz w:val="20"/>
        </w:rPr>
        <w:instrText xml:space="preserve"> REF _Ref461700589 \r \h </w:instrText>
      </w:r>
      <w:r w:rsidR="00090279">
        <w:rPr>
          <w:rFonts w:ascii="Verdana" w:hAnsi="Verdana"/>
          <w:sz w:val="20"/>
        </w:rPr>
      </w:r>
      <w:r w:rsidR="00090279">
        <w:rPr>
          <w:rFonts w:ascii="Verdana" w:hAnsi="Verdana"/>
          <w:sz w:val="20"/>
        </w:rPr>
        <w:fldChar w:fldCharType="separate"/>
      </w:r>
      <w:r w:rsidR="00D676EE">
        <w:rPr>
          <w:rFonts w:ascii="Verdana" w:hAnsi="Verdana"/>
          <w:sz w:val="20"/>
        </w:rPr>
        <w:t>15</w:t>
      </w:r>
      <w:r w:rsidR="00090279">
        <w:rPr>
          <w:rFonts w:ascii="Verdana" w:hAnsi="Verdana"/>
          <w:sz w:val="20"/>
        </w:rPr>
        <w:fldChar w:fldCharType="end"/>
      </w:r>
      <w:r w:rsidRPr="00011472">
        <w:rPr>
          <w:rFonts w:ascii="Verdana" w:hAnsi="Verdana"/>
          <w:sz w:val="20"/>
        </w:rPr>
        <w:t>), ni hicieron referencia a los obstáculos o deficiencias que habían identificado en el año 2013</w:t>
      </w:r>
      <w:r w:rsidRPr="00D85442">
        <w:rPr>
          <w:rStyle w:val="Refdenotaalpie"/>
          <w:rFonts w:ascii="Verdana" w:hAnsi="Verdana"/>
          <w:sz w:val="20"/>
        </w:rPr>
        <w:footnoteReference w:id="44"/>
      </w:r>
      <w:r w:rsidRPr="00011472">
        <w:rPr>
          <w:rFonts w:ascii="Verdana" w:hAnsi="Verdana"/>
          <w:sz w:val="20"/>
        </w:rPr>
        <w:t xml:space="preserve">. </w:t>
      </w:r>
      <w:r w:rsidRPr="00011472">
        <w:rPr>
          <w:rFonts w:ascii="Verdana" w:hAnsi="Verdana"/>
          <w:sz w:val="20"/>
        </w:rPr>
        <w:lastRenderedPageBreak/>
        <w:t xml:space="preserve">Inclusive los </w:t>
      </w:r>
      <w:r w:rsidRPr="00011472">
        <w:rPr>
          <w:rFonts w:ascii="Verdana" w:hAnsi="Verdana"/>
          <w:i/>
          <w:sz w:val="20"/>
        </w:rPr>
        <w:t>representantes</w:t>
      </w:r>
      <w:r w:rsidRPr="00011472">
        <w:rPr>
          <w:rFonts w:ascii="Verdana" w:hAnsi="Verdana"/>
          <w:sz w:val="20"/>
        </w:rPr>
        <w:t xml:space="preserve"> expresaron que “</w:t>
      </w:r>
      <w:r w:rsidR="00D85442" w:rsidRPr="00011472">
        <w:rPr>
          <w:rFonts w:ascii="Verdana" w:hAnsi="Verdana"/>
          <w:sz w:val="20"/>
          <w:lang w:val="es-CO"/>
        </w:rPr>
        <w:t xml:space="preserve">existe una conformidad de la mayoría de los familiares” y reconocieron que “cada queja </w:t>
      </w:r>
      <w:r w:rsidR="00D85442" w:rsidRPr="00011472">
        <w:rPr>
          <w:rFonts w:ascii="Verdana" w:hAnsi="Verdana"/>
          <w:sz w:val="20"/>
        </w:rPr>
        <w:t>presentada</w:t>
      </w:r>
      <w:r w:rsidR="00D85442" w:rsidRPr="00011472">
        <w:rPr>
          <w:rFonts w:ascii="Verdana" w:hAnsi="Verdana"/>
          <w:sz w:val="20"/>
          <w:lang w:val="es-CO"/>
        </w:rPr>
        <w:t xml:space="preserve"> en el Ministerio de Relaciones Exteriores ha sido tomada en cuenta para efectivamente mejorar la atención</w:t>
      </w:r>
      <w:r w:rsidR="00140F40" w:rsidRPr="00011472">
        <w:rPr>
          <w:rFonts w:ascii="Verdana" w:hAnsi="Verdana"/>
          <w:sz w:val="20"/>
          <w:lang w:val="es-CO"/>
        </w:rPr>
        <w:t>”,</w:t>
      </w:r>
      <w:r w:rsidR="00D85442" w:rsidRPr="00011472">
        <w:rPr>
          <w:rFonts w:ascii="Verdana" w:hAnsi="Verdana"/>
          <w:sz w:val="20"/>
          <w:lang w:val="es-CO"/>
        </w:rPr>
        <w:t xml:space="preserve"> lo cual valoraron de forma positiva</w:t>
      </w:r>
      <w:r w:rsidR="00D85442" w:rsidRPr="00D85442">
        <w:rPr>
          <w:rStyle w:val="Refdenotaalpie"/>
          <w:rFonts w:ascii="Verdana" w:hAnsi="Verdana"/>
          <w:sz w:val="20"/>
          <w:lang w:val="es-CO"/>
        </w:rPr>
        <w:footnoteReference w:id="45"/>
      </w:r>
      <w:r w:rsidR="00D85442" w:rsidRPr="00011472">
        <w:rPr>
          <w:rFonts w:ascii="Verdana" w:hAnsi="Verdana"/>
          <w:sz w:val="20"/>
          <w:lang w:val="es-CO"/>
        </w:rPr>
        <w:t xml:space="preserve">. </w:t>
      </w:r>
    </w:p>
    <w:p w:rsidR="00011472" w:rsidRPr="00011472" w:rsidRDefault="00011472" w:rsidP="00011472">
      <w:pPr>
        <w:pStyle w:val="Prrafodelista"/>
        <w:ind w:left="0"/>
        <w:jc w:val="both"/>
        <w:rPr>
          <w:rFonts w:ascii="Verdana" w:hAnsi="Verdana"/>
          <w:sz w:val="20"/>
        </w:rPr>
      </w:pPr>
    </w:p>
    <w:p w:rsidR="006B3611" w:rsidRPr="004474B7" w:rsidRDefault="006B3611" w:rsidP="004474B7">
      <w:pPr>
        <w:pStyle w:val="Prrafodelista"/>
        <w:numPr>
          <w:ilvl w:val="0"/>
          <w:numId w:val="10"/>
        </w:numPr>
        <w:ind w:left="0" w:firstLine="0"/>
        <w:jc w:val="both"/>
        <w:rPr>
          <w:rFonts w:ascii="Verdana" w:hAnsi="Verdana"/>
          <w:sz w:val="20"/>
        </w:rPr>
      </w:pPr>
      <w:bookmarkStart w:id="16" w:name="_Ref461701566"/>
      <w:r w:rsidRPr="004474B7">
        <w:rPr>
          <w:rFonts w:ascii="Verdana" w:hAnsi="Verdana"/>
          <w:sz w:val="20"/>
        </w:rPr>
        <w:t>En este sentido, la Corte considera</w:t>
      </w:r>
      <w:r w:rsidR="00D85442" w:rsidRPr="004474B7">
        <w:rPr>
          <w:rFonts w:ascii="Verdana" w:hAnsi="Verdana"/>
          <w:sz w:val="20"/>
        </w:rPr>
        <w:t xml:space="preserve">, conforme a lo indicado por </w:t>
      </w:r>
      <w:r w:rsidRPr="004474B7">
        <w:rPr>
          <w:rFonts w:ascii="Verdana" w:hAnsi="Verdana"/>
          <w:sz w:val="20"/>
        </w:rPr>
        <w:t>El Salvador</w:t>
      </w:r>
      <w:r w:rsidR="00D85442" w:rsidRPr="004474B7">
        <w:rPr>
          <w:rFonts w:ascii="Verdana" w:hAnsi="Verdana"/>
          <w:sz w:val="20"/>
        </w:rPr>
        <w:t xml:space="preserve"> y no controvertido por los representantes y la Comisión, que el Estado</w:t>
      </w:r>
      <w:r w:rsidRPr="004474B7">
        <w:rPr>
          <w:rFonts w:ascii="Verdana" w:hAnsi="Verdana"/>
          <w:sz w:val="20"/>
        </w:rPr>
        <w:t xml:space="preserve"> ha venido dando cumplimiento a su </w:t>
      </w:r>
      <w:r w:rsidRPr="004474B7">
        <w:rPr>
          <w:rFonts w:ascii="Verdana" w:hAnsi="Verdana"/>
          <w:sz w:val="20"/>
          <w:lang w:val="es-CO"/>
        </w:rPr>
        <w:t>deber</w:t>
      </w:r>
      <w:r w:rsidRPr="004474B7">
        <w:rPr>
          <w:rFonts w:ascii="Verdana" w:hAnsi="Verdana"/>
          <w:sz w:val="20"/>
        </w:rPr>
        <w:t xml:space="preserve"> de brindar tratamiento médico y psicológico a favor de las víctimas. </w:t>
      </w:r>
      <w:r w:rsidR="00D85442" w:rsidRPr="004474B7">
        <w:rPr>
          <w:rFonts w:ascii="Verdana" w:hAnsi="Verdana"/>
          <w:sz w:val="20"/>
        </w:rPr>
        <w:t xml:space="preserve">Sin embargo, para declarar cumplido este punto la Corte requiere una mayor claridad </w:t>
      </w:r>
      <w:r w:rsidR="00090279">
        <w:rPr>
          <w:rFonts w:ascii="Verdana" w:hAnsi="Verdana"/>
          <w:sz w:val="20"/>
        </w:rPr>
        <w:t>d</w:t>
      </w:r>
      <w:r w:rsidR="00D85442" w:rsidRPr="004474B7">
        <w:rPr>
          <w:rFonts w:ascii="Verdana" w:hAnsi="Verdana"/>
          <w:sz w:val="20"/>
        </w:rPr>
        <w:t>e información por parte del Estado respecto a cómo garantizará en el futuro a las víctimas la continuidad de la atención médica y psicológica con un tratamiento diferenciado por su carácter de víctimas</w:t>
      </w:r>
      <w:r w:rsidR="00D85442" w:rsidRPr="004474B7">
        <w:rPr>
          <w:rStyle w:val="Refdenotaalpie"/>
          <w:rFonts w:ascii="Verdana" w:hAnsi="Verdana"/>
          <w:sz w:val="20"/>
        </w:rPr>
        <w:footnoteReference w:id="46"/>
      </w:r>
      <w:r w:rsidRPr="004474B7">
        <w:rPr>
          <w:rFonts w:ascii="Verdana" w:hAnsi="Verdana"/>
          <w:sz w:val="20"/>
        </w:rPr>
        <w:t>.</w:t>
      </w:r>
      <w:r w:rsidR="00140F40">
        <w:rPr>
          <w:rFonts w:ascii="Verdana" w:hAnsi="Verdana"/>
          <w:sz w:val="20"/>
        </w:rPr>
        <w:t xml:space="preserve"> Con el fin de valorar si concluir la supervisión de esta medida, r</w:t>
      </w:r>
      <w:r w:rsidR="00D85442" w:rsidRPr="004474B7">
        <w:rPr>
          <w:rFonts w:ascii="Verdana" w:hAnsi="Verdana"/>
          <w:sz w:val="20"/>
        </w:rPr>
        <w:t>esulta relevante que el Estado indique</w:t>
      </w:r>
      <w:r w:rsidR="00140F40">
        <w:rPr>
          <w:rFonts w:ascii="Verdana" w:hAnsi="Verdana"/>
          <w:sz w:val="20"/>
        </w:rPr>
        <w:t>:</w:t>
      </w:r>
      <w:r w:rsidR="00D85442" w:rsidRPr="004474B7">
        <w:rPr>
          <w:rFonts w:ascii="Verdana" w:hAnsi="Verdana"/>
          <w:sz w:val="20"/>
        </w:rPr>
        <w:t xml:space="preserve"> cuáles autoridades específicas estarían encargadas de atender a las víctimas o sus representantes en caso de alguna objeción o problema con relación a la atención médica y psicológica</w:t>
      </w:r>
      <w:r w:rsidR="00D85442" w:rsidRPr="004474B7">
        <w:rPr>
          <w:rStyle w:val="Refdenotaalpie"/>
          <w:rFonts w:ascii="Verdana" w:hAnsi="Verdana"/>
          <w:sz w:val="20"/>
        </w:rPr>
        <w:footnoteReference w:id="47"/>
      </w:r>
      <w:r w:rsidR="00140F40">
        <w:rPr>
          <w:rFonts w:ascii="Verdana" w:hAnsi="Verdana"/>
          <w:sz w:val="20"/>
        </w:rPr>
        <w:t>;</w:t>
      </w:r>
      <w:r w:rsidR="004474B7" w:rsidRPr="004474B7">
        <w:rPr>
          <w:rFonts w:ascii="Verdana" w:hAnsi="Verdana"/>
          <w:sz w:val="20"/>
        </w:rPr>
        <w:t xml:space="preserve"> si el Convenio de Cooperación Interinstitucional celebrado entre el Ministerio de Relaciones Exteriores, la Universidad Centro Americana José Simón Cañas y la Asociación Pro Búsqueda se mantiene vigente</w:t>
      </w:r>
      <w:r w:rsidR="00140F40">
        <w:rPr>
          <w:rFonts w:ascii="Verdana" w:hAnsi="Verdana"/>
          <w:sz w:val="20"/>
        </w:rPr>
        <w:t>;</w:t>
      </w:r>
      <w:r w:rsidR="004474B7" w:rsidRPr="004474B7">
        <w:rPr>
          <w:rFonts w:ascii="Verdana" w:hAnsi="Verdana"/>
          <w:sz w:val="20"/>
        </w:rPr>
        <w:t xml:space="preserve"> y si la prestación del tratamiento psicológico brindado hasta la fecha lo ha sido en el marco de dicho convenio, o si existe un convenio u otro instrumento vigente desde 2014 dispuesto para el cumplimiento de dicho punto resolutivo, y del cual se desprendan garantías similares como las indicadas en el Convenio de 2010, como la designación de un enlace entre el Estado y las víctimas para el cumplimiento de la medida</w:t>
      </w:r>
      <w:r w:rsidR="00140F40">
        <w:rPr>
          <w:rFonts w:ascii="Verdana" w:hAnsi="Verdana"/>
          <w:sz w:val="20"/>
        </w:rPr>
        <w:t>.</w:t>
      </w:r>
      <w:bookmarkEnd w:id="16"/>
      <w:r w:rsidR="00D85442" w:rsidRPr="006421F8">
        <w:rPr>
          <w:rFonts w:ascii="Times New Roman" w:eastAsia="Calibri" w:hAnsi="Times New Roman"/>
          <w:szCs w:val="24"/>
          <w:lang w:val="es-CR" w:eastAsia="es-CR"/>
        </w:rPr>
        <w:t xml:space="preserve"> </w:t>
      </w:r>
    </w:p>
    <w:p w:rsidR="00011472" w:rsidRPr="004474B7" w:rsidRDefault="00011472" w:rsidP="004474B7">
      <w:pPr>
        <w:pStyle w:val="Prrafodelista"/>
        <w:rPr>
          <w:rFonts w:ascii="Verdana" w:hAnsi="Verdana"/>
          <w:sz w:val="20"/>
        </w:rPr>
      </w:pPr>
    </w:p>
    <w:p w:rsidR="00971B9B" w:rsidRDefault="00971B9B" w:rsidP="00971B9B">
      <w:pPr>
        <w:pStyle w:val="Prrafodelista"/>
        <w:numPr>
          <w:ilvl w:val="0"/>
          <w:numId w:val="3"/>
        </w:numPr>
        <w:jc w:val="both"/>
        <w:outlineLvl w:val="0"/>
        <w:rPr>
          <w:rFonts w:ascii="Verdana" w:hAnsi="Verdana"/>
          <w:b/>
          <w:sz w:val="20"/>
        </w:rPr>
      </w:pPr>
      <w:bookmarkStart w:id="17" w:name="_Toc458159817"/>
      <w:bookmarkStart w:id="18" w:name="_Toc458162510"/>
      <w:r>
        <w:rPr>
          <w:rFonts w:ascii="Verdana" w:hAnsi="Verdana"/>
          <w:b/>
          <w:sz w:val="20"/>
        </w:rPr>
        <w:t>Solicitud de información sobre reparaciones supervisadas en la audiencia de junio de 2016</w:t>
      </w:r>
      <w:bookmarkEnd w:id="17"/>
      <w:bookmarkEnd w:id="18"/>
      <w:r>
        <w:rPr>
          <w:rFonts w:ascii="Verdana" w:hAnsi="Verdana"/>
          <w:b/>
          <w:sz w:val="20"/>
        </w:rPr>
        <w:t xml:space="preserve"> </w:t>
      </w:r>
    </w:p>
    <w:p w:rsidR="00011472" w:rsidRDefault="00011472" w:rsidP="004474B7">
      <w:pPr>
        <w:jc w:val="both"/>
        <w:rPr>
          <w:rFonts w:ascii="Verdana" w:hAnsi="Verdana"/>
          <w:sz w:val="20"/>
        </w:rPr>
      </w:pPr>
    </w:p>
    <w:p w:rsidR="00BE7D56" w:rsidRDefault="00BE7D56" w:rsidP="00BE7D56">
      <w:pPr>
        <w:pStyle w:val="Prrafodelista"/>
        <w:numPr>
          <w:ilvl w:val="0"/>
          <w:numId w:val="10"/>
        </w:numPr>
        <w:ind w:left="0" w:firstLine="0"/>
        <w:jc w:val="both"/>
        <w:rPr>
          <w:rFonts w:ascii="Verdana" w:hAnsi="Verdana"/>
          <w:sz w:val="20"/>
        </w:rPr>
      </w:pPr>
      <w:bookmarkStart w:id="19" w:name="_Ref461533634"/>
      <w:r>
        <w:rPr>
          <w:rFonts w:ascii="Verdana" w:hAnsi="Verdana"/>
          <w:sz w:val="20"/>
        </w:rPr>
        <w:t>El 24 de junio de 2016</w:t>
      </w:r>
      <w:r w:rsidR="00140F40">
        <w:rPr>
          <w:rFonts w:ascii="Verdana" w:hAnsi="Verdana"/>
          <w:sz w:val="20"/>
        </w:rPr>
        <w:t xml:space="preserve"> se celebró</w:t>
      </w:r>
      <w:r>
        <w:rPr>
          <w:rFonts w:ascii="Verdana" w:hAnsi="Verdana"/>
          <w:sz w:val="20"/>
        </w:rPr>
        <w:t xml:space="preserve"> en la sede de la Corte una audiencia privada de supervisión de cumplimiento de sentencias conjunta para este caso y el caso </w:t>
      </w:r>
      <w:r>
        <w:rPr>
          <w:rFonts w:ascii="Verdana" w:hAnsi="Verdana"/>
          <w:i/>
          <w:sz w:val="20"/>
        </w:rPr>
        <w:t xml:space="preserve">Contreras y </w:t>
      </w:r>
      <w:r w:rsidR="00017B60">
        <w:rPr>
          <w:rFonts w:ascii="Verdana" w:hAnsi="Verdana"/>
          <w:i/>
          <w:sz w:val="20"/>
        </w:rPr>
        <w:t>o</w:t>
      </w:r>
      <w:r>
        <w:rPr>
          <w:rFonts w:ascii="Verdana" w:hAnsi="Verdana"/>
          <w:i/>
          <w:sz w:val="20"/>
        </w:rPr>
        <w:t>tros Vs. El Salvador</w:t>
      </w:r>
      <w:r>
        <w:rPr>
          <w:rFonts w:ascii="Verdana" w:hAnsi="Verdana"/>
          <w:sz w:val="20"/>
        </w:rPr>
        <w:t>. Dicha audiencia tuvo por objeto recibir de parte del Estado información actualizada sobre el cumplimiento de las reparaciones relativas a:</w:t>
      </w:r>
      <w:bookmarkEnd w:id="19"/>
    </w:p>
    <w:p w:rsidR="00BE7D56" w:rsidRDefault="00BE7D56" w:rsidP="00BE7D56">
      <w:pPr>
        <w:jc w:val="both"/>
        <w:rPr>
          <w:rFonts w:ascii="Verdana" w:hAnsi="Verdana"/>
          <w:sz w:val="20"/>
        </w:rPr>
      </w:pPr>
    </w:p>
    <w:p w:rsidR="00BE7D56" w:rsidRPr="00BE7D56" w:rsidRDefault="00BE7D56" w:rsidP="00BE7D56">
      <w:pPr>
        <w:pStyle w:val="Textocomentario"/>
        <w:numPr>
          <w:ilvl w:val="0"/>
          <w:numId w:val="15"/>
        </w:numPr>
        <w:jc w:val="both"/>
        <w:rPr>
          <w:rFonts w:ascii="Verdana" w:eastAsia="Times New Roman" w:hAnsi="Verdana"/>
          <w:lang w:val="es-CR"/>
        </w:rPr>
      </w:pPr>
      <w:r w:rsidRPr="00BE7D56">
        <w:rPr>
          <w:rFonts w:ascii="Verdana" w:eastAsia="Times New Roman" w:hAnsi="Verdana"/>
          <w:lang w:val="es-CR"/>
        </w:rPr>
        <w:t>la búsqueda de</w:t>
      </w:r>
      <w:r w:rsidR="00017B60">
        <w:rPr>
          <w:rFonts w:ascii="Verdana" w:eastAsia="Times New Roman" w:hAnsi="Verdana"/>
          <w:lang w:val="es-CR"/>
        </w:rPr>
        <w:t>l</w:t>
      </w:r>
      <w:r w:rsidRPr="00BE7D56">
        <w:rPr>
          <w:rFonts w:ascii="Verdana" w:eastAsia="Times New Roman" w:hAnsi="Verdana"/>
          <w:lang w:val="es-CR"/>
        </w:rPr>
        <w:t xml:space="preserve"> paradero de las víctimas Ernestina y </w:t>
      </w:r>
      <w:proofErr w:type="spellStart"/>
      <w:r w:rsidRPr="00BE7D56">
        <w:rPr>
          <w:rFonts w:ascii="Verdana" w:eastAsia="Times New Roman" w:hAnsi="Verdana"/>
          <w:lang w:val="es-CR"/>
        </w:rPr>
        <w:t>Erlinda</w:t>
      </w:r>
      <w:proofErr w:type="spellEnd"/>
      <w:r w:rsidRPr="00BE7D56">
        <w:rPr>
          <w:rFonts w:ascii="Verdana" w:eastAsia="Times New Roman" w:hAnsi="Verdana"/>
          <w:lang w:val="es-CR"/>
        </w:rPr>
        <w:t xml:space="preserve"> Serrano Cruz, Julia Inés Contreras, Ana Julia Mejía Ramírez y Carmelina Mejía Ramírez, quienes desaparecieron durante el conflicto armado interno, cuando eran niñas, así como también aquellas medidas de carácter general de búsqueda de niños y niñas desaparecidos en ese contexto;</w:t>
      </w:r>
    </w:p>
    <w:p w:rsidR="00BE7D56" w:rsidRPr="00BE7D56" w:rsidRDefault="00BE7D56" w:rsidP="00BE7D56">
      <w:pPr>
        <w:pStyle w:val="Textocomentario"/>
        <w:numPr>
          <w:ilvl w:val="0"/>
          <w:numId w:val="15"/>
        </w:numPr>
        <w:jc w:val="both"/>
        <w:rPr>
          <w:rFonts w:ascii="Verdana" w:eastAsia="Times New Roman" w:hAnsi="Verdana"/>
          <w:lang w:val="es-CR"/>
        </w:rPr>
      </w:pPr>
      <w:r w:rsidRPr="00BE7D56">
        <w:rPr>
          <w:rFonts w:ascii="Verdana" w:eastAsia="Times New Roman" w:hAnsi="Verdana"/>
          <w:lang w:val="es-CR"/>
        </w:rPr>
        <w:t>asegurar el acceso a información de archivos y registros relevantes para la investigación de lo sucedido y determinar el paradero de los desaparecidos, y</w:t>
      </w:r>
    </w:p>
    <w:p w:rsidR="00BE7D56" w:rsidRPr="00BE7D56" w:rsidRDefault="00BE7D56" w:rsidP="00BE7D56">
      <w:pPr>
        <w:pStyle w:val="Textocomentario"/>
        <w:numPr>
          <w:ilvl w:val="0"/>
          <w:numId w:val="15"/>
        </w:numPr>
        <w:jc w:val="both"/>
        <w:rPr>
          <w:rFonts w:ascii="Verdana" w:eastAsia="Times New Roman" w:hAnsi="Verdana"/>
          <w:lang w:val="es-CR"/>
        </w:rPr>
      </w:pPr>
      <w:r w:rsidRPr="00BE7D56">
        <w:rPr>
          <w:rFonts w:ascii="Verdana" w:eastAsia="Times New Roman" w:hAnsi="Verdana"/>
          <w:lang w:val="es-CR"/>
        </w:rPr>
        <w:lastRenderedPageBreak/>
        <w:t xml:space="preserve">la obligación de investigar las violaciones cometidas en perjuicio de las víctimas de </w:t>
      </w:r>
      <w:r w:rsidR="00090279">
        <w:rPr>
          <w:rFonts w:ascii="Verdana" w:eastAsia="Times New Roman" w:hAnsi="Verdana"/>
          <w:lang w:val="es-CR"/>
        </w:rPr>
        <w:t>los</w:t>
      </w:r>
      <w:r w:rsidRPr="00BE7D56">
        <w:rPr>
          <w:rFonts w:ascii="Verdana" w:eastAsia="Times New Roman" w:hAnsi="Verdana"/>
          <w:lang w:val="es-CR"/>
        </w:rPr>
        <w:t xml:space="preserve"> dos casos. </w:t>
      </w:r>
    </w:p>
    <w:p w:rsidR="00BE7D56" w:rsidRDefault="00BE7D56" w:rsidP="00BE7D56">
      <w:pPr>
        <w:pStyle w:val="Textocomentario"/>
        <w:jc w:val="both"/>
        <w:rPr>
          <w:rFonts w:ascii="Verdana" w:eastAsia="Times New Roman" w:hAnsi="Verdana"/>
          <w:i/>
          <w:lang w:val="es-CR"/>
        </w:rPr>
      </w:pPr>
    </w:p>
    <w:p w:rsidR="00971B9B" w:rsidRDefault="00971B9B" w:rsidP="006F5F08">
      <w:pPr>
        <w:pStyle w:val="Prrafodelista"/>
        <w:numPr>
          <w:ilvl w:val="0"/>
          <w:numId w:val="10"/>
        </w:numPr>
        <w:ind w:left="0" w:firstLine="0"/>
        <w:jc w:val="both"/>
        <w:rPr>
          <w:rFonts w:ascii="Verdana" w:hAnsi="Verdana"/>
          <w:sz w:val="20"/>
          <w:lang w:val="es-CR"/>
        </w:rPr>
      </w:pPr>
      <w:bookmarkStart w:id="20" w:name="_Ref461533643"/>
      <w:r>
        <w:rPr>
          <w:rFonts w:ascii="Verdana" w:hAnsi="Verdana"/>
          <w:sz w:val="20"/>
          <w:lang w:val="es-CR"/>
        </w:rPr>
        <w:t>Tomando en cuenta la información recibida durante la audiencia</w:t>
      </w:r>
      <w:r w:rsidR="00011472">
        <w:rPr>
          <w:rFonts w:ascii="Verdana" w:hAnsi="Verdana"/>
          <w:sz w:val="20"/>
          <w:lang w:val="es-CR"/>
        </w:rPr>
        <w:t xml:space="preserve"> conjunta de este caso y el caso </w:t>
      </w:r>
      <w:r w:rsidR="00011472">
        <w:rPr>
          <w:rFonts w:ascii="Verdana" w:hAnsi="Verdana"/>
          <w:i/>
          <w:sz w:val="20"/>
          <w:lang w:val="es-CR"/>
        </w:rPr>
        <w:t>Contreras y otros</w:t>
      </w:r>
      <w:r>
        <w:rPr>
          <w:rFonts w:ascii="Verdana" w:hAnsi="Verdana"/>
          <w:sz w:val="20"/>
          <w:lang w:val="es-CR"/>
        </w:rPr>
        <w:t>, la Corte estima pertinente que el Estado presente un nuevo informe (</w:t>
      </w:r>
      <w:r>
        <w:rPr>
          <w:rFonts w:ascii="Verdana" w:hAnsi="Verdana"/>
          <w:i/>
          <w:sz w:val="20"/>
          <w:lang w:val="es-CR"/>
        </w:rPr>
        <w:t>infra</w:t>
      </w:r>
      <w:r>
        <w:rPr>
          <w:rFonts w:ascii="Verdana" w:hAnsi="Verdana"/>
          <w:sz w:val="20"/>
          <w:lang w:val="es-CR"/>
        </w:rPr>
        <w:t xml:space="preserve"> punto resolutivo </w:t>
      </w:r>
      <w:r w:rsidR="008E45C8">
        <w:rPr>
          <w:rFonts w:ascii="Verdana" w:hAnsi="Verdana"/>
          <w:sz w:val="20"/>
          <w:lang w:val="es-CR"/>
        </w:rPr>
        <w:fldChar w:fldCharType="begin"/>
      </w:r>
      <w:r w:rsidR="008E45C8">
        <w:rPr>
          <w:rFonts w:ascii="Verdana" w:hAnsi="Verdana"/>
          <w:sz w:val="20"/>
          <w:lang w:val="es-CR"/>
        </w:rPr>
        <w:instrText xml:space="preserve"> REF _Ref461701005 \r \h </w:instrText>
      </w:r>
      <w:r w:rsidR="008E45C8">
        <w:rPr>
          <w:rFonts w:ascii="Verdana" w:hAnsi="Verdana"/>
          <w:sz w:val="20"/>
          <w:lang w:val="es-CR"/>
        </w:rPr>
      </w:r>
      <w:r w:rsidR="008E45C8">
        <w:rPr>
          <w:rFonts w:ascii="Verdana" w:hAnsi="Verdana"/>
          <w:sz w:val="20"/>
          <w:lang w:val="es-CR"/>
        </w:rPr>
        <w:fldChar w:fldCharType="separate"/>
      </w:r>
      <w:r w:rsidR="00D676EE">
        <w:rPr>
          <w:rFonts w:ascii="Verdana" w:hAnsi="Verdana"/>
          <w:sz w:val="20"/>
          <w:lang w:val="es-CR"/>
        </w:rPr>
        <w:t>4</w:t>
      </w:r>
      <w:r w:rsidR="008E45C8">
        <w:rPr>
          <w:rFonts w:ascii="Verdana" w:hAnsi="Verdana"/>
          <w:sz w:val="20"/>
          <w:lang w:val="es-CR"/>
        </w:rPr>
        <w:fldChar w:fldCharType="end"/>
      </w:r>
      <w:r>
        <w:rPr>
          <w:rFonts w:ascii="Verdana" w:hAnsi="Verdana"/>
          <w:sz w:val="20"/>
          <w:lang w:val="es-CR"/>
        </w:rPr>
        <w:t xml:space="preserve">) actualizado y detallado sobre las reparaciones pendientes de cumplimiento a las cuales se </w:t>
      </w:r>
      <w:r w:rsidRPr="006F5F08">
        <w:rPr>
          <w:rFonts w:ascii="Verdana" w:hAnsi="Verdana"/>
          <w:sz w:val="20"/>
        </w:rPr>
        <w:t>hizo</w:t>
      </w:r>
      <w:r>
        <w:rPr>
          <w:rFonts w:ascii="Verdana" w:hAnsi="Verdana"/>
          <w:sz w:val="20"/>
          <w:lang w:val="es-CR"/>
        </w:rPr>
        <w:t xml:space="preserve"> referencia en la audiencia. </w:t>
      </w:r>
      <w:r w:rsidR="00011472">
        <w:rPr>
          <w:rFonts w:ascii="Verdana" w:hAnsi="Verdana"/>
          <w:sz w:val="20"/>
          <w:lang w:val="es-CR"/>
        </w:rPr>
        <w:t xml:space="preserve">El Salvador podrá presentar un informe para ambos casos de manera conjunta. </w:t>
      </w:r>
      <w:r>
        <w:rPr>
          <w:rFonts w:ascii="Verdana" w:hAnsi="Verdana"/>
          <w:sz w:val="20"/>
          <w:lang w:val="es-CR"/>
        </w:rPr>
        <w:t>Se requiere que en el mismo se refiera a las preguntas y comentarios efectuados por los jueces durante la audiencia</w:t>
      </w:r>
      <w:r w:rsidR="00017B60">
        <w:rPr>
          <w:rFonts w:ascii="Verdana" w:hAnsi="Verdana"/>
          <w:sz w:val="20"/>
          <w:lang w:val="es-CR"/>
        </w:rPr>
        <w:t>,</w:t>
      </w:r>
      <w:r>
        <w:rPr>
          <w:rFonts w:ascii="Verdana" w:hAnsi="Verdana"/>
          <w:sz w:val="20"/>
          <w:lang w:val="es-CR"/>
        </w:rPr>
        <w:t xml:space="preserve"> así como que tome en consideración las observaciones formuladas por los representantes de las víctimas y la Comisión Interamericana. En particular, la Corte solicita al Estado que se refiera a los siguientes aspectos:</w:t>
      </w:r>
      <w:bookmarkEnd w:id="20"/>
    </w:p>
    <w:p w:rsidR="00BE7D56" w:rsidRDefault="00BE7D56" w:rsidP="00BE7D56">
      <w:pPr>
        <w:pStyle w:val="Prrafodelista"/>
        <w:ind w:left="0"/>
        <w:jc w:val="both"/>
        <w:rPr>
          <w:rFonts w:ascii="Verdana" w:hAnsi="Verdana"/>
          <w:sz w:val="20"/>
          <w:lang w:val="es-CR"/>
        </w:rPr>
      </w:pPr>
    </w:p>
    <w:p w:rsidR="00BE7D56" w:rsidRDefault="00BE7D56" w:rsidP="00BE7D56">
      <w:pPr>
        <w:pStyle w:val="Prrafodelista"/>
        <w:numPr>
          <w:ilvl w:val="0"/>
          <w:numId w:val="16"/>
        </w:numPr>
        <w:ind w:left="709" w:hanging="567"/>
        <w:jc w:val="both"/>
        <w:rPr>
          <w:rFonts w:ascii="Verdana" w:hAnsi="Verdana"/>
          <w:sz w:val="20"/>
          <w:lang w:val="es-CR"/>
        </w:rPr>
      </w:pPr>
      <w:r>
        <w:rPr>
          <w:rFonts w:ascii="Verdana" w:hAnsi="Verdana"/>
          <w:i/>
          <w:sz w:val="20"/>
          <w:lang w:val="es-CR"/>
        </w:rPr>
        <w:t>Con relación a las medidas de reparación relativas a investigar los hechos e identificar y sancionar a los responsables</w:t>
      </w:r>
    </w:p>
    <w:p w:rsidR="00BE7D56" w:rsidRDefault="00BE7D56" w:rsidP="00BE7D56">
      <w:pPr>
        <w:pStyle w:val="Prrafodelista"/>
        <w:ind w:left="0"/>
        <w:jc w:val="both"/>
        <w:rPr>
          <w:rFonts w:ascii="Verdana" w:hAnsi="Verdana"/>
          <w:sz w:val="20"/>
          <w:lang w:val="es-CR"/>
        </w:rPr>
      </w:pPr>
    </w:p>
    <w:p w:rsidR="00971B9B" w:rsidRDefault="008E45C8" w:rsidP="00971B9B">
      <w:pPr>
        <w:numPr>
          <w:ilvl w:val="2"/>
          <w:numId w:val="12"/>
        </w:numPr>
        <w:jc w:val="both"/>
        <w:rPr>
          <w:rFonts w:ascii="Verdana" w:hAnsi="Verdana"/>
          <w:sz w:val="20"/>
          <w:lang w:val="es-CR"/>
        </w:rPr>
      </w:pPr>
      <w:r>
        <w:rPr>
          <w:rFonts w:ascii="Verdana" w:hAnsi="Verdana"/>
          <w:sz w:val="20"/>
          <w:lang w:val="es-CR"/>
        </w:rPr>
        <w:t>T</w:t>
      </w:r>
      <w:r w:rsidR="00971B9B">
        <w:rPr>
          <w:rFonts w:ascii="Verdana" w:hAnsi="Verdana"/>
          <w:sz w:val="20"/>
          <w:lang w:val="es-CR"/>
        </w:rPr>
        <w:t xml:space="preserve">eniendo en cuenta que la información proporcionada en la audiencia es sustancialmente similar a la que ha sido proporcionada en 2011, y que no se desprenden mayores avances en las referidas investigaciones, remita  información actualizada y detallada sobre las diligencias realizadas en la investigación penal correspondiente al presente caso. Igualmente, se requiere al Estado que especifique las líneas lógicas de investigación que está siguiendo en la consecución de dicha obligación de investigar. En este sentido, se solicita que el Estado proporcione los expedientes penales de cada una de esas investigaciones. </w:t>
      </w:r>
    </w:p>
    <w:p w:rsidR="00971B9B" w:rsidRDefault="00971B9B" w:rsidP="00971B9B">
      <w:pPr>
        <w:numPr>
          <w:ilvl w:val="2"/>
          <w:numId w:val="12"/>
        </w:numPr>
        <w:jc w:val="both"/>
        <w:rPr>
          <w:rFonts w:ascii="Verdana" w:hAnsi="Verdana"/>
          <w:sz w:val="20"/>
          <w:lang w:val="es-CR"/>
        </w:rPr>
      </w:pPr>
      <w:r>
        <w:rPr>
          <w:rFonts w:ascii="Verdana" w:hAnsi="Verdana"/>
          <w:sz w:val="20"/>
          <w:lang w:val="es-CR"/>
        </w:rPr>
        <w:t xml:space="preserve">Los alegados “obstáculos estructurales” indicados por los representantes de las víctimas durante la audiencia de supervisión de cumplimiento de la Sentencia: la alegada “falta de recursos humanos y materiales para llevar a cabo una investigación eficiente”, la alegada falta de aproximación </w:t>
      </w:r>
      <w:r w:rsidR="00017B60">
        <w:rPr>
          <w:rFonts w:ascii="Verdana" w:hAnsi="Verdana"/>
          <w:sz w:val="20"/>
          <w:lang w:val="es-CR"/>
        </w:rPr>
        <w:t xml:space="preserve">a las investigaciones </w:t>
      </w:r>
      <w:r>
        <w:rPr>
          <w:rFonts w:ascii="Verdana" w:hAnsi="Verdana"/>
          <w:sz w:val="20"/>
          <w:lang w:val="es-CR"/>
        </w:rPr>
        <w:t>“desde una perspectiva sistemática”</w:t>
      </w:r>
      <w:r>
        <w:rPr>
          <w:rStyle w:val="Refdenotaalpie"/>
          <w:rFonts w:ascii="Verdana" w:hAnsi="Verdana"/>
          <w:sz w:val="20"/>
          <w:lang w:val="es-CR"/>
        </w:rPr>
        <w:footnoteReference w:id="48"/>
      </w:r>
      <w:r>
        <w:rPr>
          <w:rFonts w:ascii="Verdana" w:hAnsi="Verdana"/>
          <w:sz w:val="20"/>
          <w:lang w:val="es-CR"/>
        </w:rPr>
        <w:t xml:space="preserve">, </w:t>
      </w:r>
      <w:r w:rsidRPr="008E45C8">
        <w:rPr>
          <w:rFonts w:ascii="Verdana" w:hAnsi="Verdana"/>
          <w:sz w:val="20"/>
          <w:lang w:val="es-CR"/>
        </w:rPr>
        <w:t>y la alegada inactividad en la investigación de graves violaciones ocurridas durante del conflicto armado. Debido a que sobre este último punto los representantes sostuvieron que ello se veía evidenciado en la ausencia de decisión judicial sobre la acción de nulidad interpuesta contra la Ley de Amnistía,</w:t>
      </w:r>
      <w:r w:rsidRPr="008E45C8">
        <w:rPr>
          <w:rFonts w:ascii="Verdana" w:hAnsi="Verdana"/>
          <w:sz w:val="20"/>
        </w:rPr>
        <w:t xml:space="preserve"> </w:t>
      </w:r>
      <w:r w:rsidRPr="008E45C8">
        <w:rPr>
          <w:rFonts w:ascii="Verdana" w:hAnsi="Verdana"/>
          <w:sz w:val="20"/>
          <w:lang w:val="es-CR"/>
        </w:rPr>
        <w:t>se requiere a El Salvador que remita información actualizada al respecto;</w:t>
      </w:r>
      <w:r>
        <w:rPr>
          <w:rFonts w:ascii="Verdana" w:hAnsi="Verdana"/>
          <w:sz w:val="20"/>
          <w:lang w:val="es-CR"/>
        </w:rPr>
        <w:t xml:space="preserve"> </w:t>
      </w:r>
    </w:p>
    <w:p w:rsidR="00971B9B" w:rsidRDefault="00971B9B" w:rsidP="00971B9B">
      <w:pPr>
        <w:numPr>
          <w:ilvl w:val="2"/>
          <w:numId w:val="12"/>
        </w:numPr>
        <w:jc w:val="both"/>
        <w:rPr>
          <w:rFonts w:ascii="Verdana" w:hAnsi="Verdana"/>
          <w:sz w:val="20"/>
          <w:lang w:val="es-CR"/>
        </w:rPr>
      </w:pPr>
      <w:r>
        <w:rPr>
          <w:rFonts w:ascii="Verdana" w:hAnsi="Verdana"/>
          <w:sz w:val="20"/>
          <w:lang w:val="es-CR"/>
        </w:rPr>
        <w:t xml:space="preserve">Se refiera a la propuesta de la Comisión Interamericana relativa a la “especialización de las autoridades a cargo de estas investigaciones, que responda a la sistematicidad en que ocurrieron estas violaciones”. </w:t>
      </w:r>
    </w:p>
    <w:p w:rsidR="00BE7D56" w:rsidRDefault="00BE7D56" w:rsidP="00BE7D56">
      <w:pPr>
        <w:numPr>
          <w:ilvl w:val="2"/>
          <w:numId w:val="12"/>
        </w:numPr>
        <w:jc w:val="both"/>
        <w:rPr>
          <w:rFonts w:ascii="Verdana" w:hAnsi="Verdana"/>
          <w:sz w:val="20"/>
          <w:lang w:val="es-CR"/>
        </w:rPr>
      </w:pPr>
      <w:r>
        <w:rPr>
          <w:rFonts w:ascii="Verdana" w:hAnsi="Verdana"/>
          <w:sz w:val="20"/>
          <w:lang w:val="es-CR"/>
        </w:rPr>
        <w:t xml:space="preserve">Presente un cronograma de las diligencias por realizar con el fin de identificar, juzgar y, en su caso, sancionar a los responsables de la totalidad de violaciones a derechos humanos identificadas en la Sentencia. </w:t>
      </w:r>
    </w:p>
    <w:p w:rsidR="00971B9B" w:rsidRDefault="00971B9B" w:rsidP="00971B9B">
      <w:pPr>
        <w:numPr>
          <w:ilvl w:val="2"/>
          <w:numId w:val="12"/>
        </w:numPr>
        <w:jc w:val="both"/>
        <w:rPr>
          <w:rFonts w:ascii="Verdana" w:hAnsi="Verdana"/>
          <w:sz w:val="20"/>
          <w:u w:val="single"/>
          <w:lang w:val="es-CR"/>
        </w:rPr>
      </w:pPr>
      <w:r w:rsidRPr="008E45C8">
        <w:rPr>
          <w:rFonts w:ascii="Verdana" w:hAnsi="Verdana"/>
          <w:sz w:val="20"/>
          <w:lang w:val="es-CR"/>
        </w:rPr>
        <w:t xml:space="preserve">Explique cuáles son los mecanismos disponibles conforme al ordenamiento jurídico salvadoreño para determinar la responsabilidad disciplinaria de los funcionarios del Poder Judicial y del Ministerio Público salvadoreño. </w:t>
      </w:r>
    </w:p>
    <w:p w:rsidR="00971B9B" w:rsidRDefault="00971B9B" w:rsidP="00971B9B">
      <w:pPr>
        <w:numPr>
          <w:ilvl w:val="2"/>
          <w:numId w:val="12"/>
        </w:numPr>
        <w:jc w:val="both"/>
        <w:rPr>
          <w:rFonts w:ascii="Verdana" w:hAnsi="Verdana"/>
          <w:b/>
          <w:color w:val="00B050"/>
          <w:sz w:val="16"/>
          <w:szCs w:val="16"/>
          <w:lang w:val="es-CR"/>
        </w:rPr>
      </w:pPr>
      <w:r>
        <w:rPr>
          <w:rFonts w:ascii="Verdana" w:hAnsi="Verdana"/>
          <w:sz w:val="20"/>
          <w:lang w:val="es-CR"/>
        </w:rPr>
        <w:t>Explique si se llevó a cabo la reunión que el Estado ofreció propiciar entre los fiscales del Ministerio Público a cargo de las investigaciones y los representantes</w:t>
      </w:r>
      <w:r w:rsidR="00017B60">
        <w:rPr>
          <w:rFonts w:ascii="Verdana" w:hAnsi="Verdana"/>
          <w:sz w:val="20"/>
          <w:lang w:val="es-CR"/>
        </w:rPr>
        <w:t xml:space="preserve"> de las víctimas,</w:t>
      </w:r>
      <w:r>
        <w:rPr>
          <w:rFonts w:ascii="Verdana" w:hAnsi="Verdana"/>
          <w:sz w:val="20"/>
          <w:lang w:val="es-CR"/>
        </w:rPr>
        <w:t xml:space="preserve"> y</w:t>
      </w:r>
      <w:r w:rsidR="00017B60">
        <w:rPr>
          <w:rFonts w:ascii="Verdana" w:hAnsi="Verdana"/>
          <w:sz w:val="20"/>
          <w:lang w:val="es-CR"/>
        </w:rPr>
        <w:t xml:space="preserve"> se refiera a</w:t>
      </w:r>
      <w:r>
        <w:rPr>
          <w:rFonts w:ascii="Verdana" w:hAnsi="Verdana"/>
          <w:sz w:val="20"/>
          <w:lang w:val="es-CR"/>
        </w:rPr>
        <w:t xml:space="preserve"> los detalles de la misma. </w:t>
      </w:r>
    </w:p>
    <w:p w:rsidR="00BE7D56" w:rsidRDefault="00BE7D56" w:rsidP="00BE7D56">
      <w:pPr>
        <w:pStyle w:val="Prrafodelista"/>
        <w:ind w:left="0"/>
        <w:jc w:val="both"/>
        <w:rPr>
          <w:rFonts w:ascii="Verdana" w:hAnsi="Verdana"/>
          <w:sz w:val="20"/>
          <w:lang w:val="es-CR"/>
        </w:rPr>
      </w:pPr>
    </w:p>
    <w:p w:rsidR="00291DF0" w:rsidRDefault="00291DF0" w:rsidP="00291DF0">
      <w:pPr>
        <w:pStyle w:val="Prrafodelista"/>
        <w:numPr>
          <w:ilvl w:val="0"/>
          <w:numId w:val="16"/>
        </w:numPr>
        <w:ind w:left="709" w:hanging="567"/>
        <w:jc w:val="both"/>
        <w:rPr>
          <w:rFonts w:ascii="Verdana" w:hAnsi="Verdana"/>
          <w:i/>
          <w:sz w:val="20"/>
          <w:lang w:val="es-CR"/>
        </w:rPr>
      </w:pPr>
      <w:r>
        <w:rPr>
          <w:rFonts w:ascii="Verdana" w:hAnsi="Verdana"/>
          <w:i/>
          <w:sz w:val="20"/>
          <w:lang w:val="es-CR"/>
        </w:rPr>
        <w:lastRenderedPageBreak/>
        <w:t xml:space="preserve">Con relación a las medidas tendientes a la búsqueda de </w:t>
      </w:r>
      <w:r w:rsidR="00017B60">
        <w:rPr>
          <w:rFonts w:ascii="Verdana" w:hAnsi="Verdana"/>
          <w:i/>
          <w:sz w:val="20"/>
          <w:lang w:val="es-CR"/>
        </w:rPr>
        <w:t>las personas</w:t>
      </w:r>
      <w:r>
        <w:rPr>
          <w:rFonts w:ascii="Verdana" w:hAnsi="Verdana"/>
          <w:i/>
          <w:sz w:val="20"/>
          <w:lang w:val="es-CR"/>
        </w:rPr>
        <w:t xml:space="preserve"> desaparecid</w:t>
      </w:r>
      <w:r w:rsidR="00017B60">
        <w:rPr>
          <w:rFonts w:ascii="Verdana" w:hAnsi="Verdana"/>
          <w:i/>
          <w:sz w:val="20"/>
          <w:lang w:val="es-CR"/>
        </w:rPr>
        <w:t>a</w:t>
      </w:r>
      <w:r>
        <w:rPr>
          <w:rFonts w:ascii="Verdana" w:hAnsi="Verdana"/>
          <w:i/>
          <w:sz w:val="20"/>
          <w:lang w:val="es-CR"/>
        </w:rPr>
        <w:t>s cuando eran niños durante el conflicto armado interno</w:t>
      </w:r>
    </w:p>
    <w:p w:rsidR="00291DF0" w:rsidRDefault="00291DF0" w:rsidP="00291DF0">
      <w:pPr>
        <w:pStyle w:val="Prrafodelista"/>
        <w:ind w:left="709"/>
        <w:jc w:val="both"/>
        <w:rPr>
          <w:rFonts w:ascii="Verdana" w:hAnsi="Verdana"/>
          <w:i/>
          <w:sz w:val="20"/>
          <w:lang w:val="es-CR"/>
        </w:rPr>
      </w:pPr>
    </w:p>
    <w:p w:rsidR="004474B7" w:rsidRDefault="00291DF0" w:rsidP="00017B60">
      <w:pPr>
        <w:numPr>
          <w:ilvl w:val="0"/>
          <w:numId w:val="25"/>
        </w:numPr>
        <w:jc w:val="both"/>
        <w:rPr>
          <w:rFonts w:ascii="Verdana" w:hAnsi="Verdana"/>
          <w:sz w:val="20"/>
          <w:lang w:val="es-CR"/>
        </w:rPr>
      </w:pPr>
      <w:r>
        <w:rPr>
          <w:rFonts w:ascii="Verdana" w:hAnsi="Verdana"/>
          <w:sz w:val="20"/>
          <w:lang w:val="es-CR"/>
        </w:rPr>
        <w:t>Presente un cronograma de las diligencias por realizar con el fin de continuar con la búsqueda de las hermanas Serrano Cruz. Deben identificarse con claridad las autoridades que están a cargo de las referidas investigaciones y de las diligencias que serán realizadas.</w:t>
      </w:r>
    </w:p>
    <w:p w:rsidR="00291DF0" w:rsidRDefault="00291DF0" w:rsidP="00017B60">
      <w:pPr>
        <w:numPr>
          <w:ilvl w:val="0"/>
          <w:numId w:val="25"/>
        </w:numPr>
        <w:jc w:val="both"/>
        <w:rPr>
          <w:rFonts w:ascii="Verdana" w:hAnsi="Verdana"/>
          <w:sz w:val="20"/>
          <w:lang w:val="es-CR"/>
        </w:rPr>
      </w:pPr>
      <w:r>
        <w:rPr>
          <w:rFonts w:ascii="Verdana" w:hAnsi="Verdana"/>
          <w:sz w:val="20"/>
          <w:lang w:val="es-CR"/>
        </w:rPr>
        <w:t>Se refiera a las garantías para asegurar la permanencia e independencia de la Comisión Nacional de Búsqueda y, en específico, a la posibilidad de asegurar el funcionamiento de la misma mediante ley</w:t>
      </w:r>
      <w:r w:rsidR="00017B60">
        <w:rPr>
          <w:rFonts w:ascii="Verdana" w:hAnsi="Verdana"/>
          <w:sz w:val="20"/>
          <w:lang w:val="es-CR"/>
        </w:rPr>
        <w:t>, tomando en cuenta lo indicado por</w:t>
      </w:r>
      <w:r>
        <w:rPr>
          <w:rFonts w:ascii="Verdana" w:hAnsi="Verdana"/>
          <w:sz w:val="20"/>
          <w:lang w:val="es-CR"/>
        </w:rPr>
        <w:t xml:space="preserve"> la Comisión Interamericana,</w:t>
      </w:r>
      <w:r w:rsidR="00017B60">
        <w:rPr>
          <w:rFonts w:ascii="Verdana" w:hAnsi="Verdana"/>
          <w:sz w:val="20"/>
          <w:lang w:val="es-CR"/>
        </w:rPr>
        <w:t xml:space="preserve"> en el sentido que es necesario que se</w:t>
      </w:r>
      <w:r>
        <w:rPr>
          <w:rFonts w:ascii="Verdana" w:hAnsi="Verdana"/>
          <w:sz w:val="20"/>
          <w:lang w:val="es-CR"/>
        </w:rPr>
        <w:t xml:space="preserve"> “elimine cualquier riesgo que ante un cambio de gobierno pudiera terminar de funcionar la Comisión Nacional de Búsqueda”. En específico, se requiere al Estado que informe sobre las perspectivas de que el proyecto de ley presentado por la Asociación Pro Búsqueda sea aprobado, </w:t>
      </w:r>
      <w:r w:rsidR="00017B60">
        <w:rPr>
          <w:rFonts w:ascii="Verdana" w:hAnsi="Verdana"/>
          <w:sz w:val="20"/>
          <w:lang w:val="es-CR"/>
        </w:rPr>
        <w:t>y</w:t>
      </w:r>
      <w:r>
        <w:rPr>
          <w:rFonts w:ascii="Verdana" w:hAnsi="Verdana"/>
          <w:sz w:val="20"/>
          <w:lang w:val="es-CR"/>
        </w:rPr>
        <w:t>, sobre la posibilidad de brindarle un trámite legislativo con carácter de urgencia.</w:t>
      </w:r>
    </w:p>
    <w:p w:rsidR="00971B9B" w:rsidRDefault="00971B9B" w:rsidP="00017B60">
      <w:pPr>
        <w:numPr>
          <w:ilvl w:val="0"/>
          <w:numId w:val="25"/>
        </w:numPr>
        <w:jc w:val="both"/>
        <w:rPr>
          <w:rFonts w:ascii="Verdana" w:hAnsi="Verdana"/>
          <w:sz w:val="20"/>
          <w:lang w:val="es-CR"/>
        </w:rPr>
      </w:pPr>
      <w:r>
        <w:rPr>
          <w:rFonts w:ascii="Verdana" w:hAnsi="Verdana"/>
          <w:sz w:val="20"/>
          <w:lang w:val="es-CR"/>
        </w:rPr>
        <w:t>Informe los avances en el establecimiento del sistema de información genética. En específico, se requiere que explique a profundidad sobre la implementación de los proyectos de cooperación internacional dirigidos a establecer dicho sistema, según lo afirmado por el Estado en la audiencia, e indique un cronograma en el que especifique los pasos dirigidos al cumplimiento de dicha medida. Igualmente, se solicita que explique a qu</w:t>
      </w:r>
      <w:r w:rsidR="00017B60">
        <w:rPr>
          <w:rFonts w:ascii="Verdana" w:hAnsi="Verdana"/>
          <w:sz w:val="20"/>
          <w:lang w:val="es-CR"/>
        </w:rPr>
        <w:t>é</w:t>
      </w:r>
      <w:r>
        <w:rPr>
          <w:rFonts w:ascii="Verdana" w:hAnsi="Verdana"/>
          <w:sz w:val="20"/>
          <w:lang w:val="es-CR"/>
        </w:rPr>
        <w:t xml:space="preserve"> se refiere el Estado con que “ha gestionado la colaboración y asistencia técnica del Equipo Argentino de Antropología Forense para el proceso de instalación de este banco”</w:t>
      </w:r>
      <w:r w:rsidR="00017B60">
        <w:rPr>
          <w:rFonts w:ascii="Verdana" w:hAnsi="Verdana"/>
          <w:sz w:val="20"/>
          <w:lang w:val="es-CR"/>
        </w:rPr>
        <w:t>, y cómo se ha implementado la misma</w:t>
      </w:r>
      <w:r>
        <w:rPr>
          <w:rFonts w:ascii="Verdana" w:hAnsi="Verdana"/>
          <w:sz w:val="20"/>
          <w:lang w:val="es-CR"/>
        </w:rPr>
        <w:t>.</w:t>
      </w:r>
    </w:p>
    <w:p w:rsidR="00905C17" w:rsidRDefault="00905C17" w:rsidP="00905C17">
      <w:pPr>
        <w:jc w:val="both"/>
        <w:rPr>
          <w:rFonts w:ascii="Verdana" w:hAnsi="Verdana"/>
          <w:sz w:val="20"/>
          <w:lang w:val="es-CR"/>
        </w:rPr>
      </w:pPr>
    </w:p>
    <w:p w:rsidR="00905C17" w:rsidRDefault="00905C17" w:rsidP="00905C17">
      <w:pPr>
        <w:pStyle w:val="Prrafodelista"/>
        <w:numPr>
          <w:ilvl w:val="0"/>
          <w:numId w:val="16"/>
        </w:numPr>
        <w:ind w:left="709" w:hanging="567"/>
        <w:jc w:val="both"/>
        <w:rPr>
          <w:rFonts w:ascii="Verdana" w:hAnsi="Verdana"/>
          <w:sz w:val="20"/>
          <w:lang w:val="es-CR"/>
        </w:rPr>
      </w:pPr>
      <w:r>
        <w:rPr>
          <w:rFonts w:ascii="Verdana" w:hAnsi="Verdana"/>
          <w:i/>
          <w:sz w:val="20"/>
          <w:lang w:val="es-CR"/>
        </w:rPr>
        <w:t>Con relación a las medidas tendientes a asegurar el acceso a la información de archivos y registros relevantes para la investigación de lo sucedido y determinar el paradero de los desaparecidos</w:t>
      </w:r>
    </w:p>
    <w:p w:rsidR="00905C17" w:rsidRDefault="00905C17" w:rsidP="00905C17">
      <w:pPr>
        <w:jc w:val="both"/>
        <w:rPr>
          <w:rFonts w:ascii="Verdana" w:hAnsi="Verdana"/>
          <w:sz w:val="20"/>
          <w:lang w:val="es-CR"/>
        </w:rPr>
      </w:pPr>
    </w:p>
    <w:p w:rsidR="00971B9B" w:rsidRDefault="00971B9B" w:rsidP="00017B60">
      <w:pPr>
        <w:numPr>
          <w:ilvl w:val="0"/>
          <w:numId w:val="26"/>
        </w:numPr>
        <w:jc w:val="both"/>
        <w:rPr>
          <w:rFonts w:ascii="Verdana" w:hAnsi="Verdana"/>
          <w:sz w:val="20"/>
          <w:lang w:val="es-CR"/>
        </w:rPr>
      </w:pPr>
      <w:r>
        <w:rPr>
          <w:rFonts w:ascii="Verdana" w:hAnsi="Verdana"/>
          <w:sz w:val="20"/>
          <w:lang w:val="es-CR"/>
        </w:rPr>
        <w:t xml:space="preserve">Proporcione la totalidad de las resoluciones del Ministerio de Defensa en las cuales ha negado el acceso a la información a los representantes de las víctimas o a cualquier institución estatal, o ha manifestado que la información requerida no existe en casos relacionados a las investigaciones de los hechos del presente caso. </w:t>
      </w:r>
    </w:p>
    <w:p w:rsidR="00971B9B" w:rsidRDefault="00971B9B" w:rsidP="00017B60">
      <w:pPr>
        <w:numPr>
          <w:ilvl w:val="0"/>
          <w:numId w:val="26"/>
        </w:numPr>
        <w:jc w:val="both"/>
        <w:rPr>
          <w:rFonts w:ascii="Verdana" w:hAnsi="Verdana"/>
          <w:sz w:val="20"/>
          <w:lang w:val="es-CR"/>
        </w:rPr>
      </w:pPr>
      <w:r>
        <w:rPr>
          <w:rFonts w:ascii="Verdana" w:hAnsi="Verdana"/>
          <w:sz w:val="20"/>
          <w:lang w:val="es-CR"/>
        </w:rPr>
        <w:t>Se refiera a lo afirmado por los representantes en cuanto a que cuando jueces ejecutores de sentencias de habeas corpus han hecho visitas al Ministerio de Defensa, éste “ha manifestado que no existe la información”.</w:t>
      </w:r>
    </w:p>
    <w:p w:rsidR="00971B9B" w:rsidRDefault="00971B9B" w:rsidP="00017B60">
      <w:pPr>
        <w:numPr>
          <w:ilvl w:val="0"/>
          <w:numId w:val="26"/>
        </w:numPr>
        <w:jc w:val="both"/>
        <w:rPr>
          <w:rFonts w:ascii="Verdana" w:hAnsi="Verdana"/>
          <w:sz w:val="20"/>
          <w:lang w:val="es-CR"/>
        </w:rPr>
      </w:pPr>
      <w:r>
        <w:rPr>
          <w:rFonts w:ascii="Verdana" w:hAnsi="Verdana"/>
          <w:sz w:val="20"/>
          <w:lang w:val="es-CR"/>
        </w:rPr>
        <w:t xml:space="preserve">Enumere y desarrolle las acciones llevadas a cabo por el Estado para superar los obstáculos en el acceso a la información relevante para el desarrollo de las investigaciones referidas. Especialmente, se solicita al Estado que se refiera a las medidas adoptadas para facilitar el acceso a la información relevante para dichas investigaciones en poder del Ministerio de Defensa y de las Fuerzas Armadas, teniendo en cuenta lo señalado por los representantes y la Comisión en la audiencia, </w:t>
      </w:r>
      <w:r w:rsidR="00017B60">
        <w:rPr>
          <w:rFonts w:ascii="Verdana" w:hAnsi="Verdana"/>
          <w:sz w:val="20"/>
          <w:lang w:val="es-CR"/>
        </w:rPr>
        <w:t>respecto a</w:t>
      </w:r>
      <w:r>
        <w:rPr>
          <w:rFonts w:ascii="Verdana" w:hAnsi="Verdana"/>
          <w:sz w:val="20"/>
          <w:lang w:val="es-CR"/>
        </w:rPr>
        <w:t xml:space="preserve"> que no se estaría proporcionando la información requerida a pesar de que existe un marco normativo que así lo orden</w:t>
      </w:r>
      <w:r w:rsidR="00017B60">
        <w:rPr>
          <w:rFonts w:ascii="Verdana" w:hAnsi="Verdana"/>
          <w:sz w:val="20"/>
          <w:lang w:val="es-CR"/>
        </w:rPr>
        <w:t>a</w:t>
      </w:r>
      <w:r>
        <w:rPr>
          <w:rFonts w:ascii="Verdana" w:hAnsi="Verdana"/>
          <w:sz w:val="20"/>
          <w:lang w:val="es-CR"/>
        </w:rPr>
        <w:t>.</w:t>
      </w:r>
    </w:p>
    <w:p w:rsidR="00971B9B" w:rsidRDefault="00971B9B" w:rsidP="00017B60">
      <w:pPr>
        <w:numPr>
          <w:ilvl w:val="0"/>
          <w:numId w:val="26"/>
        </w:numPr>
        <w:jc w:val="both"/>
        <w:rPr>
          <w:rFonts w:ascii="Verdana" w:hAnsi="Verdana"/>
          <w:sz w:val="20"/>
          <w:lang w:val="es-CR"/>
        </w:rPr>
      </w:pPr>
      <w:r>
        <w:rPr>
          <w:rFonts w:ascii="Verdana" w:hAnsi="Verdana"/>
          <w:sz w:val="20"/>
          <w:lang w:val="es-CR"/>
        </w:rPr>
        <w:t xml:space="preserve">Indique los resultados de la reunión que se celebraría entre las autoridades de la Secretaría de Transparencia y Gobernabilidad con el Ministerio de Defensa, en </w:t>
      </w:r>
      <w:r w:rsidR="00017B60">
        <w:rPr>
          <w:rFonts w:ascii="Verdana" w:hAnsi="Verdana"/>
          <w:sz w:val="20"/>
          <w:lang w:val="es-CR"/>
        </w:rPr>
        <w:t>la</w:t>
      </w:r>
      <w:r>
        <w:rPr>
          <w:rFonts w:ascii="Verdana" w:hAnsi="Verdana"/>
          <w:sz w:val="20"/>
          <w:lang w:val="es-CR"/>
        </w:rPr>
        <w:t xml:space="preserve"> que, según el Estado, se haría una “una revisión más minuciosa de los criterios que esa institución está aplicando para reservar cierta información”.</w:t>
      </w:r>
    </w:p>
    <w:p w:rsidR="00971B9B" w:rsidRDefault="00971B9B" w:rsidP="00017B60">
      <w:pPr>
        <w:numPr>
          <w:ilvl w:val="0"/>
          <w:numId w:val="26"/>
        </w:numPr>
        <w:jc w:val="both"/>
        <w:rPr>
          <w:rFonts w:ascii="Verdana" w:hAnsi="Verdana"/>
          <w:sz w:val="20"/>
          <w:lang w:val="es-CR"/>
        </w:rPr>
      </w:pPr>
      <w:r>
        <w:rPr>
          <w:rFonts w:ascii="Verdana" w:hAnsi="Verdana"/>
          <w:sz w:val="20"/>
          <w:lang w:val="es-CR"/>
        </w:rPr>
        <w:lastRenderedPageBreak/>
        <w:t xml:space="preserve">Se refiera al proceso judicial entablado por el Ministerio de Defensa ante la Sala de lo Contencioso Administrativo de la Corte Suprema de Justicia, el </w:t>
      </w:r>
      <w:r w:rsidR="00017B60">
        <w:rPr>
          <w:rFonts w:ascii="Verdana" w:hAnsi="Verdana"/>
          <w:sz w:val="20"/>
          <w:lang w:val="es-CR"/>
        </w:rPr>
        <w:t>cual,</w:t>
      </w:r>
      <w:r>
        <w:rPr>
          <w:rFonts w:ascii="Verdana" w:hAnsi="Verdana"/>
          <w:sz w:val="20"/>
          <w:lang w:val="es-CR"/>
        </w:rPr>
        <w:t xml:space="preserve"> según lo afirmado por los representantes, </w:t>
      </w:r>
      <w:r w:rsidR="00017B60">
        <w:rPr>
          <w:rFonts w:ascii="Verdana" w:hAnsi="Verdana"/>
          <w:sz w:val="20"/>
          <w:lang w:val="es-CR"/>
        </w:rPr>
        <w:t xml:space="preserve">se refiere </w:t>
      </w:r>
      <w:r>
        <w:rPr>
          <w:rFonts w:ascii="Verdana" w:hAnsi="Verdana"/>
          <w:sz w:val="20"/>
          <w:lang w:val="es-CR"/>
        </w:rPr>
        <w:t>al acceso a la información resguardada por dicho Ministerio.</w:t>
      </w:r>
    </w:p>
    <w:p w:rsidR="00971B9B" w:rsidRDefault="00971B9B" w:rsidP="00017B60">
      <w:pPr>
        <w:numPr>
          <w:ilvl w:val="0"/>
          <w:numId w:val="26"/>
        </w:numPr>
        <w:jc w:val="both"/>
        <w:rPr>
          <w:rFonts w:ascii="Verdana" w:hAnsi="Verdana"/>
          <w:sz w:val="20"/>
          <w:lang w:val="es-CR"/>
        </w:rPr>
      </w:pPr>
      <w:r>
        <w:rPr>
          <w:rFonts w:ascii="Verdana" w:hAnsi="Verdana"/>
          <w:sz w:val="20"/>
          <w:lang w:val="es-CR"/>
        </w:rPr>
        <w:t xml:space="preserve">De ser el caso, proporcione la decisión indicada por </w:t>
      </w:r>
      <w:proofErr w:type="gramStart"/>
      <w:r>
        <w:rPr>
          <w:rFonts w:ascii="Verdana" w:hAnsi="Verdana"/>
          <w:sz w:val="20"/>
          <w:lang w:val="es-CR"/>
        </w:rPr>
        <w:t>l</w:t>
      </w:r>
      <w:r w:rsidR="008E45C8">
        <w:rPr>
          <w:rFonts w:ascii="Verdana" w:hAnsi="Verdana"/>
          <w:sz w:val="20"/>
          <w:lang w:val="es-CR"/>
        </w:rPr>
        <w:t>a</w:t>
      </w:r>
      <w:r>
        <w:rPr>
          <w:rFonts w:ascii="Verdana" w:hAnsi="Verdana"/>
          <w:sz w:val="20"/>
          <w:lang w:val="es-CR"/>
        </w:rPr>
        <w:t>s representantes relativa</w:t>
      </w:r>
      <w:proofErr w:type="gramEnd"/>
      <w:r>
        <w:rPr>
          <w:rFonts w:ascii="Verdana" w:hAnsi="Verdana"/>
          <w:sz w:val="20"/>
          <w:lang w:val="es-CR"/>
        </w:rPr>
        <w:t xml:space="preserve"> a un proceso de </w:t>
      </w:r>
      <w:r>
        <w:rPr>
          <w:rFonts w:ascii="Verdana" w:hAnsi="Verdana"/>
          <w:i/>
          <w:sz w:val="20"/>
          <w:lang w:val="es-CR"/>
        </w:rPr>
        <w:t>habeas corpus</w:t>
      </w:r>
      <w:r>
        <w:rPr>
          <w:rFonts w:ascii="Verdana" w:hAnsi="Verdana"/>
          <w:sz w:val="20"/>
          <w:lang w:val="es-CR"/>
        </w:rPr>
        <w:t xml:space="preserve"> decidido por la Sala de lo Constitucional de la Corte Suprema de Justicia en el año 2015, que habría ordenado al Ministerio de Defensa “entregar la información sobre las desapariciones”.</w:t>
      </w:r>
    </w:p>
    <w:p w:rsidR="00971B9B" w:rsidRDefault="00971B9B" w:rsidP="00017B60">
      <w:pPr>
        <w:numPr>
          <w:ilvl w:val="0"/>
          <w:numId w:val="26"/>
        </w:numPr>
        <w:jc w:val="both"/>
        <w:rPr>
          <w:rFonts w:ascii="Verdana" w:hAnsi="Verdana"/>
          <w:sz w:val="20"/>
          <w:lang w:val="es-CR"/>
        </w:rPr>
      </w:pPr>
      <w:r>
        <w:rPr>
          <w:rFonts w:ascii="Verdana" w:hAnsi="Verdana"/>
          <w:sz w:val="20"/>
          <w:lang w:val="es-CR"/>
        </w:rPr>
        <w:t xml:space="preserve">Se refiera a la solicitud de los representantes de “designar un funcionario de enlace en la inteligencia militar del ejército, que cuente con graduación suficiente, a </w:t>
      </w:r>
      <w:r w:rsidR="00017B60">
        <w:rPr>
          <w:rFonts w:ascii="Verdana" w:hAnsi="Verdana"/>
          <w:sz w:val="20"/>
          <w:lang w:val="es-CR"/>
        </w:rPr>
        <w:t>quien</w:t>
      </w:r>
      <w:r>
        <w:rPr>
          <w:rFonts w:ascii="Verdana" w:hAnsi="Verdana"/>
          <w:sz w:val="20"/>
          <w:lang w:val="es-CR"/>
        </w:rPr>
        <w:t xml:space="preserve"> las víctimas de estos casos así como sus representantes puedan dirigirse en la búsqueda o reconstrucción de la información”.</w:t>
      </w:r>
    </w:p>
    <w:p w:rsidR="00905C17" w:rsidRDefault="00905C17" w:rsidP="00905C17">
      <w:pPr>
        <w:jc w:val="both"/>
        <w:rPr>
          <w:rFonts w:ascii="Verdana" w:hAnsi="Verdana"/>
          <w:sz w:val="20"/>
          <w:lang w:val="es-CR"/>
        </w:rPr>
      </w:pPr>
    </w:p>
    <w:p w:rsidR="00291DF0" w:rsidRPr="00905C17" w:rsidRDefault="00905C17" w:rsidP="00905C17">
      <w:pPr>
        <w:pStyle w:val="Prrafodelista"/>
        <w:numPr>
          <w:ilvl w:val="0"/>
          <w:numId w:val="10"/>
        </w:numPr>
        <w:ind w:left="0" w:firstLine="0"/>
        <w:jc w:val="both"/>
        <w:rPr>
          <w:rFonts w:ascii="Verdana" w:hAnsi="Verdana"/>
          <w:b/>
          <w:sz w:val="20"/>
        </w:rPr>
      </w:pPr>
      <w:r>
        <w:rPr>
          <w:rFonts w:ascii="Verdana" w:hAnsi="Verdana"/>
          <w:sz w:val="20"/>
        </w:rPr>
        <w:t>Sin perjuicio de la mencionada solicitud de informe, la Corte delega al Presidente</w:t>
      </w:r>
      <w:r w:rsidR="00140F40">
        <w:rPr>
          <w:rFonts w:ascii="Verdana" w:hAnsi="Verdana"/>
          <w:sz w:val="20"/>
        </w:rPr>
        <w:t xml:space="preserve"> para</w:t>
      </w:r>
      <w:r>
        <w:rPr>
          <w:rFonts w:ascii="Verdana" w:hAnsi="Verdana"/>
          <w:sz w:val="20"/>
        </w:rPr>
        <w:t xml:space="preserve"> que, en caso de considerarlo necesario, </w:t>
      </w:r>
      <w:r w:rsidR="00140F40">
        <w:rPr>
          <w:rFonts w:ascii="Verdana" w:hAnsi="Verdana"/>
          <w:sz w:val="20"/>
        </w:rPr>
        <w:t>haga</w:t>
      </w:r>
      <w:r>
        <w:rPr>
          <w:rFonts w:ascii="Verdana" w:hAnsi="Verdana"/>
          <w:sz w:val="20"/>
        </w:rPr>
        <w:t xml:space="preserve"> uso de la facultad dispuesta en el artículo 69.2</w:t>
      </w:r>
      <w:r>
        <w:rPr>
          <w:rStyle w:val="Refdenotaalpie"/>
          <w:rFonts w:ascii="Verdana" w:hAnsi="Verdana"/>
          <w:sz w:val="20"/>
        </w:rPr>
        <w:footnoteReference w:id="49"/>
      </w:r>
      <w:r>
        <w:rPr>
          <w:rFonts w:ascii="Verdana" w:hAnsi="Verdana"/>
          <w:sz w:val="20"/>
        </w:rPr>
        <w:t xml:space="preserve"> del Reglamento de la Corte Interamericana, para solicitar directamente a instituciones de El Salvador que brinden información relevante para la supervisión del cumplimiento de la Sentencia.</w:t>
      </w:r>
    </w:p>
    <w:p w:rsidR="00971B9B" w:rsidRDefault="00971B9B" w:rsidP="00BE578D">
      <w:pPr>
        <w:jc w:val="both"/>
        <w:outlineLvl w:val="0"/>
        <w:rPr>
          <w:rFonts w:ascii="Verdana" w:hAnsi="Verdana"/>
          <w:b/>
          <w:sz w:val="20"/>
          <w:lang w:val="es-CO"/>
        </w:rPr>
      </w:pPr>
    </w:p>
    <w:p w:rsidR="00011472" w:rsidRDefault="00011472" w:rsidP="00BE578D">
      <w:pPr>
        <w:jc w:val="both"/>
        <w:outlineLvl w:val="0"/>
        <w:rPr>
          <w:rFonts w:ascii="Verdana" w:hAnsi="Verdana"/>
          <w:b/>
          <w:sz w:val="20"/>
          <w:lang w:val="es-CO"/>
        </w:rPr>
      </w:pPr>
    </w:p>
    <w:p w:rsidR="003A58CF" w:rsidRDefault="00E1230C" w:rsidP="0074538E">
      <w:pPr>
        <w:rPr>
          <w:rFonts w:ascii="Verdana" w:hAnsi="Verdana"/>
          <w:b/>
          <w:sz w:val="20"/>
          <w:lang w:val="es-CO"/>
        </w:rPr>
      </w:pPr>
      <w:r>
        <w:rPr>
          <w:rFonts w:ascii="Verdana" w:hAnsi="Verdana"/>
          <w:b/>
          <w:sz w:val="20"/>
          <w:lang w:val="es-CO"/>
        </w:rPr>
        <w:t>POR TANTO:</w:t>
      </w:r>
    </w:p>
    <w:p w:rsidR="00760B04" w:rsidRDefault="00760B04" w:rsidP="0074538E">
      <w:pPr>
        <w:rPr>
          <w:rFonts w:ascii="Verdana" w:hAnsi="Verdana"/>
          <w:b/>
          <w:sz w:val="20"/>
          <w:lang w:val="es-CO"/>
        </w:rPr>
      </w:pPr>
    </w:p>
    <w:p w:rsidR="00360130" w:rsidRDefault="00E1230C" w:rsidP="0074538E">
      <w:pPr>
        <w:rPr>
          <w:rFonts w:ascii="Verdana" w:hAnsi="Verdana"/>
          <w:b/>
          <w:sz w:val="20"/>
          <w:lang w:val="es-CO"/>
        </w:rPr>
      </w:pPr>
      <w:r>
        <w:rPr>
          <w:rFonts w:ascii="Verdana" w:hAnsi="Verdana"/>
          <w:b/>
          <w:sz w:val="20"/>
          <w:lang w:val="es-CO"/>
        </w:rPr>
        <w:t xml:space="preserve">LA CORTE INTERAMERICANA DE DERECHOS HUMANOS, </w:t>
      </w:r>
    </w:p>
    <w:p w:rsidR="00EC4AE2" w:rsidRDefault="00EC4AE2" w:rsidP="0074538E">
      <w:pPr>
        <w:rPr>
          <w:rFonts w:ascii="Verdana" w:hAnsi="Verdana"/>
          <w:b/>
          <w:sz w:val="20"/>
          <w:lang w:val="es-CO"/>
        </w:rPr>
      </w:pPr>
    </w:p>
    <w:p w:rsidR="00E1230C" w:rsidRDefault="00E1230C" w:rsidP="0074538E">
      <w:pPr>
        <w:jc w:val="both"/>
        <w:rPr>
          <w:rFonts w:ascii="Verdana" w:hAnsi="Verdana"/>
          <w:sz w:val="20"/>
          <w:lang w:eastAsia="es-CR"/>
        </w:rPr>
      </w:pPr>
      <w:r>
        <w:rPr>
          <w:rFonts w:ascii="Verdana" w:hAnsi="Verdana"/>
          <w:sz w:val="20"/>
          <w:lang w:eastAsia="es-CR"/>
        </w:rPr>
        <w:t>En el ejercicio de sus atribuciones de supervisión del cumplimiento de sus decisiones, de conformidad con los artículos 33, 62.1, 62.3, 65, 67 y 68.1 de la Convención Americana sobre Derechos Humanos, 24, 25 y 30 del Estatuto y 31.2 y 69 de su Reglamento,</w:t>
      </w:r>
    </w:p>
    <w:p w:rsidR="00EC4AE2" w:rsidRDefault="00EC4AE2" w:rsidP="0074538E">
      <w:pPr>
        <w:rPr>
          <w:rFonts w:ascii="Verdana" w:hAnsi="Verdana"/>
          <w:b/>
          <w:sz w:val="20"/>
        </w:rPr>
      </w:pPr>
    </w:p>
    <w:p w:rsidR="00360130" w:rsidRDefault="00360130" w:rsidP="0074538E">
      <w:pPr>
        <w:rPr>
          <w:rFonts w:ascii="Verdana" w:hAnsi="Verdana"/>
          <w:b/>
          <w:sz w:val="20"/>
        </w:rPr>
      </w:pPr>
      <w:r>
        <w:rPr>
          <w:rFonts w:ascii="Verdana" w:hAnsi="Verdana"/>
          <w:b/>
          <w:sz w:val="20"/>
        </w:rPr>
        <w:t xml:space="preserve">RESUELVE: </w:t>
      </w:r>
    </w:p>
    <w:p w:rsidR="00905C17" w:rsidRDefault="00905C17" w:rsidP="0074538E">
      <w:pPr>
        <w:rPr>
          <w:rFonts w:ascii="Verdana" w:hAnsi="Verdana"/>
          <w:b/>
          <w:sz w:val="20"/>
        </w:rPr>
      </w:pPr>
    </w:p>
    <w:p w:rsidR="00905C17" w:rsidRDefault="00905C17" w:rsidP="00017B60">
      <w:pPr>
        <w:pStyle w:val="Prrafodelista"/>
        <w:numPr>
          <w:ilvl w:val="0"/>
          <w:numId w:val="21"/>
        </w:numPr>
        <w:spacing w:before="120"/>
        <w:ind w:left="0" w:right="4" w:firstLine="0"/>
        <w:jc w:val="both"/>
        <w:rPr>
          <w:rFonts w:ascii="Verdana" w:hAnsi="Verdana"/>
          <w:sz w:val="20"/>
        </w:rPr>
      </w:pPr>
      <w:r>
        <w:rPr>
          <w:rFonts w:ascii="Verdana" w:hAnsi="Verdana"/>
          <w:sz w:val="20"/>
        </w:rPr>
        <w:t xml:space="preserve">Declarar, </w:t>
      </w:r>
      <w:r w:rsidR="008E45C8">
        <w:rPr>
          <w:rFonts w:ascii="Verdana" w:hAnsi="Verdana"/>
          <w:sz w:val="20"/>
        </w:rPr>
        <w:t xml:space="preserve">de </w:t>
      </w:r>
      <w:r w:rsidR="008E45C8" w:rsidRPr="00017B60">
        <w:rPr>
          <w:rFonts w:ascii="Verdana" w:eastAsia="Calibri" w:hAnsi="Verdana"/>
          <w:sz w:val="20"/>
          <w:lang w:val="es-CR"/>
        </w:rPr>
        <w:t>conformidad</w:t>
      </w:r>
      <w:r w:rsidR="008E45C8">
        <w:rPr>
          <w:rFonts w:ascii="Verdana" w:hAnsi="Verdana"/>
          <w:sz w:val="20"/>
        </w:rPr>
        <w:t xml:space="preserve"> con los Considerandos </w:t>
      </w:r>
      <w:r w:rsidR="008E45C8">
        <w:rPr>
          <w:rFonts w:ascii="Verdana" w:hAnsi="Verdana"/>
          <w:sz w:val="20"/>
        </w:rPr>
        <w:fldChar w:fldCharType="begin"/>
      </w:r>
      <w:r w:rsidR="008E45C8">
        <w:rPr>
          <w:rFonts w:ascii="Verdana" w:hAnsi="Verdana"/>
          <w:sz w:val="20"/>
        </w:rPr>
        <w:instrText xml:space="preserve"> REF _Ref461696501 \r \h </w:instrText>
      </w:r>
      <w:r w:rsidR="008E45C8">
        <w:rPr>
          <w:rFonts w:ascii="Verdana" w:hAnsi="Verdana"/>
          <w:sz w:val="20"/>
        </w:rPr>
      </w:r>
      <w:r w:rsidR="008E45C8">
        <w:rPr>
          <w:rFonts w:ascii="Verdana" w:hAnsi="Verdana"/>
          <w:sz w:val="20"/>
        </w:rPr>
        <w:fldChar w:fldCharType="separate"/>
      </w:r>
      <w:r w:rsidR="00D676EE">
        <w:rPr>
          <w:rFonts w:ascii="Verdana" w:hAnsi="Verdana"/>
          <w:sz w:val="20"/>
        </w:rPr>
        <w:t>8</w:t>
      </w:r>
      <w:r w:rsidR="008E45C8">
        <w:rPr>
          <w:rFonts w:ascii="Verdana" w:hAnsi="Verdana"/>
          <w:sz w:val="20"/>
        </w:rPr>
        <w:fldChar w:fldCharType="end"/>
      </w:r>
      <w:r w:rsidR="008E45C8">
        <w:rPr>
          <w:rFonts w:ascii="Verdana" w:hAnsi="Verdana"/>
          <w:sz w:val="20"/>
        </w:rPr>
        <w:t xml:space="preserve"> a </w:t>
      </w:r>
      <w:r w:rsidR="008E45C8">
        <w:rPr>
          <w:rFonts w:ascii="Verdana" w:hAnsi="Verdana"/>
          <w:sz w:val="20"/>
        </w:rPr>
        <w:fldChar w:fldCharType="begin"/>
      </w:r>
      <w:r w:rsidR="008E45C8">
        <w:rPr>
          <w:rFonts w:ascii="Verdana" w:hAnsi="Verdana"/>
          <w:sz w:val="20"/>
        </w:rPr>
        <w:instrText xml:space="preserve"> REF _Ref461701544 \r \h </w:instrText>
      </w:r>
      <w:r w:rsidR="008E45C8">
        <w:rPr>
          <w:rFonts w:ascii="Verdana" w:hAnsi="Verdana"/>
          <w:sz w:val="20"/>
        </w:rPr>
      </w:r>
      <w:r w:rsidR="008E45C8">
        <w:rPr>
          <w:rFonts w:ascii="Verdana" w:hAnsi="Verdana"/>
          <w:sz w:val="20"/>
        </w:rPr>
        <w:fldChar w:fldCharType="separate"/>
      </w:r>
      <w:r w:rsidR="00D676EE">
        <w:rPr>
          <w:rFonts w:ascii="Verdana" w:hAnsi="Verdana"/>
          <w:sz w:val="20"/>
        </w:rPr>
        <w:t>10</w:t>
      </w:r>
      <w:r w:rsidR="008E45C8">
        <w:rPr>
          <w:rFonts w:ascii="Verdana" w:hAnsi="Verdana"/>
          <w:sz w:val="20"/>
        </w:rPr>
        <w:fldChar w:fldCharType="end"/>
      </w:r>
      <w:r w:rsidR="008E45C8">
        <w:rPr>
          <w:rFonts w:ascii="Verdana" w:hAnsi="Verdana"/>
          <w:sz w:val="20"/>
        </w:rPr>
        <w:t xml:space="preserve"> de la presente Resolución</w:t>
      </w:r>
      <w:r>
        <w:rPr>
          <w:rFonts w:ascii="Verdana" w:hAnsi="Verdana"/>
          <w:sz w:val="20"/>
        </w:rPr>
        <w:t>, que el Estado ha dado cumplimiento total a</w:t>
      </w:r>
      <w:r w:rsidR="00017B60">
        <w:rPr>
          <w:rFonts w:ascii="Verdana" w:hAnsi="Verdana"/>
          <w:sz w:val="20"/>
        </w:rPr>
        <w:t xml:space="preserve"> la</w:t>
      </w:r>
      <w:r>
        <w:rPr>
          <w:rFonts w:ascii="Verdana" w:hAnsi="Verdana"/>
          <w:sz w:val="20"/>
        </w:rPr>
        <w:t xml:space="preserve"> reparación relativa a la creación de una página web de búsqueda de desaparecidos (</w:t>
      </w:r>
      <w:r w:rsidRPr="00905C17">
        <w:rPr>
          <w:rFonts w:ascii="Verdana" w:hAnsi="Verdana"/>
          <w:i/>
          <w:sz w:val="20"/>
        </w:rPr>
        <w:t xml:space="preserve">punto </w:t>
      </w:r>
      <w:r w:rsidR="00EC4AE2">
        <w:rPr>
          <w:rFonts w:ascii="Verdana" w:hAnsi="Verdana"/>
          <w:i/>
          <w:sz w:val="20"/>
        </w:rPr>
        <w:t>resolutivo</w:t>
      </w:r>
      <w:r w:rsidRPr="00905C17">
        <w:rPr>
          <w:rFonts w:ascii="Verdana" w:hAnsi="Verdana"/>
          <w:i/>
          <w:sz w:val="20"/>
        </w:rPr>
        <w:t xml:space="preserve"> séptimo</w:t>
      </w:r>
      <w:r w:rsidR="00017B60">
        <w:rPr>
          <w:rFonts w:ascii="Verdana" w:hAnsi="Verdana"/>
          <w:i/>
          <w:sz w:val="20"/>
        </w:rPr>
        <w:t xml:space="preserve"> de la Sentencia</w:t>
      </w:r>
      <w:r>
        <w:rPr>
          <w:rFonts w:ascii="Verdana" w:hAnsi="Verdana"/>
          <w:sz w:val="20"/>
        </w:rPr>
        <w:t>).</w:t>
      </w:r>
    </w:p>
    <w:p w:rsidR="00EC4AE2" w:rsidRDefault="00EC4AE2" w:rsidP="00017B60">
      <w:pPr>
        <w:pStyle w:val="Prrafodelista"/>
        <w:numPr>
          <w:ilvl w:val="0"/>
          <w:numId w:val="21"/>
        </w:numPr>
        <w:spacing w:before="120"/>
        <w:ind w:left="0" w:right="4" w:firstLine="0"/>
        <w:jc w:val="both"/>
        <w:rPr>
          <w:rFonts w:ascii="Verdana" w:hAnsi="Verdana"/>
          <w:sz w:val="20"/>
        </w:rPr>
      </w:pPr>
      <w:r>
        <w:rPr>
          <w:rFonts w:ascii="Verdana" w:hAnsi="Verdana"/>
          <w:sz w:val="20"/>
        </w:rPr>
        <w:t xml:space="preserve">Declarar, de conformidad con los Considerandos </w:t>
      </w:r>
      <w:r w:rsidR="00CA3768">
        <w:rPr>
          <w:rFonts w:ascii="Verdana" w:hAnsi="Verdana"/>
          <w:sz w:val="20"/>
        </w:rPr>
        <w:fldChar w:fldCharType="begin"/>
      </w:r>
      <w:r w:rsidR="00CA3768">
        <w:rPr>
          <w:rFonts w:ascii="Verdana" w:hAnsi="Verdana"/>
          <w:sz w:val="20"/>
        </w:rPr>
        <w:instrText xml:space="preserve"> REF _Ref461700583 \r \h </w:instrText>
      </w:r>
      <w:r w:rsidR="00CA3768">
        <w:rPr>
          <w:rFonts w:ascii="Verdana" w:hAnsi="Verdana"/>
          <w:sz w:val="20"/>
        </w:rPr>
      </w:r>
      <w:r w:rsidR="00CA3768">
        <w:rPr>
          <w:rFonts w:ascii="Verdana" w:hAnsi="Verdana"/>
          <w:sz w:val="20"/>
        </w:rPr>
        <w:fldChar w:fldCharType="separate"/>
      </w:r>
      <w:r w:rsidR="00D676EE">
        <w:rPr>
          <w:rFonts w:ascii="Verdana" w:hAnsi="Verdana"/>
          <w:sz w:val="20"/>
        </w:rPr>
        <w:t>13</w:t>
      </w:r>
      <w:r w:rsidR="00CA3768">
        <w:rPr>
          <w:rFonts w:ascii="Verdana" w:hAnsi="Verdana"/>
          <w:sz w:val="20"/>
        </w:rPr>
        <w:fldChar w:fldCharType="end"/>
      </w:r>
      <w:r w:rsidR="00CA3768">
        <w:rPr>
          <w:rFonts w:ascii="Verdana" w:hAnsi="Verdana"/>
          <w:sz w:val="20"/>
        </w:rPr>
        <w:t xml:space="preserve"> a </w:t>
      </w:r>
      <w:r w:rsidR="00CA3768">
        <w:rPr>
          <w:rFonts w:ascii="Verdana" w:hAnsi="Verdana"/>
          <w:sz w:val="20"/>
        </w:rPr>
        <w:fldChar w:fldCharType="begin"/>
      </w:r>
      <w:r w:rsidR="00CA3768">
        <w:rPr>
          <w:rFonts w:ascii="Verdana" w:hAnsi="Verdana"/>
          <w:sz w:val="20"/>
        </w:rPr>
        <w:instrText xml:space="preserve"> REF _Ref461701566 \r \h </w:instrText>
      </w:r>
      <w:r w:rsidR="00CA3768">
        <w:rPr>
          <w:rFonts w:ascii="Verdana" w:hAnsi="Verdana"/>
          <w:sz w:val="20"/>
        </w:rPr>
      </w:r>
      <w:r w:rsidR="00CA3768">
        <w:rPr>
          <w:rFonts w:ascii="Verdana" w:hAnsi="Verdana"/>
          <w:sz w:val="20"/>
        </w:rPr>
        <w:fldChar w:fldCharType="separate"/>
      </w:r>
      <w:r w:rsidR="00D676EE">
        <w:rPr>
          <w:rFonts w:ascii="Verdana" w:hAnsi="Verdana"/>
          <w:sz w:val="20"/>
        </w:rPr>
        <w:t>17</w:t>
      </w:r>
      <w:r w:rsidR="00CA3768">
        <w:rPr>
          <w:rFonts w:ascii="Verdana" w:hAnsi="Verdana"/>
          <w:sz w:val="20"/>
        </w:rPr>
        <w:fldChar w:fldCharType="end"/>
      </w:r>
      <w:r>
        <w:rPr>
          <w:rFonts w:ascii="Verdana" w:hAnsi="Verdana"/>
          <w:sz w:val="20"/>
        </w:rPr>
        <w:t xml:space="preserve"> de la presente Resolución, que el </w:t>
      </w:r>
      <w:r w:rsidRPr="00017B60">
        <w:rPr>
          <w:rFonts w:ascii="Verdana" w:eastAsia="Calibri" w:hAnsi="Verdana"/>
          <w:sz w:val="20"/>
          <w:lang w:val="es-CR"/>
        </w:rPr>
        <w:t>Estado</w:t>
      </w:r>
      <w:r>
        <w:rPr>
          <w:rFonts w:ascii="Verdana" w:hAnsi="Verdana"/>
          <w:sz w:val="20"/>
        </w:rPr>
        <w:t xml:space="preserve"> ha venido dando cumplimiento y debe continuar implementando la reparación relativa a brindar el tratamiento médico y psicológico o psiquiátrico a las víctimas que así lo soliciten (</w:t>
      </w:r>
      <w:r>
        <w:rPr>
          <w:rFonts w:ascii="Verdana" w:hAnsi="Verdana"/>
          <w:i/>
          <w:sz w:val="20"/>
        </w:rPr>
        <w:t>punto dispositivo undécimo</w:t>
      </w:r>
      <w:r w:rsidR="00017B60">
        <w:rPr>
          <w:rFonts w:ascii="Verdana" w:hAnsi="Verdana"/>
          <w:i/>
          <w:sz w:val="20"/>
        </w:rPr>
        <w:t xml:space="preserve"> de la Sentencia</w:t>
      </w:r>
      <w:r>
        <w:rPr>
          <w:rFonts w:ascii="Verdana" w:hAnsi="Verdana"/>
          <w:sz w:val="20"/>
        </w:rPr>
        <w:t>).</w:t>
      </w:r>
    </w:p>
    <w:p w:rsidR="00017B60" w:rsidRDefault="00017B60" w:rsidP="00017B60">
      <w:pPr>
        <w:pStyle w:val="Prrafodelista"/>
        <w:spacing w:before="120"/>
        <w:ind w:left="0" w:right="4"/>
        <w:jc w:val="both"/>
        <w:rPr>
          <w:rFonts w:ascii="Verdana" w:hAnsi="Verdana"/>
          <w:sz w:val="20"/>
        </w:rPr>
      </w:pPr>
    </w:p>
    <w:p w:rsidR="00EC4AE2" w:rsidRDefault="00EC4AE2" w:rsidP="00017B60">
      <w:pPr>
        <w:pStyle w:val="Prrafodelista"/>
        <w:numPr>
          <w:ilvl w:val="0"/>
          <w:numId w:val="21"/>
        </w:numPr>
        <w:spacing w:before="120"/>
        <w:ind w:left="0" w:right="4" w:firstLine="0"/>
        <w:jc w:val="both"/>
        <w:rPr>
          <w:rFonts w:ascii="Verdana" w:hAnsi="Verdana"/>
          <w:sz w:val="20"/>
        </w:rPr>
      </w:pPr>
      <w:bookmarkStart w:id="21" w:name="_Ref461701644"/>
      <w:r>
        <w:rPr>
          <w:rFonts w:ascii="Verdana" w:hAnsi="Verdana"/>
          <w:sz w:val="20"/>
        </w:rPr>
        <w:lastRenderedPageBreak/>
        <w:t>Mantener abierto el procedimiento de supervisión de cumplimiento de las siguientes medidas de reparación:</w:t>
      </w:r>
      <w:bookmarkEnd w:id="21"/>
      <w:r>
        <w:rPr>
          <w:rFonts w:ascii="Verdana" w:hAnsi="Verdana"/>
          <w:sz w:val="20"/>
        </w:rPr>
        <w:t xml:space="preserve"> </w:t>
      </w:r>
    </w:p>
    <w:p w:rsidR="00017B60" w:rsidRDefault="00017B60" w:rsidP="00017B60">
      <w:pPr>
        <w:pStyle w:val="Prrafodelista"/>
        <w:spacing w:before="120"/>
        <w:ind w:left="0" w:right="4"/>
        <w:jc w:val="both"/>
        <w:rPr>
          <w:rFonts w:ascii="Verdana" w:hAnsi="Verdana"/>
          <w:sz w:val="20"/>
        </w:rPr>
      </w:pPr>
    </w:p>
    <w:p w:rsidR="00EC4AE2" w:rsidRPr="00EC4AE2" w:rsidRDefault="00EC4AE2" w:rsidP="00EC4AE2">
      <w:pPr>
        <w:pStyle w:val="Prrafodelista"/>
        <w:numPr>
          <w:ilvl w:val="0"/>
          <w:numId w:val="22"/>
        </w:numPr>
        <w:jc w:val="both"/>
        <w:rPr>
          <w:rFonts w:ascii="Verdana" w:hAnsi="Verdana"/>
          <w:sz w:val="20"/>
        </w:rPr>
      </w:pPr>
      <w:r w:rsidRPr="00EC4AE2">
        <w:rPr>
          <w:rFonts w:ascii="Verdana" w:hAnsi="Verdana"/>
          <w:sz w:val="20"/>
        </w:rPr>
        <w:t>investigar efectivamente los hechos denunciados en el presente caso, identificar y sancionar a los responsables y efectuar una búsqueda seria de las víctimas, eliminar todos los obstáculos y mecanismos de hecho y derecho que impidan el cumplimiento de dichas obligaciones en el presente caso, de modo que utilice todas las medidas a su alcance, ya sea por medio del proceso penal o mediante la adopción de otras medidas idóneas y debe divulgar públicamente el resultado del proceso penal (</w:t>
      </w:r>
      <w:r w:rsidRPr="00EC4AE2">
        <w:rPr>
          <w:rFonts w:ascii="Verdana" w:hAnsi="Verdana"/>
          <w:i/>
          <w:sz w:val="20"/>
        </w:rPr>
        <w:t>punto resolutivo sexto de la Sentencia)</w:t>
      </w:r>
      <w:r w:rsidRPr="00EC4AE2">
        <w:rPr>
          <w:rFonts w:ascii="Verdana" w:hAnsi="Verdana"/>
          <w:sz w:val="20"/>
        </w:rPr>
        <w:t>;</w:t>
      </w:r>
    </w:p>
    <w:p w:rsidR="00EC4AE2" w:rsidRPr="00EC4AE2" w:rsidRDefault="00EC4AE2" w:rsidP="00EC4AE2">
      <w:pPr>
        <w:pStyle w:val="Prrafodelista"/>
        <w:numPr>
          <w:ilvl w:val="0"/>
          <w:numId w:val="22"/>
        </w:numPr>
        <w:spacing w:afterLines="24" w:after="57"/>
        <w:ind w:right="264"/>
        <w:jc w:val="both"/>
        <w:rPr>
          <w:rFonts w:ascii="Verdana" w:hAnsi="Verdana"/>
          <w:sz w:val="20"/>
        </w:rPr>
      </w:pPr>
      <w:r w:rsidRPr="00EC4AE2">
        <w:rPr>
          <w:rFonts w:ascii="Verdana" w:hAnsi="Verdana"/>
          <w:sz w:val="20"/>
        </w:rPr>
        <w:t>funcionamiento de una comisión nacional de búsqueda de jóvenes que desaparecieron cuando eran niños durante el conflicto interno y participación de la sociedad civil (</w:t>
      </w:r>
      <w:r w:rsidRPr="00EC4AE2">
        <w:rPr>
          <w:rFonts w:ascii="Verdana" w:hAnsi="Verdana"/>
          <w:i/>
          <w:sz w:val="20"/>
        </w:rPr>
        <w:t>punto resolutivo séptimo de la Sentencia</w:t>
      </w:r>
      <w:r w:rsidRPr="00EC4AE2">
        <w:rPr>
          <w:rFonts w:ascii="Verdana" w:hAnsi="Verdana"/>
          <w:sz w:val="20"/>
        </w:rPr>
        <w:t>);</w:t>
      </w:r>
    </w:p>
    <w:p w:rsidR="00EC4AE2" w:rsidRPr="00EC4AE2" w:rsidRDefault="00EC4AE2" w:rsidP="00EC4AE2">
      <w:pPr>
        <w:pStyle w:val="Prrafodelista"/>
        <w:numPr>
          <w:ilvl w:val="0"/>
          <w:numId w:val="22"/>
        </w:numPr>
        <w:spacing w:afterLines="24" w:after="57"/>
        <w:ind w:right="264"/>
        <w:jc w:val="both"/>
        <w:rPr>
          <w:rFonts w:ascii="Verdana" w:hAnsi="Verdana"/>
          <w:sz w:val="20"/>
        </w:rPr>
      </w:pPr>
      <w:r w:rsidRPr="00EC4AE2">
        <w:rPr>
          <w:rFonts w:ascii="Verdana" w:hAnsi="Verdana"/>
          <w:sz w:val="20"/>
        </w:rPr>
        <w:t>crear un sistema de información genética que permita obtener y conservar datos genéticos que coadyuven a la determinación y esclarecimiento de la filiación de los niños desaparecidos y sus familiares y su identificación (</w:t>
      </w:r>
      <w:r w:rsidRPr="00EC4AE2">
        <w:rPr>
          <w:rFonts w:ascii="Verdana" w:hAnsi="Verdana"/>
          <w:i/>
          <w:sz w:val="20"/>
        </w:rPr>
        <w:t>punto resolutivo séptimo de la Sentencia</w:t>
      </w:r>
      <w:r>
        <w:rPr>
          <w:rFonts w:ascii="Verdana" w:hAnsi="Verdana"/>
          <w:sz w:val="20"/>
        </w:rPr>
        <w:t>), y</w:t>
      </w:r>
    </w:p>
    <w:p w:rsidR="00EC4AE2" w:rsidRDefault="00EC4AE2" w:rsidP="00EC4AE2">
      <w:pPr>
        <w:pStyle w:val="Prrafodelista"/>
        <w:numPr>
          <w:ilvl w:val="0"/>
          <w:numId w:val="22"/>
        </w:numPr>
        <w:spacing w:afterLines="24" w:after="57"/>
        <w:ind w:right="264"/>
        <w:jc w:val="both"/>
        <w:rPr>
          <w:rFonts w:ascii="Verdana" w:hAnsi="Verdana"/>
          <w:sz w:val="20"/>
        </w:rPr>
      </w:pPr>
      <w:r w:rsidRPr="00EC4AE2">
        <w:rPr>
          <w:rFonts w:ascii="Verdana" w:hAnsi="Verdana"/>
          <w:sz w:val="20"/>
        </w:rPr>
        <w:t>brindar el tratamiento médico y psicológico o psiquiátrico a las víctimas que así lo soliciten</w:t>
      </w:r>
      <w:r w:rsidR="00CA3768">
        <w:rPr>
          <w:rFonts w:ascii="Verdana" w:hAnsi="Verdana"/>
          <w:sz w:val="20"/>
        </w:rPr>
        <w:t xml:space="preserve"> (</w:t>
      </w:r>
      <w:r w:rsidR="00CA3768">
        <w:rPr>
          <w:rFonts w:ascii="Verdana" w:hAnsi="Verdana"/>
          <w:i/>
          <w:sz w:val="20"/>
        </w:rPr>
        <w:t>punto resolutivo undécimo de la Sentencia</w:t>
      </w:r>
      <w:r w:rsidR="00CA3768">
        <w:rPr>
          <w:rFonts w:ascii="Verdana" w:hAnsi="Verdana"/>
          <w:sz w:val="20"/>
        </w:rPr>
        <w:t>)</w:t>
      </w:r>
      <w:r>
        <w:rPr>
          <w:rFonts w:ascii="Verdana" w:hAnsi="Verdana"/>
          <w:sz w:val="20"/>
        </w:rPr>
        <w:t>.</w:t>
      </w:r>
    </w:p>
    <w:p w:rsidR="00017B60" w:rsidRPr="00EC4AE2" w:rsidRDefault="00017B60" w:rsidP="00017B60">
      <w:pPr>
        <w:pStyle w:val="Prrafodelista"/>
        <w:spacing w:afterLines="24" w:after="57"/>
        <w:ind w:right="264"/>
        <w:jc w:val="both"/>
        <w:rPr>
          <w:rFonts w:ascii="Verdana" w:hAnsi="Verdana"/>
          <w:sz w:val="20"/>
        </w:rPr>
      </w:pPr>
    </w:p>
    <w:p w:rsidR="00EC4AE2" w:rsidRDefault="00EC4AE2" w:rsidP="00017B60">
      <w:pPr>
        <w:pStyle w:val="Prrafodelista"/>
        <w:numPr>
          <w:ilvl w:val="0"/>
          <w:numId w:val="21"/>
        </w:numPr>
        <w:spacing w:before="120"/>
        <w:ind w:left="0" w:right="4" w:firstLine="0"/>
        <w:jc w:val="both"/>
        <w:rPr>
          <w:rFonts w:ascii="Verdana" w:hAnsi="Verdana"/>
          <w:sz w:val="20"/>
        </w:rPr>
      </w:pPr>
      <w:bookmarkStart w:id="22" w:name="_Ref461701005"/>
      <w:r>
        <w:rPr>
          <w:rFonts w:ascii="Verdana" w:hAnsi="Verdana"/>
          <w:sz w:val="20"/>
        </w:rPr>
        <w:t xml:space="preserve">Disponer que el Estado de El Salvador presente a la Corte Interamericana de Derechos Humanos, a más tardar el </w:t>
      </w:r>
      <w:r w:rsidR="00CA3768">
        <w:rPr>
          <w:rFonts w:ascii="Verdana" w:hAnsi="Verdana"/>
          <w:sz w:val="20"/>
        </w:rPr>
        <w:t>20</w:t>
      </w:r>
      <w:r>
        <w:rPr>
          <w:rFonts w:ascii="Verdana" w:hAnsi="Verdana"/>
          <w:sz w:val="20"/>
        </w:rPr>
        <w:t xml:space="preserve"> de </w:t>
      </w:r>
      <w:r w:rsidR="00CA3768">
        <w:rPr>
          <w:rFonts w:ascii="Verdana" w:hAnsi="Verdana"/>
          <w:sz w:val="20"/>
        </w:rPr>
        <w:t>enero</w:t>
      </w:r>
      <w:r>
        <w:rPr>
          <w:rFonts w:ascii="Verdana" w:hAnsi="Verdana"/>
          <w:sz w:val="20"/>
        </w:rPr>
        <w:t xml:space="preserve"> de 2017, un informe en el cual haga referencia a todas las reparaciones pendientes de cumplimiento, de conformidad con lo solicitado en </w:t>
      </w:r>
      <w:r w:rsidR="00CA3768">
        <w:rPr>
          <w:rFonts w:ascii="Verdana" w:hAnsi="Verdana"/>
          <w:sz w:val="20"/>
        </w:rPr>
        <w:t xml:space="preserve">el punto resolutivo </w:t>
      </w:r>
      <w:r w:rsidR="00CA3768">
        <w:rPr>
          <w:rFonts w:ascii="Verdana" w:hAnsi="Verdana"/>
          <w:sz w:val="20"/>
        </w:rPr>
        <w:fldChar w:fldCharType="begin"/>
      </w:r>
      <w:r w:rsidR="00CA3768">
        <w:rPr>
          <w:rFonts w:ascii="Verdana" w:hAnsi="Verdana"/>
          <w:sz w:val="20"/>
        </w:rPr>
        <w:instrText xml:space="preserve"> REF _Ref461701644 \r \h </w:instrText>
      </w:r>
      <w:r w:rsidR="00CA3768">
        <w:rPr>
          <w:rFonts w:ascii="Verdana" w:hAnsi="Verdana"/>
          <w:sz w:val="20"/>
        </w:rPr>
      </w:r>
      <w:r w:rsidR="00CA3768">
        <w:rPr>
          <w:rFonts w:ascii="Verdana" w:hAnsi="Verdana"/>
          <w:sz w:val="20"/>
        </w:rPr>
        <w:fldChar w:fldCharType="separate"/>
      </w:r>
      <w:r w:rsidR="00D676EE">
        <w:rPr>
          <w:rFonts w:ascii="Verdana" w:hAnsi="Verdana"/>
          <w:sz w:val="20"/>
        </w:rPr>
        <w:t>3</w:t>
      </w:r>
      <w:r w:rsidR="00CA3768">
        <w:rPr>
          <w:rFonts w:ascii="Verdana" w:hAnsi="Verdana"/>
          <w:sz w:val="20"/>
        </w:rPr>
        <w:fldChar w:fldCharType="end"/>
      </w:r>
      <w:r>
        <w:rPr>
          <w:rFonts w:ascii="Verdana" w:hAnsi="Verdana"/>
          <w:sz w:val="20"/>
        </w:rPr>
        <w:t xml:space="preserve"> </w:t>
      </w:r>
      <w:r w:rsidR="00CA3768">
        <w:rPr>
          <w:rFonts w:ascii="Verdana" w:hAnsi="Verdana"/>
          <w:sz w:val="20"/>
        </w:rPr>
        <w:t xml:space="preserve">y el Considerando </w:t>
      </w:r>
      <w:r w:rsidR="00CA3768">
        <w:rPr>
          <w:rFonts w:ascii="Verdana" w:hAnsi="Verdana"/>
          <w:sz w:val="20"/>
        </w:rPr>
        <w:fldChar w:fldCharType="begin"/>
      </w:r>
      <w:r w:rsidR="00CA3768">
        <w:rPr>
          <w:rFonts w:ascii="Verdana" w:hAnsi="Verdana"/>
          <w:sz w:val="20"/>
        </w:rPr>
        <w:instrText xml:space="preserve"> REF _Ref461533643 \r \h </w:instrText>
      </w:r>
      <w:r w:rsidR="00CA3768">
        <w:rPr>
          <w:rFonts w:ascii="Verdana" w:hAnsi="Verdana"/>
          <w:sz w:val="20"/>
        </w:rPr>
      </w:r>
      <w:r w:rsidR="00CA3768">
        <w:rPr>
          <w:rFonts w:ascii="Verdana" w:hAnsi="Verdana"/>
          <w:sz w:val="20"/>
        </w:rPr>
        <w:fldChar w:fldCharType="separate"/>
      </w:r>
      <w:r w:rsidR="00D676EE">
        <w:rPr>
          <w:rFonts w:ascii="Verdana" w:hAnsi="Verdana"/>
          <w:sz w:val="20"/>
        </w:rPr>
        <w:t>19</w:t>
      </w:r>
      <w:r w:rsidR="00CA3768">
        <w:rPr>
          <w:rFonts w:ascii="Verdana" w:hAnsi="Verdana"/>
          <w:sz w:val="20"/>
        </w:rPr>
        <w:fldChar w:fldCharType="end"/>
      </w:r>
      <w:r>
        <w:rPr>
          <w:rFonts w:ascii="Verdana" w:hAnsi="Verdana"/>
          <w:sz w:val="20"/>
        </w:rPr>
        <w:t xml:space="preserve"> de la presente Resolución.</w:t>
      </w:r>
      <w:bookmarkEnd w:id="22"/>
      <w:r>
        <w:rPr>
          <w:rFonts w:ascii="Verdana" w:hAnsi="Verdana"/>
          <w:sz w:val="20"/>
        </w:rPr>
        <w:t xml:space="preserve"> </w:t>
      </w:r>
    </w:p>
    <w:p w:rsidR="00CA3768" w:rsidRDefault="00CA3768" w:rsidP="00E15FEF">
      <w:pPr>
        <w:jc w:val="both"/>
        <w:rPr>
          <w:rFonts w:ascii="Verdana" w:hAnsi="Verdana"/>
          <w:sz w:val="20"/>
        </w:rPr>
      </w:pPr>
    </w:p>
    <w:p w:rsidR="006F5F08" w:rsidRDefault="006F5F08" w:rsidP="00017B60">
      <w:pPr>
        <w:pStyle w:val="Prrafodelista"/>
        <w:numPr>
          <w:ilvl w:val="0"/>
          <w:numId w:val="21"/>
        </w:numPr>
        <w:spacing w:before="120"/>
        <w:ind w:left="0" w:right="4" w:firstLine="0"/>
        <w:jc w:val="both"/>
        <w:rPr>
          <w:rFonts w:ascii="Verdana" w:hAnsi="Verdana"/>
          <w:sz w:val="20"/>
          <w:lang w:val="es-CR"/>
        </w:rPr>
      </w:pPr>
      <w:r>
        <w:rPr>
          <w:rFonts w:ascii="Verdana" w:hAnsi="Verdana"/>
          <w:sz w:val="20"/>
          <w:lang w:val="es-CR"/>
        </w:rPr>
        <w:t xml:space="preserve">Solicitar a las representantes de las víctimas y a la Comisión Interamericana de </w:t>
      </w:r>
      <w:r w:rsidRPr="00017B60">
        <w:rPr>
          <w:rFonts w:ascii="Verdana" w:eastAsia="Calibri" w:hAnsi="Verdana"/>
          <w:sz w:val="20"/>
          <w:lang w:val="es-CR"/>
        </w:rPr>
        <w:t>Derechos</w:t>
      </w:r>
      <w:r>
        <w:rPr>
          <w:rFonts w:ascii="Verdana" w:hAnsi="Verdana"/>
          <w:sz w:val="20"/>
          <w:lang w:val="es-CR"/>
        </w:rPr>
        <w:t xml:space="preserve"> Humanos que presenten observaciones al informe del Estado mencionado en el punto resolutivo anterior, en los plazos de cuatro y seis semanas, respectivamente, contados a partir de la recepción del informe.</w:t>
      </w:r>
    </w:p>
    <w:p w:rsidR="00E15FEF" w:rsidRPr="00E15FEF" w:rsidRDefault="00E15FEF" w:rsidP="00E15FEF">
      <w:pPr>
        <w:pStyle w:val="Prrafodelista"/>
        <w:rPr>
          <w:rFonts w:ascii="Verdana" w:hAnsi="Verdana"/>
          <w:sz w:val="20"/>
          <w:lang w:val="es-CR"/>
        </w:rPr>
      </w:pPr>
    </w:p>
    <w:p w:rsidR="00E15FEF" w:rsidRPr="00E15FEF" w:rsidRDefault="00E15FEF" w:rsidP="00017B60">
      <w:pPr>
        <w:pStyle w:val="Prrafodelista"/>
        <w:numPr>
          <w:ilvl w:val="0"/>
          <w:numId w:val="21"/>
        </w:numPr>
        <w:spacing w:before="120"/>
        <w:ind w:left="0" w:right="4" w:firstLine="0"/>
        <w:jc w:val="both"/>
        <w:rPr>
          <w:rFonts w:ascii="Verdana" w:hAnsi="Verdana"/>
          <w:sz w:val="20"/>
        </w:rPr>
      </w:pPr>
      <w:r>
        <w:rPr>
          <w:rFonts w:ascii="Verdana" w:hAnsi="Verdana"/>
          <w:sz w:val="20"/>
        </w:rPr>
        <w:t xml:space="preserve">Disponer que la Corte delega al Presidente para que, en caso de considerarlo </w:t>
      </w:r>
      <w:r w:rsidRPr="00017B60">
        <w:rPr>
          <w:rFonts w:ascii="Verdana" w:eastAsia="Calibri" w:hAnsi="Verdana"/>
          <w:sz w:val="20"/>
          <w:lang w:val="es-CR"/>
        </w:rPr>
        <w:t>necesario</w:t>
      </w:r>
      <w:r>
        <w:rPr>
          <w:rFonts w:ascii="Verdana" w:hAnsi="Verdana"/>
          <w:sz w:val="20"/>
        </w:rPr>
        <w:t xml:space="preserve">, haga uso de la facultad dispuesta en el artículo 69.2 del </w:t>
      </w:r>
      <w:r w:rsidR="00456285">
        <w:rPr>
          <w:rFonts w:ascii="Verdana" w:hAnsi="Verdana"/>
          <w:sz w:val="20"/>
        </w:rPr>
        <w:t xml:space="preserve"> </w:t>
      </w:r>
      <w:r>
        <w:rPr>
          <w:rFonts w:ascii="Verdana" w:hAnsi="Verdana"/>
          <w:sz w:val="20"/>
        </w:rPr>
        <w:t>Reglamento de la Corte Interamericana, para solicitar directamente a instituciones de El Salvador que brinden información relevante para la supervisión del cumplimiento de la Sentencia.</w:t>
      </w:r>
    </w:p>
    <w:p w:rsidR="00E15FEF" w:rsidRPr="00E15FEF" w:rsidRDefault="00E15FEF" w:rsidP="00E15FEF">
      <w:pPr>
        <w:spacing w:before="120"/>
        <w:ind w:right="4"/>
        <w:jc w:val="both"/>
        <w:rPr>
          <w:rFonts w:ascii="Verdana" w:hAnsi="Verdana"/>
          <w:sz w:val="20"/>
        </w:rPr>
      </w:pPr>
    </w:p>
    <w:p w:rsidR="00905C17" w:rsidRPr="00EC4AE2" w:rsidRDefault="00EC4AE2" w:rsidP="00017B60">
      <w:pPr>
        <w:pStyle w:val="Prrafodelista"/>
        <w:numPr>
          <w:ilvl w:val="0"/>
          <w:numId w:val="21"/>
        </w:numPr>
        <w:spacing w:before="120"/>
        <w:ind w:left="0" w:right="4" w:firstLine="0"/>
        <w:jc w:val="both"/>
        <w:rPr>
          <w:rFonts w:ascii="Verdana" w:hAnsi="Verdana"/>
          <w:sz w:val="20"/>
        </w:rPr>
      </w:pPr>
      <w:r w:rsidRPr="00017B60">
        <w:rPr>
          <w:rFonts w:ascii="Verdana" w:eastAsia="Calibri" w:hAnsi="Verdana"/>
          <w:sz w:val="20"/>
          <w:lang w:val="es-CR"/>
        </w:rPr>
        <w:t>Requerir</w:t>
      </w:r>
      <w:r>
        <w:rPr>
          <w:rFonts w:ascii="Verdana" w:hAnsi="Verdana"/>
          <w:sz w:val="20"/>
        </w:rPr>
        <w:t xml:space="preserve"> a la Secretaría de la Corte que notifique la presente Resolución al Estado, a las representantes de las víctimas y a la Comisión Interamericana de Derechos Humanos.</w:t>
      </w:r>
    </w:p>
    <w:p w:rsidR="00905C17" w:rsidRDefault="00905C17" w:rsidP="0074538E">
      <w:pPr>
        <w:rPr>
          <w:rFonts w:ascii="Verdana" w:hAnsi="Verdana"/>
          <w:b/>
          <w:sz w:val="20"/>
        </w:rPr>
      </w:pPr>
    </w:p>
    <w:p w:rsidR="00507CDB" w:rsidRDefault="00507CDB" w:rsidP="0074538E">
      <w:pPr>
        <w:rPr>
          <w:rFonts w:ascii="Verdana" w:hAnsi="Verdana"/>
          <w:b/>
          <w:sz w:val="20"/>
        </w:rPr>
      </w:pPr>
    </w:p>
    <w:p w:rsidR="006421F8" w:rsidRDefault="006421F8" w:rsidP="006421F8">
      <w:pPr>
        <w:jc w:val="center"/>
        <w:rPr>
          <w:rFonts w:ascii="Verdana" w:hAnsi="Verdana"/>
          <w:sz w:val="20"/>
          <w:lang w:val="es-ES"/>
        </w:rPr>
      </w:pPr>
    </w:p>
    <w:p w:rsidR="006421F8" w:rsidRDefault="006421F8" w:rsidP="006421F8">
      <w:pPr>
        <w:jc w:val="center"/>
        <w:rPr>
          <w:rFonts w:ascii="Verdana" w:hAnsi="Verdana"/>
          <w:sz w:val="20"/>
          <w:lang w:val="es-ES"/>
        </w:rPr>
      </w:pPr>
    </w:p>
    <w:p w:rsidR="006421F8" w:rsidRDefault="006421F8" w:rsidP="006421F8">
      <w:pPr>
        <w:jc w:val="center"/>
        <w:rPr>
          <w:rFonts w:ascii="Verdana" w:hAnsi="Verdana"/>
          <w:sz w:val="20"/>
          <w:lang w:val="es-ES"/>
        </w:rPr>
      </w:pPr>
      <w:r>
        <w:rPr>
          <w:rFonts w:ascii="Verdana" w:hAnsi="Verdana"/>
          <w:sz w:val="20"/>
          <w:lang w:val="es-ES"/>
        </w:rPr>
        <w:t>Roberto F. Caldas</w:t>
      </w:r>
    </w:p>
    <w:p w:rsidR="006421F8" w:rsidRDefault="006421F8" w:rsidP="006421F8">
      <w:pPr>
        <w:jc w:val="center"/>
        <w:rPr>
          <w:rFonts w:ascii="Verdana" w:hAnsi="Verdana"/>
          <w:sz w:val="20"/>
          <w:lang w:val="es-ES"/>
        </w:rPr>
      </w:pPr>
      <w:r>
        <w:rPr>
          <w:rFonts w:ascii="Verdana" w:hAnsi="Verdana"/>
          <w:sz w:val="20"/>
          <w:lang w:val="es-ES"/>
        </w:rPr>
        <w:t xml:space="preserve">Presidente </w:t>
      </w:r>
    </w:p>
    <w:p w:rsidR="006421F8" w:rsidRDefault="006421F8" w:rsidP="006421F8">
      <w:pPr>
        <w:jc w:val="both"/>
        <w:rPr>
          <w:rFonts w:ascii="Verdana" w:hAnsi="Verdana"/>
          <w:sz w:val="20"/>
          <w:lang w:val="es-ES"/>
        </w:rPr>
      </w:pPr>
    </w:p>
    <w:p w:rsidR="006421F8" w:rsidRDefault="006421F8" w:rsidP="006421F8">
      <w:pPr>
        <w:tabs>
          <w:tab w:val="left" w:pos="1485"/>
        </w:tabs>
        <w:jc w:val="both"/>
        <w:rPr>
          <w:rFonts w:ascii="Verdana" w:hAnsi="Verdana"/>
          <w:sz w:val="20"/>
          <w:lang w:val="es-ES"/>
        </w:rPr>
      </w:pPr>
      <w:r>
        <w:rPr>
          <w:rFonts w:ascii="Verdana" w:hAnsi="Verdana"/>
          <w:sz w:val="20"/>
          <w:lang w:val="es-ES"/>
        </w:rPr>
        <w:tab/>
      </w:r>
    </w:p>
    <w:p w:rsidR="006421F8" w:rsidRDefault="006421F8" w:rsidP="006421F8">
      <w:pPr>
        <w:jc w:val="both"/>
        <w:rPr>
          <w:rFonts w:ascii="Verdana" w:hAnsi="Verdana"/>
          <w:sz w:val="20"/>
          <w:lang w:val="es-ES"/>
        </w:rPr>
      </w:pPr>
      <w:bookmarkStart w:id="23" w:name="_GoBack"/>
      <w:bookmarkEnd w:id="23"/>
    </w:p>
    <w:p w:rsidR="006421F8" w:rsidRDefault="006421F8" w:rsidP="006421F8">
      <w:pPr>
        <w:jc w:val="both"/>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Eduardo Vio Grossi</w:t>
      </w:r>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r>
        <w:rPr>
          <w:rFonts w:ascii="Verdana" w:hAnsi="Verdana"/>
          <w:sz w:val="20"/>
          <w:lang w:val="es-ES"/>
        </w:rPr>
        <w:t>Humberto Antonio Sierra Porto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Elizabeth Odio Benito</w:t>
      </w:r>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p>
    <w:p w:rsidR="006421F8" w:rsidRDefault="006421F8" w:rsidP="006421F8">
      <w:pPr>
        <w:jc w:val="center"/>
        <w:rPr>
          <w:rFonts w:ascii="Verdana" w:hAnsi="Verdana"/>
          <w:sz w:val="20"/>
          <w:lang w:val="es-ES"/>
        </w:rPr>
      </w:pPr>
      <w:r>
        <w:rPr>
          <w:rFonts w:ascii="Verdana" w:hAnsi="Verdana"/>
          <w:sz w:val="20"/>
          <w:lang w:val="es-ES"/>
        </w:rPr>
        <w:t xml:space="preserve">Eugenio Raúl </w:t>
      </w:r>
      <w:proofErr w:type="spellStart"/>
      <w:r>
        <w:rPr>
          <w:rFonts w:ascii="Verdana" w:hAnsi="Verdana"/>
          <w:sz w:val="20"/>
          <w:lang w:val="es-ES"/>
        </w:rPr>
        <w:t>Zaffaroni</w:t>
      </w:r>
      <w:proofErr w:type="spellEnd"/>
    </w:p>
    <w:p w:rsidR="006421F8" w:rsidRDefault="006421F8" w:rsidP="006421F8">
      <w:pPr>
        <w:jc w:val="both"/>
        <w:rPr>
          <w:rFonts w:ascii="Verdana" w:hAnsi="Verdana"/>
          <w:sz w:val="20"/>
          <w:lang w:val="es-ES"/>
        </w:rPr>
      </w:pPr>
    </w:p>
    <w:p w:rsidR="006421F8" w:rsidRDefault="006421F8" w:rsidP="006421F8">
      <w:pPr>
        <w:jc w:val="both"/>
        <w:rPr>
          <w:rFonts w:ascii="Verdana" w:hAnsi="Verdana"/>
          <w:sz w:val="20"/>
          <w:lang w:val="es-ES"/>
        </w:rPr>
      </w:pPr>
    </w:p>
    <w:p w:rsidR="006421F8" w:rsidRPr="004B7A1D" w:rsidRDefault="006421F8" w:rsidP="006421F8">
      <w:pPr>
        <w:jc w:val="both"/>
        <w:rPr>
          <w:rFonts w:ascii="Verdana" w:hAnsi="Verdana"/>
          <w:sz w:val="20"/>
          <w:lang w:val="es-ES"/>
        </w:rPr>
      </w:pPr>
    </w:p>
    <w:p w:rsidR="006421F8" w:rsidRPr="004B7A1D" w:rsidRDefault="006421F8" w:rsidP="006421F8">
      <w:pPr>
        <w:jc w:val="both"/>
        <w:rPr>
          <w:rFonts w:ascii="Verdana" w:hAnsi="Verdana"/>
          <w:sz w:val="20"/>
          <w:lang w:val="es-CR"/>
        </w:rPr>
      </w:pPr>
    </w:p>
    <w:p w:rsidR="006421F8" w:rsidRPr="004B7A1D" w:rsidRDefault="006421F8" w:rsidP="006421F8">
      <w:pPr>
        <w:jc w:val="both"/>
        <w:rPr>
          <w:rFonts w:ascii="Verdana" w:hAnsi="Verdana"/>
          <w:sz w:val="20"/>
          <w:lang w:val="es-ES"/>
        </w:rPr>
      </w:pPr>
    </w:p>
    <w:p w:rsidR="006421F8" w:rsidRPr="004B7A1D" w:rsidRDefault="006421F8" w:rsidP="006421F8">
      <w:pPr>
        <w:jc w:val="center"/>
        <w:rPr>
          <w:rFonts w:ascii="Verdana" w:hAnsi="Verdana"/>
          <w:sz w:val="20"/>
          <w:lang w:val="es-ES"/>
        </w:rPr>
      </w:pPr>
      <w:r w:rsidRPr="004B7A1D">
        <w:rPr>
          <w:rFonts w:ascii="Verdana" w:hAnsi="Verdana"/>
          <w:sz w:val="20"/>
          <w:lang w:val="es-ES"/>
        </w:rPr>
        <w:t>Pablo Saavedra Alessandri</w:t>
      </w:r>
    </w:p>
    <w:p w:rsidR="006421F8" w:rsidRPr="004B7A1D" w:rsidRDefault="006421F8" w:rsidP="006421F8">
      <w:pPr>
        <w:jc w:val="center"/>
        <w:rPr>
          <w:rFonts w:ascii="Verdana" w:hAnsi="Verdana"/>
          <w:sz w:val="20"/>
          <w:lang w:val="es-ES"/>
        </w:rPr>
      </w:pPr>
      <w:r w:rsidRPr="004B7A1D">
        <w:rPr>
          <w:rFonts w:ascii="Verdana" w:hAnsi="Verdana"/>
          <w:sz w:val="20"/>
          <w:lang w:val="es-ES"/>
        </w:rPr>
        <w:t>Secretario</w:t>
      </w:r>
    </w:p>
    <w:p w:rsidR="006421F8" w:rsidRPr="004B7A1D" w:rsidRDefault="006421F8" w:rsidP="006421F8">
      <w:pPr>
        <w:rPr>
          <w:rFonts w:ascii="Verdana" w:hAnsi="Verdana"/>
          <w:sz w:val="20"/>
          <w:lang w:val="es-ES"/>
        </w:rPr>
      </w:pPr>
    </w:p>
    <w:p w:rsidR="006421F8" w:rsidRPr="004B7A1D" w:rsidRDefault="006421F8" w:rsidP="006421F8">
      <w:pPr>
        <w:pStyle w:val="Textonotapie"/>
        <w:rPr>
          <w:rFonts w:ascii="Verdana" w:hAnsi="Verdana"/>
          <w:lang w:val="es-ES"/>
        </w:rPr>
      </w:pPr>
    </w:p>
    <w:p w:rsidR="006421F8" w:rsidRPr="004B7A1D" w:rsidRDefault="006421F8" w:rsidP="006421F8">
      <w:pPr>
        <w:jc w:val="both"/>
        <w:rPr>
          <w:rFonts w:ascii="Verdana" w:hAnsi="Verdana"/>
          <w:sz w:val="20"/>
          <w:lang w:val="es-ES"/>
        </w:rPr>
      </w:pPr>
      <w:r w:rsidRPr="004B7A1D">
        <w:rPr>
          <w:rFonts w:ascii="Verdana" w:hAnsi="Verdana"/>
          <w:sz w:val="20"/>
          <w:lang w:val="es-ES"/>
        </w:rPr>
        <w:t>Comuníquese y ejecútese,</w:t>
      </w:r>
    </w:p>
    <w:p w:rsidR="006421F8" w:rsidRPr="004B7A1D" w:rsidRDefault="006421F8" w:rsidP="006421F8">
      <w:pPr>
        <w:jc w:val="both"/>
        <w:rPr>
          <w:rFonts w:ascii="Verdana" w:hAnsi="Verdana"/>
          <w:sz w:val="20"/>
          <w:lang w:val="es-ES"/>
        </w:rPr>
      </w:pPr>
    </w:p>
    <w:p w:rsidR="006421F8" w:rsidRPr="004B7A1D" w:rsidRDefault="006421F8" w:rsidP="006421F8">
      <w:pPr>
        <w:jc w:val="both"/>
        <w:rPr>
          <w:rFonts w:ascii="Verdana" w:hAnsi="Verdana"/>
          <w:sz w:val="20"/>
          <w:lang w:val="es-ES"/>
        </w:rPr>
      </w:pPr>
    </w:p>
    <w:p w:rsidR="006421F8" w:rsidRPr="004B7A1D" w:rsidRDefault="006421F8" w:rsidP="006421F8">
      <w:pPr>
        <w:jc w:val="both"/>
        <w:rPr>
          <w:rFonts w:ascii="Verdana" w:hAnsi="Verdana"/>
          <w:sz w:val="20"/>
          <w:lang w:val="es-ES"/>
        </w:rPr>
      </w:pPr>
    </w:p>
    <w:p w:rsidR="006421F8" w:rsidRPr="004B7A1D" w:rsidRDefault="006421F8" w:rsidP="006421F8">
      <w:pPr>
        <w:jc w:val="both"/>
        <w:rPr>
          <w:rFonts w:ascii="Verdana" w:hAnsi="Verdana"/>
          <w:sz w:val="20"/>
          <w:lang w:val="es-ES"/>
        </w:rPr>
      </w:pPr>
    </w:p>
    <w:p w:rsidR="006421F8" w:rsidRPr="004B7A1D" w:rsidRDefault="006421F8" w:rsidP="006421F8">
      <w:pPr>
        <w:ind w:left="4956" w:firstLine="708"/>
        <w:jc w:val="center"/>
        <w:rPr>
          <w:rFonts w:ascii="Verdana" w:hAnsi="Verdana"/>
          <w:sz w:val="20"/>
          <w:lang w:val="es-ES"/>
        </w:rPr>
      </w:pPr>
      <w:r>
        <w:rPr>
          <w:rFonts w:ascii="Verdana" w:hAnsi="Verdana"/>
          <w:sz w:val="20"/>
          <w:lang w:val="es-ES"/>
        </w:rPr>
        <w:t>Roberto F. Caldas</w:t>
      </w:r>
    </w:p>
    <w:p w:rsidR="006421F8" w:rsidRPr="004B7A1D" w:rsidRDefault="006421F8" w:rsidP="006421F8">
      <w:pPr>
        <w:ind w:left="4956" w:firstLine="708"/>
        <w:jc w:val="center"/>
        <w:rPr>
          <w:rFonts w:ascii="Verdana" w:hAnsi="Verdana"/>
          <w:sz w:val="20"/>
          <w:lang w:val="es-ES"/>
        </w:rPr>
      </w:pPr>
      <w:r w:rsidRPr="004B7A1D">
        <w:rPr>
          <w:rFonts w:ascii="Verdana" w:hAnsi="Verdana"/>
          <w:sz w:val="20"/>
          <w:lang w:val="es-ES"/>
        </w:rPr>
        <w:t xml:space="preserve">Presidente </w:t>
      </w:r>
    </w:p>
    <w:p w:rsidR="006421F8" w:rsidRPr="004B7A1D" w:rsidRDefault="006421F8" w:rsidP="006421F8">
      <w:pPr>
        <w:jc w:val="both"/>
        <w:rPr>
          <w:rFonts w:ascii="Verdana" w:hAnsi="Verdana"/>
          <w:sz w:val="20"/>
          <w:lang w:val="es-ES"/>
        </w:rPr>
      </w:pPr>
    </w:p>
    <w:p w:rsidR="006421F8" w:rsidRPr="004B7A1D" w:rsidRDefault="006421F8" w:rsidP="006421F8">
      <w:pPr>
        <w:jc w:val="both"/>
        <w:rPr>
          <w:rFonts w:ascii="Verdana" w:hAnsi="Verdana"/>
          <w:sz w:val="20"/>
          <w:lang w:val="es-ES"/>
        </w:rPr>
      </w:pPr>
    </w:p>
    <w:p w:rsidR="006421F8" w:rsidRPr="004B7A1D" w:rsidRDefault="006421F8" w:rsidP="006421F8">
      <w:pPr>
        <w:jc w:val="both"/>
        <w:rPr>
          <w:rFonts w:ascii="Verdana" w:hAnsi="Verdana"/>
          <w:sz w:val="20"/>
          <w:lang w:val="es-ES"/>
        </w:rPr>
      </w:pPr>
    </w:p>
    <w:p w:rsidR="006421F8" w:rsidRPr="004B7A1D" w:rsidRDefault="006421F8" w:rsidP="006421F8">
      <w:pPr>
        <w:jc w:val="both"/>
        <w:rPr>
          <w:rFonts w:ascii="Verdana" w:hAnsi="Verdana"/>
          <w:sz w:val="20"/>
          <w:lang w:val="es-ES"/>
        </w:rPr>
      </w:pPr>
    </w:p>
    <w:p w:rsidR="006421F8" w:rsidRPr="004B7A1D" w:rsidRDefault="006421F8" w:rsidP="006421F8">
      <w:pPr>
        <w:jc w:val="both"/>
        <w:rPr>
          <w:rFonts w:ascii="Verdana" w:hAnsi="Verdana"/>
          <w:sz w:val="20"/>
          <w:lang w:val="es-ES"/>
        </w:rPr>
      </w:pPr>
      <w:r w:rsidRPr="004B7A1D">
        <w:rPr>
          <w:rFonts w:ascii="Verdana" w:hAnsi="Verdana"/>
          <w:sz w:val="20"/>
          <w:lang w:val="es-ES"/>
        </w:rPr>
        <w:t>Pablo Saavedra Alessandri</w:t>
      </w:r>
    </w:p>
    <w:p w:rsidR="006421F8" w:rsidRPr="004B7A1D" w:rsidRDefault="006421F8" w:rsidP="006421F8">
      <w:pPr>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rsidR="006421F8" w:rsidRPr="00E1230C" w:rsidRDefault="006421F8" w:rsidP="0074538E">
      <w:pPr>
        <w:rPr>
          <w:rFonts w:ascii="Verdana" w:hAnsi="Verdana"/>
          <w:b/>
          <w:sz w:val="20"/>
        </w:rPr>
      </w:pPr>
    </w:p>
    <w:sectPr w:rsidR="006421F8" w:rsidRPr="00E1230C" w:rsidSect="007B3342">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585" w:rsidRDefault="00E81585" w:rsidP="00D35B80">
      <w:r>
        <w:separator/>
      </w:r>
    </w:p>
  </w:endnote>
  <w:endnote w:type="continuationSeparator" w:id="0">
    <w:p w:rsidR="00E81585" w:rsidRDefault="00E81585" w:rsidP="00D3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27C" w:rsidRDefault="000E627C">
    <w:pPr>
      <w:pStyle w:val="Piedepgina"/>
      <w:jc w:val="center"/>
    </w:pPr>
    <w:r>
      <w:fldChar w:fldCharType="begin"/>
    </w:r>
    <w:r>
      <w:instrText xml:space="preserve"> PAGE   \* MERGEFORMAT </w:instrText>
    </w:r>
    <w:r>
      <w:fldChar w:fldCharType="separate"/>
    </w:r>
    <w:r w:rsidR="00D676EE">
      <w:rPr>
        <w:noProof/>
      </w:rPr>
      <w:t>14</w:t>
    </w:r>
    <w:r>
      <w:rPr>
        <w:noProof/>
      </w:rPr>
      <w:fldChar w:fldCharType="end"/>
    </w:r>
  </w:p>
  <w:p w:rsidR="000E627C" w:rsidRDefault="000E627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585" w:rsidRDefault="00E81585" w:rsidP="00D35B80">
      <w:r>
        <w:separator/>
      </w:r>
    </w:p>
  </w:footnote>
  <w:footnote w:type="continuationSeparator" w:id="0">
    <w:p w:rsidR="00E81585" w:rsidRDefault="00E81585" w:rsidP="00D35B80">
      <w:r>
        <w:continuationSeparator/>
      </w:r>
    </w:p>
  </w:footnote>
  <w:footnote w:id="1">
    <w:p w:rsidR="00793B21" w:rsidRDefault="00793B21" w:rsidP="00793B21">
      <w:pPr>
        <w:pStyle w:val="Textonotapie"/>
        <w:jc w:val="both"/>
        <w:rPr>
          <w:rFonts w:ascii="Verdana" w:hAnsi="Verdana"/>
          <w:sz w:val="16"/>
          <w:szCs w:val="16"/>
          <w:lang w:val="es-CR" w:eastAsia="en-US"/>
        </w:rPr>
      </w:pPr>
      <w:r>
        <w:rPr>
          <w:rStyle w:val="Refdenotaalpie"/>
          <w:rFonts w:ascii="Verdana" w:hAnsi="Verdana"/>
          <w:sz w:val="16"/>
          <w:szCs w:val="16"/>
          <w:lang w:val="es-CR"/>
        </w:rPr>
        <w:t>*</w:t>
      </w:r>
      <w:r>
        <w:rPr>
          <w:rFonts w:ascii="Verdana" w:hAnsi="Verdana"/>
          <w:sz w:val="16"/>
          <w:szCs w:val="16"/>
          <w:lang w:val="es-CR"/>
        </w:rPr>
        <w:t xml:space="preserve"> </w:t>
      </w:r>
      <w:r>
        <w:rPr>
          <w:rFonts w:ascii="Verdana" w:hAnsi="Verdana"/>
          <w:sz w:val="16"/>
          <w:szCs w:val="16"/>
          <w:lang w:val="es-CR"/>
        </w:rPr>
        <w:tab/>
        <w:t>El Juez L. Patricio Pazmiño Freire no participó en la deliberación y firma de la presente Resolución por razones de fuerza mayor.</w:t>
      </w:r>
    </w:p>
  </w:footnote>
  <w:footnote w:id="2">
    <w:p w:rsidR="000E627C" w:rsidRPr="00E919D5" w:rsidRDefault="000E627C" w:rsidP="0054248A">
      <w:pPr>
        <w:pStyle w:val="Textonotapie"/>
        <w:tabs>
          <w:tab w:val="left" w:pos="567"/>
        </w:tabs>
        <w:jc w:val="both"/>
        <w:rPr>
          <w:rFonts w:ascii="Verdana" w:hAnsi="Verdana"/>
          <w:sz w:val="16"/>
          <w:szCs w:val="16"/>
        </w:rPr>
      </w:pPr>
      <w:r w:rsidRPr="00E919D5">
        <w:rPr>
          <w:rStyle w:val="Refdenotaalpie"/>
          <w:rFonts w:ascii="Verdana" w:hAnsi="Verdana"/>
          <w:sz w:val="16"/>
          <w:szCs w:val="16"/>
        </w:rPr>
        <w:footnoteRef/>
      </w:r>
      <w:r w:rsidRPr="00E919D5">
        <w:rPr>
          <w:rFonts w:ascii="Verdana" w:hAnsi="Verdana"/>
          <w:sz w:val="16"/>
          <w:szCs w:val="16"/>
        </w:rPr>
        <w:tab/>
        <w:t xml:space="preserve">  </w:t>
      </w:r>
      <w:r w:rsidRPr="00E919D5">
        <w:rPr>
          <w:rFonts w:ascii="Verdana" w:hAnsi="Verdana"/>
          <w:i/>
          <w:sz w:val="16"/>
          <w:szCs w:val="16"/>
        </w:rPr>
        <w:t>Cfr</w:t>
      </w:r>
      <w:r w:rsidRPr="00E919D5">
        <w:rPr>
          <w:rStyle w:val="Textoennegrita"/>
          <w:rFonts w:ascii="Verdana" w:hAnsi="Verdana"/>
          <w:b w:val="0"/>
          <w:color w:val="000000"/>
          <w:sz w:val="16"/>
          <w:szCs w:val="16"/>
          <w:shd w:val="clear" w:color="auto" w:fill="FFFFFF"/>
        </w:rPr>
        <w:t xml:space="preserve">. </w:t>
      </w:r>
      <w:r w:rsidRPr="00E919D5">
        <w:rPr>
          <w:rStyle w:val="Textoennegrita"/>
          <w:rFonts w:ascii="Verdana" w:hAnsi="Verdana"/>
          <w:b w:val="0"/>
          <w:i/>
          <w:color w:val="000000"/>
          <w:sz w:val="16"/>
          <w:szCs w:val="16"/>
          <w:shd w:val="clear" w:color="auto" w:fill="FFFFFF"/>
        </w:rPr>
        <w:t>Caso de las Hermanas Serrano Cruz Vs. El Salvador</w:t>
      </w:r>
      <w:r w:rsidRPr="00E919D5">
        <w:rPr>
          <w:rStyle w:val="Textoennegrita"/>
          <w:rFonts w:ascii="Verdana" w:hAnsi="Verdana"/>
          <w:b w:val="0"/>
          <w:color w:val="000000"/>
          <w:sz w:val="16"/>
          <w:szCs w:val="16"/>
          <w:shd w:val="clear" w:color="auto" w:fill="FFFFFF"/>
        </w:rPr>
        <w:t>. Fondo, Reparaciones y Costas. Sentencia de 1 de marzo de 2005. Serie C No. 120.</w:t>
      </w:r>
      <w:r w:rsidRPr="00E919D5">
        <w:rPr>
          <w:rFonts w:ascii="Verdana" w:hAnsi="Verdana"/>
          <w:sz w:val="16"/>
          <w:szCs w:val="16"/>
        </w:rPr>
        <w:t xml:space="preserve">El texto íntegro de la Sentencia se encuentra disponible en: </w:t>
      </w:r>
      <w:hyperlink r:id="rId1" w:history="1">
        <w:r w:rsidRPr="00E919D5">
          <w:rPr>
            <w:rStyle w:val="Hipervnculo"/>
            <w:rFonts w:ascii="Verdana" w:hAnsi="Verdana"/>
            <w:sz w:val="16"/>
            <w:szCs w:val="16"/>
          </w:rPr>
          <w:t>http://www.corteidh.or.cr/docs/casos/articulos/seriec_120_esp.pdf</w:t>
        </w:r>
      </w:hyperlink>
      <w:r w:rsidRPr="00E919D5">
        <w:rPr>
          <w:rFonts w:ascii="Verdana" w:hAnsi="Verdana"/>
          <w:sz w:val="16"/>
          <w:szCs w:val="16"/>
        </w:rPr>
        <w:t>. La Sentencia fue notificada al Estado el 29 de marzo de 2005.</w:t>
      </w:r>
    </w:p>
  </w:footnote>
  <w:footnote w:id="3">
    <w:p w:rsidR="00D52786" w:rsidRPr="00D7447E" w:rsidRDefault="00D52786" w:rsidP="00D52786">
      <w:pPr>
        <w:pStyle w:val="Textonotapie"/>
        <w:jc w:val="both"/>
        <w:rPr>
          <w:rFonts w:ascii="Verdana" w:hAnsi="Verdana"/>
          <w:sz w:val="16"/>
          <w:szCs w:val="16"/>
        </w:rPr>
      </w:pPr>
      <w:r w:rsidRPr="00D52786">
        <w:rPr>
          <w:rStyle w:val="Refdenotaalpie"/>
          <w:rFonts w:ascii="Verdana" w:hAnsi="Verdana"/>
          <w:sz w:val="16"/>
          <w:szCs w:val="16"/>
        </w:rPr>
        <w:footnoteRef/>
      </w:r>
      <w:r w:rsidRPr="00D52786">
        <w:rPr>
          <w:rFonts w:ascii="Verdana" w:hAnsi="Verdana"/>
          <w:sz w:val="16"/>
          <w:szCs w:val="16"/>
        </w:rPr>
        <w:t xml:space="preserve"> </w:t>
      </w:r>
      <w:r w:rsidRPr="00D52786">
        <w:rPr>
          <w:rFonts w:ascii="Verdana" w:hAnsi="Verdana"/>
          <w:sz w:val="16"/>
          <w:szCs w:val="16"/>
        </w:rPr>
        <w:tab/>
      </w:r>
      <w:r w:rsidRPr="00D52786">
        <w:rPr>
          <w:rFonts w:ascii="Verdana" w:hAnsi="Verdana"/>
          <w:bCs/>
          <w:sz w:val="16"/>
          <w:szCs w:val="16"/>
          <w:lang w:val="es-ES"/>
        </w:rPr>
        <w:t xml:space="preserve">La Corte emitió una sentencia de excepciones preliminares en la que admitió la excepción preliminar </w:t>
      </w:r>
      <w:proofErr w:type="spellStart"/>
      <w:r w:rsidRPr="00D52786">
        <w:rPr>
          <w:rFonts w:ascii="Verdana" w:hAnsi="Verdana"/>
          <w:i/>
          <w:sz w:val="16"/>
          <w:szCs w:val="16"/>
        </w:rPr>
        <w:t>ratione</w:t>
      </w:r>
      <w:proofErr w:type="spellEnd"/>
      <w:r w:rsidRPr="00D52786">
        <w:rPr>
          <w:rFonts w:ascii="Verdana" w:hAnsi="Verdana"/>
          <w:i/>
          <w:sz w:val="16"/>
          <w:szCs w:val="16"/>
        </w:rPr>
        <w:t xml:space="preserve"> </w:t>
      </w:r>
      <w:proofErr w:type="spellStart"/>
      <w:r w:rsidRPr="00D52786">
        <w:rPr>
          <w:rFonts w:ascii="Verdana" w:hAnsi="Verdana"/>
          <w:i/>
          <w:sz w:val="16"/>
          <w:szCs w:val="16"/>
        </w:rPr>
        <w:t>temporis</w:t>
      </w:r>
      <w:proofErr w:type="spellEnd"/>
      <w:r w:rsidRPr="00D52786">
        <w:rPr>
          <w:rFonts w:ascii="Verdana" w:hAnsi="Verdana"/>
          <w:i/>
          <w:sz w:val="16"/>
          <w:szCs w:val="16"/>
        </w:rPr>
        <w:t xml:space="preserve"> </w:t>
      </w:r>
      <w:r w:rsidRPr="00D52786">
        <w:rPr>
          <w:rFonts w:ascii="Verdana" w:hAnsi="Verdana"/>
          <w:bCs/>
          <w:sz w:val="16"/>
          <w:szCs w:val="16"/>
          <w:lang w:val="es-ES"/>
        </w:rPr>
        <w:t xml:space="preserve">interpuesta por el Estado, </w:t>
      </w:r>
      <w:r w:rsidRPr="00D52786">
        <w:rPr>
          <w:rFonts w:ascii="Verdana" w:hAnsi="Verdana"/>
          <w:sz w:val="16"/>
          <w:szCs w:val="16"/>
        </w:rPr>
        <w:t xml:space="preserve">para que el Tribunal no conociera “de aquellos hechos o actos cuyo principio de ejecución es anterior al 6 de junio de 1995 y que se prolongan con posterioridad a dicha fecha de reconocimiento de competencia” de la Corte por El Salvador. Por lo tanto, decidió que “la Corte no se pronunciará sobre la supuesta desaparición forzada de Ernestina y </w:t>
      </w:r>
      <w:proofErr w:type="spellStart"/>
      <w:r w:rsidRPr="00D52786">
        <w:rPr>
          <w:rFonts w:ascii="Verdana" w:hAnsi="Verdana"/>
          <w:sz w:val="16"/>
          <w:szCs w:val="16"/>
        </w:rPr>
        <w:t>Erlinda</w:t>
      </w:r>
      <w:proofErr w:type="spellEnd"/>
      <w:r w:rsidRPr="00D52786">
        <w:rPr>
          <w:rFonts w:ascii="Verdana" w:hAnsi="Verdana"/>
          <w:sz w:val="16"/>
          <w:szCs w:val="16"/>
        </w:rPr>
        <w:t xml:space="preserve"> Serrano Cruz y, en consecuencia, sobre ninguno de los alegatos que sustentan violaciones relacionadas con dicha desaparición”.</w:t>
      </w:r>
      <w:r>
        <w:rPr>
          <w:rFonts w:ascii="Verdana" w:hAnsi="Verdana"/>
          <w:sz w:val="16"/>
          <w:szCs w:val="16"/>
        </w:rPr>
        <w:t xml:space="preserve"> </w:t>
      </w:r>
      <w:r w:rsidRPr="00D7447E">
        <w:rPr>
          <w:rStyle w:val="Textoennegrita"/>
          <w:rFonts w:ascii="Verdana" w:hAnsi="Verdana"/>
          <w:b w:val="0"/>
          <w:i/>
          <w:color w:val="000000"/>
          <w:sz w:val="16"/>
          <w:szCs w:val="16"/>
          <w:shd w:val="clear" w:color="auto" w:fill="FFFFFF"/>
        </w:rPr>
        <w:t>Caso de las Hermanas Serrano Cruz Vs. El Salvador. Excepciones Preliminares.</w:t>
      </w:r>
      <w:r w:rsidRPr="00D7447E">
        <w:rPr>
          <w:rStyle w:val="Textoennegrita"/>
          <w:rFonts w:ascii="Verdana" w:hAnsi="Verdana"/>
          <w:b w:val="0"/>
          <w:color w:val="000000"/>
          <w:sz w:val="16"/>
          <w:szCs w:val="16"/>
          <w:shd w:val="clear" w:color="auto" w:fill="FFFFFF"/>
        </w:rPr>
        <w:t xml:space="preserve"> Sentencia de 23 de noviembre de 2004. Serie C No. 118.</w:t>
      </w:r>
      <w:r>
        <w:rPr>
          <w:rStyle w:val="Textoennegrita"/>
          <w:rFonts w:ascii="Verdana" w:hAnsi="Verdana"/>
          <w:b w:val="0"/>
          <w:color w:val="000000"/>
          <w:sz w:val="16"/>
          <w:szCs w:val="16"/>
          <w:shd w:val="clear" w:color="auto" w:fill="FFFFFF"/>
        </w:rPr>
        <w:t xml:space="preserve"> </w:t>
      </w:r>
      <w:r w:rsidRPr="00E919D5">
        <w:rPr>
          <w:rFonts w:ascii="Verdana" w:hAnsi="Verdana"/>
          <w:sz w:val="16"/>
          <w:szCs w:val="16"/>
        </w:rPr>
        <w:t>El texto íntegro de la Sentencia se encuentra disponible en:</w:t>
      </w:r>
      <w:r>
        <w:rPr>
          <w:rFonts w:ascii="Verdana" w:hAnsi="Verdana"/>
          <w:sz w:val="16"/>
          <w:szCs w:val="16"/>
        </w:rPr>
        <w:t xml:space="preserve"> </w:t>
      </w:r>
      <w:hyperlink r:id="rId2" w:history="1">
        <w:r w:rsidRPr="00CD7A93">
          <w:rPr>
            <w:rStyle w:val="Hipervnculo"/>
            <w:rFonts w:ascii="Verdana" w:hAnsi="Verdana"/>
            <w:sz w:val="16"/>
            <w:szCs w:val="16"/>
          </w:rPr>
          <w:t>http://www.corteidh.or.cr/docs/casos/articulos/seriec_118_esp.pdf</w:t>
        </w:r>
      </w:hyperlink>
      <w:r>
        <w:rPr>
          <w:rFonts w:ascii="Verdana" w:hAnsi="Verdana"/>
          <w:sz w:val="16"/>
          <w:szCs w:val="16"/>
        </w:rPr>
        <w:t xml:space="preserve"> </w:t>
      </w:r>
    </w:p>
    <w:p w:rsidR="00D52786" w:rsidRPr="00D52786" w:rsidRDefault="00D52786" w:rsidP="00D52786">
      <w:pPr>
        <w:pStyle w:val="Textonotapie"/>
        <w:jc w:val="both"/>
        <w:rPr>
          <w:rFonts w:ascii="Verdana" w:hAnsi="Verdana"/>
          <w:sz w:val="16"/>
          <w:szCs w:val="16"/>
        </w:rPr>
      </w:pPr>
    </w:p>
  </w:footnote>
  <w:footnote w:id="4">
    <w:p w:rsidR="000E627C" w:rsidRPr="00E919D5" w:rsidRDefault="000E627C" w:rsidP="0054248A">
      <w:pPr>
        <w:pStyle w:val="Textonotapie"/>
        <w:jc w:val="both"/>
        <w:rPr>
          <w:rFonts w:ascii="Verdana" w:hAnsi="Verdana"/>
          <w:sz w:val="16"/>
          <w:szCs w:val="16"/>
        </w:rPr>
      </w:pPr>
      <w:r w:rsidRPr="00E919D5">
        <w:rPr>
          <w:rStyle w:val="Refdenotaalpie"/>
          <w:rFonts w:ascii="Verdana" w:hAnsi="Verdana"/>
          <w:sz w:val="16"/>
          <w:szCs w:val="16"/>
        </w:rPr>
        <w:footnoteRef/>
      </w:r>
      <w:r w:rsidRPr="00E919D5">
        <w:rPr>
          <w:rFonts w:ascii="Verdana" w:hAnsi="Verdana"/>
          <w:sz w:val="16"/>
          <w:szCs w:val="16"/>
        </w:rPr>
        <w:t xml:space="preserve"> </w:t>
      </w:r>
      <w:r w:rsidRPr="00E919D5">
        <w:rPr>
          <w:rFonts w:ascii="Verdana" w:hAnsi="Verdana"/>
          <w:sz w:val="16"/>
          <w:szCs w:val="16"/>
        </w:rPr>
        <w:tab/>
      </w:r>
      <w:r w:rsidRPr="00E919D5">
        <w:rPr>
          <w:rFonts w:ascii="Verdana" w:hAnsi="Verdana"/>
          <w:i/>
          <w:sz w:val="16"/>
          <w:szCs w:val="16"/>
        </w:rPr>
        <w:t>Cfr</w:t>
      </w:r>
      <w:r w:rsidRPr="00E919D5">
        <w:rPr>
          <w:rStyle w:val="Textoennegrita"/>
          <w:rFonts w:ascii="Verdana" w:hAnsi="Verdana"/>
          <w:b w:val="0"/>
          <w:color w:val="000000"/>
          <w:sz w:val="16"/>
          <w:szCs w:val="16"/>
          <w:shd w:val="clear" w:color="auto" w:fill="FFFFFF"/>
        </w:rPr>
        <w:t xml:space="preserve">. </w:t>
      </w:r>
      <w:r w:rsidRPr="00E919D5">
        <w:rPr>
          <w:rFonts w:ascii="Verdana" w:hAnsi="Verdana"/>
          <w:sz w:val="16"/>
          <w:szCs w:val="16"/>
        </w:rPr>
        <w:t xml:space="preserve"> </w:t>
      </w:r>
      <w:r w:rsidRPr="00E919D5">
        <w:rPr>
          <w:rStyle w:val="Textoennegrita"/>
          <w:rFonts w:ascii="Verdana" w:hAnsi="Verdana"/>
          <w:b w:val="0"/>
          <w:i/>
          <w:color w:val="000000"/>
          <w:sz w:val="16"/>
          <w:szCs w:val="16"/>
          <w:shd w:val="clear" w:color="auto" w:fill="FFFFFF"/>
        </w:rPr>
        <w:t>Caso de las Hermanas Serrano Cruz Vs. El Salvador</w:t>
      </w:r>
      <w:r w:rsidRPr="00E919D5">
        <w:rPr>
          <w:rStyle w:val="Textoennegrita"/>
          <w:rFonts w:ascii="Verdana" w:hAnsi="Verdana"/>
          <w:b w:val="0"/>
          <w:color w:val="000000"/>
          <w:sz w:val="16"/>
          <w:szCs w:val="16"/>
          <w:shd w:val="clear" w:color="auto" w:fill="FFFFFF"/>
        </w:rPr>
        <w:t xml:space="preserve">. Supervisión de Cumplimiento de Sentencia. Resolución de la Corte Interamericana de Derechos Humanos de 22 de septiembre de 2006. Disponible en: </w:t>
      </w:r>
      <w:hyperlink r:id="rId3" w:history="1">
        <w:r w:rsidRPr="00E919D5">
          <w:rPr>
            <w:rStyle w:val="Hipervnculo"/>
            <w:rFonts w:ascii="Verdana" w:hAnsi="Verdana"/>
            <w:sz w:val="16"/>
            <w:szCs w:val="16"/>
            <w:shd w:val="clear" w:color="auto" w:fill="FFFFFF"/>
          </w:rPr>
          <w:t>http://www.corteidh.or.cr/docs/supervisiones/serrano_22_09_06.pdf</w:t>
        </w:r>
      </w:hyperlink>
      <w:r w:rsidRPr="00E919D5">
        <w:rPr>
          <w:rStyle w:val="Textoennegrita"/>
          <w:rFonts w:ascii="Verdana" w:hAnsi="Verdana"/>
          <w:b w:val="0"/>
          <w:color w:val="000000"/>
          <w:sz w:val="16"/>
          <w:szCs w:val="16"/>
          <w:shd w:val="clear" w:color="auto" w:fill="FFFFFF"/>
        </w:rPr>
        <w:t>.</w:t>
      </w:r>
    </w:p>
  </w:footnote>
  <w:footnote w:id="5">
    <w:p w:rsidR="000E627C" w:rsidRPr="00E919D5" w:rsidRDefault="000E627C" w:rsidP="0054248A">
      <w:pPr>
        <w:pStyle w:val="Textonotapie"/>
        <w:jc w:val="both"/>
        <w:rPr>
          <w:rFonts w:ascii="Verdana" w:hAnsi="Verdana"/>
          <w:bCs/>
          <w:color w:val="000000"/>
          <w:sz w:val="16"/>
          <w:szCs w:val="16"/>
          <w:shd w:val="clear" w:color="auto" w:fill="FFFFFF"/>
        </w:rPr>
      </w:pPr>
      <w:r w:rsidRPr="00E919D5">
        <w:rPr>
          <w:rStyle w:val="Refdenotaalpie"/>
          <w:rFonts w:ascii="Verdana" w:hAnsi="Verdana"/>
          <w:sz w:val="16"/>
          <w:szCs w:val="16"/>
        </w:rPr>
        <w:footnoteRef/>
      </w:r>
      <w:r w:rsidRPr="00E919D5">
        <w:rPr>
          <w:rFonts w:ascii="Verdana" w:hAnsi="Verdana"/>
          <w:sz w:val="16"/>
          <w:szCs w:val="16"/>
        </w:rPr>
        <w:t xml:space="preserve">  </w:t>
      </w:r>
      <w:r w:rsidRPr="00E919D5">
        <w:rPr>
          <w:rFonts w:ascii="Verdana" w:hAnsi="Verdana"/>
          <w:sz w:val="16"/>
          <w:szCs w:val="16"/>
        </w:rPr>
        <w:tab/>
      </w:r>
      <w:r w:rsidRPr="00E919D5">
        <w:rPr>
          <w:rFonts w:ascii="Verdana" w:hAnsi="Verdana"/>
          <w:i/>
          <w:sz w:val="16"/>
          <w:szCs w:val="16"/>
        </w:rPr>
        <w:t>Cfr</w:t>
      </w:r>
      <w:r w:rsidRPr="00E919D5">
        <w:rPr>
          <w:rStyle w:val="Textoennegrita"/>
          <w:rFonts w:ascii="Verdana" w:hAnsi="Verdana"/>
          <w:b w:val="0"/>
          <w:color w:val="000000"/>
          <w:sz w:val="16"/>
          <w:szCs w:val="16"/>
          <w:shd w:val="clear" w:color="auto" w:fill="FFFFFF"/>
        </w:rPr>
        <w:t xml:space="preserve">. </w:t>
      </w:r>
      <w:r w:rsidRPr="00E919D5">
        <w:rPr>
          <w:rStyle w:val="Textoennegrita"/>
          <w:rFonts w:ascii="Verdana" w:hAnsi="Verdana"/>
          <w:b w:val="0"/>
          <w:i/>
          <w:color w:val="000000"/>
          <w:sz w:val="16"/>
          <w:szCs w:val="16"/>
          <w:shd w:val="clear" w:color="auto" w:fill="FFFFFF"/>
        </w:rPr>
        <w:t>Caso de las Hermanas Serrano Cruz Vs. El Salvador</w:t>
      </w:r>
      <w:r w:rsidRPr="00E919D5">
        <w:rPr>
          <w:rStyle w:val="Textoennegrita"/>
          <w:rFonts w:ascii="Verdana" w:hAnsi="Verdana"/>
          <w:b w:val="0"/>
          <w:color w:val="000000"/>
          <w:sz w:val="16"/>
          <w:szCs w:val="16"/>
          <w:shd w:val="clear" w:color="auto" w:fill="FFFFFF"/>
        </w:rPr>
        <w:t>. Supervisión de Cumplimiento de Sentencia. Resolución de la Corte Interamericana de Derechos Humanos de 3 de julio de 2007. Disponible en:</w:t>
      </w:r>
      <w:r w:rsidRPr="00E919D5">
        <w:rPr>
          <w:rFonts w:ascii="Verdana" w:hAnsi="Verdana"/>
          <w:sz w:val="16"/>
          <w:szCs w:val="16"/>
        </w:rPr>
        <w:t xml:space="preserve"> </w:t>
      </w:r>
      <w:hyperlink r:id="rId4" w:history="1">
        <w:r w:rsidRPr="00E919D5">
          <w:rPr>
            <w:rStyle w:val="Hipervnculo"/>
            <w:rFonts w:ascii="Verdana" w:hAnsi="Verdana"/>
            <w:sz w:val="16"/>
            <w:szCs w:val="16"/>
            <w:shd w:val="clear" w:color="auto" w:fill="FFFFFF"/>
          </w:rPr>
          <w:t>http://www.corteidh.or.cr/docs/supervisiones/serrano_03_07_07.pdf</w:t>
        </w:r>
      </w:hyperlink>
      <w:r w:rsidRPr="00E919D5">
        <w:rPr>
          <w:rStyle w:val="Textoennegrita"/>
          <w:rFonts w:ascii="Verdana" w:hAnsi="Verdana"/>
          <w:b w:val="0"/>
          <w:color w:val="000000"/>
          <w:sz w:val="16"/>
          <w:szCs w:val="16"/>
          <w:shd w:val="clear" w:color="auto" w:fill="FFFFFF"/>
        </w:rPr>
        <w:t xml:space="preserve">. </w:t>
      </w:r>
    </w:p>
  </w:footnote>
  <w:footnote w:id="6">
    <w:p w:rsidR="000E627C" w:rsidRPr="00E919D5" w:rsidRDefault="000E627C" w:rsidP="0054248A">
      <w:pPr>
        <w:pStyle w:val="Textonotapie"/>
        <w:jc w:val="both"/>
        <w:rPr>
          <w:rFonts w:ascii="Verdana" w:hAnsi="Verdana"/>
          <w:sz w:val="16"/>
          <w:szCs w:val="16"/>
        </w:rPr>
      </w:pPr>
      <w:r w:rsidRPr="00E919D5">
        <w:rPr>
          <w:rStyle w:val="Refdenotaalpie"/>
          <w:rFonts w:ascii="Verdana" w:hAnsi="Verdana"/>
          <w:sz w:val="16"/>
          <w:szCs w:val="16"/>
        </w:rPr>
        <w:footnoteRef/>
      </w:r>
      <w:r w:rsidRPr="00E919D5">
        <w:rPr>
          <w:rFonts w:ascii="Verdana" w:hAnsi="Verdana"/>
          <w:sz w:val="16"/>
          <w:szCs w:val="16"/>
        </w:rPr>
        <w:t xml:space="preserve">  </w:t>
      </w:r>
      <w:r w:rsidRPr="00E919D5">
        <w:rPr>
          <w:rFonts w:ascii="Verdana" w:hAnsi="Verdana"/>
          <w:sz w:val="16"/>
          <w:szCs w:val="16"/>
        </w:rPr>
        <w:tab/>
      </w:r>
      <w:r w:rsidRPr="00E919D5">
        <w:rPr>
          <w:rFonts w:ascii="Verdana" w:hAnsi="Verdana"/>
          <w:i/>
          <w:sz w:val="16"/>
          <w:szCs w:val="16"/>
        </w:rPr>
        <w:t>Cfr</w:t>
      </w:r>
      <w:r w:rsidRPr="00E919D5">
        <w:rPr>
          <w:rStyle w:val="Textoennegrita"/>
          <w:rFonts w:ascii="Verdana" w:hAnsi="Verdana"/>
          <w:b w:val="0"/>
          <w:color w:val="000000"/>
          <w:sz w:val="16"/>
          <w:szCs w:val="16"/>
          <w:shd w:val="clear" w:color="auto" w:fill="FFFFFF"/>
        </w:rPr>
        <w:t xml:space="preserve">. </w:t>
      </w:r>
      <w:r w:rsidRPr="00793B21">
        <w:rPr>
          <w:rStyle w:val="Textoennegrita"/>
          <w:rFonts w:ascii="Verdana" w:hAnsi="Verdana"/>
          <w:b w:val="0"/>
          <w:i/>
          <w:color w:val="000000"/>
          <w:sz w:val="16"/>
          <w:szCs w:val="16"/>
          <w:shd w:val="clear" w:color="auto" w:fill="FFFFFF"/>
        </w:rPr>
        <w:t>Caso de las Hermanas Serrano Cruz Vs. El Salvador</w:t>
      </w:r>
      <w:r w:rsidRPr="00E919D5">
        <w:rPr>
          <w:rStyle w:val="Textoennegrita"/>
          <w:rFonts w:ascii="Verdana" w:hAnsi="Verdana"/>
          <w:b w:val="0"/>
          <w:color w:val="000000"/>
          <w:sz w:val="16"/>
          <w:szCs w:val="16"/>
          <w:shd w:val="clear" w:color="auto" w:fill="FFFFFF"/>
        </w:rPr>
        <w:t xml:space="preserve">. Supervisión de Cumplimiento de Sentencia. Resolución de la Corte Interamericana de Derechos Humanos de 3 de febrero de 2010. Disponible en: </w:t>
      </w:r>
      <w:hyperlink r:id="rId5" w:history="1">
        <w:r w:rsidRPr="00E919D5">
          <w:rPr>
            <w:rStyle w:val="Hipervnculo"/>
            <w:rFonts w:ascii="Verdana" w:hAnsi="Verdana"/>
            <w:sz w:val="16"/>
            <w:szCs w:val="16"/>
            <w:shd w:val="clear" w:color="auto" w:fill="FFFFFF"/>
          </w:rPr>
          <w:t>http://www.corteidh.or.cr/docs/supervisiones/serrano_03_02_10.pdf</w:t>
        </w:r>
      </w:hyperlink>
      <w:r w:rsidRPr="00E919D5">
        <w:rPr>
          <w:rStyle w:val="Textoennegrita"/>
          <w:rFonts w:ascii="Verdana" w:hAnsi="Verdana"/>
          <w:b w:val="0"/>
          <w:color w:val="000000"/>
          <w:sz w:val="16"/>
          <w:szCs w:val="16"/>
          <w:shd w:val="clear" w:color="auto" w:fill="FFFFFF"/>
        </w:rPr>
        <w:t>.</w:t>
      </w:r>
    </w:p>
  </w:footnote>
  <w:footnote w:id="7">
    <w:p w:rsidR="00793B21" w:rsidRPr="00793B21" w:rsidRDefault="00793B21">
      <w:pPr>
        <w:pStyle w:val="Textonotapie"/>
        <w:rPr>
          <w:rFonts w:ascii="Verdana" w:hAnsi="Verdana"/>
          <w:sz w:val="16"/>
          <w:szCs w:val="16"/>
        </w:rPr>
      </w:pPr>
      <w:r w:rsidRPr="00793B21">
        <w:rPr>
          <w:rStyle w:val="Refdenotaalpie"/>
          <w:rFonts w:ascii="Verdana" w:hAnsi="Verdana"/>
          <w:sz w:val="16"/>
          <w:szCs w:val="16"/>
        </w:rPr>
        <w:footnoteRef/>
      </w:r>
      <w:r w:rsidRPr="00793B21">
        <w:rPr>
          <w:rFonts w:ascii="Verdana" w:hAnsi="Verdana"/>
          <w:sz w:val="16"/>
          <w:szCs w:val="16"/>
        </w:rPr>
        <w:t xml:space="preserve"> </w:t>
      </w:r>
      <w:r w:rsidRPr="00793B21">
        <w:rPr>
          <w:rFonts w:ascii="Verdana" w:hAnsi="Verdana"/>
          <w:sz w:val="16"/>
          <w:szCs w:val="16"/>
        </w:rPr>
        <w:tab/>
        <w:t>De 5 de febrero de 2010, 7 de julio de 2010, 2 de febrero de 2011, 7 de mayo de 2013  y 22 de mayo de 2015</w:t>
      </w:r>
    </w:p>
  </w:footnote>
  <w:footnote w:id="8">
    <w:p w:rsidR="000E627C" w:rsidRPr="00E919D5" w:rsidRDefault="000E627C" w:rsidP="0054248A">
      <w:pPr>
        <w:pStyle w:val="Textonotapie"/>
        <w:jc w:val="both"/>
        <w:rPr>
          <w:rFonts w:ascii="Verdana" w:hAnsi="Verdana"/>
          <w:sz w:val="16"/>
          <w:szCs w:val="16"/>
        </w:rPr>
      </w:pPr>
      <w:r w:rsidRPr="00E919D5">
        <w:rPr>
          <w:rStyle w:val="Refdenotaalpie"/>
          <w:rFonts w:ascii="Verdana" w:hAnsi="Verdana"/>
          <w:sz w:val="16"/>
          <w:szCs w:val="16"/>
        </w:rPr>
        <w:footnoteRef/>
      </w:r>
      <w:r w:rsidRPr="00E919D5">
        <w:rPr>
          <w:rFonts w:ascii="Verdana" w:hAnsi="Verdana"/>
          <w:sz w:val="16"/>
          <w:szCs w:val="16"/>
        </w:rPr>
        <w:t xml:space="preserve"> </w:t>
      </w:r>
      <w:r w:rsidRPr="00E919D5">
        <w:rPr>
          <w:rFonts w:ascii="Verdana" w:hAnsi="Verdana"/>
          <w:sz w:val="16"/>
          <w:szCs w:val="16"/>
        </w:rPr>
        <w:tab/>
        <w:t>La Asociación Pro-Búsqueda de Niños y Niñas Desaparecidos y el Centro por la Justicia y el Derecho Internacional (CEJIL) representan a las víctimas en el presente caso.</w:t>
      </w:r>
    </w:p>
  </w:footnote>
  <w:footnote w:id="9">
    <w:p w:rsidR="00793B21" w:rsidRPr="00793B21" w:rsidRDefault="00793B21">
      <w:pPr>
        <w:pStyle w:val="Textonotapie"/>
        <w:rPr>
          <w:rFonts w:ascii="Verdana" w:hAnsi="Verdana"/>
          <w:sz w:val="16"/>
          <w:szCs w:val="16"/>
        </w:rPr>
      </w:pPr>
      <w:r w:rsidRPr="00793B21">
        <w:rPr>
          <w:rStyle w:val="Refdenotaalpie"/>
          <w:rFonts w:ascii="Verdana" w:hAnsi="Verdana"/>
          <w:sz w:val="16"/>
          <w:szCs w:val="16"/>
        </w:rPr>
        <w:footnoteRef/>
      </w:r>
      <w:r w:rsidRPr="00793B21">
        <w:rPr>
          <w:rFonts w:ascii="Verdana" w:hAnsi="Verdana"/>
          <w:sz w:val="16"/>
          <w:szCs w:val="16"/>
        </w:rPr>
        <w:t xml:space="preserve"> </w:t>
      </w:r>
      <w:r w:rsidRPr="00793B21">
        <w:rPr>
          <w:rFonts w:ascii="Verdana" w:hAnsi="Verdana"/>
          <w:sz w:val="16"/>
          <w:szCs w:val="16"/>
        </w:rPr>
        <w:tab/>
        <w:t>De 9 de agosto de 2010, 3 de marzo de 2011,  21 de diciembre de 2012, 14 de junio de 2013  y 2 de julio de 2015.</w:t>
      </w:r>
    </w:p>
  </w:footnote>
  <w:footnote w:id="10">
    <w:p w:rsidR="00793B21" w:rsidRPr="00793B21" w:rsidRDefault="00793B21">
      <w:pPr>
        <w:pStyle w:val="Textonotapie"/>
        <w:rPr>
          <w:rFonts w:ascii="Verdana" w:hAnsi="Verdana"/>
          <w:sz w:val="16"/>
          <w:szCs w:val="16"/>
        </w:rPr>
      </w:pPr>
      <w:r w:rsidRPr="00793B21">
        <w:rPr>
          <w:rStyle w:val="Refdenotaalpie"/>
          <w:rFonts w:ascii="Verdana" w:hAnsi="Verdana"/>
          <w:sz w:val="16"/>
          <w:szCs w:val="16"/>
        </w:rPr>
        <w:footnoteRef/>
      </w:r>
      <w:r w:rsidRPr="00793B21">
        <w:rPr>
          <w:rFonts w:ascii="Verdana" w:hAnsi="Verdana"/>
          <w:sz w:val="16"/>
          <w:szCs w:val="16"/>
        </w:rPr>
        <w:t xml:space="preserve"> </w:t>
      </w:r>
      <w:r w:rsidRPr="00793B21">
        <w:rPr>
          <w:rFonts w:ascii="Verdana" w:hAnsi="Verdana"/>
          <w:sz w:val="16"/>
          <w:szCs w:val="16"/>
        </w:rPr>
        <w:tab/>
        <w:t>De 4 de noviembre de 2010, 4 de mayo de 2011, 7 de agosto de 2013  y 29 de julio de 2015.</w:t>
      </w:r>
    </w:p>
  </w:footnote>
  <w:footnote w:id="11">
    <w:p w:rsidR="0052000D" w:rsidRDefault="0052000D" w:rsidP="0052000D">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A esta audiencia comparecieron</w:t>
      </w:r>
      <w:r w:rsidR="00793B21">
        <w:rPr>
          <w:rFonts w:ascii="Verdana" w:hAnsi="Verdana"/>
          <w:sz w:val="16"/>
          <w:szCs w:val="16"/>
        </w:rPr>
        <w:t>:</w:t>
      </w:r>
      <w:r>
        <w:rPr>
          <w:rFonts w:ascii="Verdana" w:hAnsi="Verdana"/>
          <w:sz w:val="16"/>
          <w:szCs w:val="16"/>
        </w:rPr>
        <w:t xml:space="preserve"> a) por las víctimas, Claudia Lizbeth </w:t>
      </w:r>
      <w:proofErr w:type="spellStart"/>
      <w:r>
        <w:rPr>
          <w:rFonts w:ascii="Verdana" w:hAnsi="Verdana"/>
          <w:sz w:val="16"/>
          <w:szCs w:val="16"/>
        </w:rPr>
        <w:t>Interiano</w:t>
      </w:r>
      <w:proofErr w:type="spellEnd"/>
      <w:r>
        <w:rPr>
          <w:rFonts w:ascii="Verdana" w:hAnsi="Verdana"/>
          <w:sz w:val="16"/>
          <w:szCs w:val="16"/>
        </w:rPr>
        <w:t xml:space="preserve"> Quijada y Eduardo García Doblas, por la Asociación Pro-Búsqueda de Niños y Niñas Desaparecidos, y Valentina Ballesta, Marcela Martino, Francisca </w:t>
      </w:r>
      <w:proofErr w:type="spellStart"/>
      <w:r>
        <w:rPr>
          <w:rFonts w:ascii="Verdana" w:hAnsi="Verdana"/>
          <w:sz w:val="16"/>
          <w:szCs w:val="16"/>
        </w:rPr>
        <w:t>Stuardo</w:t>
      </w:r>
      <w:proofErr w:type="spellEnd"/>
      <w:r>
        <w:rPr>
          <w:rFonts w:ascii="Verdana" w:hAnsi="Verdana"/>
          <w:sz w:val="16"/>
          <w:szCs w:val="16"/>
        </w:rPr>
        <w:t xml:space="preserve">, Luis Carlos </w:t>
      </w:r>
      <w:proofErr w:type="spellStart"/>
      <w:r>
        <w:rPr>
          <w:rFonts w:ascii="Verdana" w:hAnsi="Verdana"/>
          <w:sz w:val="16"/>
          <w:szCs w:val="16"/>
        </w:rPr>
        <w:t>Buob</w:t>
      </w:r>
      <w:proofErr w:type="spellEnd"/>
      <w:r>
        <w:rPr>
          <w:rFonts w:ascii="Verdana" w:hAnsi="Verdana"/>
          <w:sz w:val="16"/>
          <w:szCs w:val="16"/>
        </w:rPr>
        <w:t xml:space="preserve">, Marta González y </w:t>
      </w:r>
      <w:proofErr w:type="spellStart"/>
      <w:r>
        <w:rPr>
          <w:rFonts w:ascii="Verdana" w:hAnsi="Verdana"/>
          <w:sz w:val="16"/>
          <w:szCs w:val="16"/>
        </w:rPr>
        <w:t>Nataly</w:t>
      </w:r>
      <w:proofErr w:type="spellEnd"/>
      <w:r>
        <w:rPr>
          <w:rFonts w:ascii="Verdana" w:hAnsi="Verdana"/>
          <w:sz w:val="16"/>
          <w:szCs w:val="16"/>
        </w:rPr>
        <w:t xml:space="preserve"> Tobar, por CEJIL; b) por el Estado: Sebastián </w:t>
      </w:r>
      <w:proofErr w:type="spellStart"/>
      <w:r>
        <w:rPr>
          <w:rFonts w:ascii="Verdana" w:hAnsi="Verdana"/>
          <w:sz w:val="16"/>
          <w:szCs w:val="16"/>
        </w:rPr>
        <w:t>Vaquerano</w:t>
      </w:r>
      <w:proofErr w:type="spellEnd"/>
      <w:r>
        <w:rPr>
          <w:rFonts w:ascii="Verdana" w:hAnsi="Verdana"/>
          <w:sz w:val="16"/>
          <w:szCs w:val="16"/>
        </w:rPr>
        <w:t xml:space="preserve">, Embajador de El Salvador en Costa Rica, Tania Camila Rosa, Directora General de Derechos Humanos de la Cancillería y Agente del Estado, y Gloria Martínez, Directora de Sistemas Internacionales de Protección de Derechos Humanos de la Cancillería; y c) por la Comisión Interamericana, Silvia Serrano, Asesora de la Comisión. En la audiencia participaron el Presidente Roberto F. Caldas, el Vicepresidente Eduardo Ferrer Mac </w:t>
      </w:r>
      <w:proofErr w:type="spellStart"/>
      <w:r>
        <w:rPr>
          <w:rFonts w:ascii="Verdana" w:hAnsi="Verdana"/>
          <w:sz w:val="16"/>
          <w:szCs w:val="16"/>
        </w:rPr>
        <w:t>Gregor</w:t>
      </w:r>
      <w:proofErr w:type="spellEnd"/>
      <w:r>
        <w:rPr>
          <w:rFonts w:ascii="Verdana" w:hAnsi="Verdana"/>
          <w:sz w:val="16"/>
          <w:szCs w:val="16"/>
        </w:rPr>
        <w:t xml:space="preserve">, la </w:t>
      </w:r>
      <w:r w:rsidR="00793B21">
        <w:rPr>
          <w:rFonts w:ascii="Verdana" w:hAnsi="Verdana"/>
          <w:sz w:val="16"/>
          <w:szCs w:val="16"/>
        </w:rPr>
        <w:t>J</w:t>
      </w:r>
      <w:r>
        <w:rPr>
          <w:rFonts w:ascii="Verdana" w:hAnsi="Verdana"/>
          <w:sz w:val="16"/>
          <w:szCs w:val="16"/>
        </w:rPr>
        <w:t xml:space="preserve">ueza Elizabeth Odio Benito, y los </w:t>
      </w:r>
      <w:r w:rsidR="00793B21">
        <w:rPr>
          <w:rFonts w:ascii="Verdana" w:hAnsi="Verdana"/>
          <w:sz w:val="16"/>
          <w:szCs w:val="16"/>
        </w:rPr>
        <w:t>J</w:t>
      </w:r>
      <w:r>
        <w:rPr>
          <w:rFonts w:ascii="Verdana" w:hAnsi="Verdana"/>
          <w:sz w:val="16"/>
          <w:szCs w:val="16"/>
        </w:rPr>
        <w:t xml:space="preserve">ueces Eugenio Raúl </w:t>
      </w:r>
      <w:proofErr w:type="spellStart"/>
      <w:r>
        <w:rPr>
          <w:rFonts w:ascii="Verdana" w:hAnsi="Verdana"/>
          <w:sz w:val="16"/>
          <w:szCs w:val="16"/>
        </w:rPr>
        <w:t>Zaffaroni</w:t>
      </w:r>
      <w:proofErr w:type="spellEnd"/>
      <w:r>
        <w:rPr>
          <w:rFonts w:ascii="Verdana" w:hAnsi="Verdana"/>
          <w:sz w:val="16"/>
          <w:szCs w:val="16"/>
        </w:rPr>
        <w:t xml:space="preserve"> y Patricio Pazmiño Freire. Los jueces Eduardo Vio Grossi y Humberto A. Sierra Porto no participaron por motivos de fuerza mayor.</w:t>
      </w:r>
    </w:p>
  </w:footnote>
  <w:footnote w:id="12">
    <w:p w:rsidR="000E627C" w:rsidRPr="00E919D5" w:rsidRDefault="000E627C" w:rsidP="0054248A">
      <w:pPr>
        <w:pStyle w:val="Textonotapie"/>
        <w:ind w:right="4"/>
        <w:jc w:val="both"/>
        <w:rPr>
          <w:rFonts w:ascii="Verdana" w:hAnsi="Verdana"/>
          <w:sz w:val="16"/>
          <w:szCs w:val="16"/>
        </w:rPr>
      </w:pPr>
      <w:r w:rsidRPr="00E919D5">
        <w:rPr>
          <w:rStyle w:val="Refdenotaalpie"/>
          <w:rFonts w:ascii="Verdana" w:hAnsi="Verdana"/>
          <w:sz w:val="16"/>
          <w:szCs w:val="16"/>
        </w:rPr>
        <w:footnoteRef/>
      </w:r>
      <w:r w:rsidRPr="00E919D5">
        <w:rPr>
          <w:rFonts w:ascii="Verdana" w:hAnsi="Verdana"/>
          <w:sz w:val="16"/>
          <w:szCs w:val="16"/>
        </w:rPr>
        <w:t xml:space="preserve"> </w:t>
      </w:r>
      <w:r w:rsidRPr="00E919D5">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13">
    <w:p w:rsidR="000E627C" w:rsidRPr="0066078C" w:rsidRDefault="000E627C" w:rsidP="0066078C">
      <w:pPr>
        <w:pStyle w:val="Textonotapie"/>
        <w:jc w:val="both"/>
        <w:rPr>
          <w:rFonts w:ascii="Verdana" w:hAnsi="Verdana"/>
          <w:sz w:val="16"/>
          <w:szCs w:val="16"/>
          <w:lang w:val="es-CR"/>
        </w:rPr>
      </w:pPr>
      <w:r w:rsidRPr="0066078C">
        <w:rPr>
          <w:rStyle w:val="Refdenotaalpie"/>
          <w:rFonts w:ascii="Verdana" w:hAnsi="Verdana"/>
          <w:sz w:val="16"/>
          <w:szCs w:val="16"/>
        </w:rPr>
        <w:footnoteRef/>
      </w:r>
      <w:r w:rsidRPr="0066078C">
        <w:rPr>
          <w:rFonts w:ascii="Verdana" w:hAnsi="Verdana"/>
          <w:sz w:val="16"/>
          <w:szCs w:val="16"/>
        </w:rPr>
        <w:t xml:space="preserve"> </w:t>
      </w:r>
      <w:r w:rsidRPr="0066078C">
        <w:rPr>
          <w:rFonts w:ascii="Verdana" w:hAnsi="Verdana"/>
          <w:sz w:val="16"/>
          <w:szCs w:val="16"/>
          <w:lang w:val="es-CR"/>
        </w:rPr>
        <w:tab/>
        <w:t>En su Resolución de 2010, la Corte determinó que mantendría abierto el procedimiento de supervisión de cumplimiento de las siguientes medidas de reparación: (i) investigar efectivamente los hechos denunciados en el presente caso, identificar y sancionar a los responsables y efectuar una búsqueda seria de las víctimas, eliminar todos los obstáculos y mecanismos de hecho y derecho que impidan el cumplimiento de dichas obligaciones en el presente caso, de modo que utilice todas las medidas a su alcance, ya sea por medio del proceso penal o mediante la adopción de otras medidas idóneas y debe divulgar públicamente el resultado del proceso penal</w:t>
      </w:r>
      <w:r w:rsidR="00892B1C">
        <w:rPr>
          <w:rFonts w:ascii="Verdana" w:hAnsi="Verdana"/>
          <w:sz w:val="16"/>
          <w:szCs w:val="16"/>
          <w:lang w:val="es-CR"/>
        </w:rPr>
        <w:t>;</w:t>
      </w:r>
      <w:r w:rsidRPr="0066078C">
        <w:rPr>
          <w:rFonts w:ascii="Verdana" w:hAnsi="Verdana"/>
          <w:sz w:val="16"/>
          <w:szCs w:val="16"/>
          <w:lang w:val="es-CR"/>
        </w:rPr>
        <w:t xml:space="preserve"> (ii) </w:t>
      </w:r>
      <w:r w:rsidRPr="0066078C">
        <w:rPr>
          <w:rFonts w:ascii="Verdana" w:hAnsi="Verdana"/>
          <w:sz w:val="16"/>
          <w:szCs w:val="16"/>
        </w:rPr>
        <w:t>funcionamiento de una comisión nacional de búsqueda de jóvenes que desaparecieron cuando eran niños durante el conflicto interno y participación de la sociedad civil</w:t>
      </w:r>
      <w:r w:rsidR="00892B1C">
        <w:rPr>
          <w:rFonts w:ascii="Verdana" w:hAnsi="Verdana"/>
          <w:sz w:val="16"/>
          <w:szCs w:val="16"/>
        </w:rPr>
        <w:t>;</w:t>
      </w:r>
      <w:r w:rsidRPr="0066078C">
        <w:rPr>
          <w:rFonts w:ascii="Verdana" w:hAnsi="Verdana"/>
          <w:sz w:val="16"/>
          <w:szCs w:val="16"/>
        </w:rPr>
        <w:t xml:space="preserve"> (iii) crear un sistema de información genética que permita obtener y conservar datos genéticos que coadyuven a la determinación y esclarecimiento de la filiación de los niños desaparecidos y sus familiares y su identificación</w:t>
      </w:r>
      <w:r w:rsidR="00892B1C">
        <w:rPr>
          <w:rFonts w:ascii="Verdana" w:hAnsi="Verdana"/>
          <w:sz w:val="16"/>
          <w:szCs w:val="16"/>
        </w:rPr>
        <w:t>;</w:t>
      </w:r>
      <w:r w:rsidRPr="0066078C">
        <w:rPr>
          <w:rFonts w:ascii="Verdana" w:hAnsi="Verdana"/>
          <w:sz w:val="16"/>
          <w:szCs w:val="16"/>
        </w:rPr>
        <w:t xml:space="preserve"> (iv) brindar gratuitamente, a través de sus instituciones de salud especializadas, el tratamiento médico y psicológico requerido por los familiares de las víctimas, y (v) crear una página </w:t>
      </w:r>
      <w:r w:rsidRPr="00892B1C">
        <w:rPr>
          <w:rFonts w:ascii="Verdana" w:hAnsi="Verdana"/>
          <w:i/>
          <w:sz w:val="16"/>
          <w:szCs w:val="16"/>
        </w:rPr>
        <w:t>web</w:t>
      </w:r>
      <w:r w:rsidRPr="0066078C">
        <w:rPr>
          <w:rFonts w:ascii="Verdana" w:hAnsi="Verdana"/>
          <w:sz w:val="16"/>
          <w:szCs w:val="16"/>
        </w:rPr>
        <w:t xml:space="preserve"> de búsqueda de desaparecidos.</w:t>
      </w:r>
    </w:p>
  </w:footnote>
  <w:footnote w:id="14">
    <w:p w:rsidR="000E627C" w:rsidRPr="00E919D5" w:rsidRDefault="000E627C" w:rsidP="0054248A">
      <w:pPr>
        <w:pStyle w:val="Textonotapie"/>
        <w:jc w:val="both"/>
        <w:rPr>
          <w:rFonts w:ascii="Verdana" w:hAnsi="Verdana"/>
          <w:i/>
          <w:sz w:val="16"/>
          <w:szCs w:val="16"/>
        </w:rPr>
      </w:pPr>
      <w:r w:rsidRPr="00E919D5">
        <w:rPr>
          <w:rStyle w:val="Refdenotaalpie"/>
          <w:rFonts w:ascii="Verdana" w:hAnsi="Verdana"/>
          <w:sz w:val="16"/>
          <w:szCs w:val="16"/>
        </w:rPr>
        <w:footnoteRef/>
      </w:r>
      <w:r w:rsidRPr="00E919D5">
        <w:rPr>
          <w:rFonts w:ascii="Verdana" w:hAnsi="Verdana"/>
          <w:sz w:val="16"/>
          <w:szCs w:val="16"/>
        </w:rPr>
        <w:t xml:space="preserve"> </w:t>
      </w:r>
      <w:r w:rsidRPr="00E919D5">
        <w:rPr>
          <w:rFonts w:ascii="Verdana" w:hAnsi="Verdana"/>
          <w:sz w:val="16"/>
          <w:szCs w:val="16"/>
        </w:rPr>
        <w:tab/>
      </w:r>
      <w:r w:rsidRPr="00E919D5">
        <w:rPr>
          <w:rFonts w:ascii="Verdana" w:hAnsi="Verdana"/>
          <w:i/>
          <w:sz w:val="16"/>
          <w:szCs w:val="16"/>
        </w:rPr>
        <w:t xml:space="preserve">Cfr. Caso </w:t>
      </w:r>
      <w:proofErr w:type="spellStart"/>
      <w:r w:rsidRPr="00E919D5">
        <w:rPr>
          <w:rFonts w:ascii="Verdana" w:hAnsi="Verdana"/>
          <w:i/>
          <w:sz w:val="16"/>
          <w:szCs w:val="16"/>
        </w:rPr>
        <w:t>Ivcher</w:t>
      </w:r>
      <w:proofErr w:type="spellEnd"/>
      <w:r w:rsidRPr="00E919D5">
        <w:rPr>
          <w:rFonts w:ascii="Verdana" w:hAnsi="Verdana"/>
          <w:i/>
          <w:sz w:val="16"/>
          <w:szCs w:val="16"/>
        </w:rPr>
        <w:t xml:space="preserve"> </w:t>
      </w:r>
      <w:proofErr w:type="spellStart"/>
      <w:r w:rsidRPr="00E919D5">
        <w:rPr>
          <w:rFonts w:ascii="Verdana" w:hAnsi="Verdana"/>
          <w:i/>
          <w:sz w:val="16"/>
          <w:szCs w:val="16"/>
        </w:rPr>
        <w:t>Bronstein</w:t>
      </w:r>
      <w:proofErr w:type="spellEnd"/>
      <w:r w:rsidRPr="00E919D5">
        <w:rPr>
          <w:rFonts w:ascii="Verdana" w:hAnsi="Verdana"/>
          <w:i/>
          <w:sz w:val="16"/>
          <w:szCs w:val="16"/>
        </w:rPr>
        <w:t xml:space="preserve"> Vs. Perú. Competencia.</w:t>
      </w:r>
      <w:r w:rsidRPr="00E919D5">
        <w:rPr>
          <w:rFonts w:ascii="Verdana" w:hAnsi="Verdana"/>
          <w:sz w:val="16"/>
          <w:szCs w:val="16"/>
        </w:rPr>
        <w:t xml:space="preserve"> Sentencia de la Corte Interamericana de Derechos Humanos de 24 de septiembre de 1999. Serie C No. 54, párr. 37, y </w:t>
      </w:r>
      <w:r w:rsidR="00A6121F">
        <w:rPr>
          <w:rFonts w:ascii="Verdana" w:hAnsi="Verdana"/>
          <w:i/>
          <w:sz w:val="16"/>
          <w:szCs w:val="16"/>
        </w:rPr>
        <w:t xml:space="preserve">Caso 19 Comerciantes Vs. Colombia. Supervisión de Cumplimiento de Sentencia. </w:t>
      </w:r>
      <w:r w:rsidR="00A6121F">
        <w:rPr>
          <w:rFonts w:ascii="Verdana" w:hAnsi="Verdana"/>
          <w:sz w:val="16"/>
          <w:szCs w:val="16"/>
        </w:rPr>
        <w:t>Resolución de la Corte Interamericana de Derechos Humanos de 23 de junio de 2016, Considerando 3.</w:t>
      </w:r>
    </w:p>
  </w:footnote>
  <w:footnote w:id="15">
    <w:p w:rsidR="00931FA4" w:rsidRPr="0007416D" w:rsidRDefault="00931FA4" w:rsidP="00931FA4">
      <w:pPr>
        <w:pStyle w:val="Textonotapie"/>
        <w:jc w:val="both"/>
        <w:rPr>
          <w:rFonts w:ascii="Verdana" w:hAnsi="Verdana"/>
          <w:sz w:val="16"/>
          <w:szCs w:val="16"/>
        </w:rPr>
      </w:pPr>
      <w:r w:rsidRPr="0007416D">
        <w:rPr>
          <w:rStyle w:val="Refdenotaalpie"/>
          <w:rFonts w:ascii="Verdana" w:hAnsi="Verdana"/>
          <w:sz w:val="16"/>
          <w:szCs w:val="16"/>
        </w:rPr>
        <w:footnoteRef/>
      </w:r>
      <w:r w:rsidRPr="0007416D">
        <w:rPr>
          <w:rFonts w:ascii="Verdana" w:hAnsi="Verdana"/>
          <w:sz w:val="16"/>
          <w:szCs w:val="16"/>
        </w:rPr>
        <w:t xml:space="preserve"> </w:t>
      </w:r>
      <w:r>
        <w:rPr>
          <w:rFonts w:ascii="Verdana" w:hAnsi="Verdana"/>
          <w:sz w:val="16"/>
          <w:szCs w:val="16"/>
        </w:rPr>
        <w:tab/>
      </w:r>
      <w:r w:rsidRPr="00E919D5">
        <w:rPr>
          <w:rFonts w:ascii="Verdana" w:hAnsi="Verdana"/>
          <w:i/>
          <w:sz w:val="16"/>
          <w:szCs w:val="16"/>
        </w:rPr>
        <w:t>Cfr</w:t>
      </w:r>
      <w:r w:rsidRPr="00E919D5">
        <w:rPr>
          <w:rStyle w:val="Textoennegrita"/>
          <w:rFonts w:ascii="Verdana" w:hAnsi="Verdana"/>
          <w:b w:val="0"/>
          <w:color w:val="000000"/>
          <w:sz w:val="16"/>
          <w:szCs w:val="16"/>
          <w:shd w:val="clear" w:color="auto" w:fill="FFFFFF"/>
        </w:rPr>
        <w:t xml:space="preserve">. </w:t>
      </w:r>
      <w:r w:rsidRPr="00E919D5">
        <w:rPr>
          <w:rStyle w:val="Textoennegrita"/>
          <w:rFonts w:ascii="Verdana" w:hAnsi="Verdana"/>
          <w:b w:val="0"/>
          <w:i/>
          <w:color w:val="000000"/>
          <w:sz w:val="16"/>
          <w:szCs w:val="16"/>
          <w:shd w:val="clear" w:color="auto" w:fill="FFFFFF"/>
        </w:rPr>
        <w:t>Caso de las Hermanas Serrano Cruz Vs. El Salvador</w:t>
      </w:r>
      <w:r w:rsidRPr="00E919D5">
        <w:rPr>
          <w:rStyle w:val="Textoennegrita"/>
          <w:rFonts w:ascii="Verdana" w:hAnsi="Verdana"/>
          <w:b w:val="0"/>
          <w:color w:val="000000"/>
          <w:sz w:val="16"/>
          <w:szCs w:val="16"/>
          <w:shd w:val="clear" w:color="auto" w:fill="FFFFFF"/>
        </w:rPr>
        <w:t>. Fondo, Reparaciones y Costas. Sentencia de 1 de</w:t>
      </w:r>
      <w:r>
        <w:rPr>
          <w:rStyle w:val="Textoennegrita"/>
          <w:rFonts w:ascii="Verdana" w:hAnsi="Verdana"/>
          <w:b w:val="0"/>
          <w:color w:val="000000"/>
          <w:sz w:val="16"/>
          <w:szCs w:val="16"/>
          <w:shd w:val="clear" w:color="auto" w:fill="FFFFFF"/>
        </w:rPr>
        <w:t xml:space="preserve"> marzo de 2005. Serie C No. 120, </w:t>
      </w:r>
      <w:proofErr w:type="spellStart"/>
      <w:r>
        <w:rPr>
          <w:rStyle w:val="Textoennegrita"/>
          <w:rFonts w:ascii="Verdana" w:hAnsi="Verdana"/>
          <w:b w:val="0"/>
          <w:color w:val="000000"/>
          <w:sz w:val="16"/>
          <w:szCs w:val="16"/>
          <w:shd w:val="clear" w:color="auto" w:fill="FFFFFF"/>
        </w:rPr>
        <w:t>párr</w:t>
      </w:r>
      <w:proofErr w:type="spellEnd"/>
      <w:r>
        <w:rPr>
          <w:rStyle w:val="Textoennegrita"/>
          <w:rFonts w:ascii="Verdana" w:hAnsi="Verdana"/>
          <w:b w:val="0"/>
          <w:color w:val="000000"/>
          <w:sz w:val="16"/>
          <w:szCs w:val="16"/>
          <w:shd w:val="clear" w:color="auto" w:fill="FFFFFF"/>
        </w:rPr>
        <w:t xml:space="preserve"> 189.</w:t>
      </w:r>
    </w:p>
  </w:footnote>
  <w:footnote w:id="16">
    <w:p w:rsidR="00EC4AE2" w:rsidRPr="00182A65" w:rsidRDefault="00EC4AE2" w:rsidP="00EC4AE2">
      <w:pPr>
        <w:pStyle w:val="Textonotapie"/>
        <w:jc w:val="both"/>
        <w:rPr>
          <w:rFonts w:ascii="Verdana" w:hAnsi="Verdana"/>
          <w:sz w:val="16"/>
          <w:szCs w:val="16"/>
          <w:lang w:val="es-CR"/>
        </w:rPr>
      </w:pPr>
      <w:r w:rsidRPr="00182A65">
        <w:rPr>
          <w:rStyle w:val="Refdenotaalpie"/>
          <w:rFonts w:ascii="Verdana" w:hAnsi="Verdana"/>
          <w:sz w:val="16"/>
          <w:szCs w:val="16"/>
        </w:rPr>
        <w:footnoteRef/>
      </w:r>
      <w:r w:rsidRPr="00182A65">
        <w:rPr>
          <w:rFonts w:ascii="Verdana" w:hAnsi="Verdana"/>
          <w:sz w:val="16"/>
          <w:szCs w:val="16"/>
        </w:rPr>
        <w:t xml:space="preserve"> </w:t>
      </w:r>
      <w:r w:rsidRPr="00182A65">
        <w:rPr>
          <w:rFonts w:ascii="Verdana" w:hAnsi="Verdana"/>
          <w:sz w:val="16"/>
          <w:szCs w:val="16"/>
        </w:rPr>
        <w:tab/>
        <w:t xml:space="preserve">Igualmente, la Corte dispuso que </w:t>
      </w:r>
      <w:r w:rsidR="00F42D9D">
        <w:rPr>
          <w:rFonts w:ascii="Verdana" w:hAnsi="Verdana"/>
          <w:sz w:val="16"/>
          <w:szCs w:val="16"/>
        </w:rPr>
        <w:t>“</w:t>
      </w:r>
      <w:r w:rsidRPr="00182A65">
        <w:rPr>
          <w:rFonts w:ascii="Verdana" w:hAnsi="Verdana"/>
          <w:sz w:val="16"/>
          <w:szCs w:val="16"/>
        </w:rPr>
        <w:t>el Estado adopte las medidas necesarias para coordinar, desde la referida página web, enlaces nacionales con las diferentes autoridades e instituciones estatales y no estatales mencionadas anteriormente, así como enlaces internacionales con otras páginas web de otros Estados, de instituciones o asociaciones nacionales y de organismos internacionales dedicados a la búsqueda de niños y jóvenes desaparecidos, con el fin de propiciar, participar y colaborar con la formación y desarrollo de una red internacional de búsqueda”.</w:t>
      </w:r>
    </w:p>
  </w:footnote>
  <w:footnote w:id="17">
    <w:p w:rsidR="00EC4AE2" w:rsidRPr="000355B4" w:rsidRDefault="00EC4AE2" w:rsidP="00EC4AE2">
      <w:pPr>
        <w:pStyle w:val="Textonotapie"/>
        <w:jc w:val="both"/>
        <w:rPr>
          <w:rFonts w:ascii="Verdana" w:hAnsi="Verdana"/>
          <w:sz w:val="16"/>
          <w:szCs w:val="16"/>
          <w:lang w:val="es-CR"/>
        </w:rPr>
      </w:pPr>
      <w:r w:rsidRPr="000355B4">
        <w:rPr>
          <w:rStyle w:val="Refdenotaalpie"/>
          <w:rFonts w:ascii="Verdana" w:hAnsi="Verdana"/>
          <w:sz w:val="16"/>
          <w:szCs w:val="16"/>
        </w:rPr>
        <w:footnoteRef/>
      </w:r>
      <w:r w:rsidRPr="000355B4">
        <w:rPr>
          <w:rFonts w:ascii="Verdana" w:hAnsi="Verdana"/>
          <w:sz w:val="16"/>
          <w:szCs w:val="16"/>
        </w:rPr>
        <w:t xml:space="preserve"> </w:t>
      </w:r>
      <w:r w:rsidRPr="000355B4">
        <w:rPr>
          <w:rFonts w:ascii="Verdana" w:hAnsi="Verdana"/>
          <w:sz w:val="16"/>
          <w:szCs w:val="16"/>
          <w:lang w:val="es-CR"/>
        </w:rPr>
        <w:tab/>
        <w:t>La Corte motivó dicha conclusión con base en lo constatado en la Resolución de 2006 y en que el Estado informó en esa oportunidad que</w:t>
      </w:r>
      <w:r w:rsidR="004F53F2">
        <w:rPr>
          <w:rFonts w:ascii="Verdana" w:hAnsi="Verdana"/>
          <w:sz w:val="16"/>
          <w:szCs w:val="16"/>
          <w:lang w:val="es-CR"/>
        </w:rPr>
        <w:t>,</w:t>
      </w:r>
      <w:r w:rsidRPr="000355B4">
        <w:rPr>
          <w:rFonts w:ascii="Verdana" w:hAnsi="Verdana"/>
          <w:sz w:val="16"/>
          <w:szCs w:val="16"/>
          <w:lang w:val="es-CR"/>
        </w:rPr>
        <w:t xml:space="preserve"> “para efectos de claridad y facilidad de los usuarios de la página […] en el área correspondiente a la Descripción Física de Ernestina y </w:t>
      </w:r>
      <w:proofErr w:type="spellStart"/>
      <w:r w:rsidRPr="000355B4">
        <w:rPr>
          <w:rFonts w:ascii="Verdana" w:hAnsi="Verdana"/>
          <w:sz w:val="16"/>
          <w:szCs w:val="16"/>
          <w:lang w:val="es-CR"/>
        </w:rPr>
        <w:t>Erlinda</w:t>
      </w:r>
      <w:proofErr w:type="spellEnd"/>
      <w:r w:rsidRPr="000355B4">
        <w:rPr>
          <w:rFonts w:ascii="Verdana" w:hAnsi="Verdana"/>
          <w:sz w:val="16"/>
          <w:szCs w:val="16"/>
          <w:lang w:val="es-CR"/>
        </w:rPr>
        <w:t xml:space="preserve"> Serrano Cruz, se ha incluido el relato que aparece en la Sentencia de fecha 1º de marzo de 2005, bajo el Romano I, titulado ‘Hechos expuestos en la Demanda’; así como se [ha] incluido en forma separada información sobre los familiares de </w:t>
      </w:r>
      <w:proofErr w:type="spellStart"/>
      <w:r w:rsidRPr="000355B4">
        <w:rPr>
          <w:rFonts w:ascii="Verdana" w:hAnsi="Verdana"/>
          <w:sz w:val="16"/>
          <w:szCs w:val="16"/>
          <w:lang w:val="es-CR"/>
        </w:rPr>
        <w:t>Erlinda</w:t>
      </w:r>
      <w:proofErr w:type="spellEnd"/>
      <w:r w:rsidRPr="000355B4">
        <w:rPr>
          <w:rFonts w:ascii="Verdana" w:hAnsi="Verdana"/>
          <w:sz w:val="16"/>
          <w:szCs w:val="16"/>
          <w:lang w:val="es-CR"/>
        </w:rPr>
        <w:t xml:space="preserve"> y Ernestina Serrano Cruz, es decir se han incluido los nombres de sus hermanos: José Fernando, Arnulfo, Oscar, Suyapa, Martha y María Rosa […</w:t>
      </w:r>
      <w:r w:rsidR="004F53F2">
        <w:rPr>
          <w:rFonts w:ascii="Verdana" w:hAnsi="Verdana"/>
          <w:sz w:val="16"/>
          <w:szCs w:val="16"/>
          <w:lang w:val="es-CR"/>
        </w:rPr>
        <w:t>,</w:t>
      </w:r>
      <w:r w:rsidRPr="000355B4">
        <w:rPr>
          <w:rFonts w:ascii="Verdana" w:hAnsi="Verdana"/>
          <w:sz w:val="16"/>
          <w:szCs w:val="16"/>
          <w:lang w:val="es-CR"/>
        </w:rPr>
        <w:t>] incluyéndose una nota; la cual ha sido puesta por razones de privacidad de la familia Serrano Cruz, en el sentido que las anteriormente mencionadas personas son representadas por la Asociación Pro-[B]</w:t>
      </w:r>
      <w:proofErr w:type="spellStart"/>
      <w:r w:rsidRPr="000355B4">
        <w:rPr>
          <w:rFonts w:ascii="Verdana" w:hAnsi="Verdana"/>
          <w:sz w:val="16"/>
          <w:szCs w:val="16"/>
          <w:lang w:val="es-CR"/>
        </w:rPr>
        <w:t>úsqueda</w:t>
      </w:r>
      <w:proofErr w:type="spellEnd"/>
      <w:r w:rsidRPr="000355B4">
        <w:rPr>
          <w:rFonts w:ascii="Verdana" w:hAnsi="Verdana"/>
          <w:sz w:val="16"/>
          <w:szCs w:val="16"/>
          <w:lang w:val="es-CR"/>
        </w:rPr>
        <w:t xml:space="preserve"> de Niñas y Niños Desaparecidos, por lo que cualquier comunicación con ellos puede hacerse a través de dicha entidad, y se incluyen los teléfonos de la misma”.</w:t>
      </w:r>
    </w:p>
  </w:footnote>
  <w:footnote w:id="18">
    <w:p w:rsidR="004F53F2" w:rsidRPr="009C3FDD" w:rsidRDefault="004F53F2" w:rsidP="004F53F2">
      <w:pPr>
        <w:pStyle w:val="Textonotapie"/>
        <w:tabs>
          <w:tab w:val="left" w:pos="567"/>
        </w:tabs>
        <w:jc w:val="both"/>
        <w:rPr>
          <w:rFonts w:ascii="Verdana" w:hAnsi="Verdana"/>
          <w:sz w:val="16"/>
          <w:szCs w:val="16"/>
          <w:lang w:val="es-CR"/>
        </w:rPr>
      </w:pPr>
      <w:r w:rsidRPr="009C3FDD">
        <w:rPr>
          <w:rStyle w:val="Refdenotaalpie"/>
          <w:rFonts w:ascii="Verdana" w:hAnsi="Verdana"/>
          <w:sz w:val="16"/>
          <w:szCs w:val="16"/>
        </w:rPr>
        <w:footnoteRef/>
      </w:r>
      <w:r w:rsidRPr="009C3FDD">
        <w:rPr>
          <w:rFonts w:ascii="Verdana" w:hAnsi="Verdana"/>
          <w:sz w:val="16"/>
          <w:szCs w:val="16"/>
        </w:rPr>
        <w:t xml:space="preserve"> </w:t>
      </w:r>
      <w:r w:rsidRPr="009C3FDD">
        <w:rPr>
          <w:rFonts w:ascii="Verdana" w:hAnsi="Verdana"/>
          <w:sz w:val="16"/>
          <w:szCs w:val="16"/>
          <w:lang w:val="es-CR"/>
        </w:rPr>
        <w:tab/>
      </w:r>
      <w:r>
        <w:rPr>
          <w:rFonts w:ascii="Verdana" w:hAnsi="Verdana"/>
          <w:sz w:val="16"/>
          <w:szCs w:val="16"/>
          <w:lang w:val="es-CR"/>
        </w:rPr>
        <w:t>La cual</w:t>
      </w:r>
      <w:r w:rsidRPr="009C3FDD">
        <w:rPr>
          <w:rFonts w:ascii="Verdana" w:hAnsi="Verdana"/>
          <w:sz w:val="16"/>
          <w:szCs w:val="16"/>
          <w:lang w:val="es-CR"/>
        </w:rPr>
        <w:t xml:space="preserve"> tendría la potestad de “[i]</w:t>
      </w:r>
      <w:proofErr w:type="spellStart"/>
      <w:r w:rsidRPr="009C3FDD">
        <w:rPr>
          <w:rFonts w:ascii="Verdana" w:hAnsi="Verdana"/>
          <w:sz w:val="16"/>
          <w:szCs w:val="16"/>
          <w:lang w:val="es-CR"/>
        </w:rPr>
        <w:t>nvestigar</w:t>
      </w:r>
      <w:proofErr w:type="spellEnd"/>
      <w:r w:rsidRPr="009C3FDD">
        <w:rPr>
          <w:rFonts w:ascii="Verdana" w:hAnsi="Verdana"/>
          <w:sz w:val="16"/>
          <w:szCs w:val="16"/>
          <w:lang w:val="es-CR"/>
        </w:rPr>
        <w:t xml:space="preserve"> de oficio o a petición de cualquier persona y recibir información, acerca de desapariciones de niñas y niños ocurridos durante el conflicto armado interno”.</w:t>
      </w:r>
      <w:r>
        <w:rPr>
          <w:rFonts w:ascii="Verdana" w:hAnsi="Verdana"/>
          <w:sz w:val="16"/>
          <w:szCs w:val="16"/>
          <w:lang w:val="es-CR"/>
        </w:rPr>
        <w:t xml:space="preserve"> </w:t>
      </w:r>
      <w:r>
        <w:rPr>
          <w:rFonts w:ascii="Verdana" w:hAnsi="Verdana"/>
          <w:i/>
          <w:sz w:val="16"/>
          <w:szCs w:val="16"/>
          <w:lang w:val="es-CR"/>
        </w:rPr>
        <w:t>Cfr.</w:t>
      </w:r>
      <w:r>
        <w:rPr>
          <w:rFonts w:ascii="Verdana" w:hAnsi="Verdana"/>
          <w:sz w:val="16"/>
          <w:szCs w:val="16"/>
          <w:lang w:val="es-CR"/>
        </w:rPr>
        <w:t xml:space="preserve"> Comisión Nacional de Búsqueda, Atribuciones, disponible en:</w:t>
      </w:r>
      <w:r w:rsidRPr="008A6221">
        <w:t xml:space="preserve"> </w:t>
      </w:r>
      <w:hyperlink r:id="rId6" w:history="1">
        <w:r w:rsidRPr="00A52986">
          <w:rPr>
            <w:rStyle w:val="Hipervnculo"/>
            <w:rFonts w:ascii="Verdana" w:hAnsi="Verdana"/>
            <w:sz w:val="16"/>
            <w:szCs w:val="16"/>
            <w:lang w:val="es-CR"/>
          </w:rPr>
          <w:t>http://www.cnbelsalvador.org.sv/documento.php?tipo=2&amp;doc=63&amp;ruta=0&amp;linea=1</w:t>
        </w:r>
      </w:hyperlink>
      <w:r>
        <w:rPr>
          <w:rFonts w:ascii="Verdana" w:hAnsi="Verdana"/>
          <w:sz w:val="16"/>
          <w:szCs w:val="16"/>
          <w:lang w:val="es-CR"/>
        </w:rPr>
        <w:t xml:space="preserve">   (enlace al documento indicado por el Estado en su informe de 2015).</w:t>
      </w:r>
    </w:p>
  </w:footnote>
  <w:footnote w:id="19">
    <w:p w:rsidR="00EC4AE2" w:rsidRPr="009C3FDD" w:rsidRDefault="00EC4AE2" w:rsidP="004F53F2">
      <w:pPr>
        <w:pStyle w:val="Textonotapie"/>
        <w:jc w:val="both"/>
        <w:rPr>
          <w:lang w:val="es-CR"/>
        </w:rPr>
      </w:pPr>
      <w:r w:rsidRPr="009C3FDD">
        <w:rPr>
          <w:rStyle w:val="Refdenotaalpie"/>
          <w:rFonts w:ascii="Verdana" w:hAnsi="Verdana"/>
          <w:sz w:val="16"/>
          <w:szCs w:val="16"/>
        </w:rPr>
        <w:footnoteRef/>
      </w:r>
      <w:r w:rsidRPr="009C3FDD">
        <w:rPr>
          <w:rFonts w:ascii="Verdana" w:hAnsi="Verdana"/>
          <w:sz w:val="16"/>
          <w:szCs w:val="16"/>
        </w:rPr>
        <w:t xml:space="preserve"> </w:t>
      </w:r>
      <w:r w:rsidRPr="009C3FDD">
        <w:rPr>
          <w:rFonts w:ascii="Verdana" w:hAnsi="Verdana"/>
          <w:sz w:val="16"/>
          <w:szCs w:val="16"/>
        </w:rPr>
        <w:tab/>
      </w:r>
      <w:r>
        <w:rPr>
          <w:rFonts w:ascii="Verdana" w:hAnsi="Verdana"/>
          <w:sz w:val="16"/>
          <w:szCs w:val="16"/>
        </w:rPr>
        <w:t xml:space="preserve">El acceso a dichas solicitudes de búsqueda se puede realizar en la página principal de la Comisión Nacional de Búsqueda. </w:t>
      </w:r>
      <w:r w:rsidRPr="009C3FDD">
        <w:rPr>
          <w:rFonts w:ascii="Verdana" w:hAnsi="Verdana"/>
          <w:i/>
          <w:sz w:val="16"/>
          <w:szCs w:val="16"/>
          <w:lang w:val="es-CR"/>
        </w:rPr>
        <w:t>Cfr.</w:t>
      </w:r>
      <w:r w:rsidRPr="009C3FDD">
        <w:rPr>
          <w:rFonts w:ascii="Verdana" w:hAnsi="Verdana"/>
          <w:sz w:val="16"/>
          <w:szCs w:val="16"/>
          <w:lang w:val="es-CR"/>
        </w:rPr>
        <w:t xml:space="preserve"> Comisión Nacional de Búsqueda,  disponible en: </w:t>
      </w:r>
      <w:hyperlink r:id="rId7" w:history="1">
        <w:r w:rsidRPr="009C3FDD">
          <w:rPr>
            <w:rStyle w:val="Hipervnculo"/>
            <w:rFonts w:ascii="Verdana" w:hAnsi="Verdana"/>
            <w:sz w:val="16"/>
            <w:szCs w:val="16"/>
            <w:lang w:val="es-CR"/>
          </w:rPr>
          <w:t>http://www.cnbelsalvador.org.sv/index.php</w:t>
        </w:r>
      </w:hyperlink>
      <w:r w:rsidRPr="009C3FDD">
        <w:rPr>
          <w:rFonts w:ascii="Verdana" w:hAnsi="Verdana"/>
          <w:sz w:val="16"/>
          <w:szCs w:val="16"/>
          <w:lang w:val="es-CR"/>
        </w:rPr>
        <w:t xml:space="preserve">    (enlace al documento indicado por el Estado en su informe de 2015).</w:t>
      </w:r>
    </w:p>
  </w:footnote>
  <w:footnote w:id="20">
    <w:p w:rsidR="00EC4AE2" w:rsidRPr="009C3FDD" w:rsidRDefault="00EC4AE2" w:rsidP="00EC4AE2">
      <w:pPr>
        <w:pStyle w:val="Textonotapie"/>
        <w:jc w:val="both"/>
        <w:rPr>
          <w:rFonts w:ascii="Verdana" w:hAnsi="Verdana"/>
          <w:sz w:val="16"/>
          <w:szCs w:val="16"/>
        </w:rPr>
      </w:pPr>
      <w:r w:rsidRPr="009C3FDD">
        <w:rPr>
          <w:rStyle w:val="Refdenotaalpie"/>
          <w:rFonts w:ascii="Verdana" w:hAnsi="Verdana"/>
          <w:sz w:val="16"/>
          <w:szCs w:val="16"/>
        </w:rPr>
        <w:footnoteRef/>
      </w:r>
      <w:r w:rsidRPr="009C3FDD">
        <w:rPr>
          <w:rFonts w:ascii="Verdana" w:hAnsi="Verdana"/>
          <w:sz w:val="16"/>
          <w:szCs w:val="16"/>
        </w:rPr>
        <w:t xml:space="preserve"> </w:t>
      </w:r>
      <w:r w:rsidRPr="009C3FDD">
        <w:rPr>
          <w:rFonts w:ascii="Verdana" w:hAnsi="Verdana"/>
          <w:sz w:val="16"/>
          <w:szCs w:val="16"/>
        </w:rPr>
        <w:tab/>
      </w:r>
      <w:r w:rsidRPr="009C3FDD">
        <w:rPr>
          <w:rFonts w:ascii="Verdana" w:hAnsi="Verdana"/>
          <w:i/>
          <w:sz w:val="16"/>
          <w:szCs w:val="16"/>
          <w:lang w:val="es-CR"/>
        </w:rPr>
        <w:t>Cfr.</w:t>
      </w:r>
      <w:r w:rsidRPr="009C3FDD">
        <w:rPr>
          <w:rFonts w:ascii="Verdana" w:hAnsi="Verdana"/>
          <w:sz w:val="16"/>
          <w:szCs w:val="16"/>
          <w:lang w:val="es-CR"/>
        </w:rPr>
        <w:t xml:space="preserve"> Comisión Nacional de Búsqueda, Desaparecidos,  disponible en: </w:t>
      </w:r>
      <w:hyperlink r:id="rId8" w:history="1">
        <w:r w:rsidRPr="009C3FDD">
          <w:rPr>
            <w:rStyle w:val="Hipervnculo"/>
            <w:rFonts w:ascii="Verdana" w:hAnsi="Verdana"/>
            <w:sz w:val="16"/>
            <w:szCs w:val="16"/>
            <w:lang w:val="es-CR"/>
          </w:rPr>
          <w:t>http://www.cnbelsalvador.org.sv/documentacion.php?tipo=20&amp;ruta=0&amp;linea=1</w:t>
        </w:r>
      </w:hyperlink>
      <w:r w:rsidRPr="009C3FDD">
        <w:rPr>
          <w:rFonts w:ascii="Verdana" w:hAnsi="Verdana"/>
          <w:sz w:val="16"/>
          <w:szCs w:val="16"/>
          <w:lang w:val="es-CR"/>
        </w:rPr>
        <w:t xml:space="preserve">   (enlace al documento indicado por el Estado en su informe de 2015).</w:t>
      </w:r>
    </w:p>
  </w:footnote>
  <w:footnote w:id="21">
    <w:p w:rsidR="00EC4AE2" w:rsidRPr="008A6221" w:rsidRDefault="00EC4AE2" w:rsidP="00EC4AE2">
      <w:pPr>
        <w:pStyle w:val="Textonotapie"/>
        <w:jc w:val="both"/>
        <w:rPr>
          <w:rFonts w:ascii="Verdana" w:hAnsi="Verdana"/>
          <w:sz w:val="16"/>
          <w:szCs w:val="16"/>
          <w:lang w:val="es-CR"/>
        </w:rPr>
      </w:pPr>
      <w:r w:rsidRPr="008A6221">
        <w:rPr>
          <w:rStyle w:val="Refdenotaalpie"/>
          <w:rFonts w:ascii="Verdana" w:hAnsi="Verdana"/>
          <w:sz w:val="16"/>
          <w:szCs w:val="16"/>
        </w:rPr>
        <w:footnoteRef/>
      </w:r>
      <w:r w:rsidRPr="008A6221">
        <w:rPr>
          <w:rFonts w:ascii="Verdana" w:hAnsi="Verdana"/>
          <w:sz w:val="16"/>
          <w:szCs w:val="16"/>
        </w:rPr>
        <w:t xml:space="preserve"> </w:t>
      </w:r>
      <w:r w:rsidRPr="008A6221">
        <w:rPr>
          <w:rFonts w:ascii="Verdana" w:hAnsi="Verdana"/>
          <w:sz w:val="16"/>
          <w:szCs w:val="16"/>
          <w:lang w:val="es-CR"/>
        </w:rPr>
        <w:tab/>
        <w:t>En efecto,  en la página correspondiente a la las hermanas Serrano Cruz, se desprende una síntesis de los hechos conocidos sobre su desaparición, entre ellas, el día, lugar y las circunstancias de su desaparición.</w:t>
      </w:r>
      <w:r>
        <w:rPr>
          <w:rFonts w:ascii="Verdana" w:hAnsi="Verdana"/>
          <w:sz w:val="16"/>
          <w:szCs w:val="16"/>
          <w:lang w:val="es-CR"/>
        </w:rPr>
        <w:t xml:space="preserve"> </w:t>
      </w:r>
      <w:r>
        <w:rPr>
          <w:rFonts w:ascii="Verdana" w:hAnsi="Verdana"/>
          <w:i/>
          <w:sz w:val="16"/>
          <w:szCs w:val="16"/>
          <w:lang w:val="es-CR"/>
        </w:rPr>
        <w:t>Cfr.</w:t>
      </w:r>
      <w:r>
        <w:rPr>
          <w:rFonts w:ascii="Verdana" w:hAnsi="Verdana"/>
          <w:sz w:val="16"/>
          <w:szCs w:val="16"/>
          <w:lang w:val="es-CR"/>
        </w:rPr>
        <w:t xml:space="preserve"> Comisión Nacional de Búsqueda, Desaparecidos, Hermanas </w:t>
      </w:r>
      <w:proofErr w:type="spellStart"/>
      <w:r>
        <w:rPr>
          <w:rFonts w:ascii="Verdana" w:hAnsi="Verdana"/>
          <w:sz w:val="16"/>
          <w:szCs w:val="16"/>
          <w:lang w:val="es-CR"/>
        </w:rPr>
        <w:t>Erlinda</w:t>
      </w:r>
      <w:proofErr w:type="spellEnd"/>
      <w:r>
        <w:rPr>
          <w:rFonts w:ascii="Verdana" w:hAnsi="Verdana"/>
          <w:sz w:val="16"/>
          <w:szCs w:val="16"/>
          <w:lang w:val="es-CR"/>
        </w:rPr>
        <w:t xml:space="preserve"> y Ernestina Serrano Cruz, disponible en:</w:t>
      </w:r>
      <w:r w:rsidRPr="008A6221">
        <w:t xml:space="preserve"> </w:t>
      </w:r>
      <w:hyperlink r:id="rId9" w:history="1">
        <w:r w:rsidRPr="00A52986">
          <w:rPr>
            <w:rStyle w:val="Hipervnculo"/>
            <w:rFonts w:ascii="Verdana" w:hAnsi="Verdana"/>
            <w:sz w:val="16"/>
            <w:szCs w:val="16"/>
            <w:lang w:val="es-CR"/>
          </w:rPr>
          <w:t>http://www.cnbelsalvador.org.sv/documento.php?tipo=20&amp;doc=83&amp;ruta=1&amp;linea=3</w:t>
        </w:r>
      </w:hyperlink>
      <w:r>
        <w:rPr>
          <w:rFonts w:ascii="Verdana" w:hAnsi="Verdana"/>
          <w:sz w:val="16"/>
          <w:szCs w:val="16"/>
          <w:lang w:val="es-CR"/>
        </w:rPr>
        <w:t xml:space="preserve">  (enlace al documento indicado por el Estado en su informe de 2015).</w:t>
      </w:r>
    </w:p>
  </w:footnote>
  <w:footnote w:id="22">
    <w:p w:rsidR="00EC4AE2" w:rsidRPr="009C3FDD" w:rsidRDefault="00EC4AE2" w:rsidP="00EC4AE2">
      <w:pPr>
        <w:pStyle w:val="Textonotapie"/>
        <w:jc w:val="both"/>
        <w:rPr>
          <w:rFonts w:ascii="Verdana" w:hAnsi="Verdana"/>
          <w:i/>
          <w:sz w:val="16"/>
          <w:szCs w:val="16"/>
        </w:rPr>
      </w:pPr>
      <w:r w:rsidRPr="009C3FDD">
        <w:rPr>
          <w:rStyle w:val="Refdenotaalpie"/>
          <w:rFonts w:ascii="Verdana" w:hAnsi="Verdana"/>
          <w:sz w:val="16"/>
          <w:szCs w:val="16"/>
        </w:rPr>
        <w:footnoteRef/>
      </w:r>
      <w:r w:rsidRPr="009C3FDD">
        <w:rPr>
          <w:rFonts w:ascii="Verdana" w:hAnsi="Verdana"/>
          <w:sz w:val="16"/>
          <w:szCs w:val="16"/>
        </w:rPr>
        <w:t xml:space="preserve"> </w:t>
      </w:r>
      <w:r w:rsidRPr="009C3FDD">
        <w:rPr>
          <w:rFonts w:ascii="Verdana" w:hAnsi="Verdana"/>
          <w:sz w:val="16"/>
          <w:szCs w:val="16"/>
        </w:rPr>
        <w:tab/>
      </w:r>
      <w:r w:rsidRPr="009C3FDD">
        <w:rPr>
          <w:rFonts w:ascii="Verdana" w:hAnsi="Verdana"/>
          <w:i/>
          <w:sz w:val="16"/>
          <w:szCs w:val="16"/>
          <w:lang w:val="es-CR"/>
        </w:rPr>
        <w:t>Cfr.</w:t>
      </w:r>
      <w:r w:rsidRPr="009C3FDD">
        <w:rPr>
          <w:rFonts w:ascii="Verdana" w:hAnsi="Verdana"/>
          <w:sz w:val="16"/>
          <w:szCs w:val="16"/>
          <w:lang w:val="es-CR"/>
        </w:rPr>
        <w:t xml:space="preserve"> Comisión Nacional de Búsqueda, Contáctenos, disponible en:</w:t>
      </w:r>
      <w:r w:rsidRPr="009C3FDD">
        <w:rPr>
          <w:rFonts w:ascii="Verdana" w:hAnsi="Verdana"/>
          <w:sz w:val="16"/>
          <w:szCs w:val="16"/>
        </w:rPr>
        <w:t xml:space="preserve"> </w:t>
      </w:r>
      <w:hyperlink r:id="rId10" w:history="1">
        <w:r w:rsidRPr="009C3FDD">
          <w:rPr>
            <w:rStyle w:val="Hipervnculo"/>
            <w:rFonts w:ascii="Verdana" w:hAnsi="Verdana"/>
            <w:sz w:val="16"/>
            <w:szCs w:val="16"/>
            <w:lang w:val="es-CR"/>
          </w:rPr>
          <w:t>http://www.cnbelsalvador.org.sv/formulariocontacto.php</w:t>
        </w:r>
      </w:hyperlink>
      <w:r w:rsidRPr="009C3FDD">
        <w:rPr>
          <w:rFonts w:ascii="Verdana" w:hAnsi="Verdana"/>
          <w:sz w:val="16"/>
          <w:szCs w:val="16"/>
          <w:lang w:val="es-CR"/>
        </w:rPr>
        <w:t xml:space="preserve">   (enlace al documento indicado por el Estado en su informe de 2015).</w:t>
      </w:r>
    </w:p>
  </w:footnote>
  <w:footnote w:id="23">
    <w:p w:rsidR="00EC4AE2" w:rsidRPr="009C3FDD" w:rsidRDefault="00EC4AE2" w:rsidP="00EC4AE2">
      <w:pPr>
        <w:pStyle w:val="Textonotapie"/>
        <w:jc w:val="both"/>
        <w:rPr>
          <w:rFonts w:ascii="Verdana" w:hAnsi="Verdana"/>
          <w:sz w:val="16"/>
          <w:szCs w:val="16"/>
          <w:lang w:val="es-CR"/>
        </w:rPr>
      </w:pPr>
      <w:r w:rsidRPr="009C3FDD">
        <w:rPr>
          <w:rStyle w:val="Refdenotaalpie"/>
          <w:rFonts w:ascii="Verdana" w:hAnsi="Verdana"/>
          <w:sz w:val="16"/>
          <w:szCs w:val="16"/>
        </w:rPr>
        <w:footnoteRef/>
      </w:r>
      <w:r w:rsidRPr="009C3FDD">
        <w:rPr>
          <w:rFonts w:ascii="Verdana" w:hAnsi="Verdana"/>
          <w:sz w:val="16"/>
          <w:szCs w:val="16"/>
        </w:rPr>
        <w:t xml:space="preserve"> </w:t>
      </w:r>
      <w:r w:rsidRPr="009C3FDD">
        <w:rPr>
          <w:rFonts w:ascii="Verdana" w:hAnsi="Verdana"/>
          <w:sz w:val="16"/>
          <w:szCs w:val="16"/>
          <w:lang w:val="es-CR"/>
        </w:rPr>
        <w:tab/>
        <w:t xml:space="preserve">En específico, se constatan enlaces web con las páginas web de la Asociación Pro Búsqueda, CEJIL y la Comisión Interamericana.  </w:t>
      </w:r>
      <w:r w:rsidRPr="009C3FDD">
        <w:rPr>
          <w:rFonts w:ascii="Verdana" w:hAnsi="Verdana"/>
          <w:i/>
          <w:sz w:val="16"/>
          <w:szCs w:val="16"/>
          <w:lang w:val="es-CR"/>
        </w:rPr>
        <w:t>Cfr.</w:t>
      </w:r>
      <w:r w:rsidRPr="009C3FDD">
        <w:rPr>
          <w:rFonts w:ascii="Verdana" w:hAnsi="Verdana"/>
          <w:sz w:val="16"/>
          <w:szCs w:val="16"/>
          <w:lang w:val="es-CR"/>
        </w:rPr>
        <w:t xml:space="preserve"> Comisión Nacional de Búsqueda,  disponible en: </w:t>
      </w:r>
      <w:hyperlink r:id="rId11" w:history="1">
        <w:r w:rsidRPr="009C3FDD">
          <w:rPr>
            <w:rStyle w:val="Hipervnculo"/>
            <w:rFonts w:ascii="Verdana" w:hAnsi="Verdana"/>
            <w:sz w:val="16"/>
            <w:szCs w:val="16"/>
            <w:lang w:val="es-CR"/>
          </w:rPr>
          <w:t>http://www.cnbelsalvador.org.sv/index.php</w:t>
        </w:r>
      </w:hyperlink>
      <w:r w:rsidRPr="009C3FDD">
        <w:rPr>
          <w:rFonts w:ascii="Verdana" w:hAnsi="Verdana"/>
          <w:sz w:val="16"/>
          <w:szCs w:val="16"/>
          <w:lang w:val="es-CR"/>
        </w:rPr>
        <w:t xml:space="preserve">    (enlace al documento indicado por el Estado en su informe de 2015).</w:t>
      </w:r>
    </w:p>
  </w:footnote>
  <w:footnote w:id="24">
    <w:p w:rsidR="00EC4AE2" w:rsidRPr="00963C60" w:rsidRDefault="00EC4AE2" w:rsidP="00EC4AE2">
      <w:pPr>
        <w:pStyle w:val="Textonotapie"/>
        <w:jc w:val="both"/>
        <w:rPr>
          <w:lang w:val="es-CR"/>
        </w:rPr>
      </w:pPr>
      <w:r w:rsidRPr="00963C60">
        <w:rPr>
          <w:rStyle w:val="Refdenotaalpie"/>
          <w:rFonts w:ascii="Verdana" w:hAnsi="Verdana"/>
          <w:sz w:val="16"/>
          <w:szCs w:val="16"/>
        </w:rPr>
        <w:footnoteRef/>
      </w:r>
      <w:r w:rsidRPr="00963C60">
        <w:rPr>
          <w:rFonts w:ascii="Verdana" w:hAnsi="Verdana"/>
          <w:sz w:val="16"/>
          <w:szCs w:val="16"/>
        </w:rPr>
        <w:t xml:space="preserve"> </w:t>
      </w:r>
      <w:r w:rsidRPr="00963C60">
        <w:rPr>
          <w:rFonts w:ascii="Verdana" w:hAnsi="Verdana"/>
          <w:sz w:val="16"/>
          <w:szCs w:val="16"/>
          <w:lang w:val="es-CR"/>
        </w:rPr>
        <w:tab/>
      </w:r>
      <w:r w:rsidRPr="00963C60">
        <w:rPr>
          <w:rFonts w:ascii="Verdana" w:hAnsi="Verdana"/>
          <w:i/>
          <w:sz w:val="16"/>
          <w:szCs w:val="16"/>
          <w:lang w:val="es-CR"/>
        </w:rPr>
        <w:t>Cfr.</w:t>
      </w:r>
      <w:r w:rsidRPr="00963C60">
        <w:rPr>
          <w:rFonts w:ascii="Verdana" w:hAnsi="Verdana"/>
          <w:sz w:val="16"/>
          <w:szCs w:val="16"/>
          <w:lang w:val="es-CR"/>
        </w:rPr>
        <w:t xml:space="preserve"> Comisión Nacional de Búsqueda, Sentencias,   disponible en: </w:t>
      </w:r>
      <w:hyperlink r:id="rId12" w:history="1">
        <w:r w:rsidRPr="00963C60">
          <w:rPr>
            <w:rStyle w:val="Hipervnculo"/>
            <w:rFonts w:ascii="Verdana" w:hAnsi="Verdana"/>
            <w:sz w:val="16"/>
            <w:szCs w:val="16"/>
            <w:lang w:val="es-CR"/>
          </w:rPr>
          <w:t>http://www.cnbelsalvador.org.sv/documentacion.php?tipo=24&amp;ruta=0&amp;linea=1</w:t>
        </w:r>
      </w:hyperlink>
      <w:r w:rsidRPr="00963C60">
        <w:rPr>
          <w:rFonts w:ascii="Verdana" w:hAnsi="Verdana"/>
          <w:sz w:val="16"/>
          <w:szCs w:val="16"/>
          <w:lang w:val="es-CR"/>
        </w:rPr>
        <w:t xml:space="preserve">   (enlace al documento indicado por el Estado en su informe de 2015).</w:t>
      </w:r>
    </w:p>
  </w:footnote>
  <w:footnote w:id="25">
    <w:p w:rsidR="00EC4AE2" w:rsidRPr="00963C60" w:rsidRDefault="00EC4AE2" w:rsidP="00EC4AE2">
      <w:pPr>
        <w:pStyle w:val="Textonotapie"/>
        <w:jc w:val="both"/>
        <w:rPr>
          <w:rFonts w:ascii="Verdana" w:hAnsi="Verdana"/>
          <w:sz w:val="16"/>
          <w:szCs w:val="16"/>
          <w:lang w:val="es-CR"/>
        </w:rPr>
      </w:pPr>
      <w:r w:rsidRPr="00963C60">
        <w:rPr>
          <w:rStyle w:val="Refdenotaalpie"/>
          <w:rFonts w:ascii="Verdana" w:hAnsi="Verdana"/>
          <w:sz w:val="16"/>
          <w:szCs w:val="16"/>
        </w:rPr>
        <w:footnoteRef/>
      </w:r>
      <w:r w:rsidRPr="00963C60">
        <w:rPr>
          <w:rFonts w:ascii="Verdana" w:hAnsi="Verdana"/>
          <w:sz w:val="16"/>
          <w:szCs w:val="16"/>
        </w:rPr>
        <w:t xml:space="preserve"> </w:t>
      </w:r>
      <w:r>
        <w:rPr>
          <w:rFonts w:ascii="Verdana" w:hAnsi="Verdana"/>
          <w:sz w:val="16"/>
          <w:szCs w:val="16"/>
        </w:rPr>
        <w:tab/>
      </w:r>
      <w:r w:rsidRPr="00963C60">
        <w:rPr>
          <w:rFonts w:ascii="Verdana" w:hAnsi="Verdana"/>
          <w:i/>
          <w:sz w:val="16"/>
          <w:szCs w:val="16"/>
          <w:lang w:val="es-CR"/>
        </w:rPr>
        <w:t>Cfr.</w:t>
      </w:r>
      <w:r w:rsidRPr="00963C60">
        <w:rPr>
          <w:rFonts w:ascii="Verdana" w:hAnsi="Verdana"/>
          <w:sz w:val="16"/>
          <w:szCs w:val="16"/>
          <w:lang w:val="es-CR"/>
        </w:rPr>
        <w:t xml:space="preserve"> Comisión Nacional de Búsqueda, </w:t>
      </w:r>
      <w:r>
        <w:rPr>
          <w:rFonts w:ascii="Verdana" w:hAnsi="Verdana"/>
          <w:sz w:val="16"/>
          <w:szCs w:val="16"/>
          <w:lang w:val="es-CR"/>
        </w:rPr>
        <w:t>Audiovisuales</w:t>
      </w:r>
      <w:r w:rsidRPr="00963C60">
        <w:rPr>
          <w:rFonts w:ascii="Verdana" w:hAnsi="Verdana"/>
          <w:sz w:val="16"/>
          <w:szCs w:val="16"/>
          <w:lang w:val="es-CR"/>
        </w:rPr>
        <w:t xml:space="preserve">,   disponible en: </w:t>
      </w:r>
      <w:hyperlink r:id="rId13" w:history="1">
        <w:r w:rsidRPr="00A52986">
          <w:rPr>
            <w:rStyle w:val="Hipervnculo"/>
            <w:rFonts w:ascii="Verdana" w:hAnsi="Verdana"/>
            <w:sz w:val="16"/>
            <w:szCs w:val="16"/>
            <w:lang w:val="es-CR"/>
          </w:rPr>
          <w:t>http://www.cnbelsalvador.org.sv/documentacion.php?tipo=15&amp;ruta=0&amp;linea=1</w:t>
        </w:r>
      </w:hyperlink>
      <w:r>
        <w:rPr>
          <w:rFonts w:ascii="Verdana" w:hAnsi="Verdana"/>
          <w:sz w:val="16"/>
          <w:szCs w:val="16"/>
          <w:lang w:val="es-CR"/>
        </w:rPr>
        <w:t xml:space="preserve">; Revistas, disponible en: </w:t>
      </w:r>
      <w:hyperlink r:id="rId14" w:history="1">
        <w:r w:rsidRPr="00A52986">
          <w:rPr>
            <w:rStyle w:val="Hipervnculo"/>
            <w:rFonts w:ascii="Verdana" w:hAnsi="Verdana"/>
            <w:sz w:val="16"/>
            <w:szCs w:val="16"/>
            <w:lang w:val="es-CR"/>
          </w:rPr>
          <w:t>http://www.cnbelsalvador.org.sv/documentacion.php?tipo=16&amp;ruta=0&amp;linea=1</w:t>
        </w:r>
      </w:hyperlink>
      <w:r>
        <w:rPr>
          <w:rFonts w:ascii="Verdana" w:hAnsi="Verdana"/>
          <w:sz w:val="16"/>
          <w:szCs w:val="16"/>
          <w:lang w:val="es-CR"/>
        </w:rPr>
        <w:t xml:space="preserve"> ; y Promocionales, disponible en: </w:t>
      </w:r>
      <w:hyperlink r:id="rId15" w:history="1">
        <w:r w:rsidRPr="00A52986">
          <w:rPr>
            <w:rStyle w:val="Hipervnculo"/>
            <w:rFonts w:ascii="Verdana" w:hAnsi="Verdana"/>
            <w:sz w:val="16"/>
            <w:szCs w:val="16"/>
            <w:lang w:val="es-CR"/>
          </w:rPr>
          <w:t>http://www.cnbelsalvador.org.sv/documentacion.php?tipo=17&amp;ruta=0&amp;linea=1</w:t>
        </w:r>
      </w:hyperlink>
      <w:r>
        <w:rPr>
          <w:rFonts w:ascii="Verdana" w:hAnsi="Verdana"/>
          <w:sz w:val="16"/>
          <w:szCs w:val="16"/>
          <w:lang w:val="es-CR"/>
        </w:rPr>
        <w:t xml:space="preserve">  </w:t>
      </w:r>
      <w:r w:rsidRPr="00963C60">
        <w:rPr>
          <w:rFonts w:ascii="Verdana" w:hAnsi="Verdana"/>
          <w:sz w:val="16"/>
          <w:szCs w:val="16"/>
          <w:lang w:val="es-CR"/>
        </w:rPr>
        <w:t xml:space="preserve"> (enlace al documento indicado por el Estado en su informe de 2015).</w:t>
      </w:r>
    </w:p>
  </w:footnote>
  <w:footnote w:id="26">
    <w:p w:rsidR="00EC4AE2" w:rsidRPr="00963C60" w:rsidRDefault="00EC4AE2" w:rsidP="00EC4AE2">
      <w:pPr>
        <w:pStyle w:val="Textonotapie"/>
        <w:jc w:val="both"/>
        <w:rPr>
          <w:lang w:val="es-CR"/>
        </w:rPr>
      </w:pPr>
      <w:r w:rsidRPr="00963C60">
        <w:rPr>
          <w:rStyle w:val="Refdenotaalpie"/>
          <w:rFonts w:ascii="Verdana" w:hAnsi="Verdana"/>
          <w:sz w:val="16"/>
          <w:szCs w:val="16"/>
        </w:rPr>
        <w:footnoteRef/>
      </w:r>
      <w:r w:rsidRPr="00963C60">
        <w:rPr>
          <w:rFonts w:ascii="Verdana" w:hAnsi="Verdana"/>
          <w:sz w:val="16"/>
          <w:szCs w:val="16"/>
        </w:rPr>
        <w:t xml:space="preserve"> </w:t>
      </w:r>
      <w:r w:rsidRPr="00963C60">
        <w:rPr>
          <w:rFonts w:ascii="Verdana" w:hAnsi="Verdana"/>
          <w:sz w:val="16"/>
          <w:szCs w:val="16"/>
          <w:lang w:val="es-CR"/>
        </w:rPr>
        <w:tab/>
      </w:r>
      <w:r w:rsidRPr="00963C60">
        <w:rPr>
          <w:rFonts w:ascii="Verdana" w:hAnsi="Verdana"/>
          <w:i/>
          <w:sz w:val="16"/>
          <w:szCs w:val="16"/>
          <w:lang w:val="es-CR"/>
        </w:rPr>
        <w:t>Cfr.</w:t>
      </w:r>
      <w:r w:rsidRPr="00963C60">
        <w:rPr>
          <w:rFonts w:ascii="Verdana" w:hAnsi="Verdana"/>
          <w:sz w:val="16"/>
          <w:szCs w:val="16"/>
          <w:lang w:val="es-CR"/>
        </w:rPr>
        <w:t xml:space="preserve"> Comisión Nacional de Búsqueda, Legislación, Nacional,  disponible en: </w:t>
      </w:r>
      <w:hyperlink r:id="rId16" w:history="1">
        <w:r w:rsidRPr="00963C60">
          <w:rPr>
            <w:rStyle w:val="Hipervnculo"/>
            <w:rFonts w:ascii="Verdana" w:hAnsi="Verdana"/>
            <w:sz w:val="16"/>
            <w:szCs w:val="16"/>
            <w:lang w:val="es-CR"/>
          </w:rPr>
          <w:t>http://www.cnbelsalvador.org.sv/documentacion.php?tipo=18&amp;ruta=0&amp;linea=1</w:t>
        </w:r>
      </w:hyperlink>
      <w:r w:rsidRPr="00963C60">
        <w:rPr>
          <w:rFonts w:ascii="Verdana" w:hAnsi="Verdana"/>
          <w:sz w:val="16"/>
          <w:szCs w:val="16"/>
          <w:lang w:val="es-CR"/>
        </w:rPr>
        <w:t xml:space="preserve">; e Internacional, disponible en: </w:t>
      </w:r>
      <w:hyperlink r:id="rId17" w:history="1">
        <w:r w:rsidRPr="00963C60">
          <w:rPr>
            <w:rStyle w:val="Hipervnculo"/>
            <w:rFonts w:ascii="Verdana" w:hAnsi="Verdana"/>
            <w:sz w:val="16"/>
            <w:szCs w:val="16"/>
            <w:lang w:val="es-CR"/>
          </w:rPr>
          <w:t>http://www.cnbelsalvador.org.sv/documentacion.php?tipo=19&amp;ruta=0&amp;linea=1</w:t>
        </w:r>
      </w:hyperlink>
      <w:r w:rsidRPr="00963C60">
        <w:rPr>
          <w:rFonts w:ascii="Verdana" w:hAnsi="Verdana"/>
          <w:sz w:val="16"/>
          <w:szCs w:val="16"/>
          <w:lang w:val="es-CR"/>
        </w:rPr>
        <w:t xml:space="preserve">  (enlace al documento indicado por el Estado en su informe de 2015).</w:t>
      </w:r>
    </w:p>
  </w:footnote>
  <w:footnote w:id="27">
    <w:p w:rsidR="00EC4AE2" w:rsidRPr="009B19AB" w:rsidRDefault="00EC4AE2" w:rsidP="00EC4AE2">
      <w:pPr>
        <w:pStyle w:val="Textonotapie"/>
        <w:jc w:val="both"/>
        <w:rPr>
          <w:rFonts w:ascii="Verdana" w:hAnsi="Verdana"/>
          <w:sz w:val="16"/>
          <w:szCs w:val="16"/>
        </w:rPr>
      </w:pPr>
      <w:r w:rsidRPr="009B19AB">
        <w:rPr>
          <w:rStyle w:val="Refdenotaalpie"/>
          <w:rFonts w:ascii="Verdana" w:hAnsi="Verdana"/>
          <w:sz w:val="16"/>
          <w:szCs w:val="16"/>
        </w:rPr>
        <w:footnoteRef/>
      </w:r>
      <w:r w:rsidRPr="009B19AB">
        <w:rPr>
          <w:rFonts w:ascii="Verdana" w:hAnsi="Verdana"/>
          <w:sz w:val="16"/>
          <w:szCs w:val="16"/>
        </w:rPr>
        <w:t xml:space="preserve"> </w:t>
      </w:r>
      <w:r w:rsidRPr="009B19AB">
        <w:rPr>
          <w:rFonts w:ascii="Verdana" w:hAnsi="Verdana"/>
          <w:sz w:val="16"/>
          <w:szCs w:val="16"/>
        </w:rPr>
        <w:tab/>
        <w:t xml:space="preserve">Disponible en el enlace de Facebook: </w:t>
      </w:r>
      <w:hyperlink r:id="rId18" w:history="1">
        <w:r w:rsidRPr="009B19AB">
          <w:rPr>
            <w:rStyle w:val="Hipervnculo"/>
            <w:rFonts w:ascii="Verdana" w:hAnsi="Verdana"/>
            <w:sz w:val="16"/>
            <w:szCs w:val="16"/>
          </w:rPr>
          <w:t>https://www.facebook.com/comisionnacionalbusquedaelsalvador/?fref=ts</w:t>
        </w:r>
      </w:hyperlink>
      <w:r w:rsidRPr="009B19AB">
        <w:rPr>
          <w:rFonts w:ascii="Verdana" w:hAnsi="Verdana"/>
          <w:sz w:val="16"/>
          <w:szCs w:val="16"/>
        </w:rPr>
        <w:t xml:space="preserve"> </w:t>
      </w:r>
    </w:p>
  </w:footnote>
  <w:footnote w:id="28">
    <w:p w:rsidR="00EC4AE2" w:rsidRPr="009B19AB" w:rsidRDefault="00EC4AE2" w:rsidP="00EC4AE2">
      <w:pPr>
        <w:pStyle w:val="Textonotapie"/>
        <w:rPr>
          <w:rFonts w:ascii="Verdana" w:hAnsi="Verdana"/>
          <w:sz w:val="16"/>
          <w:szCs w:val="16"/>
        </w:rPr>
      </w:pPr>
      <w:r w:rsidRPr="009B19AB">
        <w:rPr>
          <w:rStyle w:val="Refdenotaalpie"/>
          <w:rFonts w:ascii="Verdana" w:hAnsi="Verdana"/>
          <w:sz w:val="16"/>
          <w:szCs w:val="16"/>
        </w:rPr>
        <w:footnoteRef/>
      </w:r>
      <w:r w:rsidRPr="009B19AB">
        <w:rPr>
          <w:rFonts w:ascii="Verdana" w:hAnsi="Verdana"/>
          <w:sz w:val="16"/>
          <w:szCs w:val="16"/>
        </w:rPr>
        <w:t xml:space="preserve"> </w:t>
      </w:r>
      <w:r w:rsidRPr="009B19AB">
        <w:rPr>
          <w:rFonts w:ascii="Verdana" w:hAnsi="Verdana"/>
          <w:sz w:val="16"/>
          <w:szCs w:val="16"/>
        </w:rPr>
        <w:tab/>
        <w:t>Disponible en la cuenta de Twitter @</w:t>
      </w:r>
      <w:proofErr w:type="spellStart"/>
      <w:r w:rsidRPr="009B19AB">
        <w:rPr>
          <w:rFonts w:ascii="Verdana" w:hAnsi="Verdana"/>
          <w:sz w:val="16"/>
          <w:szCs w:val="16"/>
        </w:rPr>
        <w:t>CNBelSalvador</w:t>
      </w:r>
      <w:proofErr w:type="spellEnd"/>
      <w:r w:rsidRPr="009B19AB">
        <w:rPr>
          <w:rFonts w:ascii="Verdana" w:hAnsi="Verdana"/>
          <w:sz w:val="16"/>
          <w:szCs w:val="16"/>
        </w:rPr>
        <w:t>.</w:t>
      </w:r>
    </w:p>
  </w:footnote>
  <w:footnote w:id="29">
    <w:p w:rsidR="00EC4AE2" w:rsidRPr="009B19AB" w:rsidRDefault="00EC4AE2" w:rsidP="00EC4AE2">
      <w:pPr>
        <w:pStyle w:val="Textonotapie"/>
        <w:rPr>
          <w:rFonts w:ascii="Verdana" w:hAnsi="Verdana"/>
          <w:sz w:val="16"/>
          <w:szCs w:val="16"/>
        </w:rPr>
      </w:pPr>
      <w:r w:rsidRPr="009B19AB">
        <w:rPr>
          <w:rStyle w:val="Refdenotaalpie"/>
          <w:rFonts w:ascii="Verdana" w:hAnsi="Verdana"/>
          <w:sz w:val="16"/>
          <w:szCs w:val="16"/>
        </w:rPr>
        <w:footnoteRef/>
      </w:r>
      <w:r w:rsidRPr="009B19AB">
        <w:rPr>
          <w:rFonts w:ascii="Verdana" w:hAnsi="Verdana"/>
          <w:sz w:val="16"/>
          <w:szCs w:val="16"/>
        </w:rPr>
        <w:t xml:space="preserve"> </w:t>
      </w:r>
      <w:r w:rsidRPr="009B19AB">
        <w:rPr>
          <w:rFonts w:ascii="Verdana" w:hAnsi="Verdana"/>
          <w:sz w:val="16"/>
          <w:szCs w:val="16"/>
        </w:rPr>
        <w:tab/>
        <w:t xml:space="preserve">Disponible en la cuenta de </w:t>
      </w:r>
      <w:proofErr w:type="spellStart"/>
      <w:r w:rsidRPr="009B19AB">
        <w:rPr>
          <w:rFonts w:ascii="Verdana" w:hAnsi="Verdana"/>
          <w:sz w:val="16"/>
          <w:szCs w:val="16"/>
        </w:rPr>
        <w:t>Youtube</w:t>
      </w:r>
      <w:proofErr w:type="spellEnd"/>
      <w:r w:rsidRPr="009B19AB">
        <w:rPr>
          <w:rFonts w:ascii="Verdana" w:hAnsi="Verdana"/>
          <w:sz w:val="16"/>
          <w:szCs w:val="16"/>
        </w:rPr>
        <w:t xml:space="preserve">: </w:t>
      </w:r>
      <w:hyperlink r:id="rId19" w:history="1">
        <w:r w:rsidRPr="009B19AB">
          <w:rPr>
            <w:rStyle w:val="Hipervnculo"/>
            <w:rFonts w:ascii="Verdana" w:hAnsi="Verdana"/>
            <w:sz w:val="16"/>
            <w:szCs w:val="16"/>
          </w:rPr>
          <w:t>https://www.youtube.com/user/ComisionBusquedaSV</w:t>
        </w:r>
      </w:hyperlink>
      <w:r w:rsidRPr="009B19AB">
        <w:rPr>
          <w:rFonts w:ascii="Verdana" w:hAnsi="Verdana"/>
          <w:sz w:val="16"/>
          <w:szCs w:val="16"/>
        </w:rPr>
        <w:t xml:space="preserve"> </w:t>
      </w:r>
    </w:p>
  </w:footnote>
  <w:footnote w:id="30">
    <w:p w:rsidR="00011472" w:rsidRPr="000356F0" w:rsidRDefault="00011472" w:rsidP="00011472">
      <w:pPr>
        <w:pStyle w:val="Textonotapie"/>
        <w:jc w:val="both"/>
        <w:rPr>
          <w:rFonts w:ascii="Verdana" w:hAnsi="Verdana"/>
          <w:sz w:val="16"/>
          <w:szCs w:val="16"/>
          <w:lang w:val="es-CR"/>
        </w:rPr>
      </w:pPr>
      <w:r w:rsidRPr="000356F0">
        <w:rPr>
          <w:rStyle w:val="Refdenotaalpie"/>
          <w:rFonts w:ascii="Verdana" w:hAnsi="Verdana"/>
          <w:sz w:val="16"/>
          <w:szCs w:val="16"/>
        </w:rPr>
        <w:footnoteRef/>
      </w:r>
      <w:r w:rsidRPr="000356F0">
        <w:rPr>
          <w:rFonts w:ascii="Verdana" w:hAnsi="Verdana"/>
          <w:sz w:val="16"/>
          <w:szCs w:val="16"/>
        </w:rPr>
        <w:t xml:space="preserve"> </w:t>
      </w:r>
      <w:r w:rsidRPr="000356F0">
        <w:rPr>
          <w:rFonts w:ascii="Verdana" w:hAnsi="Verdana"/>
          <w:sz w:val="16"/>
          <w:szCs w:val="16"/>
        </w:rPr>
        <w:tab/>
      </w:r>
      <w:r w:rsidR="004F53F2">
        <w:rPr>
          <w:rFonts w:ascii="Verdana" w:hAnsi="Verdana"/>
          <w:sz w:val="16"/>
          <w:szCs w:val="16"/>
        </w:rPr>
        <w:t>En la audiencia, l</w:t>
      </w:r>
      <w:r w:rsidR="006D3A8E">
        <w:rPr>
          <w:rFonts w:ascii="Verdana" w:hAnsi="Verdana"/>
          <w:sz w:val="16"/>
          <w:szCs w:val="16"/>
        </w:rPr>
        <w:t>a</w:t>
      </w:r>
      <w:r>
        <w:rPr>
          <w:rFonts w:ascii="Verdana" w:hAnsi="Verdana"/>
          <w:sz w:val="16"/>
          <w:szCs w:val="16"/>
        </w:rPr>
        <w:t xml:space="preserve">s representantes señalaron que las observaciones que habían expresado con anterioridad “se encuentran superadas”. </w:t>
      </w:r>
      <w:r w:rsidRPr="000356F0">
        <w:rPr>
          <w:rFonts w:ascii="Verdana" w:hAnsi="Verdana"/>
          <w:sz w:val="16"/>
          <w:szCs w:val="16"/>
        </w:rPr>
        <w:t>En su escrito de observaciones de 2013, l</w:t>
      </w:r>
      <w:r>
        <w:rPr>
          <w:rFonts w:ascii="Verdana" w:hAnsi="Verdana"/>
          <w:sz w:val="16"/>
          <w:szCs w:val="16"/>
        </w:rPr>
        <w:t>a</w:t>
      </w:r>
      <w:r w:rsidRPr="000356F0">
        <w:rPr>
          <w:rFonts w:ascii="Verdana" w:hAnsi="Verdana"/>
          <w:sz w:val="16"/>
          <w:szCs w:val="16"/>
        </w:rPr>
        <w:t xml:space="preserve">s representantes </w:t>
      </w:r>
      <w:r w:rsidR="004F53F2">
        <w:rPr>
          <w:rFonts w:ascii="Verdana" w:hAnsi="Verdana"/>
          <w:sz w:val="16"/>
          <w:szCs w:val="16"/>
        </w:rPr>
        <w:t>habían indicado</w:t>
      </w:r>
      <w:r w:rsidRPr="000356F0">
        <w:rPr>
          <w:rFonts w:ascii="Verdana" w:hAnsi="Verdana"/>
          <w:sz w:val="16"/>
          <w:szCs w:val="16"/>
        </w:rPr>
        <w:t xml:space="preserve"> los siguientes obstáculos que debían ser superados para el cumplimiento de esta medida: (i) que se había retirado el enlace a la página web de la Asociación Pro Búsqueda</w:t>
      </w:r>
      <w:r w:rsidR="00A31A5D">
        <w:rPr>
          <w:rFonts w:ascii="Verdana" w:hAnsi="Verdana"/>
          <w:sz w:val="16"/>
          <w:szCs w:val="16"/>
        </w:rPr>
        <w:t>;</w:t>
      </w:r>
      <w:r w:rsidRPr="000356F0">
        <w:rPr>
          <w:rFonts w:ascii="Verdana" w:hAnsi="Verdana"/>
          <w:sz w:val="16"/>
          <w:szCs w:val="16"/>
        </w:rPr>
        <w:t xml:space="preserve"> (ii) que las “secciones para realizar una solicitud de búsqueda […] podrían simplificarse un poco más”</w:t>
      </w:r>
      <w:r w:rsidR="00A31A5D">
        <w:rPr>
          <w:rFonts w:ascii="Verdana" w:hAnsi="Verdana"/>
          <w:sz w:val="16"/>
          <w:szCs w:val="16"/>
        </w:rPr>
        <w:t>, y</w:t>
      </w:r>
      <w:r w:rsidRPr="000356F0">
        <w:rPr>
          <w:rFonts w:ascii="Verdana" w:hAnsi="Verdana"/>
          <w:sz w:val="16"/>
          <w:szCs w:val="16"/>
        </w:rPr>
        <w:t xml:space="preserve"> (iii) que el dominio “.</w:t>
      </w:r>
      <w:proofErr w:type="spellStart"/>
      <w:r w:rsidRPr="000356F0">
        <w:rPr>
          <w:rFonts w:ascii="Verdana" w:hAnsi="Verdana"/>
          <w:sz w:val="16"/>
          <w:szCs w:val="16"/>
        </w:rPr>
        <w:t>org</w:t>
      </w:r>
      <w:proofErr w:type="spellEnd"/>
      <w:r w:rsidRPr="000356F0">
        <w:rPr>
          <w:rFonts w:ascii="Verdana" w:hAnsi="Verdana"/>
          <w:sz w:val="16"/>
          <w:szCs w:val="16"/>
        </w:rPr>
        <w:t>” que en ese entonces tenía la página web debía cambiarse por un dominio “gob.sv”, por tratarse de una institución estatal”</w:t>
      </w:r>
      <w:r>
        <w:rPr>
          <w:rFonts w:ascii="Verdana" w:hAnsi="Verdana"/>
          <w:sz w:val="16"/>
          <w:szCs w:val="16"/>
        </w:rPr>
        <w:t>.</w:t>
      </w:r>
      <w:r>
        <w:rPr>
          <w:rFonts w:ascii="Verdana" w:hAnsi="Verdana"/>
          <w:b/>
          <w:sz w:val="16"/>
          <w:szCs w:val="16"/>
        </w:rPr>
        <w:t xml:space="preserve"> </w:t>
      </w:r>
      <w:r w:rsidR="004F53F2">
        <w:rPr>
          <w:rFonts w:ascii="Verdana" w:hAnsi="Verdana"/>
          <w:sz w:val="16"/>
          <w:szCs w:val="16"/>
        </w:rPr>
        <w:t>Asimismo</w:t>
      </w:r>
      <w:r>
        <w:rPr>
          <w:rFonts w:ascii="Verdana" w:hAnsi="Verdana"/>
          <w:sz w:val="16"/>
          <w:szCs w:val="16"/>
        </w:rPr>
        <w:t xml:space="preserve">, en su escrito de observaciones de 2015, las representantes </w:t>
      </w:r>
      <w:r w:rsidR="004F53F2">
        <w:rPr>
          <w:rFonts w:ascii="Verdana" w:hAnsi="Verdana"/>
          <w:sz w:val="16"/>
          <w:szCs w:val="16"/>
        </w:rPr>
        <w:t>habían requerido</w:t>
      </w:r>
      <w:r>
        <w:rPr>
          <w:rFonts w:ascii="Verdana" w:hAnsi="Verdana"/>
          <w:sz w:val="16"/>
          <w:szCs w:val="16"/>
        </w:rPr>
        <w:t xml:space="preserve"> que las secciones de búsqueda se “simplifiquen aún más”. </w:t>
      </w:r>
    </w:p>
  </w:footnote>
  <w:footnote w:id="31">
    <w:p w:rsidR="00EC4AE2" w:rsidRPr="00D64368" w:rsidRDefault="00EC4AE2" w:rsidP="00EC4AE2">
      <w:pPr>
        <w:pStyle w:val="Textonotapie"/>
        <w:jc w:val="both"/>
        <w:rPr>
          <w:rFonts w:ascii="Verdana" w:hAnsi="Verdana"/>
          <w:sz w:val="16"/>
          <w:szCs w:val="16"/>
          <w:lang w:val="es-CR"/>
        </w:rPr>
      </w:pPr>
      <w:r w:rsidRPr="00D64368">
        <w:rPr>
          <w:rStyle w:val="Refdenotaalpie"/>
          <w:rFonts w:ascii="Verdana" w:hAnsi="Verdana"/>
          <w:sz w:val="16"/>
          <w:szCs w:val="16"/>
        </w:rPr>
        <w:footnoteRef/>
      </w:r>
      <w:r w:rsidRPr="00D64368">
        <w:rPr>
          <w:rFonts w:ascii="Verdana" w:hAnsi="Verdana"/>
          <w:sz w:val="16"/>
          <w:szCs w:val="16"/>
        </w:rPr>
        <w:t xml:space="preserve"> </w:t>
      </w:r>
      <w:r w:rsidRPr="00D64368">
        <w:rPr>
          <w:rFonts w:ascii="Verdana" w:hAnsi="Verdana"/>
          <w:sz w:val="16"/>
          <w:szCs w:val="16"/>
          <w:lang w:val="es-CR"/>
        </w:rPr>
        <w:tab/>
        <w:t>Debe señalarse que ni las representantes ni la Comisión han manifestado la necesidad de ampliar la difusión a través de otros medios de comunicación.</w:t>
      </w:r>
    </w:p>
  </w:footnote>
  <w:footnote w:id="32">
    <w:p w:rsidR="00011472" w:rsidRPr="00011472" w:rsidRDefault="00011472" w:rsidP="00011472">
      <w:pPr>
        <w:pStyle w:val="Prrafodelista"/>
        <w:ind w:left="0"/>
        <w:jc w:val="both"/>
        <w:rPr>
          <w:rFonts w:ascii="Verdana" w:hAnsi="Verdana"/>
          <w:sz w:val="16"/>
          <w:szCs w:val="16"/>
          <w:lang w:val="es-CO"/>
        </w:rPr>
      </w:pPr>
      <w:r w:rsidRPr="00011472">
        <w:rPr>
          <w:rStyle w:val="Refdenotaalpie"/>
          <w:rFonts w:ascii="Verdana" w:hAnsi="Verdana"/>
          <w:sz w:val="16"/>
          <w:szCs w:val="16"/>
        </w:rPr>
        <w:footnoteRef/>
      </w:r>
      <w:r w:rsidRPr="00011472">
        <w:rPr>
          <w:rFonts w:ascii="Verdana" w:hAnsi="Verdana"/>
          <w:sz w:val="16"/>
          <w:szCs w:val="16"/>
        </w:rPr>
        <w:t xml:space="preserve"> </w:t>
      </w:r>
      <w:r w:rsidRPr="00011472">
        <w:rPr>
          <w:rFonts w:ascii="Verdana" w:hAnsi="Verdana"/>
          <w:sz w:val="16"/>
          <w:szCs w:val="16"/>
        </w:rPr>
        <w:tab/>
      </w:r>
      <w:r w:rsidRPr="00011472">
        <w:rPr>
          <w:rFonts w:ascii="Verdana" w:hAnsi="Verdana"/>
          <w:sz w:val="16"/>
          <w:szCs w:val="16"/>
          <w:lang w:val="es-CO"/>
        </w:rPr>
        <w:t>L</w:t>
      </w:r>
      <w:r w:rsidR="006D3A8E">
        <w:rPr>
          <w:rFonts w:ascii="Verdana" w:hAnsi="Verdana"/>
          <w:sz w:val="16"/>
          <w:szCs w:val="16"/>
          <w:lang w:val="es-CO"/>
        </w:rPr>
        <w:t>a</w:t>
      </w:r>
      <w:r w:rsidRPr="00011472">
        <w:rPr>
          <w:rFonts w:ascii="Verdana" w:hAnsi="Verdana"/>
          <w:sz w:val="16"/>
          <w:szCs w:val="16"/>
          <w:lang w:val="es-CO"/>
        </w:rPr>
        <w:t xml:space="preserve">s representantes señalaron que “el Estado debe mantener el funcionamiento de la página web en los términos señalados”. La Comisión, igualmente, afirmó en la audiencia que “el Estado ha dado cumplimiento a la creación de esta página y simplemente considera importante que se le plantee al Estado a través de la resolución la necesidad de que esta página continúe en funcionamiento de manera permanente”. </w:t>
      </w:r>
    </w:p>
  </w:footnote>
  <w:footnote w:id="33">
    <w:p w:rsidR="000E627C" w:rsidRPr="00E919D5" w:rsidRDefault="000E627C" w:rsidP="0054248A">
      <w:pPr>
        <w:pStyle w:val="Textonotapie"/>
        <w:jc w:val="both"/>
        <w:rPr>
          <w:rFonts w:ascii="Verdana" w:hAnsi="Verdana"/>
          <w:sz w:val="16"/>
          <w:szCs w:val="16"/>
          <w:lang w:val="es-CO"/>
        </w:rPr>
      </w:pPr>
      <w:r w:rsidRPr="00E919D5">
        <w:rPr>
          <w:rStyle w:val="Refdenotaalpie"/>
          <w:rFonts w:ascii="Verdana" w:hAnsi="Verdana"/>
          <w:sz w:val="16"/>
          <w:szCs w:val="16"/>
        </w:rPr>
        <w:footnoteRef/>
      </w:r>
      <w:r w:rsidRPr="00E919D5">
        <w:rPr>
          <w:rFonts w:ascii="Verdana" w:hAnsi="Verdana"/>
          <w:sz w:val="16"/>
          <w:szCs w:val="16"/>
        </w:rPr>
        <w:t xml:space="preserve"> </w:t>
      </w:r>
      <w:r w:rsidRPr="00E919D5">
        <w:rPr>
          <w:rFonts w:ascii="Verdana" w:hAnsi="Verdana"/>
          <w:sz w:val="16"/>
          <w:szCs w:val="16"/>
        </w:rPr>
        <w:tab/>
        <w:t>Al respecto la Corte indicó en el párrafo 198 de la Sentencia que  “estima conveniente que se brinde participación en dicha evaluación y en la implementación de dichos tratamientos a una institución no gubernamental especializada, como por ejemplo la Asociación Pro Búsqueda”. Igualmente, en el párrafo 199 de la Sentencia, consideró “necesario que al proveer el referido tratamiento psicológico se consideren las circunstancias particulares y necesidades de cada persona, de manera que se les brinden tratamientos individuales, familiares y colectivos, según lo que se acuerde con cada uno de ellos y después de una evaluación individual”.</w:t>
      </w:r>
    </w:p>
  </w:footnote>
  <w:footnote w:id="34">
    <w:p w:rsidR="000E627C" w:rsidRPr="00E919D5" w:rsidRDefault="000E627C" w:rsidP="0054248A">
      <w:pPr>
        <w:pStyle w:val="Textonotapie"/>
        <w:jc w:val="both"/>
        <w:rPr>
          <w:rFonts w:ascii="Verdana" w:hAnsi="Verdana"/>
          <w:sz w:val="16"/>
          <w:szCs w:val="16"/>
          <w:lang w:val="es-CO"/>
        </w:rPr>
      </w:pPr>
      <w:r w:rsidRPr="00E919D5">
        <w:rPr>
          <w:rStyle w:val="Refdenotaalpie"/>
          <w:rFonts w:ascii="Verdana" w:hAnsi="Verdana"/>
          <w:sz w:val="16"/>
          <w:szCs w:val="16"/>
        </w:rPr>
        <w:footnoteRef/>
      </w:r>
      <w:r w:rsidRPr="00E919D5">
        <w:rPr>
          <w:rFonts w:ascii="Verdana" w:hAnsi="Verdana"/>
          <w:sz w:val="16"/>
          <w:szCs w:val="16"/>
        </w:rPr>
        <w:t xml:space="preserve"> </w:t>
      </w:r>
      <w:r w:rsidRPr="00E919D5">
        <w:rPr>
          <w:rFonts w:ascii="Verdana" w:hAnsi="Verdana"/>
          <w:sz w:val="16"/>
          <w:szCs w:val="16"/>
        </w:rPr>
        <w:tab/>
      </w:r>
      <w:r w:rsidRPr="00E919D5">
        <w:rPr>
          <w:rStyle w:val="Textoennegrita"/>
          <w:rFonts w:ascii="Verdana" w:hAnsi="Verdana"/>
          <w:b w:val="0"/>
          <w:color w:val="000000"/>
          <w:sz w:val="16"/>
          <w:szCs w:val="16"/>
          <w:shd w:val="clear" w:color="auto" w:fill="FFFFFF"/>
        </w:rPr>
        <w:t>Sobre este punto, el Estado informó: a)</w:t>
      </w:r>
      <w:r w:rsidR="00DC79BB">
        <w:rPr>
          <w:rStyle w:val="Textoennegrita"/>
          <w:rFonts w:ascii="Verdana" w:hAnsi="Verdana"/>
          <w:b w:val="0"/>
          <w:color w:val="000000"/>
          <w:sz w:val="16"/>
          <w:szCs w:val="16"/>
          <w:shd w:val="clear" w:color="auto" w:fill="FFFFFF"/>
        </w:rPr>
        <w:t xml:space="preserve"> que</w:t>
      </w:r>
      <w:r w:rsidRPr="00E919D5">
        <w:rPr>
          <w:rStyle w:val="Textoennegrita"/>
          <w:rFonts w:ascii="Verdana" w:hAnsi="Verdana"/>
          <w:b w:val="0"/>
          <w:color w:val="000000"/>
          <w:sz w:val="16"/>
          <w:szCs w:val="16"/>
          <w:shd w:val="clear" w:color="auto" w:fill="FFFFFF"/>
        </w:rPr>
        <w:t xml:space="preserve"> “[continuaba] proporcionando atención médica gratuita a la familia Serrano Cruz, tomando en cuenta cada uno de los padecimientos y necesidades específicas de la familia”; b) los esfuerzos realizados para “subsanar las deficiencias señaladas en el pasado</w:t>
      </w:r>
      <w:r w:rsidR="00DC79BB">
        <w:rPr>
          <w:rStyle w:val="Textoennegrita"/>
          <w:rFonts w:ascii="Verdana" w:hAnsi="Verdana"/>
          <w:b w:val="0"/>
          <w:color w:val="000000"/>
          <w:sz w:val="16"/>
          <w:szCs w:val="16"/>
          <w:shd w:val="clear" w:color="auto" w:fill="FFFFFF"/>
        </w:rPr>
        <w:t>”</w:t>
      </w:r>
      <w:r w:rsidRPr="00E919D5">
        <w:rPr>
          <w:rStyle w:val="Textoennegrita"/>
          <w:rFonts w:ascii="Verdana" w:hAnsi="Verdana"/>
          <w:b w:val="0"/>
          <w:color w:val="000000"/>
          <w:sz w:val="16"/>
          <w:szCs w:val="16"/>
          <w:shd w:val="clear" w:color="auto" w:fill="FFFFFF"/>
        </w:rPr>
        <w:t xml:space="preserve">; c) </w:t>
      </w:r>
      <w:r w:rsidR="00DC79BB">
        <w:rPr>
          <w:rStyle w:val="Textoennegrita"/>
          <w:rFonts w:ascii="Verdana" w:hAnsi="Verdana"/>
          <w:b w:val="0"/>
          <w:color w:val="000000"/>
          <w:sz w:val="16"/>
          <w:szCs w:val="16"/>
          <w:shd w:val="clear" w:color="auto" w:fill="FFFFFF"/>
        </w:rPr>
        <w:t xml:space="preserve">que </w:t>
      </w:r>
      <w:r w:rsidRPr="00E919D5">
        <w:rPr>
          <w:rStyle w:val="Textoennegrita"/>
          <w:rFonts w:ascii="Verdana" w:hAnsi="Verdana"/>
          <w:b w:val="0"/>
          <w:color w:val="000000"/>
          <w:sz w:val="16"/>
          <w:szCs w:val="16"/>
          <w:shd w:val="clear" w:color="auto" w:fill="FFFFFF"/>
        </w:rPr>
        <w:t xml:space="preserve">“personal del Ministerio de Relaciones Exteriores acompaña a los integrantes de la familia Serrano Cruz en las diligencias de atención médica y provisión de medicamentos, los cuales son prestados gratuitamente por el Estado”, y d) </w:t>
      </w:r>
      <w:r w:rsidR="00DC79BB">
        <w:rPr>
          <w:rStyle w:val="Textoennegrita"/>
          <w:rFonts w:ascii="Verdana" w:hAnsi="Verdana"/>
          <w:b w:val="0"/>
          <w:color w:val="000000"/>
          <w:sz w:val="16"/>
          <w:szCs w:val="16"/>
          <w:shd w:val="clear" w:color="auto" w:fill="FFFFFF"/>
        </w:rPr>
        <w:t xml:space="preserve">que </w:t>
      </w:r>
      <w:r w:rsidRPr="00E919D5">
        <w:rPr>
          <w:rStyle w:val="Textoennegrita"/>
          <w:rFonts w:ascii="Verdana" w:hAnsi="Verdana"/>
          <w:b w:val="0"/>
          <w:color w:val="000000"/>
          <w:sz w:val="16"/>
          <w:szCs w:val="16"/>
          <w:shd w:val="clear" w:color="auto" w:fill="FFFFFF"/>
        </w:rPr>
        <w:t xml:space="preserve">“el transporte y la alimentación a los familiares durante sus consultas médicas son facilitadas por el Ministerio de Relaciones Exteriores”. </w:t>
      </w:r>
      <w:r w:rsidRPr="00E919D5">
        <w:rPr>
          <w:rStyle w:val="Textoennegrita"/>
          <w:rFonts w:ascii="Verdana" w:hAnsi="Verdana"/>
          <w:b w:val="0"/>
          <w:i/>
          <w:color w:val="000000"/>
          <w:sz w:val="16"/>
          <w:szCs w:val="16"/>
          <w:shd w:val="clear" w:color="auto" w:fill="FFFFFF"/>
        </w:rPr>
        <w:t>Cfr</w:t>
      </w:r>
      <w:r w:rsidRPr="00E919D5">
        <w:rPr>
          <w:rStyle w:val="Textoennegrita"/>
          <w:rFonts w:ascii="Verdana" w:hAnsi="Verdana"/>
          <w:b w:val="0"/>
          <w:color w:val="000000"/>
          <w:sz w:val="16"/>
          <w:szCs w:val="16"/>
          <w:shd w:val="clear" w:color="auto" w:fill="FFFFFF"/>
        </w:rPr>
        <w:t xml:space="preserve">. </w:t>
      </w:r>
      <w:r w:rsidRPr="00E919D5">
        <w:rPr>
          <w:rStyle w:val="Textoennegrita"/>
          <w:rFonts w:ascii="Verdana" w:hAnsi="Verdana"/>
          <w:b w:val="0"/>
          <w:i/>
          <w:color w:val="000000"/>
          <w:sz w:val="16"/>
          <w:szCs w:val="16"/>
          <w:shd w:val="clear" w:color="auto" w:fill="FFFFFF"/>
        </w:rPr>
        <w:t>Caso de las Hermanas Serrano Cruz Vs. El Salvador.</w:t>
      </w:r>
      <w:r w:rsidRPr="00E919D5">
        <w:rPr>
          <w:rStyle w:val="Textoennegrita"/>
          <w:rFonts w:ascii="Verdana" w:hAnsi="Verdana"/>
          <w:b w:val="0"/>
          <w:color w:val="000000"/>
          <w:sz w:val="16"/>
          <w:szCs w:val="16"/>
          <w:shd w:val="clear" w:color="auto" w:fill="FFFFFF"/>
        </w:rPr>
        <w:t xml:space="preserve"> Supervisión de Cumplimiento de Sentencia. Resolución de la Corte Interamericana de Derechos H</w:t>
      </w:r>
      <w:r>
        <w:rPr>
          <w:rStyle w:val="Textoennegrita"/>
          <w:rFonts w:ascii="Verdana" w:hAnsi="Verdana"/>
          <w:b w:val="0"/>
          <w:color w:val="000000"/>
          <w:sz w:val="16"/>
          <w:szCs w:val="16"/>
          <w:shd w:val="clear" w:color="auto" w:fill="FFFFFF"/>
        </w:rPr>
        <w:t xml:space="preserve">umanos de 3 de febrero de 2010, </w:t>
      </w:r>
      <w:r w:rsidRPr="00E919D5">
        <w:rPr>
          <w:rStyle w:val="Textoennegrita"/>
          <w:rFonts w:ascii="Verdana" w:hAnsi="Verdana"/>
          <w:b w:val="0"/>
          <w:color w:val="000000"/>
          <w:sz w:val="16"/>
          <w:szCs w:val="16"/>
          <w:shd w:val="clear" w:color="auto" w:fill="FFFFFF"/>
        </w:rPr>
        <w:t>Considerando 32.</w:t>
      </w:r>
    </w:p>
  </w:footnote>
  <w:footnote w:id="35">
    <w:p w:rsidR="000E627C" w:rsidRPr="00E919D5" w:rsidRDefault="000E627C" w:rsidP="0054248A">
      <w:pPr>
        <w:pStyle w:val="Textonotapie"/>
        <w:jc w:val="both"/>
        <w:rPr>
          <w:rFonts w:ascii="Verdana" w:hAnsi="Verdana"/>
          <w:sz w:val="16"/>
          <w:szCs w:val="16"/>
          <w:lang w:val="es-CO"/>
        </w:rPr>
      </w:pPr>
      <w:r w:rsidRPr="00E919D5">
        <w:rPr>
          <w:rStyle w:val="Refdenotaalpie"/>
          <w:rFonts w:ascii="Verdana" w:hAnsi="Verdana"/>
          <w:sz w:val="16"/>
          <w:szCs w:val="16"/>
        </w:rPr>
        <w:footnoteRef/>
      </w:r>
      <w:r w:rsidRPr="00E919D5">
        <w:rPr>
          <w:rFonts w:ascii="Verdana" w:hAnsi="Verdana"/>
          <w:sz w:val="16"/>
          <w:szCs w:val="16"/>
          <w:lang w:val="es-CO"/>
        </w:rPr>
        <w:t xml:space="preserve"> </w:t>
      </w:r>
      <w:r w:rsidRPr="00E919D5">
        <w:rPr>
          <w:rFonts w:ascii="Verdana" w:hAnsi="Verdana"/>
          <w:sz w:val="16"/>
          <w:szCs w:val="16"/>
          <w:lang w:val="es-CO"/>
        </w:rPr>
        <w:tab/>
        <w:t>La Corte consideró “imprescindible que las autoridades del Ministerio de Salud y Acción Social y el personal encargado de brindar tratamiento médico a los integrantes de la familia Serrano Cruz cumplan con las obligaciones internacionales establecidas en la Sentencia, las cuales obligan a todos los poderes y órganos del Estado”.</w:t>
      </w:r>
      <w:r>
        <w:rPr>
          <w:rFonts w:ascii="Verdana" w:hAnsi="Verdana"/>
          <w:sz w:val="16"/>
          <w:szCs w:val="16"/>
          <w:lang w:val="es-CO"/>
        </w:rPr>
        <w:t xml:space="preserve"> En esa oportunidad, la Corte observó que</w:t>
      </w:r>
      <w:r w:rsidRPr="00E919D5">
        <w:rPr>
          <w:rFonts w:ascii="Verdana" w:hAnsi="Verdana"/>
          <w:sz w:val="16"/>
          <w:szCs w:val="16"/>
          <w:lang w:val="es-CO"/>
        </w:rPr>
        <w:t xml:space="preserve"> las representantes de las victimas alegaron “serias deficiencias”, manifestando su preocupación debido a que los familiares necesitaban “ir acompañados por un funcionario del Ministerio de Relaciones Exteriores para recibir atención médica”. En este sentido, señalaron que los funcionarios del centro de salud “no tienen conocimiento de la Sentencia y en la eventualidad de que los familiares no fueran acompañados por miembros del Ministerio de Relaciones Exteriores, no podría recibir dicha atención”. De igual forma, indicaron que cuando los miembros de la familia necesitaban realizarse algún examen médico estos eran “fijados en fechas muy lejanas”.</w:t>
      </w:r>
      <w:r>
        <w:rPr>
          <w:rFonts w:ascii="Verdana" w:hAnsi="Verdana"/>
          <w:sz w:val="16"/>
          <w:szCs w:val="16"/>
          <w:lang w:val="es-CO"/>
        </w:rPr>
        <w:t xml:space="preserve"> </w:t>
      </w:r>
      <w:r w:rsidRPr="00E919D5">
        <w:rPr>
          <w:rStyle w:val="Textoennegrita"/>
          <w:rFonts w:ascii="Verdana" w:hAnsi="Verdana"/>
          <w:b w:val="0"/>
          <w:i/>
          <w:color w:val="000000"/>
          <w:sz w:val="16"/>
          <w:szCs w:val="16"/>
          <w:shd w:val="clear" w:color="auto" w:fill="FFFFFF"/>
        </w:rPr>
        <w:t>Cfr</w:t>
      </w:r>
      <w:r w:rsidRPr="00E919D5">
        <w:rPr>
          <w:rStyle w:val="Textoennegrita"/>
          <w:rFonts w:ascii="Verdana" w:hAnsi="Verdana"/>
          <w:b w:val="0"/>
          <w:color w:val="000000"/>
          <w:sz w:val="16"/>
          <w:szCs w:val="16"/>
          <w:shd w:val="clear" w:color="auto" w:fill="FFFFFF"/>
        </w:rPr>
        <w:t xml:space="preserve">. </w:t>
      </w:r>
      <w:r w:rsidRPr="00E919D5">
        <w:rPr>
          <w:rStyle w:val="Textoennegrita"/>
          <w:rFonts w:ascii="Verdana" w:hAnsi="Verdana"/>
          <w:b w:val="0"/>
          <w:i/>
          <w:color w:val="000000"/>
          <w:sz w:val="16"/>
          <w:szCs w:val="16"/>
          <w:shd w:val="clear" w:color="auto" w:fill="FFFFFF"/>
        </w:rPr>
        <w:t>Caso de las Hermanas Serrano Cruz Vs. El Salvador.</w:t>
      </w:r>
      <w:r w:rsidRPr="00E919D5">
        <w:rPr>
          <w:rStyle w:val="Textoennegrita"/>
          <w:rFonts w:ascii="Verdana" w:hAnsi="Verdana"/>
          <w:b w:val="0"/>
          <w:color w:val="000000"/>
          <w:sz w:val="16"/>
          <w:szCs w:val="16"/>
          <w:shd w:val="clear" w:color="auto" w:fill="FFFFFF"/>
        </w:rPr>
        <w:t xml:space="preserve"> Supervisión de Cumplimiento de Sentencia. Resolución de la Corte Interamericana de Derechos H</w:t>
      </w:r>
      <w:r>
        <w:rPr>
          <w:rStyle w:val="Textoennegrita"/>
          <w:rFonts w:ascii="Verdana" w:hAnsi="Verdana"/>
          <w:b w:val="0"/>
          <w:color w:val="000000"/>
          <w:sz w:val="16"/>
          <w:szCs w:val="16"/>
          <w:shd w:val="clear" w:color="auto" w:fill="FFFFFF"/>
        </w:rPr>
        <w:t>umanos de 3 de febrero de 2010,</w:t>
      </w:r>
      <w:r w:rsidRPr="00E919D5">
        <w:rPr>
          <w:rFonts w:ascii="Verdana" w:hAnsi="Verdana"/>
          <w:sz w:val="16"/>
          <w:szCs w:val="16"/>
          <w:lang w:val="es-CO"/>
        </w:rPr>
        <w:t xml:space="preserve"> Considerando 33.</w:t>
      </w:r>
    </w:p>
  </w:footnote>
  <w:footnote w:id="36">
    <w:p w:rsidR="000E627C" w:rsidRPr="00166852" w:rsidRDefault="000E627C" w:rsidP="0054248A">
      <w:pPr>
        <w:pStyle w:val="Textonotapie"/>
        <w:jc w:val="both"/>
        <w:rPr>
          <w:rFonts w:ascii="Verdana" w:hAnsi="Verdana"/>
          <w:sz w:val="16"/>
          <w:szCs w:val="16"/>
          <w:lang w:val="es-CO"/>
        </w:rPr>
      </w:pPr>
      <w:r w:rsidRPr="00166852">
        <w:rPr>
          <w:rStyle w:val="Refdenotaalpie"/>
          <w:rFonts w:ascii="Verdana" w:hAnsi="Verdana"/>
          <w:sz w:val="16"/>
          <w:szCs w:val="16"/>
        </w:rPr>
        <w:footnoteRef/>
      </w:r>
      <w:r w:rsidRPr="00166852">
        <w:rPr>
          <w:rFonts w:ascii="Verdana" w:hAnsi="Verdana"/>
          <w:sz w:val="16"/>
          <w:szCs w:val="16"/>
        </w:rPr>
        <w:t xml:space="preserve">  </w:t>
      </w:r>
      <w:r w:rsidRPr="00166852">
        <w:rPr>
          <w:rFonts w:ascii="Verdana" w:hAnsi="Verdana"/>
          <w:sz w:val="16"/>
          <w:szCs w:val="16"/>
        </w:rPr>
        <w:tab/>
        <w:t xml:space="preserve">Este “Convenio </w:t>
      </w:r>
      <w:r w:rsidR="00DC79BB">
        <w:rPr>
          <w:rFonts w:ascii="Verdana" w:hAnsi="Verdana"/>
          <w:sz w:val="16"/>
          <w:szCs w:val="16"/>
        </w:rPr>
        <w:t>I</w:t>
      </w:r>
      <w:r w:rsidRPr="00166852">
        <w:rPr>
          <w:rFonts w:ascii="Verdana" w:hAnsi="Verdana"/>
          <w:sz w:val="16"/>
          <w:szCs w:val="16"/>
        </w:rPr>
        <w:t xml:space="preserve">nterinstitucional para la atención psicosocial a la familia Serrano Cruz” </w:t>
      </w:r>
      <w:r w:rsidR="00017B60">
        <w:rPr>
          <w:rFonts w:ascii="Verdana" w:hAnsi="Verdana"/>
          <w:sz w:val="16"/>
          <w:szCs w:val="16"/>
        </w:rPr>
        <w:t>se firmó en</w:t>
      </w:r>
      <w:r w:rsidRPr="00166852">
        <w:rPr>
          <w:rFonts w:ascii="Verdana" w:hAnsi="Verdana"/>
          <w:sz w:val="16"/>
          <w:szCs w:val="16"/>
        </w:rPr>
        <w:t xml:space="preserve"> enero de 2010. Dicha atención psicosocial sería brindada por la Universidad Centroamericana José Simeón Cañas.</w:t>
      </w:r>
      <w:r w:rsidRPr="00166852">
        <w:rPr>
          <w:rStyle w:val="Textoennegrita"/>
          <w:rFonts w:ascii="Verdana" w:hAnsi="Verdana"/>
          <w:b w:val="0"/>
          <w:i/>
          <w:color w:val="000000"/>
          <w:sz w:val="16"/>
          <w:szCs w:val="16"/>
          <w:shd w:val="clear" w:color="auto" w:fill="FFFFFF"/>
        </w:rPr>
        <w:t xml:space="preserve"> </w:t>
      </w:r>
      <w:r w:rsidRPr="00E919D5">
        <w:rPr>
          <w:rStyle w:val="Textoennegrita"/>
          <w:rFonts w:ascii="Verdana" w:hAnsi="Verdana"/>
          <w:b w:val="0"/>
          <w:i/>
          <w:color w:val="000000"/>
          <w:sz w:val="16"/>
          <w:szCs w:val="16"/>
          <w:shd w:val="clear" w:color="auto" w:fill="FFFFFF"/>
        </w:rPr>
        <w:t>Cfr</w:t>
      </w:r>
      <w:r w:rsidRPr="00E919D5">
        <w:rPr>
          <w:rStyle w:val="Textoennegrita"/>
          <w:rFonts w:ascii="Verdana" w:hAnsi="Verdana"/>
          <w:b w:val="0"/>
          <w:color w:val="000000"/>
          <w:sz w:val="16"/>
          <w:szCs w:val="16"/>
          <w:shd w:val="clear" w:color="auto" w:fill="FFFFFF"/>
        </w:rPr>
        <w:t xml:space="preserve">. </w:t>
      </w:r>
      <w:r w:rsidRPr="00E919D5">
        <w:rPr>
          <w:rStyle w:val="Textoennegrita"/>
          <w:rFonts w:ascii="Verdana" w:hAnsi="Verdana"/>
          <w:b w:val="0"/>
          <w:i/>
          <w:color w:val="000000"/>
          <w:sz w:val="16"/>
          <w:szCs w:val="16"/>
          <w:shd w:val="clear" w:color="auto" w:fill="FFFFFF"/>
        </w:rPr>
        <w:t>Caso de las Hermanas Serrano Cruz Vs. El Salvador.</w:t>
      </w:r>
      <w:r w:rsidRPr="00E919D5">
        <w:rPr>
          <w:rStyle w:val="Textoennegrita"/>
          <w:rFonts w:ascii="Verdana" w:hAnsi="Verdana"/>
          <w:b w:val="0"/>
          <w:color w:val="000000"/>
          <w:sz w:val="16"/>
          <w:szCs w:val="16"/>
          <w:shd w:val="clear" w:color="auto" w:fill="FFFFFF"/>
        </w:rPr>
        <w:t xml:space="preserve"> Supervisión de Cumplimiento de Sentencia. Resolución de la Corte Interamericana de Derechos H</w:t>
      </w:r>
      <w:r>
        <w:rPr>
          <w:rStyle w:val="Textoennegrita"/>
          <w:rFonts w:ascii="Verdana" w:hAnsi="Verdana"/>
          <w:b w:val="0"/>
          <w:color w:val="000000"/>
          <w:sz w:val="16"/>
          <w:szCs w:val="16"/>
          <w:shd w:val="clear" w:color="auto" w:fill="FFFFFF"/>
        </w:rPr>
        <w:t>umanos de 3 de febrero de 2010,</w:t>
      </w:r>
      <w:r w:rsidRPr="00E919D5">
        <w:rPr>
          <w:rFonts w:ascii="Verdana" w:hAnsi="Verdana"/>
          <w:sz w:val="16"/>
          <w:szCs w:val="16"/>
          <w:lang w:val="es-CO"/>
        </w:rPr>
        <w:t xml:space="preserve"> Considerando</w:t>
      </w:r>
      <w:r>
        <w:rPr>
          <w:rFonts w:ascii="Verdana" w:hAnsi="Verdana"/>
          <w:sz w:val="16"/>
          <w:szCs w:val="16"/>
          <w:lang w:val="es-CO"/>
        </w:rPr>
        <w:t>s 32 y</w:t>
      </w:r>
      <w:r w:rsidRPr="00E919D5">
        <w:rPr>
          <w:rFonts w:ascii="Verdana" w:hAnsi="Verdana"/>
          <w:sz w:val="16"/>
          <w:szCs w:val="16"/>
          <w:lang w:val="es-CO"/>
        </w:rPr>
        <w:t xml:space="preserve"> 3</w:t>
      </w:r>
      <w:r>
        <w:rPr>
          <w:rFonts w:ascii="Verdana" w:hAnsi="Verdana"/>
          <w:sz w:val="16"/>
          <w:szCs w:val="16"/>
          <w:lang w:val="es-CO"/>
        </w:rPr>
        <w:t>6</w:t>
      </w:r>
      <w:r w:rsidRPr="00E919D5">
        <w:rPr>
          <w:rFonts w:ascii="Verdana" w:hAnsi="Verdana"/>
          <w:sz w:val="16"/>
          <w:szCs w:val="16"/>
          <w:lang w:val="es-CO"/>
        </w:rPr>
        <w:t>.</w:t>
      </w:r>
    </w:p>
  </w:footnote>
  <w:footnote w:id="37">
    <w:p w:rsidR="000E627C" w:rsidRPr="00E919D5" w:rsidRDefault="000E627C" w:rsidP="0054248A">
      <w:pPr>
        <w:pStyle w:val="Textonotapie"/>
        <w:jc w:val="both"/>
        <w:rPr>
          <w:rFonts w:ascii="Verdana" w:hAnsi="Verdana"/>
          <w:sz w:val="16"/>
          <w:szCs w:val="16"/>
          <w:lang w:val="es-CO"/>
        </w:rPr>
      </w:pPr>
      <w:r w:rsidRPr="00E919D5">
        <w:rPr>
          <w:rStyle w:val="Refdenotaalpie"/>
          <w:rFonts w:ascii="Verdana" w:hAnsi="Verdana"/>
          <w:sz w:val="16"/>
          <w:szCs w:val="16"/>
        </w:rPr>
        <w:footnoteRef/>
      </w:r>
      <w:r w:rsidRPr="00E919D5">
        <w:rPr>
          <w:rFonts w:ascii="Verdana" w:hAnsi="Verdana"/>
          <w:sz w:val="16"/>
          <w:szCs w:val="16"/>
        </w:rPr>
        <w:t xml:space="preserve"> </w:t>
      </w:r>
      <w:r w:rsidRPr="00E919D5">
        <w:rPr>
          <w:rFonts w:ascii="Verdana" w:hAnsi="Verdana"/>
          <w:sz w:val="16"/>
          <w:szCs w:val="16"/>
        </w:rPr>
        <w:tab/>
      </w:r>
      <w:r w:rsidRPr="00E919D5">
        <w:rPr>
          <w:rStyle w:val="Textoennegrita"/>
          <w:rFonts w:ascii="Verdana" w:hAnsi="Verdana"/>
          <w:b w:val="0"/>
          <w:i/>
          <w:color w:val="000000"/>
          <w:sz w:val="16"/>
          <w:szCs w:val="16"/>
          <w:shd w:val="clear" w:color="auto" w:fill="FFFFFF"/>
        </w:rPr>
        <w:t>Cfr</w:t>
      </w:r>
      <w:r w:rsidRPr="00E919D5">
        <w:rPr>
          <w:rStyle w:val="Textoennegrita"/>
          <w:rFonts w:ascii="Verdana" w:hAnsi="Verdana"/>
          <w:b w:val="0"/>
          <w:color w:val="000000"/>
          <w:sz w:val="16"/>
          <w:szCs w:val="16"/>
          <w:shd w:val="clear" w:color="auto" w:fill="FFFFFF"/>
        </w:rPr>
        <w:t xml:space="preserve">. </w:t>
      </w:r>
      <w:r w:rsidRPr="00E919D5">
        <w:rPr>
          <w:rStyle w:val="Textoennegrita"/>
          <w:rFonts w:ascii="Verdana" w:hAnsi="Verdana"/>
          <w:b w:val="0"/>
          <w:i/>
          <w:color w:val="000000"/>
          <w:sz w:val="16"/>
          <w:szCs w:val="16"/>
          <w:shd w:val="clear" w:color="auto" w:fill="FFFFFF"/>
        </w:rPr>
        <w:t>Caso de las Hermanas Serrano Cruz Vs. El Salvador</w:t>
      </w:r>
      <w:r w:rsidRPr="00E919D5">
        <w:rPr>
          <w:rStyle w:val="Textoennegrita"/>
          <w:rFonts w:ascii="Verdana" w:hAnsi="Verdana"/>
          <w:b w:val="0"/>
          <w:color w:val="000000"/>
          <w:sz w:val="16"/>
          <w:szCs w:val="16"/>
          <w:shd w:val="clear" w:color="auto" w:fill="FFFFFF"/>
        </w:rPr>
        <w:t>. Supervisión de Cumplimiento de Sentencia. Resolución de la Corte Interamericana de Derechos Humanos de 3 de febrero de 2010. Considerando 37.</w:t>
      </w:r>
    </w:p>
  </w:footnote>
  <w:footnote w:id="38">
    <w:p w:rsidR="000E627C" w:rsidRPr="00FC0337" w:rsidRDefault="000E627C">
      <w:pPr>
        <w:pStyle w:val="Textonotapie"/>
        <w:rPr>
          <w:rFonts w:ascii="Verdana" w:hAnsi="Verdana"/>
          <w:sz w:val="16"/>
          <w:szCs w:val="16"/>
        </w:rPr>
      </w:pPr>
      <w:r w:rsidRPr="00FC0337">
        <w:rPr>
          <w:rStyle w:val="Refdenotaalpie"/>
          <w:rFonts w:ascii="Verdana" w:hAnsi="Verdana"/>
          <w:sz w:val="16"/>
          <w:szCs w:val="16"/>
        </w:rPr>
        <w:footnoteRef/>
      </w:r>
      <w:r w:rsidRPr="00FC0337">
        <w:rPr>
          <w:rFonts w:ascii="Verdana" w:hAnsi="Verdana"/>
          <w:sz w:val="16"/>
          <w:szCs w:val="16"/>
        </w:rPr>
        <w:t xml:space="preserve"> </w:t>
      </w:r>
      <w:r w:rsidRPr="00FC0337">
        <w:rPr>
          <w:rFonts w:ascii="Verdana" w:hAnsi="Verdana"/>
          <w:sz w:val="16"/>
          <w:szCs w:val="16"/>
        </w:rPr>
        <w:tab/>
        <w:t xml:space="preserve">Informe del </w:t>
      </w:r>
      <w:r w:rsidR="00017B60">
        <w:rPr>
          <w:rFonts w:ascii="Verdana" w:hAnsi="Verdana"/>
          <w:sz w:val="16"/>
          <w:szCs w:val="16"/>
        </w:rPr>
        <w:t>“</w:t>
      </w:r>
      <w:r w:rsidRPr="00FC0337">
        <w:rPr>
          <w:rFonts w:ascii="Verdana" w:hAnsi="Verdana"/>
          <w:sz w:val="16"/>
          <w:szCs w:val="16"/>
        </w:rPr>
        <w:t>Ministerio de Salud</w:t>
      </w:r>
      <w:r w:rsidR="00017B60">
        <w:rPr>
          <w:rFonts w:ascii="Verdana" w:hAnsi="Verdana"/>
          <w:sz w:val="16"/>
          <w:szCs w:val="16"/>
        </w:rPr>
        <w:t>”</w:t>
      </w:r>
      <w:r w:rsidRPr="00FC0337">
        <w:rPr>
          <w:rFonts w:ascii="Verdana" w:hAnsi="Verdana"/>
          <w:sz w:val="16"/>
          <w:szCs w:val="16"/>
        </w:rPr>
        <w:t xml:space="preserve"> sobre el cumplimiento de las medidas de reparación en materia de salud</w:t>
      </w:r>
      <w:r w:rsidR="00017B60">
        <w:rPr>
          <w:rFonts w:ascii="Verdana" w:hAnsi="Verdana"/>
          <w:sz w:val="16"/>
          <w:szCs w:val="16"/>
        </w:rPr>
        <w:t xml:space="preserve"> a víctimas de violaciones de derechos humanos ante la Corte IDH </w:t>
      </w:r>
      <w:r w:rsidRPr="00FC0337">
        <w:rPr>
          <w:rFonts w:ascii="Verdana" w:hAnsi="Verdana"/>
          <w:sz w:val="16"/>
          <w:szCs w:val="16"/>
        </w:rPr>
        <w:t>(anexo 4 al informe estatal de 22 de mayo de 2015).</w:t>
      </w:r>
      <w:r>
        <w:rPr>
          <w:rFonts w:ascii="Verdana" w:hAnsi="Verdana"/>
          <w:sz w:val="16"/>
          <w:szCs w:val="16"/>
        </w:rPr>
        <w:t xml:space="preserve"> </w:t>
      </w:r>
    </w:p>
  </w:footnote>
  <w:footnote w:id="39">
    <w:p w:rsidR="000E627C" w:rsidRPr="001C5FD9" w:rsidRDefault="000E627C" w:rsidP="000E627C">
      <w:pPr>
        <w:pStyle w:val="Textonotapie"/>
        <w:jc w:val="both"/>
        <w:rPr>
          <w:rFonts w:ascii="Verdana" w:hAnsi="Verdana"/>
          <w:sz w:val="16"/>
          <w:szCs w:val="16"/>
        </w:rPr>
      </w:pPr>
      <w:r w:rsidRPr="001371CA">
        <w:rPr>
          <w:rStyle w:val="Refdenotaalpie"/>
          <w:rFonts w:ascii="Verdana" w:hAnsi="Verdana"/>
          <w:sz w:val="16"/>
          <w:szCs w:val="16"/>
        </w:rPr>
        <w:footnoteRef/>
      </w:r>
      <w:r w:rsidRPr="001371CA">
        <w:rPr>
          <w:rFonts w:ascii="Verdana" w:hAnsi="Verdana"/>
          <w:sz w:val="16"/>
          <w:szCs w:val="16"/>
        </w:rPr>
        <w:t xml:space="preserve"> </w:t>
      </w:r>
      <w:r w:rsidRPr="001371CA">
        <w:rPr>
          <w:rFonts w:ascii="Verdana" w:hAnsi="Verdana"/>
          <w:sz w:val="16"/>
          <w:szCs w:val="16"/>
        </w:rPr>
        <w:tab/>
        <w:t>El Estado indicó que los actuales beneficiarios de la asistencia médica hospitalaria son Suyapa, Arnulfo, José Fernando, Mar</w:t>
      </w:r>
      <w:r>
        <w:rPr>
          <w:rFonts w:ascii="Verdana" w:hAnsi="Verdana"/>
          <w:sz w:val="16"/>
          <w:szCs w:val="16"/>
        </w:rPr>
        <w:t>ía Rosa, y Oscar, todos de</w:t>
      </w:r>
      <w:r w:rsidRPr="001371CA">
        <w:rPr>
          <w:rFonts w:ascii="Verdana" w:hAnsi="Verdana"/>
          <w:sz w:val="16"/>
          <w:szCs w:val="16"/>
        </w:rPr>
        <w:t xml:space="preserve"> apellido Serrano Cruz, a partir de la muerte  de la señora Martha Serrano. </w:t>
      </w:r>
      <w:r>
        <w:rPr>
          <w:rFonts w:ascii="Verdana" w:hAnsi="Verdana"/>
          <w:sz w:val="16"/>
          <w:szCs w:val="16"/>
        </w:rPr>
        <w:t>Según afirma el Estado “[l]a verificación de</w:t>
      </w:r>
      <w:r w:rsidR="009A48DF">
        <w:rPr>
          <w:rFonts w:ascii="Verdana" w:hAnsi="Verdana"/>
          <w:sz w:val="16"/>
          <w:szCs w:val="16"/>
        </w:rPr>
        <w:t>[l estado de salud de Martha Serrano]</w:t>
      </w:r>
      <w:r>
        <w:rPr>
          <w:rFonts w:ascii="Verdana" w:hAnsi="Verdana"/>
          <w:sz w:val="16"/>
          <w:szCs w:val="16"/>
        </w:rPr>
        <w:t>, hasta su desenlace, estuvo a cargo de un enlace permanente en el Hospital Nacional Rosales por parte del Ministerio de Salud, así como de un enlace de la Cancillería salvadoreña”</w:t>
      </w:r>
      <w:r w:rsidR="009A48DF">
        <w:rPr>
          <w:rFonts w:ascii="Verdana" w:hAnsi="Verdana"/>
          <w:sz w:val="16"/>
          <w:szCs w:val="16"/>
        </w:rPr>
        <w:t>.</w:t>
      </w:r>
      <w:r>
        <w:rPr>
          <w:rFonts w:ascii="Verdana" w:hAnsi="Verdana"/>
          <w:sz w:val="16"/>
          <w:szCs w:val="16"/>
        </w:rPr>
        <w:t xml:space="preserve"> </w:t>
      </w:r>
    </w:p>
  </w:footnote>
  <w:footnote w:id="40">
    <w:p w:rsidR="000E627C" w:rsidRPr="003A10F5" w:rsidRDefault="000E627C" w:rsidP="003A10F5">
      <w:pPr>
        <w:pStyle w:val="Textonotapie"/>
        <w:jc w:val="both"/>
        <w:rPr>
          <w:rFonts w:ascii="Verdana" w:hAnsi="Verdana"/>
          <w:sz w:val="16"/>
          <w:szCs w:val="16"/>
        </w:rPr>
      </w:pPr>
      <w:r w:rsidRPr="003A10F5">
        <w:rPr>
          <w:rStyle w:val="Refdenotaalpie"/>
          <w:rFonts w:ascii="Verdana" w:hAnsi="Verdana"/>
          <w:sz w:val="16"/>
          <w:szCs w:val="16"/>
        </w:rPr>
        <w:footnoteRef/>
      </w:r>
      <w:r w:rsidRPr="003A10F5">
        <w:rPr>
          <w:rFonts w:ascii="Verdana" w:hAnsi="Verdana"/>
          <w:sz w:val="16"/>
          <w:szCs w:val="16"/>
        </w:rPr>
        <w:t xml:space="preserve"> </w:t>
      </w:r>
      <w:r w:rsidRPr="003A10F5">
        <w:rPr>
          <w:rFonts w:ascii="Verdana" w:hAnsi="Verdana"/>
          <w:sz w:val="16"/>
          <w:szCs w:val="16"/>
        </w:rPr>
        <w:tab/>
        <w:t>Convenio de Cooperación Interinstitucional entre el Ministerio de Relaciones Exteriores, la Universidad Centroamericana “José Simeón Cañas” y la Asociación Pro Búsqueda de Niñas y Niños Desaparecidos, Enero de 2010</w:t>
      </w:r>
      <w:r>
        <w:rPr>
          <w:rFonts w:ascii="Verdana" w:hAnsi="Verdana"/>
          <w:sz w:val="16"/>
          <w:szCs w:val="16"/>
        </w:rPr>
        <w:t>, artículo I.</w:t>
      </w:r>
      <w:r w:rsidRPr="003A10F5">
        <w:rPr>
          <w:rFonts w:ascii="Verdana" w:hAnsi="Verdana"/>
          <w:sz w:val="16"/>
          <w:szCs w:val="16"/>
        </w:rPr>
        <w:t xml:space="preserve"> (Anexo al informe estatal de 5 de febrero de 2010)</w:t>
      </w:r>
      <w:r w:rsidR="002B63AD">
        <w:rPr>
          <w:rFonts w:ascii="Verdana" w:hAnsi="Verdana"/>
          <w:sz w:val="16"/>
          <w:szCs w:val="16"/>
        </w:rPr>
        <w:t>.</w:t>
      </w:r>
      <w:r w:rsidRPr="003A10F5">
        <w:rPr>
          <w:rFonts w:ascii="Verdana" w:hAnsi="Verdana"/>
          <w:sz w:val="16"/>
          <w:szCs w:val="16"/>
        </w:rPr>
        <w:t xml:space="preserve"> </w:t>
      </w:r>
    </w:p>
  </w:footnote>
  <w:footnote w:id="41">
    <w:p w:rsidR="000E627C" w:rsidRPr="003A10F5" w:rsidRDefault="000E627C" w:rsidP="003A10F5">
      <w:pPr>
        <w:pStyle w:val="Textonotapie"/>
        <w:jc w:val="both"/>
        <w:rPr>
          <w:rFonts w:ascii="Verdana" w:hAnsi="Verdana"/>
          <w:sz w:val="16"/>
          <w:szCs w:val="16"/>
        </w:rPr>
      </w:pPr>
      <w:r w:rsidRPr="003A10F5">
        <w:rPr>
          <w:rStyle w:val="Refdenotaalpie"/>
          <w:rFonts w:ascii="Verdana" w:hAnsi="Verdana"/>
          <w:sz w:val="16"/>
          <w:szCs w:val="16"/>
        </w:rPr>
        <w:footnoteRef/>
      </w:r>
      <w:r w:rsidRPr="003A10F5">
        <w:rPr>
          <w:rFonts w:ascii="Verdana" w:hAnsi="Verdana"/>
          <w:sz w:val="16"/>
          <w:szCs w:val="16"/>
        </w:rPr>
        <w:t xml:space="preserve"> </w:t>
      </w:r>
      <w:r w:rsidRPr="003A10F5">
        <w:rPr>
          <w:rFonts w:ascii="Verdana" w:hAnsi="Verdana"/>
          <w:sz w:val="16"/>
          <w:szCs w:val="16"/>
        </w:rPr>
        <w:tab/>
        <w:t>Convenio de Cooperación Interinstitucional entre el Ministerio de Relaciones Exteriores, la Universidad Centroamericana “José Simeón Cañas” y la Asociación Pro Búsqueda de Niñas y Niños Desaparecidos, Enero de 2010</w:t>
      </w:r>
      <w:r>
        <w:rPr>
          <w:rFonts w:ascii="Verdana" w:hAnsi="Verdana"/>
          <w:sz w:val="16"/>
          <w:szCs w:val="16"/>
        </w:rPr>
        <w:t>, artículo III.</w:t>
      </w:r>
      <w:r w:rsidRPr="003A10F5">
        <w:rPr>
          <w:rFonts w:ascii="Verdana" w:hAnsi="Verdana"/>
          <w:sz w:val="16"/>
          <w:szCs w:val="16"/>
        </w:rPr>
        <w:t xml:space="preserve"> (Anexo al informe estatal de 5 de febrero de 2010)</w:t>
      </w:r>
      <w:r w:rsidR="002B63AD">
        <w:rPr>
          <w:rFonts w:ascii="Verdana" w:hAnsi="Verdana"/>
          <w:sz w:val="16"/>
          <w:szCs w:val="16"/>
        </w:rPr>
        <w:t>.</w:t>
      </w:r>
      <w:r w:rsidRPr="003A10F5">
        <w:rPr>
          <w:rFonts w:ascii="Verdana" w:hAnsi="Verdana"/>
          <w:sz w:val="16"/>
          <w:szCs w:val="16"/>
        </w:rPr>
        <w:t xml:space="preserve"> </w:t>
      </w:r>
    </w:p>
  </w:footnote>
  <w:footnote w:id="42">
    <w:p w:rsidR="000E627C" w:rsidRPr="003A10F5" w:rsidRDefault="000E627C" w:rsidP="003A10F5">
      <w:pPr>
        <w:pStyle w:val="Textonotapie"/>
        <w:jc w:val="both"/>
        <w:rPr>
          <w:rFonts w:ascii="Verdana" w:hAnsi="Verdana"/>
          <w:sz w:val="16"/>
          <w:szCs w:val="16"/>
        </w:rPr>
      </w:pPr>
      <w:r w:rsidRPr="003A10F5">
        <w:rPr>
          <w:rStyle w:val="Refdenotaalpie"/>
          <w:rFonts w:ascii="Verdana" w:hAnsi="Verdana"/>
          <w:sz w:val="16"/>
          <w:szCs w:val="16"/>
        </w:rPr>
        <w:footnoteRef/>
      </w:r>
      <w:r w:rsidRPr="003A10F5">
        <w:rPr>
          <w:rFonts w:ascii="Verdana" w:hAnsi="Verdana"/>
          <w:sz w:val="16"/>
          <w:szCs w:val="16"/>
        </w:rPr>
        <w:t xml:space="preserve"> </w:t>
      </w:r>
      <w:r w:rsidRPr="003A10F5">
        <w:rPr>
          <w:rFonts w:ascii="Verdana" w:hAnsi="Verdana"/>
          <w:sz w:val="16"/>
          <w:szCs w:val="16"/>
        </w:rPr>
        <w:tab/>
        <w:t>Convenio de Cooperación Interinstitucional entre el Ministerio de Relaciones Exteriores, la Universidad Centroamericana “José Simeón Cañas” y la Asociación Pro Búsqueda de Niñas y Niños Desaparecidos, Enero de 2010, artículo IV. (Anexo al informe estatal de 5 de febrero de 2010)</w:t>
      </w:r>
      <w:r w:rsidR="002B63AD">
        <w:rPr>
          <w:rFonts w:ascii="Verdana" w:hAnsi="Verdana"/>
          <w:sz w:val="16"/>
          <w:szCs w:val="16"/>
        </w:rPr>
        <w:t>.</w:t>
      </w:r>
      <w:r w:rsidRPr="003A10F5">
        <w:rPr>
          <w:rFonts w:ascii="Verdana" w:hAnsi="Verdana"/>
          <w:sz w:val="16"/>
          <w:szCs w:val="16"/>
        </w:rPr>
        <w:t xml:space="preserve"> </w:t>
      </w:r>
    </w:p>
  </w:footnote>
  <w:footnote w:id="43">
    <w:p w:rsidR="000E627C" w:rsidRPr="003A10F5" w:rsidRDefault="000E627C" w:rsidP="003A10F5">
      <w:pPr>
        <w:pStyle w:val="Textonotapie"/>
        <w:jc w:val="both"/>
        <w:rPr>
          <w:rFonts w:ascii="Verdana" w:hAnsi="Verdana"/>
          <w:sz w:val="16"/>
          <w:szCs w:val="16"/>
        </w:rPr>
      </w:pPr>
      <w:r w:rsidRPr="003A10F5">
        <w:rPr>
          <w:rStyle w:val="Refdenotaalpie"/>
          <w:rFonts w:ascii="Verdana" w:hAnsi="Verdana"/>
          <w:sz w:val="16"/>
          <w:szCs w:val="16"/>
        </w:rPr>
        <w:footnoteRef/>
      </w:r>
      <w:r w:rsidRPr="003A10F5">
        <w:rPr>
          <w:rFonts w:ascii="Verdana" w:hAnsi="Verdana"/>
          <w:sz w:val="16"/>
          <w:szCs w:val="16"/>
        </w:rPr>
        <w:t xml:space="preserve"> </w:t>
      </w:r>
      <w:r w:rsidRPr="003A10F5">
        <w:rPr>
          <w:rFonts w:ascii="Verdana" w:hAnsi="Verdana"/>
          <w:sz w:val="16"/>
          <w:szCs w:val="16"/>
        </w:rPr>
        <w:tab/>
        <w:t xml:space="preserve">Convenio de Cooperación Interinstitucional entre el Ministerio de Relaciones Exteriores, la Universidad Centroamericana “José Simeón Cañas” y la Asociación Pro Búsqueda de Niñas y Niños Desaparecidos, Enero de 2010, artículo </w:t>
      </w:r>
      <w:r>
        <w:rPr>
          <w:rFonts w:ascii="Verdana" w:hAnsi="Verdana"/>
          <w:sz w:val="16"/>
          <w:szCs w:val="16"/>
        </w:rPr>
        <w:t>VII</w:t>
      </w:r>
      <w:r w:rsidRPr="003A10F5">
        <w:rPr>
          <w:rFonts w:ascii="Verdana" w:hAnsi="Verdana"/>
          <w:sz w:val="16"/>
          <w:szCs w:val="16"/>
        </w:rPr>
        <w:t>. (Anexo al informe estatal de 5 de febrero de 2010)</w:t>
      </w:r>
      <w:r w:rsidR="002B63AD">
        <w:rPr>
          <w:rFonts w:ascii="Verdana" w:hAnsi="Verdana"/>
          <w:sz w:val="16"/>
          <w:szCs w:val="16"/>
        </w:rPr>
        <w:t>.</w:t>
      </w:r>
      <w:r w:rsidRPr="003A10F5">
        <w:rPr>
          <w:rFonts w:ascii="Verdana" w:hAnsi="Verdana"/>
          <w:sz w:val="16"/>
          <w:szCs w:val="16"/>
        </w:rPr>
        <w:t xml:space="preserve"> </w:t>
      </w:r>
    </w:p>
  </w:footnote>
  <w:footnote w:id="44">
    <w:p w:rsidR="000E627C" w:rsidRDefault="000E627C" w:rsidP="000E627C">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 xml:space="preserve"> </w:t>
      </w:r>
      <w:r w:rsidR="00D85442" w:rsidRPr="000E627C">
        <w:rPr>
          <w:rFonts w:ascii="Verdana" w:hAnsi="Verdana"/>
          <w:sz w:val="16"/>
          <w:szCs w:val="16"/>
        </w:rPr>
        <w:t xml:space="preserve">Al respecto, las representantes se refirieron, en su escrito de 2013, a las inconformidades que con anterioridad se habrían presentado respecto al servicio de transporte para trasladarse a las citas médicas programadas.  Sobre el punto relacionado al transporte, en </w:t>
      </w:r>
      <w:r w:rsidR="00017B60">
        <w:rPr>
          <w:rFonts w:ascii="Verdana" w:hAnsi="Verdana"/>
          <w:sz w:val="16"/>
          <w:szCs w:val="16"/>
        </w:rPr>
        <w:t>sus observaciones de</w:t>
      </w:r>
      <w:r w:rsidR="00D85442" w:rsidRPr="000E627C">
        <w:rPr>
          <w:rFonts w:ascii="Verdana" w:hAnsi="Verdana"/>
          <w:sz w:val="16"/>
          <w:szCs w:val="16"/>
        </w:rPr>
        <w:t xml:space="preserve"> 2012, las representantes hicieron referencia a la ausencia de transporte proporcionado por la Cancillería, pero que </w:t>
      </w:r>
      <w:r w:rsidR="00D85442" w:rsidRPr="000E627C">
        <w:rPr>
          <w:rFonts w:ascii="Verdana" w:hAnsi="Verdana"/>
          <w:sz w:val="16"/>
          <w:szCs w:val="16"/>
          <w:lang w:val="es-CO"/>
        </w:rPr>
        <w:t>en reunión sostenida el 15 de agosto de 2010, la Cancillería “se comprometió a poner mayor atención a la provisión del transporte necesario”. De esta manera, informaron que</w:t>
      </w:r>
      <w:r w:rsidR="00017B60">
        <w:rPr>
          <w:rFonts w:ascii="Verdana" w:hAnsi="Verdana"/>
          <w:sz w:val="16"/>
          <w:szCs w:val="16"/>
          <w:lang w:val="es-CO"/>
        </w:rPr>
        <w:t>,</w:t>
      </w:r>
      <w:r w:rsidR="00D85442" w:rsidRPr="000E627C">
        <w:rPr>
          <w:rFonts w:ascii="Verdana" w:hAnsi="Verdana"/>
          <w:sz w:val="16"/>
          <w:szCs w:val="16"/>
          <w:lang w:val="es-CO"/>
        </w:rPr>
        <w:t xml:space="preserve"> con posterioridad a estas comunicaciones</w:t>
      </w:r>
      <w:r w:rsidR="00017B60">
        <w:rPr>
          <w:rFonts w:ascii="Verdana" w:hAnsi="Verdana"/>
          <w:sz w:val="16"/>
          <w:szCs w:val="16"/>
          <w:lang w:val="es-CO"/>
        </w:rPr>
        <w:t>,</w:t>
      </w:r>
      <w:r w:rsidR="00D85442" w:rsidRPr="000E627C">
        <w:rPr>
          <w:rFonts w:ascii="Verdana" w:hAnsi="Verdana"/>
          <w:sz w:val="16"/>
          <w:szCs w:val="16"/>
          <w:lang w:val="es-CO"/>
        </w:rPr>
        <w:t xml:space="preserve"> los familiares no habían “presentado problemas con el transporte”. </w:t>
      </w:r>
    </w:p>
  </w:footnote>
  <w:footnote w:id="45">
    <w:p w:rsidR="00D85442" w:rsidRPr="00D85442" w:rsidRDefault="00D85442" w:rsidP="00D85442">
      <w:pPr>
        <w:pStyle w:val="Textonotapie"/>
        <w:jc w:val="both"/>
        <w:rPr>
          <w:rFonts w:ascii="Verdana" w:hAnsi="Verdana"/>
          <w:sz w:val="16"/>
          <w:szCs w:val="16"/>
        </w:rPr>
      </w:pPr>
      <w:r w:rsidRPr="00D85442">
        <w:rPr>
          <w:rStyle w:val="Refdenotaalpie"/>
          <w:rFonts w:ascii="Verdana" w:hAnsi="Verdana"/>
          <w:sz w:val="16"/>
          <w:szCs w:val="16"/>
        </w:rPr>
        <w:footnoteRef/>
      </w:r>
      <w:r w:rsidRPr="00D85442">
        <w:rPr>
          <w:rFonts w:ascii="Verdana" w:hAnsi="Verdana"/>
          <w:sz w:val="16"/>
          <w:szCs w:val="16"/>
        </w:rPr>
        <w:t xml:space="preserve"> </w:t>
      </w:r>
      <w:r w:rsidRPr="00D85442">
        <w:rPr>
          <w:rFonts w:ascii="Verdana" w:hAnsi="Verdana"/>
          <w:sz w:val="16"/>
          <w:szCs w:val="16"/>
        </w:rPr>
        <w:tab/>
      </w:r>
      <w:r w:rsidRPr="00D85442">
        <w:rPr>
          <w:rFonts w:ascii="Verdana" w:hAnsi="Verdana"/>
          <w:sz w:val="16"/>
          <w:szCs w:val="16"/>
          <w:lang w:val="es-CO"/>
        </w:rPr>
        <w:t>Sin embargo, solicitaron a la Corte que inste al Estado para que continúe “subsanado los obstáculos que puedan presentarse en la prestación de salud y a continuar brindando el tratamiento médico requerido”</w:t>
      </w:r>
      <w:r w:rsidR="00017B60">
        <w:rPr>
          <w:rFonts w:ascii="Verdana" w:hAnsi="Verdana"/>
          <w:sz w:val="16"/>
          <w:szCs w:val="16"/>
          <w:lang w:val="es-CO"/>
        </w:rPr>
        <w:t>.</w:t>
      </w:r>
      <w:r w:rsidRPr="00D85442">
        <w:rPr>
          <w:rFonts w:ascii="Verdana" w:hAnsi="Verdana"/>
          <w:sz w:val="16"/>
          <w:szCs w:val="16"/>
          <w:lang w:val="es-CO"/>
        </w:rPr>
        <w:t xml:space="preserve"> </w:t>
      </w:r>
      <w:r w:rsidR="00017B60">
        <w:rPr>
          <w:rFonts w:ascii="Verdana" w:hAnsi="Verdana"/>
          <w:sz w:val="16"/>
          <w:szCs w:val="16"/>
          <w:lang w:val="es-CO"/>
        </w:rPr>
        <w:t>También, s</w:t>
      </w:r>
      <w:r w:rsidRPr="00D85442">
        <w:rPr>
          <w:rFonts w:ascii="Verdana" w:hAnsi="Verdana"/>
          <w:sz w:val="16"/>
          <w:szCs w:val="16"/>
          <w:lang w:val="es-CO"/>
        </w:rPr>
        <w:t xml:space="preserve">olicitaron a la Corte que siga supervisando el cumplimiento de esta medida. Las representantes no identificaron algún obstáculo específico en </w:t>
      </w:r>
      <w:r w:rsidR="00017B60">
        <w:rPr>
          <w:rFonts w:ascii="Verdana" w:hAnsi="Verdana"/>
          <w:sz w:val="16"/>
          <w:szCs w:val="16"/>
          <w:lang w:val="es-CO"/>
        </w:rPr>
        <w:t>su último</w:t>
      </w:r>
      <w:r w:rsidRPr="00D85442">
        <w:rPr>
          <w:rFonts w:ascii="Verdana" w:hAnsi="Verdana"/>
          <w:sz w:val="16"/>
          <w:szCs w:val="16"/>
          <w:lang w:val="es-CO"/>
        </w:rPr>
        <w:t xml:space="preserve"> escrito de observaciones.</w:t>
      </w:r>
    </w:p>
  </w:footnote>
  <w:footnote w:id="46">
    <w:p w:rsidR="00D85442" w:rsidRDefault="00D85442" w:rsidP="00D85442">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i/>
          <w:sz w:val="16"/>
          <w:szCs w:val="16"/>
        </w:rPr>
        <w:t>Casos Fernández Ortega y otros y Rosendo Cantú y otra Vs. México</w:t>
      </w:r>
      <w:r>
        <w:rPr>
          <w:rFonts w:ascii="Verdana" w:hAnsi="Verdana"/>
          <w:sz w:val="16"/>
          <w:szCs w:val="16"/>
        </w:rPr>
        <w:t>. Supervisión de Cumplimiento de Sentencia. Resolución de la Corte Interamericana de Derechos Humanos de 21 de noviembre de 2014, Considerando 17.</w:t>
      </w:r>
    </w:p>
  </w:footnote>
  <w:footnote w:id="47">
    <w:p w:rsidR="00D85442" w:rsidRDefault="00D85442" w:rsidP="00D85442">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Cfr.</w:t>
      </w:r>
      <w:r>
        <w:rPr>
          <w:rFonts w:ascii="Verdana" w:hAnsi="Verdana"/>
          <w:sz w:val="16"/>
          <w:szCs w:val="16"/>
        </w:rPr>
        <w:t xml:space="preserve"> </w:t>
      </w:r>
      <w:r>
        <w:rPr>
          <w:rFonts w:ascii="Verdana" w:hAnsi="Verdana"/>
          <w:i/>
          <w:sz w:val="16"/>
          <w:szCs w:val="16"/>
        </w:rPr>
        <w:t>Casos Fernández Ortega y otros y Rosendo Cantú y otra Vs. México</w:t>
      </w:r>
      <w:r>
        <w:rPr>
          <w:rFonts w:ascii="Verdana" w:hAnsi="Verdana"/>
          <w:sz w:val="16"/>
          <w:szCs w:val="16"/>
        </w:rPr>
        <w:t>. Supervisión de Cumplimiento de Sentencia. Resolución de la Corte Interamericana de Derechos Humanos de 21 de noviembre de 2014, Considerandos 17 y 18.</w:t>
      </w:r>
    </w:p>
  </w:footnote>
  <w:footnote w:id="48">
    <w:p w:rsidR="00971B9B" w:rsidRDefault="00971B9B" w:rsidP="00971B9B">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R"/>
        </w:rPr>
        <w:tab/>
        <w:t xml:space="preserve">Por ejemplo, los representantes indicaron que “en la investigación del caso de las [hermanas] Serrano, existe información sobre los militares que participaron en el operativo en el que se produjo la desaparición que no es tomada en consideración” en los tres expedientes correspondientes al caso Contreras. </w:t>
      </w:r>
    </w:p>
  </w:footnote>
  <w:footnote w:id="49">
    <w:p w:rsidR="00905C17" w:rsidRDefault="00905C17" w:rsidP="00905C17">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lang w:val="es-CR"/>
        </w:rPr>
        <w:tab/>
        <w:t>“</w:t>
      </w:r>
      <w:r>
        <w:rPr>
          <w:rFonts w:ascii="Verdana" w:hAnsi="Verdana"/>
          <w:sz w:val="16"/>
          <w:szCs w:val="16"/>
        </w:rPr>
        <w:t xml:space="preserve">La Corte podrá requerir a otras fuentes de información datos relevantes sobre el caso, que permitan apreciar el cumplimiento. Para los mismos efectos podrá también requerir los peritajes e informes que considere oportunos”. </w:t>
      </w:r>
      <w:r>
        <w:rPr>
          <w:rFonts w:ascii="Verdana" w:hAnsi="Verdana"/>
          <w:sz w:val="16"/>
          <w:szCs w:val="16"/>
          <w:lang w:val="es-MX"/>
        </w:rPr>
        <w:t xml:space="preserve">Se entiende que esta información es distinta a la que brinda el Estado en su carácter de parte de este proceso de supervisión de cumplimiento. </w:t>
      </w:r>
      <w:r>
        <w:rPr>
          <w:rFonts w:ascii="Verdana" w:hAnsi="Verdana"/>
          <w:i/>
          <w:sz w:val="16"/>
          <w:szCs w:val="16"/>
          <w:lang w:val="es-MX"/>
        </w:rPr>
        <w:t xml:space="preserve">Cfr. Caso del Penal Miguel Castro </w:t>
      </w:r>
      <w:proofErr w:type="spellStart"/>
      <w:r>
        <w:rPr>
          <w:rFonts w:ascii="Verdana" w:hAnsi="Verdana"/>
          <w:i/>
          <w:sz w:val="16"/>
          <w:szCs w:val="16"/>
          <w:lang w:val="es-MX"/>
        </w:rPr>
        <w:t>Castro</w:t>
      </w:r>
      <w:proofErr w:type="spellEnd"/>
      <w:r>
        <w:rPr>
          <w:rFonts w:ascii="Verdana" w:hAnsi="Verdana"/>
          <w:i/>
          <w:sz w:val="16"/>
          <w:szCs w:val="16"/>
          <w:lang w:val="es-MX"/>
        </w:rPr>
        <w:t xml:space="preserve"> Vs. Perú. </w:t>
      </w:r>
      <w:r>
        <w:rPr>
          <w:rFonts w:ascii="Verdana" w:hAnsi="Verdana"/>
          <w:sz w:val="16"/>
          <w:szCs w:val="16"/>
          <w:lang w:val="es-MX"/>
        </w:rPr>
        <w:t>Supervisión de Cumplimiento de Sentencia. Resolución de la Corte Interamericana de Derechos Humanos de 17 de abril de 2015</w:t>
      </w:r>
      <w:r>
        <w:rPr>
          <w:rFonts w:ascii="Verdana" w:hAnsi="Verdana"/>
          <w:i/>
          <w:sz w:val="16"/>
          <w:szCs w:val="16"/>
          <w:lang w:val="es-MX"/>
        </w:rPr>
        <w:t xml:space="preserve">, </w:t>
      </w:r>
      <w:r>
        <w:rPr>
          <w:rFonts w:ascii="Verdana" w:hAnsi="Verdana"/>
          <w:sz w:val="16"/>
          <w:szCs w:val="16"/>
          <w:lang w:val="es-MX"/>
        </w:rPr>
        <w:t xml:space="preserve">Considerando 26; </w:t>
      </w:r>
      <w:r>
        <w:rPr>
          <w:rFonts w:ascii="Verdana" w:hAnsi="Verdana"/>
          <w:i/>
          <w:sz w:val="16"/>
          <w:szCs w:val="16"/>
          <w:lang w:val="es-MX"/>
        </w:rPr>
        <w:t>12 Casos Guatemaltecos Vs. Guatemala.</w:t>
      </w:r>
      <w:r>
        <w:rPr>
          <w:rFonts w:ascii="Verdana" w:hAnsi="Verdana"/>
          <w:sz w:val="16"/>
          <w:szCs w:val="16"/>
          <w:lang w:val="es-MX"/>
        </w:rPr>
        <w:t xml:space="preserve"> Supervisión de Cumplimiento de Sentencia. Resolución de la Corte Interamericana de Derechos Humanos de 24 de noviembre de 2015, Considerando 31; </w:t>
      </w:r>
      <w:r>
        <w:rPr>
          <w:rFonts w:ascii="Verdana" w:hAnsi="Verdana"/>
          <w:i/>
          <w:sz w:val="16"/>
          <w:szCs w:val="16"/>
          <w:lang w:val="es-MX"/>
        </w:rPr>
        <w:t>Caso Artavia Murillo y otros ("Fecundación In Vitro") Vs. Costa Rica</w:t>
      </w:r>
      <w:r>
        <w:rPr>
          <w:rFonts w:ascii="Verdana" w:hAnsi="Verdana"/>
          <w:sz w:val="16"/>
          <w:szCs w:val="16"/>
          <w:lang w:val="es-MX"/>
        </w:rPr>
        <w:t>. Supervisión de Cumplimiento de Sentencia. Resolución de la Corte Interamericana de Derechos Humanos de 26 de febrero de 2016, Considerando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A2237"/>
    <w:multiLevelType w:val="hybridMultilevel"/>
    <w:tmpl w:val="C0F646AE"/>
    <w:lvl w:ilvl="0" w:tplc="140A000F">
      <w:start w:val="1"/>
      <w:numFmt w:val="decimal"/>
      <w:lvlText w:val="%1."/>
      <w:lvlJc w:val="left"/>
      <w:pPr>
        <w:ind w:left="775" w:hanging="360"/>
      </w:pPr>
    </w:lvl>
    <w:lvl w:ilvl="1" w:tplc="140A0019">
      <w:start w:val="1"/>
      <w:numFmt w:val="lowerLetter"/>
      <w:lvlText w:val="%2."/>
      <w:lvlJc w:val="left"/>
      <w:pPr>
        <w:ind w:left="1495" w:hanging="360"/>
      </w:pPr>
    </w:lvl>
    <w:lvl w:ilvl="2" w:tplc="140A001B">
      <w:start w:val="1"/>
      <w:numFmt w:val="lowerRoman"/>
      <w:lvlText w:val="%3."/>
      <w:lvlJc w:val="right"/>
      <w:pPr>
        <w:ind w:left="2215" w:hanging="180"/>
      </w:pPr>
    </w:lvl>
    <w:lvl w:ilvl="3" w:tplc="140A000F">
      <w:start w:val="1"/>
      <w:numFmt w:val="decimal"/>
      <w:lvlText w:val="%4."/>
      <w:lvlJc w:val="left"/>
      <w:pPr>
        <w:ind w:left="2935" w:hanging="360"/>
      </w:pPr>
    </w:lvl>
    <w:lvl w:ilvl="4" w:tplc="140A0019">
      <w:start w:val="1"/>
      <w:numFmt w:val="lowerLetter"/>
      <w:lvlText w:val="%5."/>
      <w:lvlJc w:val="left"/>
      <w:pPr>
        <w:ind w:left="3655" w:hanging="360"/>
      </w:pPr>
    </w:lvl>
    <w:lvl w:ilvl="5" w:tplc="140A001B">
      <w:start w:val="1"/>
      <w:numFmt w:val="lowerRoman"/>
      <w:lvlText w:val="%6."/>
      <w:lvlJc w:val="right"/>
      <w:pPr>
        <w:ind w:left="4375" w:hanging="180"/>
      </w:pPr>
    </w:lvl>
    <w:lvl w:ilvl="6" w:tplc="140A000F">
      <w:start w:val="1"/>
      <w:numFmt w:val="decimal"/>
      <w:lvlText w:val="%7."/>
      <w:lvlJc w:val="left"/>
      <w:pPr>
        <w:ind w:left="5095" w:hanging="360"/>
      </w:pPr>
    </w:lvl>
    <w:lvl w:ilvl="7" w:tplc="140A0019">
      <w:start w:val="1"/>
      <w:numFmt w:val="lowerLetter"/>
      <w:lvlText w:val="%8."/>
      <w:lvlJc w:val="left"/>
      <w:pPr>
        <w:ind w:left="5815" w:hanging="360"/>
      </w:pPr>
    </w:lvl>
    <w:lvl w:ilvl="8" w:tplc="140A001B">
      <w:start w:val="1"/>
      <w:numFmt w:val="lowerRoman"/>
      <w:lvlText w:val="%9."/>
      <w:lvlJc w:val="right"/>
      <w:pPr>
        <w:ind w:left="6535" w:hanging="180"/>
      </w:pPr>
    </w:lvl>
  </w:abstractNum>
  <w:abstractNum w:abstractNumId="1">
    <w:nsid w:val="12B96FCF"/>
    <w:multiLevelType w:val="hybridMultilevel"/>
    <w:tmpl w:val="00FC0B0E"/>
    <w:lvl w:ilvl="0" w:tplc="91781EC0">
      <w:start w:val="1"/>
      <w:numFmt w:val="lowerRoman"/>
      <w:lvlText w:val="%1)"/>
      <w:lvlJc w:val="left"/>
      <w:pPr>
        <w:ind w:left="1428" w:hanging="720"/>
      </w:pPr>
      <w:rPr>
        <w:i w:val="0"/>
      </w:r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2">
    <w:nsid w:val="188A11C0"/>
    <w:multiLevelType w:val="hybridMultilevel"/>
    <w:tmpl w:val="BE0A3CE8"/>
    <w:lvl w:ilvl="0" w:tplc="70EEE144">
      <w:start w:val="1"/>
      <w:numFmt w:val="decimal"/>
      <w:lvlText w:val="%1."/>
      <w:lvlJc w:val="left"/>
      <w:pPr>
        <w:ind w:left="502" w:hanging="360"/>
      </w:pPr>
      <w:rPr>
        <w:rFonts w:ascii="Verdana" w:hAnsi="Verdana" w:hint="default"/>
        <w:b w:val="0"/>
        <w:i w:val="0"/>
        <w:sz w:val="20"/>
        <w:szCs w:val="20"/>
      </w:rPr>
    </w:lvl>
    <w:lvl w:ilvl="1" w:tplc="140A0019">
      <w:start w:val="1"/>
      <w:numFmt w:val="lowerLetter"/>
      <w:lvlText w:val="%2."/>
      <w:lvlJc w:val="left"/>
      <w:pPr>
        <w:ind w:left="270" w:hanging="360"/>
      </w:pPr>
    </w:lvl>
    <w:lvl w:ilvl="2" w:tplc="01349BFA">
      <w:start w:val="1"/>
      <w:numFmt w:val="lowerRoman"/>
      <w:lvlText w:val="%3."/>
      <w:lvlJc w:val="right"/>
      <w:pPr>
        <w:ind w:left="990" w:hanging="180"/>
      </w:pPr>
      <w:rPr>
        <w:b w:val="0"/>
        <w:color w:val="auto"/>
        <w:sz w:val="20"/>
        <w:szCs w:val="20"/>
      </w:r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3">
    <w:nsid w:val="1EC81187"/>
    <w:multiLevelType w:val="hybridMultilevel"/>
    <w:tmpl w:val="B6F4616C"/>
    <w:lvl w:ilvl="0" w:tplc="055C0838">
      <w:start w:val="1"/>
      <w:numFmt w:val="decimal"/>
      <w:lvlText w:val="%1."/>
      <w:lvlJc w:val="left"/>
      <w:pPr>
        <w:ind w:left="720" w:hanging="360"/>
      </w:pPr>
      <w:rPr>
        <w:rFonts w:ascii="Verdana" w:hAnsi="Verdana"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nsid w:val="2121341E"/>
    <w:multiLevelType w:val="hybridMultilevel"/>
    <w:tmpl w:val="5B149E84"/>
    <w:lvl w:ilvl="0" w:tplc="140A001B">
      <w:start w:val="1"/>
      <w:numFmt w:val="lowerRoman"/>
      <w:lvlText w:val="%1."/>
      <w:lvlJc w:val="right"/>
      <w:pPr>
        <w:ind w:left="990" w:hanging="18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25171A29"/>
    <w:multiLevelType w:val="hybridMultilevel"/>
    <w:tmpl w:val="A57627C0"/>
    <w:lvl w:ilvl="0" w:tplc="140A001B">
      <w:start w:val="1"/>
      <w:numFmt w:val="lowerRoman"/>
      <w:lvlText w:val="%1."/>
      <w:lvlJc w:val="right"/>
      <w:pPr>
        <w:ind w:left="990" w:hanging="18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DBA7101"/>
    <w:multiLevelType w:val="hybridMultilevel"/>
    <w:tmpl w:val="352421B2"/>
    <w:lvl w:ilvl="0" w:tplc="159677A0">
      <w:start w:val="1"/>
      <w:numFmt w:val="decimal"/>
      <w:lvlText w:val="%1."/>
      <w:lvlJc w:val="left"/>
      <w:pPr>
        <w:ind w:left="502" w:hanging="360"/>
      </w:pPr>
      <w:rPr>
        <w:rFonts w:ascii="Verdana" w:hAnsi="Verdana" w:hint="default"/>
        <w:b w:val="0"/>
        <w:i w:val="0"/>
        <w:sz w:val="18"/>
        <w:szCs w:val="18"/>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7">
    <w:nsid w:val="41830A06"/>
    <w:multiLevelType w:val="hybridMultilevel"/>
    <w:tmpl w:val="5B287138"/>
    <w:lvl w:ilvl="0" w:tplc="140A001B">
      <w:start w:val="1"/>
      <w:numFmt w:val="lowerRoman"/>
      <w:lvlText w:val="%1."/>
      <w:lvlJc w:val="right"/>
      <w:pPr>
        <w:ind w:left="990" w:hanging="18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43D327E1"/>
    <w:multiLevelType w:val="hybridMultilevel"/>
    <w:tmpl w:val="1458B278"/>
    <w:lvl w:ilvl="0" w:tplc="01349BFA">
      <w:start w:val="1"/>
      <w:numFmt w:val="lowerRoman"/>
      <w:lvlText w:val="%1."/>
      <w:lvlJc w:val="right"/>
      <w:pPr>
        <w:ind w:left="990" w:hanging="180"/>
      </w:pPr>
      <w:rPr>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4FD31727"/>
    <w:multiLevelType w:val="hybridMultilevel"/>
    <w:tmpl w:val="D32A8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667CBB"/>
    <w:multiLevelType w:val="hybridMultilevel"/>
    <w:tmpl w:val="5DB2C7EE"/>
    <w:lvl w:ilvl="0" w:tplc="0666E7B2">
      <w:start w:val="1"/>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1A0255"/>
    <w:multiLevelType w:val="hybridMultilevel"/>
    <w:tmpl w:val="DB3AE4EC"/>
    <w:lvl w:ilvl="0" w:tplc="E64EEBFE">
      <w:start w:val="1"/>
      <w:numFmt w:val="decimal"/>
      <w:lvlText w:val="%1."/>
      <w:lvlJc w:val="left"/>
      <w:pPr>
        <w:ind w:left="502" w:hanging="360"/>
      </w:pPr>
      <w:rPr>
        <w:rFonts w:ascii="Verdana" w:hAnsi="Verdana" w:hint="default"/>
        <w:b w:val="0"/>
        <w:i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12">
    <w:nsid w:val="54AD3201"/>
    <w:multiLevelType w:val="hybridMultilevel"/>
    <w:tmpl w:val="1458B278"/>
    <w:lvl w:ilvl="0" w:tplc="01349BFA">
      <w:start w:val="1"/>
      <w:numFmt w:val="lowerRoman"/>
      <w:lvlText w:val="%1."/>
      <w:lvlJc w:val="right"/>
      <w:pPr>
        <w:ind w:left="990" w:hanging="180"/>
      </w:pPr>
      <w:rPr>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584D5978"/>
    <w:multiLevelType w:val="hybridMultilevel"/>
    <w:tmpl w:val="DE4EE274"/>
    <w:lvl w:ilvl="0" w:tplc="02BE6C6C">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5A568E"/>
    <w:multiLevelType w:val="hybridMultilevel"/>
    <w:tmpl w:val="6EA2CEA4"/>
    <w:lvl w:ilvl="0" w:tplc="E0303174">
      <w:start w:val="1"/>
      <w:numFmt w:val="upperLetter"/>
      <w:lvlText w:val="%1."/>
      <w:lvlJc w:val="left"/>
      <w:pPr>
        <w:ind w:left="720" w:hanging="360"/>
      </w:pPr>
      <w:rPr>
        <w:rFonts w:hint="default"/>
        <w:b/>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6D6C1407"/>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16">
    <w:nsid w:val="73BD705A"/>
    <w:multiLevelType w:val="hybridMultilevel"/>
    <w:tmpl w:val="0EEA85A0"/>
    <w:lvl w:ilvl="0" w:tplc="E0303174">
      <w:start w:val="1"/>
      <w:numFmt w:val="upperLetter"/>
      <w:lvlText w:val="%1."/>
      <w:lvlJc w:val="left"/>
      <w:pPr>
        <w:ind w:left="720" w:hanging="360"/>
      </w:pPr>
      <w:rPr>
        <w:rFonts w:hint="default"/>
        <w:b/>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73EC00BC"/>
    <w:multiLevelType w:val="hybridMultilevel"/>
    <w:tmpl w:val="33383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46572E"/>
    <w:multiLevelType w:val="hybridMultilevel"/>
    <w:tmpl w:val="CC92A07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9">
    <w:nsid w:val="7B4725DD"/>
    <w:multiLevelType w:val="hybridMultilevel"/>
    <w:tmpl w:val="97A071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7F622484"/>
    <w:multiLevelType w:val="hybridMultilevel"/>
    <w:tmpl w:val="83DAD4CE"/>
    <w:lvl w:ilvl="0" w:tplc="79287B2A">
      <w:start w:val="1"/>
      <w:numFmt w:val="decimal"/>
      <w:lvlText w:val="%1."/>
      <w:lvlJc w:val="left"/>
      <w:pPr>
        <w:ind w:left="360" w:hanging="360"/>
      </w:pPr>
      <w:rPr>
        <w:rFonts w:ascii="Verdana" w:hAnsi="Verdana" w:hint="default"/>
        <w:b w:val="0"/>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21">
    <w:nsid w:val="7F7D2D59"/>
    <w:multiLevelType w:val="hybridMultilevel"/>
    <w:tmpl w:val="1AD824AC"/>
    <w:lvl w:ilvl="0" w:tplc="C5B2D4B0">
      <w:start w:val="1"/>
      <w:numFmt w:val="lowerLetter"/>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num>
  <w:num w:numId="4">
    <w:abstractNumId w:val="15"/>
  </w:num>
  <w:num w:numId="5">
    <w:abstractNumId w:val="18"/>
  </w:num>
  <w:num w:numId="6">
    <w:abstractNumId w:val="17"/>
  </w:num>
  <w:num w:numId="7">
    <w:abstractNumId w:val="9"/>
  </w:num>
  <w:num w:numId="8">
    <w:abstractNumId w:val="13"/>
  </w:num>
  <w:num w:numId="9">
    <w:abstractNumId w:val="10"/>
  </w:num>
  <w:num w:numId="10">
    <w:abstractNumId w:val="11"/>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7"/>
  </w:num>
  <w:num w:numId="20">
    <w:abstractNumId w:val="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5B80"/>
    <w:rsid w:val="00007BD6"/>
    <w:rsid w:val="00011472"/>
    <w:rsid w:val="00017B60"/>
    <w:rsid w:val="000275C3"/>
    <w:rsid w:val="000355B4"/>
    <w:rsid w:val="000356F0"/>
    <w:rsid w:val="000542DA"/>
    <w:rsid w:val="00090279"/>
    <w:rsid w:val="000908B3"/>
    <w:rsid w:val="000920BB"/>
    <w:rsid w:val="000D061D"/>
    <w:rsid w:val="000E1DD8"/>
    <w:rsid w:val="000E4BFF"/>
    <w:rsid w:val="000E627C"/>
    <w:rsid w:val="000E724D"/>
    <w:rsid w:val="000E77A6"/>
    <w:rsid w:val="000F3586"/>
    <w:rsid w:val="000F45C6"/>
    <w:rsid w:val="001032D6"/>
    <w:rsid w:val="001371CA"/>
    <w:rsid w:val="001408FC"/>
    <w:rsid w:val="00140F40"/>
    <w:rsid w:val="001522F2"/>
    <w:rsid w:val="00166852"/>
    <w:rsid w:val="001713D5"/>
    <w:rsid w:val="001732F2"/>
    <w:rsid w:val="00175CAC"/>
    <w:rsid w:val="00182A65"/>
    <w:rsid w:val="0019740C"/>
    <w:rsid w:val="001B76BD"/>
    <w:rsid w:val="001C210D"/>
    <w:rsid w:val="001C592F"/>
    <w:rsid w:val="001C5FA9"/>
    <w:rsid w:val="001C5FD9"/>
    <w:rsid w:val="001F1E53"/>
    <w:rsid w:val="002013BF"/>
    <w:rsid w:val="002033AE"/>
    <w:rsid w:val="00207030"/>
    <w:rsid w:val="00215D22"/>
    <w:rsid w:val="002172AE"/>
    <w:rsid w:val="002367B8"/>
    <w:rsid w:val="0028349D"/>
    <w:rsid w:val="002856D9"/>
    <w:rsid w:val="00291DF0"/>
    <w:rsid w:val="00291E4F"/>
    <w:rsid w:val="00297A78"/>
    <w:rsid w:val="002A2486"/>
    <w:rsid w:val="002B30E3"/>
    <w:rsid w:val="002B63AD"/>
    <w:rsid w:val="002C7175"/>
    <w:rsid w:val="002E0627"/>
    <w:rsid w:val="003105E7"/>
    <w:rsid w:val="003245EB"/>
    <w:rsid w:val="0033667B"/>
    <w:rsid w:val="00336EC7"/>
    <w:rsid w:val="003533B5"/>
    <w:rsid w:val="00360130"/>
    <w:rsid w:val="00362655"/>
    <w:rsid w:val="00363050"/>
    <w:rsid w:val="003A10F5"/>
    <w:rsid w:val="003A58CF"/>
    <w:rsid w:val="003A62A9"/>
    <w:rsid w:val="003A79D7"/>
    <w:rsid w:val="003D2F74"/>
    <w:rsid w:val="003E3CA3"/>
    <w:rsid w:val="003E6F7C"/>
    <w:rsid w:val="003F0853"/>
    <w:rsid w:val="003F6BD8"/>
    <w:rsid w:val="003F7A80"/>
    <w:rsid w:val="00402393"/>
    <w:rsid w:val="00413670"/>
    <w:rsid w:val="0041482B"/>
    <w:rsid w:val="004214C8"/>
    <w:rsid w:val="004215A6"/>
    <w:rsid w:val="00421DB6"/>
    <w:rsid w:val="00435C73"/>
    <w:rsid w:val="004362EA"/>
    <w:rsid w:val="00440572"/>
    <w:rsid w:val="0044175A"/>
    <w:rsid w:val="004474B7"/>
    <w:rsid w:val="004538D0"/>
    <w:rsid w:val="00456285"/>
    <w:rsid w:val="00464732"/>
    <w:rsid w:val="00493AE7"/>
    <w:rsid w:val="004B059C"/>
    <w:rsid w:val="004D6FB0"/>
    <w:rsid w:val="004E2679"/>
    <w:rsid w:val="004E6124"/>
    <w:rsid w:val="004F3B88"/>
    <w:rsid w:val="004F53F2"/>
    <w:rsid w:val="00507CDB"/>
    <w:rsid w:val="00513452"/>
    <w:rsid w:val="0052000D"/>
    <w:rsid w:val="005369CD"/>
    <w:rsid w:val="0054248A"/>
    <w:rsid w:val="005570D7"/>
    <w:rsid w:val="00566025"/>
    <w:rsid w:val="0058268B"/>
    <w:rsid w:val="00584C81"/>
    <w:rsid w:val="005977D5"/>
    <w:rsid w:val="005D2546"/>
    <w:rsid w:val="005F2C5A"/>
    <w:rsid w:val="005F4722"/>
    <w:rsid w:val="00606587"/>
    <w:rsid w:val="00626388"/>
    <w:rsid w:val="00637AEB"/>
    <w:rsid w:val="006421F8"/>
    <w:rsid w:val="00644646"/>
    <w:rsid w:val="0066078C"/>
    <w:rsid w:val="00662772"/>
    <w:rsid w:val="00666153"/>
    <w:rsid w:val="00675909"/>
    <w:rsid w:val="006972B3"/>
    <w:rsid w:val="006B3611"/>
    <w:rsid w:val="006B36F6"/>
    <w:rsid w:val="006D3A8E"/>
    <w:rsid w:val="006D45C0"/>
    <w:rsid w:val="006D4A6E"/>
    <w:rsid w:val="006F1B38"/>
    <w:rsid w:val="006F5F08"/>
    <w:rsid w:val="007064D9"/>
    <w:rsid w:val="00716296"/>
    <w:rsid w:val="0073406D"/>
    <w:rsid w:val="0074410C"/>
    <w:rsid w:val="0074538E"/>
    <w:rsid w:val="00750037"/>
    <w:rsid w:val="007522A0"/>
    <w:rsid w:val="00760B04"/>
    <w:rsid w:val="007616B3"/>
    <w:rsid w:val="007646DD"/>
    <w:rsid w:val="0077016C"/>
    <w:rsid w:val="00791357"/>
    <w:rsid w:val="00793B21"/>
    <w:rsid w:val="007B3342"/>
    <w:rsid w:val="007F1664"/>
    <w:rsid w:val="00826A3A"/>
    <w:rsid w:val="00856540"/>
    <w:rsid w:val="008569AF"/>
    <w:rsid w:val="00890CB8"/>
    <w:rsid w:val="00892B1C"/>
    <w:rsid w:val="00892F1E"/>
    <w:rsid w:val="00895DDD"/>
    <w:rsid w:val="008A6221"/>
    <w:rsid w:val="008B1D9F"/>
    <w:rsid w:val="008B3F85"/>
    <w:rsid w:val="008B6F27"/>
    <w:rsid w:val="008D4E19"/>
    <w:rsid w:val="008D7D2D"/>
    <w:rsid w:val="008E45C8"/>
    <w:rsid w:val="008E59A5"/>
    <w:rsid w:val="008F0755"/>
    <w:rsid w:val="009000D4"/>
    <w:rsid w:val="009046E5"/>
    <w:rsid w:val="00905C17"/>
    <w:rsid w:val="00931FA4"/>
    <w:rsid w:val="00933932"/>
    <w:rsid w:val="00934BA7"/>
    <w:rsid w:val="00955330"/>
    <w:rsid w:val="00955B6B"/>
    <w:rsid w:val="00963C60"/>
    <w:rsid w:val="00970064"/>
    <w:rsid w:val="00971B9B"/>
    <w:rsid w:val="009A48DF"/>
    <w:rsid w:val="009A75A6"/>
    <w:rsid w:val="009B19AB"/>
    <w:rsid w:val="009B364C"/>
    <w:rsid w:val="009C36E8"/>
    <w:rsid w:val="009C3FDD"/>
    <w:rsid w:val="009D2B09"/>
    <w:rsid w:val="009E0CFA"/>
    <w:rsid w:val="009F0AC3"/>
    <w:rsid w:val="00A02C09"/>
    <w:rsid w:val="00A06C90"/>
    <w:rsid w:val="00A10EC8"/>
    <w:rsid w:val="00A131E0"/>
    <w:rsid w:val="00A15DCB"/>
    <w:rsid w:val="00A23FED"/>
    <w:rsid w:val="00A31A5D"/>
    <w:rsid w:val="00A433D6"/>
    <w:rsid w:val="00A6121F"/>
    <w:rsid w:val="00A61249"/>
    <w:rsid w:val="00A84AF6"/>
    <w:rsid w:val="00A85471"/>
    <w:rsid w:val="00A96DA1"/>
    <w:rsid w:val="00AA6A63"/>
    <w:rsid w:val="00AA74B8"/>
    <w:rsid w:val="00AB71E4"/>
    <w:rsid w:val="00B0058C"/>
    <w:rsid w:val="00B0330A"/>
    <w:rsid w:val="00B11AAE"/>
    <w:rsid w:val="00B31474"/>
    <w:rsid w:val="00B53DF6"/>
    <w:rsid w:val="00B700CE"/>
    <w:rsid w:val="00B724BD"/>
    <w:rsid w:val="00B75C5D"/>
    <w:rsid w:val="00B75EB5"/>
    <w:rsid w:val="00B824BD"/>
    <w:rsid w:val="00BD0925"/>
    <w:rsid w:val="00BD26DA"/>
    <w:rsid w:val="00BE578D"/>
    <w:rsid w:val="00BE7D56"/>
    <w:rsid w:val="00BF0711"/>
    <w:rsid w:val="00BF39A3"/>
    <w:rsid w:val="00BF3E3F"/>
    <w:rsid w:val="00BF7E25"/>
    <w:rsid w:val="00C102B2"/>
    <w:rsid w:val="00C1143F"/>
    <w:rsid w:val="00C12EF8"/>
    <w:rsid w:val="00C172E1"/>
    <w:rsid w:val="00C2009B"/>
    <w:rsid w:val="00C270E0"/>
    <w:rsid w:val="00C37C80"/>
    <w:rsid w:val="00C432E6"/>
    <w:rsid w:val="00C70936"/>
    <w:rsid w:val="00C717DD"/>
    <w:rsid w:val="00C71D01"/>
    <w:rsid w:val="00C928E6"/>
    <w:rsid w:val="00C92C70"/>
    <w:rsid w:val="00C97C57"/>
    <w:rsid w:val="00CA3768"/>
    <w:rsid w:val="00CB0750"/>
    <w:rsid w:val="00CD4614"/>
    <w:rsid w:val="00CE6784"/>
    <w:rsid w:val="00CF0EFE"/>
    <w:rsid w:val="00CF25EB"/>
    <w:rsid w:val="00D072F0"/>
    <w:rsid w:val="00D35B80"/>
    <w:rsid w:val="00D366F6"/>
    <w:rsid w:val="00D44261"/>
    <w:rsid w:val="00D44A8D"/>
    <w:rsid w:val="00D52786"/>
    <w:rsid w:val="00D64368"/>
    <w:rsid w:val="00D66CF5"/>
    <w:rsid w:val="00D676EE"/>
    <w:rsid w:val="00D7578B"/>
    <w:rsid w:val="00D83FAA"/>
    <w:rsid w:val="00D8433A"/>
    <w:rsid w:val="00D85442"/>
    <w:rsid w:val="00D926D8"/>
    <w:rsid w:val="00D93782"/>
    <w:rsid w:val="00DA05CF"/>
    <w:rsid w:val="00DB4303"/>
    <w:rsid w:val="00DC354C"/>
    <w:rsid w:val="00DC50F5"/>
    <w:rsid w:val="00DC79BB"/>
    <w:rsid w:val="00DD31D2"/>
    <w:rsid w:val="00DD63B8"/>
    <w:rsid w:val="00DE4E1B"/>
    <w:rsid w:val="00DE6324"/>
    <w:rsid w:val="00E03BB4"/>
    <w:rsid w:val="00E04E06"/>
    <w:rsid w:val="00E1230C"/>
    <w:rsid w:val="00E15FEF"/>
    <w:rsid w:val="00E1611C"/>
    <w:rsid w:val="00E358BD"/>
    <w:rsid w:val="00E40D73"/>
    <w:rsid w:val="00E5256F"/>
    <w:rsid w:val="00E81585"/>
    <w:rsid w:val="00E919D5"/>
    <w:rsid w:val="00E9519F"/>
    <w:rsid w:val="00EA4394"/>
    <w:rsid w:val="00EB2DAE"/>
    <w:rsid w:val="00EB6432"/>
    <w:rsid w:val="00EC4AE2"/>
    <w:rsid w:val="00EC7DD3"/>
    <w:rsid w:val="00EE232C"/>
    <w:rsid w:val="00EE30FB"/>
    <w:rsid w:val="00F13678"/>
    <w:rsid w:val="00F269ED"/>
    <w:rsid w:val="00F36B03"/>
    <w:rsid w:val="00F41B0F"/>
    <w:rsid w:val="00F42D9D"/>
    <w:rsid w:val="00F52E02"/>
    <w:rsid w:val="00F5484A"/>
    <w:rsid w:val="00F64C07"/>
    <w:rsid w:val="00F7034A"/>
    <w:rsid w:val="00F73309"/>
    <w:rsid w:val="00F87152"/>
    <w:rsid w:val="00FB1780"/>
    <w:rsid w:val="00FC0337"/>
    <w:rsid w:val="00FD4F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442"/>
    <w:rPr>
      <w:rFonts w:ascii="Garamond" w:eastAsia="Times" w:hAnsi="Garamond"/>
      <w:sz w:val="24"/>
      <w:lang w:val="es-ES_tradnl" w:eastAsia="en-US"/>
    </w:rPr>
  </w:style>
  <w:style w:type="paragraph" w:styleId="Ttulo1">
    <w:name w:val="heading 1"/>
    <w:basedOn w:val="Normal"/>
    <w:next w:val="Normal"/>
    <w:link w:val="Ttulo1Car"/>
    <w:uiPriority w:val="9"/>
    <w:qFormat/>
    <w:rsid w:val="00D35B80"/>
    <w:pPr>
      <w:keepNext/>
      <w:keepLines/>
      <w:spacing w:before="480"/>
      <w:outlineLvl w:val="0"/>
    </w:pPr>
    <w:rPr>
      <w:rFonts w:ascii="Cambria" w:eastAsia="Times New Roman"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locked/>
    <w:rsid w:val="00D35B80"/>
    <w:rPr>
      <w:rFonts w:ascii="Times" w:eastAsia="Times" w:hAnsi="Times" w:cs="Times"/>
      <w:sz w:val="24"/>
      <w:lang w:val="es-ES_tradnl" w:eastAsia="x-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D35B80"/>
    <w:rPr>
      <w:rFonts w:ascii="Times" w:hAnsi="Times" w:cs="Times"/>
      <w:szCs w:val="22"/>
      <w:lang w:eastAsia="x-none"/>
    </w:rPr>
  </w:style>
  <w:style w:type="character" w:customStyle="1" w:styleId="FootnoteTextChar1">
    <w:name w:val="Footnote Text Char1"/>
    <w:uiPriority w:val="99"/>
    <w:semiHidden/>
    <w:rsid w:val="00D35B80"/>
    <w:rPr>
      <w:rFonts w:ascii="Garamond" w:eastAsia="Times" w:hAnsi="Garamond" w:cs="Times New Roman"/>
      <w:sz w:val="20"/>
      <w:szCs w:val="20"/>
      <w:lang w:val="es-ES_tradnl"/>
    </w:rPr>
  </w:style>
  <w:style w:type="character" w:customStyle="1" w:styleId="PrrafodelistaCar">
    <w:name w:val="Párrafo de lista Car"/>
    <w:aliases w:val="Footnote Car,Colorful List - Accent 11 Car"/>
    <w:link w:val="Prrafodelista"/>
    <w:uiPriority w:val="34"/>
    <w:locked/>
    <w:rsid w:val="00D35B80"/>
    <w:rPr>
      <w:rFonts w:ascii="Garamond" w:eastAsia="Times" w:hAnsi="Garamond" w:cs="Times New Roman"/>
      <w:sz w:val="24"/>
      <w:szCs w:val="20"/>
      <w:lang w:val="es-ES_tradnl"/>
    </w:rPr>
  </w:style>
  <w:style w:type="paragraph" w:styleId="Prrafodelista">
    <w:name w:val="List Paragraph"/>
    <w:aliases w:val="Footnote,Colorful List - Accent 11"/>
    <w:basedOn w:val="Normal"/>
    <w:link w:val="PrrafodelistaCar"/>
    <w:uiPriority w:val="34"/>
    <w:qFormat/>
    <w:rsid w:val="00D35B80"/>
    <w:pPr>
      <w:ind w:left="720"/>
      <w:contextualSpacing/>
    </w:p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semiHidden/>
    <w:unhideWhenUsed/>
    <w:qFormat/>
    <w:rsid w:val="00D35B80"/>
    <w:rPr>
      <w:vertAlign w:val="superscript"/>
    </w:rPr>
  </w:style>
  <w:style w:type="character" w:styleId="Hipervnculo">
    <w:name w:val="Hyperlink"/>
    <w:uiPriority w:val="99"/>
    <w:unhideWhenUsed/>
    <w:rsid w:val="00D35B80"/>
    <w:rPr>
      <w:color w:val="0000FF"/>
      <w:u w:val="single"/>
    </w:rPr>
  </w:style>
  <w:style w:type="character" w:styleId="Textoennegrita">
    <w:name w:val="Strong"/>
    <w:uiPriority w:val="22"/>
    <w:qFormat/>
    <w:rsid w:val="00D35B80"/>
    <w:rPr>
      <w:b/>
      <w:bCs/>
    </w:rPr>
  </w:style>
  <w:style w:type="paragraph" w:styleId="Encabezado">
    <w:name w:val="header"/>
    <w:basedOn w:val="Normal"/>
    <w:link w:val="EncabezadoCar"/>
    <w:uiPriority w:val="99"/>
    <w:unhideWhenUsed/>
    <w:rsid w:val="00D35B80"/>
    <w:pPr>
      <w:tabs>
        <w:tab w:val="center" w:pos="4419"/>
        <w:tab w:val="right" w:pos="8838"/>
      </w:tabs>
    </w:pPr>
  </w:style>
  <w:style w:type="character" w:customStyle="1" w:styleId="EncabezadoCar">
    <w:name w:val="Encabezado Car"/>
    <w:link w:val="Encabezado"/>
    <w:uiPriority w:val="99"/>
    <w:rsid w:val="00D35B80"/>
    <w:rPr>
      <w:rFonts w:ascii="Garamond" w:eastAsia="Times" w:hAnsi="Garamond" w:cs="Times New Roman"/>
      <w:sz w:val="24"/>
      <w:szCs w:val="20"/>
      <w:lang w:val="es-ES_tradnl"/>
    </w:rPr>
  </w:style>
  <w:style w:type="character" w:customStyle="1" w:styleId="Ttulo1Car">
    <w:name w:val="Título 1 Car"/>
    <w:link w:val="Ttulo1"/>
    <w:uiPriority w:val="9"/>
    <w:rsid w:val="00D35B80"/>
    <w:rPr>
      <w:rFonts w:ascii="Cambria" w:eastAsia="Times New Roman" w:hAnsi="Cambria" w:cs="Times New Roman"/>
      <w:b/>
      <w:bCs/>
      <w:color w:val="365F91"/>
      <w:sz w:val="28"/>
      <w:szCs w:val="28"/>
      <w:lang w:val="es-ES_tradnl"/>
    </w:rPr>
  </w:style>
  <w:style w:type="paragraph" w:styleId="TtulodeTDC">
    <w:name w:val="TOC Heading"/>
    <w:basedOn w:val="Ttulo1"/>
    <w:next w:val="Normal"/>
    <w:uiPriority w:val="39"/>
    <w:unhideWhenUsed/>
    <w:qFormat/>
    <w:rsid w:val="00D35B80"/>
    <w:pPr>
      <w:spacing w:line="276" w:lineRule="auto"/>
      <w:outlineLvl w:val="9"/>
    </w:pPr>
    <w:rPr>
      <w:lang w:val="en-US" w:eastAsia="ja-JP"/>
    </w:rPr>
  </w:style>
  <w:style w:type="paragraph" w:styleId="TDC1">
    <w:name w:val="toc 1"/>
    <w:basedOn w:val="Normal"/>
    <w:next w:val="Normal"/>
    <w:autoRedefine/>
    <w:uiPriority w:val="39"/>
    <w:unhideWhenUsed/>
    <w:rsid w:val="00D35B80"/>
    <w:pPr>
      <w:tabs>
        <w:tab w:val="left" w:pos="660"/>
        <w:tab w:val="right" w:leader="dot" w:pos="8828"/>
      </w:tabs>
      <w:spacing w:after="100"/>
    </w:pPr>
    <w:rPr>
      <w:rFonts w:ascii="Verdana" w:hAnsi="Verdana"/>
      <w:noProof/>
      <w:sz w:val="20"/>
    </w:rPr>
  </w:style>
  <w:style w:type="character" w:styleId="Nmerodelnea">
    <w:name w:val="line number"/>
    <w:basedOn w:val="Fuentedeprrafopredeter"/>
    <w:uiPriority w:val="99"/>
    <w:semiHidden/>
    <w:unhideWhenUsed/>
    <w:rsid w:val="00D35B80"/>
  </w:style>
  <w:style w:type="paragraph" w:styleId="Textodeglobo">
    <w:name w:val="Balloon Text"/>
    <w:basedOn w:val="Normal"/>
    <w:link w:val="TextodegloboCar"/>
    <w:uiPriority w:val="99"/>
    <w:semiHidden/>
    <w:unhideWhenUsed/>
    <w:rsid w:val="00D35B80"/>
    <w:rPr>
      <w:rFonts w:ascii="Tahoma" w:hAnsi="Tahoma" w:cs="Tahoma"/>
      <w:sz w:val="16"/>
      <w:szCs w:val="16"/>
    </w:rPr>
  </w:style>
  <w:style w:type="character" w:customStyle="1" w:styleId="TextodegloboCar">
    <w:name w:val="Texto de globo Car"/>
    <w:link w:val="Textodeglobo"/>
    <w:uiPriority w:val="99"/>
    <w:semiHidden/>
    <w:rsid w:val="00D35B80"/>
    <w:rPr>
      <w:rFonts w:ascii="Tahoma" w:eastAsia="Times" w:hAnsi="Tahoma" w:cs="Tahoma"/>
      <w:sz w:val="16"/>
      <w:szCs w:val="16"/>
      <w:lang w:val="es-ES_tradnl"/>
    </w:rPr>
  </w:style>
  <w:style w:type="paragraph" w:styleId="Piedepgina">
    <w:name w:val="footer"/>
    <w:basedOn w:val="Normal"/>
    <w:link w:val="PiedepginaCar"/>
    <w:uiPriority w:val="99"/>
    <w:unhideWhenUsed/>
    <w:rsid w:val="00F87152"/>
    <w:pPr>
      <w:tabs>
        <w:tab w:val="center" w:pos="4680"/>
        <w:tab w:val="right" w:pos="9360"/>
      </w:tabs>
    </w:pPr>
  </w:style>
  <w:style w:type="character" w:customStyle="1" w:styleId="PiedepginaCar">
    <w:name w:val="Pie de página Car"/>
    <w:link w:val="Piedepgina"/>
    <w:uiPriority w:val="99"/>
    <w:rsid w:val="00F87152"/>
    <w:rPr>
      <w:rFonts w:ascii="Garamond" w:eastAsia="Times" w:hAnsi="Garamond" w:cs="Times New Roman"/>
      <w:sz w:val="24"/>
      <w:szCs w:val="20"/>
      <w:lang w:val="es-ES_tradnl"/>
    </w:rPr>
  </w:style>
  <w:style w:type="character" w:styleId="Refdecomentario">
    <w:name w:val="annotation reference"/>
    <w:uiPriority w:val="99"/>
    <w:semiHidden/>
    <w:unhideWhenUsed/>
    <w:rsid w:val="00363050"/>
    <w:rPr>
      <w:sz w:val="16"/>
      <w:szCs w:val="16"/>
    </w:rPr>
  </w:style>
  <w:style w:type="paragraph" w:styleId="Textocomentario">
    <w:name w:val="annotation text"/>
    <w:basedOn w:val="Normal"/>
    <w:link w:val="TextocomentarioCar"/>
    <w:unhideWhenUsed/>
    <w:rsid w:val="00363050"/>
    <w:rPr>
      <w:sz w:val="20"/>
    </w:rPr>
  </w:style>
  <w:style w:type="character" w:customStyle="1" w:styleId="TextocomentarioCar">
    <w:name w:val="Texto comentario Car"/>
    <w:link w:val="Textocomentario"/>
    <w:rsid w:val="00363050"/>
    <w:rPr>
      <w:rFonts w:ascii="Garamond" w:eastAsia="Times" w:hAnsi="Garamond"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363050"/>
    <w:rPr>
      <w:b/>
      <w:bCs/>
    </w:rPr>
  </w:style>
  <w:style w:type="character" w:customStyle="1" w:styleId="AsuntodelcomentarioCar">
    <w:name w:val="Asunto del comentario Car"/>
    <w:link w:val="Asuntodelcomentario"/>
    <w:uiPriority w:val="99"/>
    <w:semiHidden/>
    <w:rsid w:val="00363050"/>
    <w:rPr>
      <w:rFonts w:ascii="Garamond" w:eastAsia="Times" w:hAnsi="Garamond" w:cs="Times New Roman"/>
      <w:b/>
      <w:bCs/>
      <w:sz w:val="20"/>
      <w:szCs w:val="20"/>
      <w:lang w:val="es-ES_tradnl"/>
    </w:rPr>
  </w:style>
  <w:style w:type="paragraph" w:styleId="Revisin">
    <w:name w:val="Revision"/>
    <w:hidden/>
    <w:uiPriority w:val="99"/>
    <w:semiHidden/>
    <w:rsid w:val="005570D7"/>
    <w:rPr>
      <w:rFonts w:ascii="Garamond" w:eastAsia="Times" w:hAnsi="Garamond"/>
      <w:sz w:val="24"/>
      <w:lang w:val="es-ES_tradnl" w:eastAsia="en-US"/>
    </w:rPr>
  </w:style>
  <w:style w:type="paragraph" w:styleId="Textonotaalfinal">
    <w:name w:val="endnote text"/>
    <w:basedOn w:val="Normal"/>
    <w:link w:val="TextonotaalfinalCar"/>
    <w:uiPriority w:val="99"/>
    <w:semiHidden/>
    <w:unhideWhenUsed/>
    <w:rsid w:val="0074538E"/>
    <w:rPr>
      <w:sz w:val="20"/>
    </w:rPr>
  </w:style>
  <w:style w:type="character" w:customStyle="1" w:styleId="TextonotaalfinalCar">
    <w:name w:val="Texto nota al final Car"/>
    <w:link w:val="Textonotaalfinal"/>
    <w:uiPriority w:val="99"/>
    <w:semiHidden/>
    <w:rsid w:val="0074538E"/>
    <w:rPr>
      <w:rFonts w:ascii="Garamond" w:eastAsia="Times" w:hAnsi="Garamond" w:cs="Times New Roman"/>
      <w:sz w:val="20"/>
      <w:szCs w:val="20"/>
      <w:lang w:val="es-ES_tradnl"/>
    </w:rPr>
  </w:style>
  <w:style w:type="character" w:styleId="Refdenotaalfinal">
    <w:name w:val="endnote reference"/>
    <w:uiPriority w:val="99"/>
    <w:semiHidden/>
    <w:unhideWhenUsed/>
    <w:rsid w:val="007453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0658">
      <w:bodyDiv w:val="1"/>
      <w:marLeft w:val="0"/>
      <w:marRight w:val="0"/>
      <w:marTop w:val="0"/>
      <w:marBottom w:val="0"/>
      <w:divBdr>
        <w:top w:val="none" w:sz="0" w:space="0" w:color="auto"/>
        <w:left w:val="none" w:sz="0" w:space="0" w:color="auto"/>
        <w:bottom w:val="none" w:sz="0" w:space="0" w:color="auto"/>
        <w:right w:val="none" w:sz="0" w:space="0" w:color="auto"/>
      </w:divBdr>
    </w:div>
    <w:div w:id="99372868">
      <w:bodyDiv w:val="1"/>
      <w:marLeft w:val="0"/>
      <w:marRight w:val="0"/>
      <w:marTop w:val="0"/>
      <w:marBottom w:val="0"/>
      <w:divBdr>
        <w:top w:val="none" w:sz="0" w:space="0" w:color="auto"/>
        <w:left w:val="none" w:sz="0" w:space="0" w:color="auto"/>
        <w:bottom w:val="none" w:sz="0" w:space="0" w:color="auto"/>
        <w:right w:val="none" w:sz="0" w:space="0" w:color="auto"/>
      </w:divBdr>
    </w:div>
    <w:div w:id="136267269">
      <w:bodyDiv w:val="1"/>
      <w:marLeft w:val="0"/>
      <w:marRight w:val="0"/>
      <w:marTop w:val="0"/>
      <w:marBottom w:val="0"/>
      <w:divBdr>
        <w:top w:val="none" w:sz="0" w:space="0" w:color="auto"/>
        <w:left w:val="none" w:sz="0" w:space="0" w:color="auto"/>
        <w:bottom w:val="none" w:sz="0" w:space="0" w:color="auto"/>
        <w:right w:val="none" w:sz="0" w:space="0" w:color="auto"/>
      </w:divBdr>
    </w:div>
    <w:div w:id="204804457">
      <w:bodyDiv w:val="1"/>
      <w:marLeft w:val="0"/>
      <w:marRight w:val="0"/>
      <w:marTop w:val="0"/>
      <w:marBottom w:val="0"/>
      <w:divBdr>
        <w:top w:val="none" w:sz="0" w:space="0" w:color="auto"/>
        <w:left w:val="none" w:sz="0" w:space="0" w:color="auto"/>
        <w:bottom w:val="none" w:sz="0" w:space="0" w:color="auto"/>
        <w:right w:val="none" w:sz="0" w:space="0" w:color="auto"/>
      </w:divBdr>
    </w:div>
    <w:div w:id="226501000">
      <w:bodyDiv w:val="1"/>
      <w:marLeft w:val="0"/>
      <w:marRight w:val="0"/>
      <w:marTop w:val="0"/>
      <w:marBottom w:val="0"/>
      <w:divBdr>
        <w:top w:val="none" w:sz="0" w:space="0" w:color="auto"/>
        <w:left w:val="none" w:sz="0" w:space="0" w:color="auto"/>
        <w:bottom w:val="none" w:sz="0" w:space="0" w:color="auto"/>
        <w:right w:val="none" w:sz="0" w:space="0" w:color="auto"/>
      </w:divBdr>
    </w:div>
    <w:div w:id="286470059">
      <w:bodyDiv w:val="1"/>
      <w:marLeft w:val="0"/>
      <w:marRight w:val="0"/>
      <w:marTop w:val="0"/>
      <w:marBottom w:val="0"/>
      <w:divBdr>
        <w:top w:val="none" w:sz="0" w:space="0" w:color="auto"/>
        <w:left w:val="none" w:sz="0" w:space="0" w:color="auto"/>
        <w:bottom w:val="none" w:sz="0" w:space="0" w:color="auto"/>
        <w:right w:val="none" w:sz="0" w:space="0" w:color="auto"/>
      </w:divBdr>
    </w:div>
    <w:div w:id="319581465">
      <w:bodyDiv w:val="1"/>
      <w:marLeft w:val="0"/>
      <w:marRight w:val="0"/>
      <w:marTop w:val="0"/>
      <w:marBottom w:val="0"/>
      <w:divBdr>
        <w:top w:val="none" w:sz="0" w:space="0" w:color="auto"/>
        <w:left w:val="none" w:sz="0" w:space="0" w:color="auto"/>
        <w:bottom w:val="none" w:sz="0" w:space="0" w:color="auto"/>
        <w:right w:val="none" w:sz="0" w:space="0" w:color="auto"/>
      </w:divBdr>
    </w:div>
    <w:div w:id="322197956">
      <w:bodyDiv w:val="1"/>
      <w:marLeft w:val="0"/>
      <w:marRight w:val="0"/>
      <w:marTop w:val="0"/>
      <w:marBottom w:val="0"/>
      <w:divBdr>
        <w:top w:val="none" w:sz="0" w:space="0" w:color="auto"/>
        <w:left w:val="none" w:sz="0" w:space="0" w:color="auto"/>
        <w:bottom w:val="none" w:sz="0" w:space="0" w:color="auto"/>
        <w:right w:val="none" w:sz="0" w:space="0" w:color="auto"/>
      </w:divBdr>
    </w:div>
    <w:div w:id="344795242">
      <w:bodyDiv w:val="1"/>
      <w:marLeft w:val="0"/>
      <w:marRight w:val="0"/>
      <w:marTop w:val="0"/>
      <w:marBottom w:val="0"/>
      <w:divBdr>
        <w:top w:val="none" w:sz="0" w:space="0" w:color="auto"/>
        <w:left w:val="none" w:sz="0" w:space="0" w:color="auto"/>
        <w:bottom w:val="none" w:sz="0" w:space="0" w:color="auto"/>
        <w:right w:val="none" w:sz="0" w:space="0" w:color="auto"/>
      </w:divBdr>
    </w:div>
    <w:div w:id="372080017">
      <w:bodyDiv w:val="1"/>
      <w:marLeft w:val="0"/>
      <w:marRight w:val="0"/>
      <w:marTop w:val="0"/>
      <w:marBottom w:val="0"/>
      <w:divBdr>
        <w:top w:val="none" w:sz="0" w:space="0" w:color="auto"/>
        <w:left w:val="none" w:sz="0" w:space="0" w:color="auto"/>
        <w:bottom w:val="none" w:sz="0" w:space="0" w:color="auto"/>
        <w:right w:val="none" w:sz="0" w:space="0" w:color="auto"/>
      </w:divBdr>
    </w:div>
    <w:div w:id="374888572">
      <w:bodyDiv w:val="1"/>
      <w:marLeft w:val="0"/>
      <w:marRight w:val="0"/>
      <w:marTop w:val="0"/>
      <w:marBottom w:val="0"/>
      <w:divBdr>
        <w:top w:val="none" w:sz="0" w:space="0" w:color="auto"/>
        <w:left w:val="none" w:sz="0" w:space="0" w:color="auto"/>
        <w:bottom w:val="none" w:sz="0" w:space="0" w:color="auto"/>
        <w:right w:val="none" w:sz="0" w:space="0" w:color="auto"/>
      </w:divBdr>
    </w:div>
    <w:div w:id="389040030">
      <w:bodyDiv w:val="1"/>
      <w:marLeft w:val="0"/>
      <w:marRight w:val="0"/>
      <w:marTop w:val="0"/>
      <w:marBottom w:val="0"/>
      <w:divBdr>
        <w:top w:val="none" w:sz="0" w:space="0" w:color="auto"/>
        <w:left w:val="none" w:sz="0" w:space="0" w:color="auto"/>
        <w:bottom w:val="none" w:sz="0" w:space="0" w:color="auto"/>
        <w:right w:val="none" w:sz="0" w:space="0" w:color="auto"/>
      </w:divBdr>
    </w:div>
    <w:div w:id="397438543">
      <w:bodyDiv w:val="1"/>
      <w:marLeft w:val="0"/>
      <w:marRight w:val="0"/>
      <w:marTop w:val="0"/>
      <w:marBottom w:val="0"/>
      <w:divBdr>
        <w:top w:val="none" w:sz="0" w:space="0" w:color="auto"/>
        <w:left w:val="none" w:sz="0" w:space="0" w:color="auto"/>
        <w:bottom w:val="none" w:sz="0" w:space="0" w:color="auto"/>
        <w:right w:val="none" w:sz="0" w:space="0" w:color="auto"/>
      </w:divBdr>
    </w:div>
    <w:div w:id="399835906">
      <w:bodyDiv w:val="1"/>
      <w:marLeft w:val="0"/>
      <w:marRight w:val="0"/>
      <w:marTop w:val="0"/>
      <w:marBottom w:val="0"/>
      <w:divBdr>
        <w:top w:val="none" w:sz="0" w:space="0" w:color="auto"/>
        <w:left w:val="none" w:sz="0" w:space="0" w:color="auto"/>
        <w:bottom w:val="none" w:sz="0" w:space="0" w:color="auto"/>
        <w:right w:val="none" w:sz="0" w:space="0" w:color="auto"/>
      </w:divBdr>
    </w:div>
    <w:div w:id="440422034">
      <w:bodyDiv w:val="1"/>
      <w:marLeft w:val="0"/>
      <w:marRight w:val="0"/>
      <w:marTop w:val="0"/>
      <w:marBottom w:val="0"/>
      <w:divBdr>
        <w:top w:val="none" w:sz="0" w:space="0" w:color="auto"/>
        <w:left w:val="none" w:sz="0" w:space="0" w:color="auto"/>
        <w:bottom w:val="none" w:sz="0" w:space="0" w:color="auto"/>
        <w:right w:val="none" w:sz="0" w:space="0" w:color="auto"/>
      </w:divBdr>
    </w:div>
    <w:div w:id="507907234">
      <w:bodyDiv w:val="1"/>
      <w:marLeft w:val="0"/>
      <w:marRight w:val="0"/>
      <w:marTop w:val="0"/>
      <w:marBottom w:val="0"/>
      <w:divBdr>
        <w:top w:val="none" w:sz="0" w:space="0" w:color="auto"/>
        <w:left w:val="none" w:sz="0" w:space="0" w:color="auto"/>
        <w:bottom w:val="none" w:sz="0" w:space="0" w:color="auto"/>
        <w:right w:val="none" w:sz="0" w:space="0" w:color="auto"/>
      </w:divBdr>
    </w:div>
    <w:div w:id="572202176">
      <w:bodyDiv w:val="1"/>
      <w:marLeft w:val="0"/>
      <w:marRight w:val="0"/>
      <w:marTop w:val="0"/>
      <w:marBottom w:val="0"/>
      <w:divBdr>
        <w:top w:val="none" w:sz="0" w:space="0" w:color="auto"/>
        <w:left w:val="none" w:sz="0" w:space="0" w:color="auto"/>
        <w:bottom w:val="none" w:sz="0" w:space="0" w:color="auto"/>
        <w:right w:val="none" w:sz="0" w:space="0" w:color="auto"/>
      </w:divBdr>
    </w:div>
    <w:div w:id="628820444">
      <w:bodyDiv w:val="1"/>
      <w:marLeft w:val="0"/>
      <w:marRight w:val="0"/>
      <w:marTop w:val="0"/>
      <w:marBottom w:val="0"/>
      <w:divBdr>
        <w:top w:val="none" w:sz="0" w:space="0" w:color="auto"/>
        <w:left w:val="none" w:sz="0" w:space="0" w:color="auto"/>
        <w:bottom w:val="none" w:sz="0" w:space="0" w:color="auto"/>
        <w:right w:val="none" w:sz="0" w:space="0" w:color="auto"/>
      </w:divBdr>
    </w:div>
    <w:div w:id="645092919">
      <w:bodyDiv w:val="1"/>
      <w:marLeft w:val="0"/>
      <w:marRight w:val="0"/>
      <w:marTop w:val="0"/>
      <w:marBottom w:val="0"/>
      <w:divBdr>
        <w:top w:val="none" w:sz="0" w:space="0" w:color="auto"/>
        <w:left w:val="none" w:sz="0" w:space="0" w:color="auto"/>
        <w:bottom w:val="none" w:sz="0" w:space="0" w:color="auto"/>
        <w:right w:val="none" w:sz="0" w:space="0" w:color="auto"/>
      </w:divBdr>
    </w:div>
    <w:div w:id="780144702">
      <w:bodyDiv w:val="1"/>
      <w:marLeft w:val="0"/>
      <w:marRight w:val="0"/>
      <w:marTop w:val="0"/>
      <w:marBottom w:val="0"/>
      <w:divBdr>
        <w:top w:val="none" w:sz="0" w:space="0" w:color="auto"/>
        <w:left w:val="none" w:sz="0" w:space="0" w:color="auto"/>
        <w:bottom w:val="none" w:sz="0" w:space="0" w:color="auto"/>
        <w:right w:val="none" w:sz="0" w:space="0" w:color="auto"/>
      </w:divBdr>
    </w:div>
    <w:div w:id="813791710">
      <w:bodyDiv w:val="1"/>
      <w:marLeft w:val="0"/>
      <w:marRight w:val="0"/>
      <w:marTop w:val="0"/>
      <w:marBottom w:val="0"/>
      <w:divBdr>
        <w:top w:val="none" w:sz="0" w:space="0" w:color="auto"/>
        <w:left w:val="none" w:sz="0" w:space="0" w:color="auto"/>
        <w:bottom w:val="none" w:sz="0" w:space="0" w:color="auto"/>
        <w:right w:val="none" w:sz="0" w:space="0" w:color="auto"/>
      </w:divBdr>
    </w:div>
    <w:div w:id="816797550">
      <w:bodyDiv w:val="1"/>
      <w:marLeft w:val="0"/>
      <w:marRight w:val="0"/>
      <w:marTop w:val="0"/>
      <w:marBottom w:val="0"/>
      <w:divBdr>
        <w:top w:val="none" w:sz="0" w:space="0" w:color="auto"/>
        <w:left w:val="none" w:sz="0" w:space="0" w:color="auto"/>
        <w:bottom w:val="none" w:sz="0" w:space="0" w:color="auto"/>
        <w:right w:val="none" w:sz="0" w:space="0" w:color="auto"/>
      </w:divBdr>
    </w:div>
    <w:div w:id="846335573">
      <w:bodyDiv w:val="1"/>
      <w:marLeft w:val="0"/>
      <w:marRight w:val="0"/>
      <w:marTop w:val="0"/>
      <w:marBottom w:val="0"/>
      <w:divBdr>
        <w:top w:val="none" w:sz="0" w:space="0" w:color="auto"/>
        <w:left w:val="none" w:sz="0" w:space="0" w:color="auto"/>
        <w:bottom w:val="none" w:sz="0" w:space="0" w:color="auto"/>
        <w:right w:val="none" w:sz="0" w:space="0" w:color="auto"/>
      </w:divBdr>
    </w:div>
    <w:div w:id="860239934">
      <w:bodyDiv w:val="1"/>
      <w:marLeft w:val="0"/>
      <w:marRight w:val="0"/>
      <w:marTop w:val="0"/>
      <w:marBottom w:val="0"/>
      <w:divBdr>
        <w:top w:val="none" w:sz="0" w:space="0" w:color="auto"/>
        <w:left w:val="none" w:sz="0" w:space="0" w:color="auto"/>
        <w:bottom w:val="none" w:sz="0" w:space="0" w:color="auto"/>
        <w:right w:val="none" w:sz="0" w:space="0" w:color="auto"/>
      </w:divBdr>
    </w:div>
    <w:div w:id="876817579">
      <w:bodyDiv w:val="1"/>
      <w:marLeft w:val="0"/>
      <w:marRight w:val="0"/>
      <w:marTop w:val="0"/>
      <w:marBottom w:val="0"/>
      <w:divBdr>
        <w:top w:val="none" w:sz="0" w:space="0" w:color="auto"/>
        <w:left w:val="none" w:sz="0" w:space="0" w:color="auto"/>
        <w:bottom w:val="none" w:sz="0" w:space="0" w:color="auto"/>
        <w:right w:val="none" w:sz="0" w:space="0" w:color="auto"/>
      </w:divBdr>
    </w:div>
    <w:div w:id="950210509">
      <w:bodyDiv w:val="1"/>
      <w:marLeft w:val="0"/>
      <w:marRight w:val="0"/>
      <w:marTop w:val="0"/>
      <w:marBottom w:val="0"/>
      <w:divBdr>
        <w:top w:val="none" w:sz="0" w:space="0" w:color="auto"/>
        <w:left w:val="none" w:sz="0" w:space="0" w:color="auto"/>
        <w:bottom w:val="none" w:sz="0" w:space="0" w:color="auto"/>
        <w:right w:val="none" w:sz="0" w:space="0" w:color="auto"/>
      </w:divBdr>
    </w:div>
    <w:div w:id="1031687754">
      <w:bodyDiv w:val="1"/>
      <w:marLeft w:val="0"/>
      <w:marRight w:val="0"/>
      <w:marTop w:val="0"/>
      <w:marBottom w:val="0"/>
      <w:divBdr>
        <w:top w:val="none" w:sz="0" w:space="0" w:color="auto"/>
        <w:left w:val="none" w:sz="0" w:space="0" w:color="auto"/>
        <w:bottom w:val="none" w:sz="0" w:space="0" w:color="auto"/>
        <w:right w:val="none" w:sz="0" w:space="0" w:color="auto"/>
      </w:divBdr>
    </w:div>
    <w:div w:id="1111705911">
      <w:bodyDiv w:val="1"/>
      <w:marLeft w:val="0"/>
      <w:marRight w:val="0"/>
      <w:marTop w:val="0"/>
      <w:marBottom w:val="0"/>
      <w:divBdr>
        <w:top w:val="none" w:sz="0" w:space="0" w:color="auto"/>
        <w:left w:val="none" w:sz="0" w:space="0" w:color="auto"/>
        <w:bottom w:val="none" w:sz="0" w:space="0" w:color="auto"/>
        <w:right w:val="none" w:sz="0" w:space="0" w:color="auto"/>
      </w:divBdr>
    </w:div>
    <w:div w:id="1172839604">
      <w:bodyDiv w:val="1"/>
      <w:marLeft w:val="0"/>
      <w:marRight w:val="0"/>
      <w:marTop w:val="0"/>
      <w:marBottom w:val="0"/>
      <w:divBdr>
        <w:top w:val="none" w:sz="0" w:space="0" w:color="auto"/>
        <w:left w:val="none" w:sz="0" w:space="0" w:color="auto"/>
        <w:bottom w:val="none" w:sz="0" w:space="0" w:color="auto"/>
        <w:right w:val="none" w:sz="0" w:space="0" w:color="auto"/>
      </w:divBdr>
    </w:div>
    <w:div w:id="1174418788">
      <w:bodyDiv w:val="1"/>
      <w:marLeft w:val="0"/>
      <w:marRight w:val="0"/>
      <w:marTop w:val="0"/>
      <w:marBottom w:val="0"/>
      <w:divBdr>
        <w:top w:val="none" w:sz="0" w:space="0" w:color="auto"/>
        <w:left w:val="none" w:sz="0" w:space="0" w:color="auto"/>
        <w:bottom w:val="none" w:sz="0" w:space="0" w:color="auto"/>
        <w:right w:val="none" w:sz="0" w:space="0" w:color="auto"/>
      </w:divBdr>
    </w:div>
    <w:div w:id="1199900220">
      <w:bodyDiv w:val="1"/>
      <w:marLeft w:val="0"/>
      <w:marRight w:val="0"/>
      <w:marTop w:val="0"/>
      <w:marBottom w:val="0"/>
      <w:divBdr>
        <w:top w:val="none" w:sz="0" w:space="0" w:color="auto"/>
        <w:left w:val="none" w:sz="0" w:space="0" w:color="auto"/>
        <w:bottom w:val="none" w:sz="0" w:space="0" w:color="auto"/>
        <w:right w:val="none" w:sz="0" w:space="0" w:color="auto"/>
      </w:divBdr>
    </w:div>
    <w:div w:id="1428110187">
      <w:bodyDiv w:val="1"/>
      <w:marLeft w:val="0"/>
      <w:marRight w:val="0"/>
      <w:marTop w:val="0"/>
      <w:marBottom w:val="0"/>
      <w:divBdr>
        <w:top w:val="none" w:sz="0" w:space="0" w:color="auto"/>
        <w:left w:val="none" w:sz="0" w:space="0" w:color="auto"/>
        <w:bottom w:val="none" w:sz="0" w:space="0" w:color="auto"/>
        <w:right w:val="none" w:sz="0" w:space="0" w:color="auto"/>
      </w:divBdr>
    </w:div>
    <w:div w:id="1429816865">
      <w:bodyDiv w:val="1"/>
      <w:marLeft w:val="0"/>
      <w:marRight w:val="0"/>
      <w:marTop w:val="0"/>
      <w:marBottom w:val="0"/>
      <w:divBdr>
        <w:top w:val="none" w:sz="0" w:space="0" w:color="auto"/>
        <w:left w:val="none" w:sz="0" w:space="0" w:color="auto"/>
        <w:bottom w:val="none" w:sz="0" w:space="0" w:color="auto"/>
        <w:right w:val="none" w:sz="0" w:space="0" w:color="auto"/>
      </w:divBdr>
    </w:div>
    <w:div w:id="1433819424">
      <w:bodyDiv w:val="1"/>
      <w:marLeft w:val="0"/>
      <w:marRight w:val="0"/>
      <w:marTop w:val="0"/>
      <w:marBottom w:val="0"/>
      <w:divBdr>
        <w:top w:val="none" w:sz="0" w:space="0" w:color="auto"/>
        <w:left w:val="none" w:sz="0" w:space="0" w:color="auto"/>
        <w:bottom w:val="none" w:sz="0" w:space="0" w:color="auto"/>
        <w:right w:val="none" w:sz="0" w:space="0" w:color="auto"/>
      </w:divBdr>
    </w:div>
    <w:div w:id="1448621735">
      <w:bodyDiv w:val="1"/>
      <w:marLeft w:val="0"/>
      <w:marRight w:val="0"/>
      <w:marTop w:val="0"/>
      <w:marBottom w:val="0"/>
      <w:divBdr>
        <w:top w:val="none" w:sz="0" w:space="0" w:color="auto"/>
        <w:left w:val="none" w:sz="0" w:space="0" w:color="auto"/>
        <w:bottom w:val="none" w:sz="0" w:space="0" w:color="auto"/>
        <w:right w:val="none" w:sz="0" w:space="0" w:color="auto"/>
      </w:divBdr>
    </w:div>
    <w:div w:id="1621647770">
      <w:bodyDiv w:val="1"/>
      <w:marLeft w:val="0"/>
      <w:marRight w:val="0"/>
      <w:marTop w:val="0"/>
      <w:marBottom w:val="0"/>
      <w:divBdr>
        <w:top w:val="none" w:sz="0" w:space="0" w:color="auto"/>
        <w:left w:val="none" w:sz="0" w:space="0" w:color="auto"/>
        <w:bottom w:val="none" w:sz="0" w:space="0" w:color="auto"/>
        <w:right w:val="none" w:sz="0" w:space="0" w:color="auto"/>
      </w:divBdr>
    </w:div>
    <w:div w:id="1682968278">
      <w:bodyDiv w:val="1"/>
      <w:marLeft w:val="0"/>
      <w:marRight w:val="0"/>
      <w:marTop w:val="0"/>
      <w:marBottom w:val="0"/>
      <w:divBdr>
        <w:top w:val="none" w:sz="0" w:space="0" w:color="auto"/>
        <w:left w:val="none" w:sz="0" w:space="0" w:color="auto"/>
        <w:bottom w:val="none" w:sz="0" w:space="0" w:color="auto"/>
        <w:right w:val="none" w:sz="0" w:space="0" w:color="auto"/>
      </w:divBdr>
    </w:div>
    <w:div w:id="1833569254">
      <w:bodyDiv w:val="1"/>
      <w:marLeft w:val="0"/>
      <w:marRight w:val="0"/>
      <w:marTop w:val="0"/>
      <w:marBottom w:val="0"/>
      <w:divBdr>
        <w:top w:val="none" w:sz="0" w:space="0" w:color="auto"/>
        <w:left w:val="none" w:sz="0" w:space="0" w:color="auto"/>
        <w:bottom w:val="none" w:sz="0" w:space="0" w:color="auto"/>
        <w:right w:val="none" w:sz="0" w:space="0" w:color="auto"/>
      </w:divBdr>
    </w:div>
    <w:div w:id="1858614335">
      <w:bodyDiv w:val="1"/>
      <w:marLeft w:val="0"/>
      <w:marRight w:val="0"/>
      <w:marTop w:val="0"/>
      <w:marBottom w:val="0"/>
      <w:divBdr>
        <w:top w:val="none" w:sz="0" w:space="0" w:color="auto"/>
        <w:left w:val="none" w:sz="0" w:space="0" w:color="auto"/>
        <w:bottom w:val="none" w:sz="0" w:space="0" w:color="auto"/>
        <w:right w:val="none" w:sz="0" w:space="0" w:color="auto"/>
      </w:divBdr>
    </w:div>
    <w:div w:id="1880507895">
      <w:bodyDiv w:val="1"/>
      <w:marLeft w:val="0"/>
      <w:marRight w:val="0"/>
      <w:marTop w:val="0"/>
      <w:marBottom w:val="0"/>
      <w:divBdr>
        <w:top w:val="none" w:sz="0" w:space="0" w:color="auto"/>
        <w:left w:val="none" w:sz="0" w:space="0" w:color="auto"/>
        <w:bottom w:val="none" w:sz="0" w:space="0" w:color="auto"/>
        <w:right w:val="none" w:sz="0" w:space="0" w:color="auto"/>
      </w:divBdr>
    </w:div>
    <w:div w:id="1955743175">
      <w:bodyDiv w:val="1"/>
      <w:marLeft w:val="0"/>
      <w:marRight w:val="0"/>
      <w:marTop w:val="0"/>
      <w:marBottom w:val="0"/>
      <w:divBdr>
        <w:top w:val="none" w:sz="0" w:space="0" w:color="auto"/>
        <w:left w:val="none" w:sz="0" w:space="0" w:color="auto"/>
        <w:bottom w:val="none" w:sz="0" w:space="0" w:color="auto"/>
        <w:right w:val="none" w:sz="0" w:space="0" w:color="auto"/>
      </w:divBdr>
    </w:div>
    <w:div w:id="1960455871">
      <w:bodyDiv w:val="1"/>
      <w:marLeft w:val="0"/>
      <w:marRight w:val="0"/>
      <w:marTop w:val="0"/>
      <w:marBottom w:val="0"/>
      <w:divBdr>
        <w:top w:val="none" w:sz="0" w:space="0" w:color="auto"/>
        <w:left w:val="none" w:sz="0" w:space="0" w:color="auto"/>
        <w:bottom w:val="none" w:sz="0" w:space="0" w:color="auto"/>
        <w:right w:val="none" w:sz="0" w:space="0" w:color="auto"/>
      </w:divBdr>
    </w:div>
    <w:div w:id="2056000568">
      <w:bodyDiv w:val="1"/>
      <w:marLeft w:val="0"/>
      <w:marRight w:val="0"/>
      <w:marTop w:val="0"/>
      <w:marBottom w:val="0"/>
      <w:divBdr>
        <w:top w:val="none" w:sz="0" w:space="0" w:color="auto"/>
        <w:left w:val="none" w:sz="0" w:space="0" w:color="auto"/>
        <w:bottom w:val="none" w:sz="0" w:space="0" w:color="auto"/>
        <w:right w:val="none" w:sz="0" w:space="0" w:color="auto"/>
      </w:divBdr>
    </w:div>
    <w:div w:id="2072189756">
      <w:bodyDiv w:val="1"/>
      <w:marLeft w:val="0"/>
      <w:marRight w:val="0"/>
      <w:marTop w:val="0"/>
      <w:marBottom w:val="0"/>
      <w:divBdr>
        <w:top w:val="none" w:sz="0" w:space="0" w:color="auto"/>
        <w:left w:val="none" w:sz="0" w:space="0" w:color="auto"/>
        <w:bottom w:val="none" w:sz="0" w:space="0" w:color="auto"/>
        <w:right w:val="none" w:sz="0" w:space="0" w:color="auto"/>
      </w:divBdr>
    </w:div>
    <w:div w:id="2087216687">
      <w:bodyDiv w:val="1"/>
      <w:marLeft w:val="0"/>
      <w:marRight w:val="0"/>
      <w:marTop w:val="0"/>
      <w:marBottom w:val="0"/>
      <w:divBdr>
        <w:top w:val="none" w:sz="0" w:space="0" w:color="auto"/>
        <w:left w:val="none" w:sz="0" w:space="0" w:color="auto"/>
        <w:bottom w:val="none" w:sz="0" w:space="0" w:color="auto"/>
        <w:right w:val="none" w:sz="0" w:space="0" w:color="auto"/>
      </w:divBdr>
    </w:div>
    <w:div w:id="210491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nbelsalvador.org.sv/documentacion.php?tipo=20&amp;ruta=0&amp;linea=1" TargetMode="External"/><Relationship Id="rId13" Type="http://schemas.openxmlformats.org/officeDocument/2006/relationships/hyperlink" Target="http://www.cnbelsalvador.org.sv/documentacion.php?tipo=15&amp;ruta=0&amp;linea=1" TargetMode="External"/><Relationship Id="rId18" Type="http://schemas.openxmlformats.org/officeDocument/2006/relationships/hyperlink" Target="https://www.facebook.com/comisionnacionalbusquedaelsalvador/?fref=ts" TargetMode="External"/><Relationship Id="rId3" Type="http://schemas.openxmlformats.org/officeDocument/2006/relationships/hyperlink" Target="http://www.corteidh.or.cr/docs/supervisiones/serrano_22_09_06.pdf" TargetMode="External"/><Relationship Id="rId7" Type="http://schemas.openxmlformats.org/officeDocument/2006/relationships/hyperlink" Target="http://www.cnbelsalvador.org.sv/index.php" TargetMode="External"/><Relationship Id="rId12" Type="http://schemas.openxmlformats.org/officeDocument/2006/relationships/hyperlink" Target="http://www.cnbelsalvador.org.sv/documentacion.php?tipo=24&amp;ruta=0&amp;linea=1" TargetMode="External"/><Relationship Id="rId17" Type="http://schemas.openxmlformats.org/officeDocument/2006/relationships/hyperlink" Target="http://www.cnbelsalvador.org.sv/documentacion.php?tipo=19&amp;ruta=0&amp;linea=1" TargetMode="External"/><Relationship Id="rId2" Type="http://schemas.openxmlformats.org/officeDocument/2006/relationships/hyperlink" Target="http://www.corteidh.or.cr/docs/casos/articulos/seriec_118_esp.pdf" TargetMode="External"/><Relationship Id="rId16" Type="http://schemas.openxmlformats.org/officeDocument/2006/relationships/hyperlink" Target="http://www.cnbelsalvador.org.sv/documentacion.php?tipo=18&amp;ruta=0&amp;linea=1" TargetMode="External"/><Relationship Id="rId1" Type="http://schemas.openxmlformats.org/officeDocument/2006/relationships/hyperlink" Target="http://www.corteidh.or.cr/docs/casos/articulos/seriec_120_esp.pdf" TargetMode="External"/><Relationship Id="rId6" Type="http://schemas.openxmlformats.org/officeDocument/2006/relationships/hyperlink" Target="http://www.cnbelsalvador.org.sv/documento.php?tipo=2&amp;doc=63&amp;ruta=0&amp;linea=1" TargetMode="External"/><Relationship Id="rId11" Type="http://schemas.openxmlformats.org/officeDocument/2006/relationships/hyperlink" Target="http://www.cnbelsalvador.org.sv/index.php" TargetMode="External"/><Relationship Id="rId5" Type="http://schemas.openxmlformats.org/officeDocument/2006/relationships/hyperlink" Target="http://www.corteidh.or.cr/docs/supervisiones/serrano_03_02_10.pdf" TargetMode="External"/><Relationship Id="rId15" Type="http://schemas.openxmlformats.org/officeDocument/2006/relationships/hyperlink" Target="http://www.cnbelsalvador.org.sv/documentacion.php?tipo=17&amp;ruta=0&amp;linea=1" TargetMode="External"/><Relationship Id="rId10" Type="http://schemas.openxmlformats.org/officeDocument/2006/relationships/hyperlink" Target="http://www.cnbelsalvador.org.sv/formulariocontacto.php" TargetMode="External"/><Relationship Id="rId19" Type="http://schemas.openxmlformats.org/officeDocument/2006/relationships/hyperlink" Target="https://www.youtube.com/user/ComisionBusquedaSV" TargetMode="External"/><Relationship Id="rId4" Type="http://schemas.openxmlformats.org/officeDocument/2006/relationships/hyperlink" Target="http://www.corteidh.or.cr/docs/supervisiones/serrano_03_07_07.pdf" TargetMode="External"/><Relationship Id="rId9" Type="http://schemas.openxmlformats.org/officeDocument/2006/relationships/hyperlink" Target="http://www.cnbelsalvador.org.sv/documento.php?tipo=20&amp;doc=83&amp;ruta=1&amp;linea=3" TargetMode="External"/><Relationship Id="rId14" Type="http://schemas.openxmlformats.org/officeDocument/2006/relationships/hyperlink" Target="http://www.cnbelsalvador.org.sv/documentacion.php?tipo=16&amp;ruta=0&amp;linea=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817BD-944A-4C7F-80BE-0CAEE98A5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5415</Words>
  <Characters>29788</Characters>
  <Application>Microsoft Office Word</Application>
  <DocSecurity>0</DocSecurity>
  <Lines>248</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35133</CharactersWithSpaces>
  <SharedDoc>false</SharedDoc>
  <HLinks>
    <vt:vector size="132" baseType="variant">
      <vt:variant>
        <vt:i4>1048639</vt:i4>
      </vt:variant>
      <vt:variant>
        <vt:i4>35</vt:i4>
      </vt:variant>
      <vt:variant>
        <vt:i4>0</vt:i4>
      </vt:variant>
      <vt:variant>
        <vt:i4>5</vt:i4>
      </vt:variant>
      <vt:variant>
        <vt:lpwstr/>
      </vt:variant>
      <vt:variant>
        <vt:lpwstr>_Toc458162510</vt:lpwstr>
      </vt:variant>
      <vt:variant>
        <vt:i4>1114175</vt:i4>
      </vt:variant>
      <vt:variant>
        <vt:i4>29</vt:i4>
      </vt:variant>
      <vt:variant>
        <vt:i4>0</vt:i4>
      </vt:variant>
      <vt:variant>
        <vt:i4>5</vt:i4>
      </vt:variant>
      <vt:variant>
        <vt:lpwstr/>
      </vt:variant>
      <vt:variant>
        <vt:lpwstr>_Toc458162509</vt:lpwstr>
      </vt:variant>
      <vt:variant>
        <vt:i4>1114175</vt:i4>
      </vt:variant>
      <vt:variant>
        <vt:i4>23</vt:i4>
      </vt:variant>
      <vt:variant>
        <vt:i4>0</vt:i4>
      </vt:variant>
      <vt:variant>
        <vt:i4>5</vt:i4>
      </vt:variant>
      <vt:variant>
        <vt:lpwstr/>
      </vt:variant>
      <vt:variant>
        <vt:lpwstr>_Toc458162508</vt:lpwstr>
      </vt:variant>
      <vt:variant>
        <vt:i4>4128876</vt:i4>
      </vt:variant>
      <vt:variant>
        <vt:i4>54</vt:i4>
      </vt:variant>
      <vt:variant>
        <vt:i4>0</vt:i4>
      </vt:variant>
      <vt:variant>
        <vt:i4>5</vt:i4>
      </vt:variant>
      <vt:variant>
        <vt:lpwstr>https://www.youtube.com/user/ComisionBusquedaSV</vt:lpwstr>
      </vt:variant>
      <vt:variant>
        <vt:lpwstr/>
      </vt:variant>
      <vt:variant>
        <vt:i4>4259871</vt:i4>
      </vt:variant>
      <vt:variant>
        <vt:i4>51</vt:i4>
      </vt:variant>
      <vt:variant>
        <vt:i4>0</vt:i4>
      </vt:variant>
      <vt:variant>
        <vt:i4>5</vt:i4>
      </vt:variant>
      <vt:variant>
        <vt:lpwstr>https://www.facebook.com/comisionnacionalbusquedaelsalvador/?fref=ts</vt:lpwstr>
      </vt:variant>
      <vt:variant>
        <vt:lpwstr/>
      </vt:variant>
      <vt:variant>
        <vt:i4>655360</vt:i4>
      </vt:variant>
      <vt:variant>
        <vt:i4>48</vt:i4>
      </vt:variant>
      <vt:variant>
        <vt:i4>0</vt:i4>
      </vt:variant>
      <vt:variant>
        <vt:i4>5</vt:i4>
      </vt:variant>
      <vt:variant>
        <vt:lpwstr>http://www.cnbelsalvador.org.sv/documentacion.php?tipo=19&amp;ruta=0&amp;linea=1</vt:lpwstr>
      </vt:variant>
      <vt:variant>
        <vt:lpwstr/>
      </vt:variant>
      <vt:variant>
        <vt:i4>655361</vt:i4>
      </vt:variant>
      <vt:variant>
        <vt:i4>45</vt:i4>
      </vt:variant>
      <vt:variant>
        <vt:i4>0</vt:i4>
      </vt:variant>
      <vt:variant>
        <vt:i4>5</vt:i4>
      </vt:variant>
      <vt:variant>
        <vt:lpwstr>http://www.cnbelsalvador.org.sv/documentacion.php?tipo=18&amp;ruta=0&amp;linea=1</vt:lpwstr>
      </vt:variant>
      <vt:variant>
        <vt:lpwstr/>
      </vt:variant>
      <vt:variant>
        <vt:i4>655374</vt:i4>
      </vt:variant>
      <vt:variant>
        <vt:i4>42</vt:i4>
      </vt:variant>
      <vt:variant>
        <vt:i4>0</vt:i4>
      </vt:variant>
      <vt:variant>
        <vt:i4>5</vt:i4>
      </vt:variant>
      <vt:variant>
        <vt:lpwstr>http://www.cnbelsalvador.org.sv/documentacion.php?tipo=17&amp;ruta=0&amp;linea=1</vt:lpwstr>
      </vt:variant>
      <vt:variant>
        <vt:lpwstr/>
      </vt:variant>
      <vt:variant>
        <vt:i4>655375</vt:i4>
      </vt:variant>
      <vt:variant>
        <vt:i4>39</vt:i4>
      </vt:variant>
      <vt:variant>
        <vt:i4>0</vt:i4>
      </vt:variant>
      <vt:variant>
        <vt:i4>5</vt:i4>
      </vt:variant>
      <vt:variant>
        <vt:lpwstr>http://www.cnbelsalvador.org.sv/documentacion.php?tipo=16&amp;ruta=0&amp;linea=1</vt:lpwstr>
      </vt:variant>
      <vt:variant>
        <vt:lpwstr/>
      </vt:variant>
      <vt:variant>
        <vt:i4>655372</vt:i4>
      </vt:variant>
      <vt:variant>
        <vt:i4>36</vt:i4>
      </vt:variant>
      <vt:variant>
        <vt:i4>0</vt:i4>
      </vt:variant>
      <vt:variant>
        <vt:i4>5</vt:i4>
      </vt:variant>
      <vt:variant>
        <vt:lpwstr>http://www.cnbelsalvador.org.sv/documentacion.php?tipo=15&amp;ruta=0&amp;linea=1</vt:lpwstr>
      </vt:variant>
      <vt:variant>
        <vt:lpwstr/>
      </vt:variant>
      <vt:variant>
        <vt:i4>589837</vt:i4>
      </vt:variant>
      <vt:variant>
        <vt:i4>33</vt:i4>
      </vt:variant>
      <vt:variant>
        <vt:i4>0</vt:i4>
      </vt:variant>
      <vt:variant>
        <vt:i4>5</vt:i4>
      </vt:variant>
      <vt:variant>
        <vt:lpwstr>http://www.cnbelsalvador.org.sv/documentacion.php?tipo=24&amp;ruta=0&amp;linea=1</vt:lpwstr>
      </vt:variant>
      <vt:variant>
        <vt:lpwstr/>
      </vt:variant>
      <vt:variant>
        <vt:i4>6160459</vt:i4>
      </vt:variant>
      <vt:variant>
        <vt:i4>30</vt:i4>
      </vt:variant>
      <vt:variant>
        <vt:i4>0</vt:i4>
      </vt:variant>
      <vt:variant>
        <vt:i4>5</vt:i4>
      </vt:variant>
      <vt:variant>
        <vt:lpwstr>http://www.cnbelsalvador.org.sv/index.php</vt:lpwstr>
      </vt:variant>
      <vt:variant>
        <vt:lpwstr/>
      </vt:variant>
      <vt:variant>
        <vt:i4>7798905</vt:i4>
      </vt:variant>
      <vt:variant>
        <vt:i4>27</vt:i4>
      </vt:variant>
      <vt:variant>
        <vt:i4>0</vt:i4>
      </vt:variant>
      <vt:variant>
        <vt:i4>5</vt:i4>
      </vt:variant>
      <vt:variant>
        <vt:lpwstr>http://www.cnbelsalvador.org.sv/formulariocontacto.php</vt:lpwstr>
      </vt:variant>
      <vt:variant>
        <vt:lpwstr/>
      </vt:variant>
      <vt:variant>
        <vt:i4>4063347</vt:i4>
      </vt:variant>
      <vt:variant>
        <vt:i4>24</vt:i4>
      </vt:variant>
      <vt:variant>
        <vt:i4>0</vt:i4>
      </vt:variant>
      <vt:variant>
        <vt:i4>5</vt:i4>
      </vt:variant>
      <vt:variant>
        <vt:lpwstr>http://www.cnbelsalvador.org.sv/documento.php?tipo=20&amp;doc=83&amp;ruta=1&amp;linea=3</vt:lpwstr>
      </vt:variant>
      <vt:variant>
        <vt:lpwstr/>
      </vt:variant>
      <vt:variant>
        <vt:i4>589833</vt:i4>
      </vt:variant>
      <vt:variant>
        <vt:i4>21</vt:i4>
      </vt:variant>
      <vt:variant>
        <vt:i4>0</vt:i4>
      </vt:variant>
      <vt:variant>
        <vt:i4>5</vt:i4>
      </vt:variant>
      <vt:variant>
        <vt:lpwstr>http://www.cnbelsalvador.org.sv/documentacion.php?tipo=20&amp;ruta=0&amp;linea=1</vt:lpwstr>
      </vt:variant>
      <vt:variant>
        <vt:lpwstr/>
      </vt:variant>
      <vt:variant>
        <vt:i4>6160459</vt:i4>
      </vt:variant>
      <vt:variant>
        <vt:i4>18</vt:i4>
      </vt:variant>
      <vt:variant>
        <vt:i4>0</vt:i4>
      </vt:variant>
      <vt:variant>
        <vt:i4>5</vt:i4>
      </vt:variant>
      <vt:variant>
        <vt:lpwstr>http://www.cnbelsalvador.org.sv/index.php</vt:lpwstr>
      </vt:variant>
      <vt:variant>
        <vt:lpwstr/>
      </vt:variant>
      <vt:variant>
        <vt:i4>3407991</vt:i4>
      </vt:variant>
      <vt:variant>
        <vt:i4>15</vt:i4>
      </vt:variant>
      <vt:variant>
        <vt:i4>0</vt:i4>
      </vt:variant>
      <vt:variant>
        <vt:i4>5</vt:i4>
      </vt:variant>
      <vt:variant>
        <vt:lpwstr>http://www.cnbelsalvador.org.sv/documento.php?tipo=2&amp;doc=63&amp;ruta=0&amp;linea=1</vt:lpwstr>
      </vt:variant>
      <vt:variant>
        <vt:lpwstr/>
      </vt:variant>
      <vt:variant>
        <vt:i4>7471195</vt:i4>
      </vt:variant>
      <vt:variant>
        <vt:i4>12</vt:i4>
      </vt:variant>
      <vt:variant>
        <vt:i4>0</vt:i4>
      </vt:variant>
      <vt:variant>
        <vt:i4>5</vt:i4>
      </vt:variant>
      <vt:variant>
        <vt:lpwstr>http://www.corteidh.or.cr/docs/supervisiones/serrano_03_02_10.pdf</vt:lpwstr>
      </vt:variant>
      <vt:variant>
        <vt:lpwstr/>
      </vt:variant>
      <vt:variant>
        <vt:i4>7733340</vt:i4>
      </vt:variant>
      <vt:variant>
        <vt:i4>9</vt:i4>
      </vt:variant>
      <vt:variant>
        <vt:i4>0</vt:i4>
      </vt:variant>
      <vt:variant>
        <vt:i4>5</vt:i4>
      </vt:variant>
      <vt:variant>
        <vt:lpwstr>http://www.corteidh.or.cr/docs/supervisiones/serrano_03_07_07.pdf</vt:lpwstr>
      </vt:variant>
      <vt:variant>
        <vt:lpwstr/>
      </vt:variant>
      <vt:variant>
        <vt:i4>7995484</vt:i4>
      </vt:variant>
      <vt:variant>
        <vt:i4>6</vt:i4>
      </vt:variant>
      <vt:variant>
        <vt:i4>0</vt:i4>
      </vt:variant>
      <vt:variant>
        <vt:i4>5</vt:i4>
      </vt:variant>
      <vt:variant>
        <vt:lpwstr>http://www.corteidh.or.cr/docs/supervisiones/serrano_22_09_06.pdf</vt:lpwstr>
      </vt:variant>
      <vt:variant>
        <vt:lpwstr/>
      </vt:variant>
      <vt:variant>
        <vt:i4>5308509</vt:i4>
      </vt:variant>
      <vt:variant>
        <vt:i4>3</vt:i4>
      </vt:variant>
      <vt:variant>
        <vt:i4>0</vt:i4>
      </vt:variant>
      <vt:variant>
        <vt:i4>5</vt:i4>
      </vt:variant>
      <vt:variant>
        <vt:lpwstr>http://www.corteidh.or.cr/docs/casos/articulos/seriec_118_esp.pdf</vt:lpwstr>
      </vt:variant>
      <vt:variant>
        <vt:lpwstr/>
      </vt:variant>
      <vt:variant>
        <vt:i4>5374037</vt:i4>
      </vt:variant>
      <vt:variant>
        <vt:i4>0</vt:i4>
      </vt:variant>
      <vt:variant>
        <vt:i4>0</vt:i4>
      </vt:variant>
      <vt:variant>
        <vt:i4>5</vt:i4>
      </vt:variant>
      <vt:variant>
        <vt:lpwstr>http://www.corteidh.or.cr/docs/casos/articulos/seriec_120_esp.pdf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2017-08-11T15:10:00Z</cp:lastPrinted>
  <dcterms:created xsi:type="dcterms:W3CDTF">2017-08-11T15:10:00Z</dcterms:created>
  <dcterms:modified xsi:type="dcterms:W3CDTF">2017-08-11T15:10:00Z</dcterms:modified>
</cp:coreProperties>
</file>