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860" w:rsidRPr="008468F9" w:rsidRDefault="008F3860">
      <w:pPr>
        <w:spacing w:before="40"/>
        <w:jc w:val="center"/>
        <w:rPr>
          <w:rFonts w:ascii="Verdana" w:hAnsi="Verdana"/>
          <w:b/>
          <w:sz w:val="20"/>
          <w:szCs w:val="20"/>
          <w:lang w:val="es-ES_tradnl"/>
        </w:rPr>
      </w:pPr>
      <w:bookmarkStart w:id="0" w:name="_GoBack"/>
      <w:bookmarkEnd w:id="0"/>
      <w:r w:rsidRPr="008468F9">
        <w:rPr>
          <w:rFonts w:ascii="Verdana" w:hAnsi="Verdana"/>
          <w:b/>
          <w:sz w:val="20"/>
          <w:szCs w:val="20"/>
          <w:lang w:val="es-ES_tradnl"/>
        </w:rPr>
        <w:t>Corte Interamericana de Derechos Humanos</w:t>
      </w:r>
    </w:p>
    <w:p w:rsidR="008F3860" w:rsidRDefault="008F3860">
      <w:pPr>
        <w:spacing w:before="40"/>
        <w:jc w:val="center"/>
        <w:rPr>
          <w:rFonts w:ascii="Verdana" w:hAnsi="Verdana"/>
          <w:b/>
          <w:sz w:val="20"/>
          <w:szCs w:val="20"/>
          <w:lang w:val="es-ES_tradnl"/>
        </w:rPr>
      </w:pPr>
    </w:p>
    <w:p w:rsidR="008468F9" w:rsidRPr="008468F9" w:rsidRDefault="008468F9">
      <w:pPr>
        <w:spacing w:before="40"/>
        <w:jc w:val="center"/>
        <w:rPr>
          <w:rFonts w:ascii="Verdana" w:hAnsi="Verdana"/>
          <w:b/>
          <w:sz w:val="20"/>
          <w:szCs w:val="20"/>
          <w:lang w:val="es-ES_tradnl"/>
        </w:rPr>
      </w:pPr>
    </w:p>
    <w:p w:rsidR="008F3860" w:rsidRPr="008468F9" w:rsidRDefault="008F3860">
      <w:pPr>
        <w:pStyle w:val="Textoindependiente"/>
        <w:spacing w:before="40"/>
        <w:jc w:val="center"/>
        <w:rPr>
          <w:rFonts w:ascii="Verdana" w:hAnsi="Verdana"/>
          <w:b/>
          <w:sz w:val="20"/>
        </w:rPr>
      </w:pPr>
      <w:r w:rsidRPr="008468F9">
        <w:rPr>
          <w:rFonts w:ascii="Verdana" w:hAnsi="Verdana"/>
          <w:b/>
          <w:sz w:val="20"/>
        </w:rPr>
        <w:t xml:space="preserve">Caso de las Niñas Yean y Bosico </w:t>
      </w:r>
      <w:r w:rsidR="008468F9" w:rsidRPr="008468F9">
        <w:rPr>
          <w:rFonts w:ascii="Verdana" w:hAnsi="Verdana"/>
          <w:b/>
          <w:i/>
          <w:color w:val="000000"/>
          <w:sz w:val="20"/>
        </w:rPr>
        <w:t>Vs</w:t>
      </w:r>
      <w:r w:rsidRPr="008468F9">
        <w:rPr>
          <w:rFonts w:ascii="Verdana" w:hAnsi="Verdana"/>
          <w:b/>
          <w:i/>
          <w:color w:val="000000"/>
          <w:sz w:val="20"/>
        </w:rPr>
        <w:t>.</w:t>
      </w:r>
      <w:r w:rsidRPr="008468F9">
        <w:rPr>
          <w:rFonts w:ascii="Verdana" w:hAnsi="Verdana"/>
          <w:b/>
          <w:sz w:val="20"/>
        </w:rPr>
        <w:t xml:space="preserve"> República Dominicana</w:t>
      </w:r>
    </w:p>
    <w:p w:rsidR="008F3860" w:rsidRDefault="008F3860">
      <w:pPr>
        <w:spacing w:before="40"/>
        <w:jc w:val="center"/>
        <w:rPr>
          <w:rFonts w:ascii="Verdana" w:hAnsi="Verdana"/>
          <w:b/>
          <w:sz w:val="20"/>
          <w:szCs w:val="20"/>
          <w:lang w:val="es-ES_tradnl"/>
        </w:rPr>
      </w:pPr>
    </w:p>
    <w:p w:rsidR="008468F9" w:rsidRDefault="008468F9">
      <w:pPr>
        <w:spacing w:before="40"/>
        <w:jc w:val="center"/>
        <w:rPr>
          <w:rFonts w:ascii="Verdana" w:hAnsi="Verdana"/>
          <w:b/>
          <w:sz w:val="20"/>
          <w:szCs w:val="20"/>
          <w:lang w:val="es-ES_tradnl"/>
        </w:rPr>
      </w:pPr>
    </w:p>
    <w:p w:rsidR="008F3860" w:rsidRPr="008468F9" w:rsidRDefault="008F3860">
      <w:pPr>
        <w:spacing w:before="40"/>
        <w:jc w:val="center"/>
        <w:rPr>
          <w:rFonts w:ascii="Verdana" w:hAnsi="Verdana"/>
          <w:b/>
          <w:sz w:val="20"/>
          <w:szCs w:val="20"/>
          <w:lang w:val="es-ES_tradnl"/>
        </w:rPr>
      </w:pPr>
    </w:p>
    <w:p w:rsidR="008F3860" w:rsidRPr="008468F9" w:rsidRDefault="008F3860">
      <w:pPr>
        <w:spacing w:before="40"/>
        <w:jc w:val="center"/>
        <w:rPr>
          <w:rFonts w:ascii="Verdana" w:hAnsi="Verdana"/>
          <w:b/>
          <w:sz w:val="20"/>
          <w:szCs w:val="20"/>
          <w:lang w:val="es-ES_tradnl"/>
        </w:rPr>
      </w:pPr>
      <w:r w:rsidRPr="008468F9">
        <w:rPr>
          <w:rFonts w:ascii="Verdana" w:hAnsi="Verdana"/>
          <w:b/>
          <w:sz w:val="20"/>
          <w:szCs w:val="20"/>
          <w:lang w:val="es-ES_tradnl"/>
        </w:rPr>
        <w:t>Sentencia de 23 de noviembre de 2006</w:t>
      </w:r>
    </w:p>
    <w:p w:rsidR="00000000" w:rsidRDefault="008468F9" w:rsidP="008468F9">
      <w:pPr>
        <w:spacing w:before="40"/>
        <w:jc w:val="center"/>
        <w:rPr>
          <w:rFonts w:ascii="Verdana" w:hAnsi="Verdana"/>
          <w:b/>
          <w:i/>
          <w:sz w:val="16"/>
          <w:szCs w:val="16"/>
          <w:lang w:val="es-ES_tradnl"/>
        </w:rPr>
      </w:pPr>
      <w:r w:rsidRPr="008468F9">
        <w:rPr>
          <w:rFonts w:ascii="Verdana" w:hAnsi="Verdana"/>
          <w:b/>
          <w:i/>
          <w:sz w:val="16"/>
          <w:szCs w:val="16"/>
          <w:lang w:val="es-ES_tradnl"/>
        </w:rPr>
        <w:t>(</w:t>
      </w:r>
      <w:r w:rsidR="006A0B0D">
        <w:rPr>
          <w:rFonts w:ascii="Verdana" w:hAnsi="Verdana"/>
          <w:b/>
          <w:i/>
          <w:sz w:val="16"/>
          <w:szCs w:val="16"/>
          <w:lang w:val="es-ES_tradnl"/>
        </w:rPr>
        <w:t xml:space="preserve">Demanda de </w:t>
      </w:r>
      <w:r w:rsidRPr="008468F9">
        <w:rPr>
          <w:rFonts w:ascii="Verdana" w:hAnsi="Verdana"/>
          <w:b/>
          <w:i/>
          <w:sz w:val="16"/>
          <w:szCs w:val="16"/>
          <w:lang w:val="es-ES_tradnl"/>
        </w:rPr>
        <w:t xml:space="preserve">Interpretación de la Sentencia </w:t>
      </w:r>
      <w:r>
        <w:rPr>
          <w:rFonts w:ascii="Verdana" w:hAnsi="Verdana"/>
          <w:b/>
          <w:i/>
          <w:sz w:val="16"/>
          <w:szCs w:val="16"/>
          <w:lang w:val="es-ES_tradnl"/>
        </w:rPr>
        <w:t>de</w:t>
      </w:r>
      <w:r w:rsidRPr="008468F9">
        <w:rPr>
          <w:rFonts w:ascii="Verdana" w:hAnsi="Verdana"/>
          <w:b/>
          <w:i/>
          <w:sz w:val="16"/>
          <w:szCs w:val="16"/>
          <w:lang w:val="es-ES_tradnl"/>
        </w:rPr>
        <w:t xml:space="preserve"> Excepciones Preliminares, Fondo, </w:t>
      </w:r>
    </w:p>
    <w:p w:rsidR="008468F9" w:rsidRDefault="008468F9" w:rsidP="008468F9">
      <w:pPr>
        <w:spacing w:before="40"/>
        <w:jc w:val="center"/>
        <w:rPr>
          <w:rFonts w:ascii="Verdana" w:hAnsi="Verdana"/>
          <w:b/>
          <w:i/>
          <w:sz w:val="16"/>
          <w:szCs w:val="16"/>
          <w:lang w:val="es-ES_tradnl"/>
        </w:rPr>
      </w:pPr>
      <w:r w:rsidRPr="008468F9">
        <w:rPr>
          <w:rFonts w:ascii="Verdana" w:hAnsi="Verdana"/>
          <w:b/>
          <w:i/>
          <w:sz w:val="16"/>
          <w:szCs w:val="16"/>
          <w:lang w:val="es-ES_tradnl"/>
        </w:rPr>
        <w:t>Reparaciones y Costas)</w:t>
      </w:r>
    </w:p>
    <w:p w:rsidR="008468F9" w:rsidRDefault="008468F9" w:rsidP="008468F9">
      <w:pPr>
        <w:spacing w:before="40"/>
        <w:jc w:val="center"/>
        <w:rPr>
          <w:rFonts w:ascii="Verdana" w:hAnsi="Verdana"/>
          <w:b/>
          <w:i/>
          <w:sz w:val="16"/>
          <w:szCs w:val="16"/>
          <w:lang w:val="es-ES_tradnl"/>
        </w:rPr>
      </w:pPr>
    </w:p>
    <w:p w:rsidR="008468F9" w:rsidRPr="008468F9" w:rsidRDefault="008468F9" w:rsidP="008468F9">
      <w:pPr>
        <w:spacing w:before="40"/>
        <w:jc w:val="center"/>
        <w:rPr>
          <w:rFonts w:ascii="Verdana" w:hAnsi="Verdana"/>
          <w:b/>
          <w:i/>
          <w:sz w:val="16"/>
          <w:szCs w:val="16"/>
          <w:lang w:val="es-ES_tradnl"/>
        </w:rPr>
      </w:pPr>
    </w:p>
    <w:p w:rsidR="008F3860" w:rsidRPr="00740C0C" w:rsidRDefault="008F3860">
      <w:pPr>
        <w:spacing w:before="40"/>
        <w:jc w:val="center"/>
        <w:rPr>
          <w:rFonts w:ascii="Verdana" w:hAnsi="Verdana"/>
          <w:smallCaps/>
          <w:sz w:val="20"/>
          <w:szCs w:val="20"/>
          <w:lang w:val="es-ES_tradnl"/>
        </w:rPr>
      </w:pPr>
    </w:p>
    <w:p w:rsidR="008F3860" w:rsidRPr="00740C0C" w:rsidRDefault="008F3860">
      <w:pPr>
        <w:spacing w:before="40"/>
        <w:jc w:val="center"/>
        <w:rPr>
          <w:rFonts w:ascii="Verdana" w:hAnsi="Verdana"/>
          <w:smallCaps/>
          <w:sz w:val="20"/>
          <w:szCs w:val="20"/>
          <w:lang w:val="es-ES_tradnl"/>
        </w:rPr>
      </w:pPr>
    </w:p>
    <w:p w:rsidR="008F3860" w:rsidRPr="00740C0C" w:rsidRDefault="008F3860">
      <w:pPr>
        <w:spacing w:before="40"/>
        <w:jc w:val="both"/>
        <w:rPr>
          <w:rFonts w:ascii="Verdana" w:hAnsi="Verdana"/>
          <w:sz w:val="20"/>
          <w:szCs w:val="20"/>
          <w:lang w:val="es-ES_tradnl"/>
        </w:rPr>
      </w:pPr>
      <w:r w:rsidRPr="00740C0C">
        <w:rPr>
          <w:rFonts w:ascii="Verdana" w:hAnsi="Verdana"/>
          <w:sz w:val="20"/>
          <w:szCs w:val="20"/>
          <w:lang w:val="es-ES_tradnl"/>
        </w:rPr>
        <w:t xml:space="preserve">En el </w:t>
      </w:r>
      <w:r w:rsidRPr="00740C0C">
        <w:rPr>
          <w:rFonts w:ascii="Verdana" w:hAnsi="Verdana"/>
          <w:i/>
          <w:sz w:val="20"/>
          <w:szCs w:val="20"/>
          <w:lang w:val="es-ES_tradnl"/>
        </w:rPr>
        <w:t>Caso de las Niñas Yean y Bosico</w:t>
      </w:r>
      <w:r w:rsidRPr="00740C0C">
        <w:rPr>
          <w:rFonts w:ascii="Verdana" w:hAnsi="Verdana"/>
          <w:sz w:val="20"/>
          <w:szCs w:val="20"/>
          <w:lang w:val="es-ES_tradnl"/>
        </w:rPr>
        <w:t>,</w:t>
      </w:r>
    </w:p>
    <w:p w:rsidR="008F3860" w:rsidRPr="00740C0C" w:rsidRDefault="008F3860">
      <w:pPr>
        <w:spacing w:before="40"/>
        <w:jc w:val="both"/>
        <w:rPr>
          <w:rFonts w:ascii="Verdana" w:hAnsi="Verdana"/>
          <w:sz w:val="20"/>
          <w:szCs w:val="20"/>
          <w:lang w:val="es-ES_tradnl"/>
        </w:rPr>
      </w:pPr>
    </w:p>
    <w:p w:rsidR="008F3860" w:rsidRPr="00740C0C" w:rsidRDefault="008F3860">
      <w:pPr>
        <w:spacing w:before="40"/>
        <w:jc w:val="both"/>
        <w:rPr>
          <w:rFonts w:ascii="Verdana" w:hAnsi="Verdana"/>
          <w:sz w:val="20"/>
        </w:rPr>
      </w:pPr>
      <w:proofErr w:type="gramStart"/>
      <w:r w:rsidRPr="00740C0C">
        <w:rPr>
          <w:rFonts w:ascii="Verdana" w:hAnsi="Verdana"/>
          <w:sz w:val="20"/>
        </w:rPr>
        <w:t>la</w:t>
      </w:r>
      <w:proofErr w:type="gramEnd"/>
      <w:r w:rsidRPr="00740C0C">
        <w:rPr>
          <w:rFonts w:ascii="Verdana" w:hAnsi="Verdana"/>
          <w:sz w:val="20"/>
        </w:rPr>
        <w:t xml:space="preserve"> Corte Interamericana de Derechos Humanos (en adelante “la Corte” o “el Tribunal), integrada por los siguientes jueces</w:t>
      </w:r>
      <w:r w:rsidRPr="00DF1886">
        <w:rPr>
          <w:rStyle w:val="Refdenotaalpie"/>
          <w:rFonts w:ascii="Verdana" w:hAnsi="Verdana"/>
        </w:rPr>
        <w:footnoteReference w:customMarkFollows="1" w:id="1"/>
        <w:sym w:font="Symbol" w:char="F02A"/>
      </w:r>
      <w:r w:rsidRPr="00740C0C">
        <w:rPr>
          <w:rFonts w:ascii="Verdana" w:hAnsi="Verdana"/>
          <w:sz w:val="20"/>
        </w:rPr>
        <w:t>:</w:t>
      </w:r>
    </w:p>
    <w:p w:rsidR="008F3860" w:rsidRPr="00740C0C" w:rsidRDefault="008F3860">
      <w:pPr>
        <w:spacing w:before="40"/>
        <w:jc w:val="both"/>
        <w:rPr>
          <w:rFonts w:ascii="Verdana" w:hAnsi="Verdana"/>
          <w:sz w:val="20"/>
          <w:lang w:val="es-ES_tradnl"/>
        </w:rPr>
      </w:pPr>
    </w:p>
    <w:p w:rsidR="008F3860" w:rsidRPr="0046680A" w:rsidRDefault="008F3860">
      <w:pPr>
        <w:spacing w:before="40"/>
        <w:ind w:firstLine="720"/>
        <w:jc w:val="both"/>
        <w:rPr>
          <w:rFonts w:ascii="Verdana" w:hAnsi="Verdana"/>
          <w:sz w:val="20"/>
          <w:lang w:val="es-ES_tradnl"/>
        </w:rPr>
      </w:pPr>
      <w:r w:rsidRPr="0046680A">
        <w:rPr>
          <w:rFonts w:ascii="Verdana" w:hAnsi="Verdana"/>
          <w:sz w:val="20"/>
          <w:lang w:val="es-ES_tradnl"/>
        </w:rPr>
        <w:t>Sergio García Ramírez, Presidente;</w:t>
      </w:r>
    </w:p>
    <w:p w:rsidR="008F3860" w:rsidRPr="0046680A" w:rsidRDefault="008F3860">
      <w:pPr>
        <w:spacing w:before="40"/>
        <w:jc w:val="both"/>
        <w:rPr>
          <w:rFonts w:ascii="Verdana" w:hAnsi="Verdana"/>
          <w:sz w:val="20"/>
          <w:lang w:val="es-ES_tradnl"/>
        </w:rPr>
      </w:pPr>
      <w:r w:rsidRPr="0046680A">
        <w:rPr>
          <w:rFonts w:ascii="Verdana" w:hAnsi="Verdana"/>
          <w:sz w:val="20"/>
          <w:lang w:val="es-ES_tradnl"/>
        </w:rPr>
        <w:tab/>
        <w:t xml:space="preserve">Alirio Abreu Burelli, Vicepresidente; </w:t>
      </w:r>
    </w:p>
    <w:p w:rsidR="008F3860" w:rsidRPr="0046680A" w:rsidRDefault="008F3860">
      <w:pPr>
        <w:spacing w:before="40"/>
        <w:jc w:val="both"/>
        <w:rPr>
          <w:rFonts w:ascii="Verdana" w:hAnsi="Verdana"/>
          <w:sz w:val="20"/>
          <w:lang w:val="es-ES_tradnl"/>
        </w:rPr>
      </w:pPr>
      <w:r w:rsidRPr="0046680A">
        <w:rPr>
          <w:rFonts w:ascii="Verdana" w:hAnsi="Verdana"/>
          <w:sz w:val="20"/>
          <w:lang w:val="es-ES_tradnl"/>
        </w:rPr>
        <w:tab/>
        <w:t>Antônio A. Cançado Trindade, Juez;</w:t>
      </w:r>
    </w:p>
    <w:p w:rsidR="008F3860" w:rsidRPr="0046680A" w:rsidRDefault="008F3860">
      <w:pPr>
        <w:spacing w:before="40"/>
        <w:jc w:val="both"/>
        <w:rPr>
          <w:rFonts w:ascii="Verdana" w:hAnsi="Verdana"/>
          <w:sz w:val="20"/>
          <w:lang w:val="es-ES_tradnl"/>
        </w:rPr>
      </w:pPr>
      <w:r w:rsidRPr="0046680A">
        <w:rPr>
          <w:rFonts w:ascii="Verdana" w:hAnsi="Verdana"/>
          <w:sz w:val="20"/>
          <w:lang w:val="es-ES_tradnl"/>
        </w:rPr>
        <w:tab/>
        <w:t xml:space="preserve">Cecilia Medina Quiroga, Jueza; </w:t>
      </w:r>
    </w:p>
    <w:p w:rsidR="008F3860" w:rsidRPr="0046680A" w:rsidRDefault="008F3860">
      <w:pPr>
        <w:spacing w:before="40"/>
        <w:jc w:val="both"/>
        <w:rPr>
          <w:rFonts w:ascii="Verdana" w:hAnsi="Verdana"/>
          <w:sz w:val="20"/>
          <w:lang w:val="es-ES_tradnl"/>
        </w:rPr>
      </w:pPr>
      <w:r w:rsidRPr="0046680A">
        <w:rPr>
          <w:rFonts w:ascii="Verdana" w:hAnsi="Verdana"/>
          <w:sz w:val="20"/>
          <w:lang w:val="es-ES_tradnl"/>
        </w:rPr>
        <w:tab/>
        <w:t xml:space="preserve">Manuel E. Ventura Robles, Juez; y </w:t>
      </w:r>
    </w:p>
    <w:p w:rsidR="008F3860" w:rsidRPr="0046680A" w:rsidRDefault="008F3860">
      <w:pPr>
        <w:spacing w:before="40"/>
        <w:jc w:val="both"/>
        <w:rPr>
          <w:rFonts w:ascii="Verdana" w:hAnsi="Verdana"/>
          <w:sz w:val="20"/>
          <w:lang w:val="es-ES_tradnl"/>
        </w:rPr>
      </w:pPr>
      <w:r w:rsidRPr="0046680A">
        <w:rPr>
          <w:rFonts w:ascii="Verdana" w:hAnsi="Verdana"/>
          <w:sz w:val="20"/>
          <w:lang w:val="es-ES_tradnl"/>
        </w:rPr>
        <w:tab/>
        <w:t>Diego García-Sayán, Juez;</w:t>
      </w:r>
    </w:p>
    <w:p w:rsidR="008F3860" w:rsidRPr="00740C0C" w:rsidRDefault="008F3860">
      <w:pPr>
        <w:spacing w:before="40"/>
        <w:jc w:val="both"/>
        <w:rPr>
          <w:rFonts w:ascii="Verdana" w:hAnsi="Verdana"/>
          <w:sz w:val="20"/>
        </w:rPr>
      </w:pPr>
    </w:p>
    <w:p w:rsidR="008F3860" w:rsidRPr="00740C0C" w:rsidRDefault="008F3860">
      <w:pPr>
        <w:spacing w:before="40"/>
        <w:jc w:val="both"/>
        <w:rPr>
          <w:rFonts w:ascii="Verdana" w:hAnsi="Verdana"/>
          <w:sz w:val="20"/>
        </w:rPr>
      </w:pPr>
      <w:proofErr w:type="gramStart"/>
      <w:r w:rsidRPr="00740C0C">
        <w:rPr>
          <w:rFonts w:ascii="Verdana" w:hAnsi="Verdana"/>
          <w:sz w:val="20"/>
        </w:rPr>
        <w:t>presentes</w:t>
      </w:r>
      <w:proofErr w:type="gramEnd"/>
      <w:r w:rsidRPr="00740C0C">
        <w:rPr>
          <w:rFonts w:ascii="Verdana" w:hAnsi="Verdana"/>
          <w:sz w:val="20"/>
        </w:rPr>
        <w:t>, además,</w:t>
      </w:r>
    </w:p>
    <w:p w:rsidR="008F3860" w:rsidRPr="00740C0C" w:rsidRDefault="008F3860">
      <w:pPr>
        <w:spacing w:before="40"/>
        <w:jc w:val="both"/>
        <w:rPr>
          <w:rFonts w:ascii="Verdana" w:hAnsi="Verdana"/>
          <w:sz w:val="20"/>
        </w:rPr>
      </w:pPr>
    </w:p>
    <w:p w:rsidR="008F3860" w:rsidRPr="00740C0C" w:rsidRDefault="008F3860">
      <w:pPr>
        <w:spacing w:before="40"/>
        <w:jc w:val="both"/>
        <w:rPr>
          <w:rFonts w:ascii="Verdana" w:hAnsi="Verdana"/>
          <w:sz w:val="20"/>
        </w:rPr>
      </w:pPr>
      <w:r w:rsidRPr="00740C0C">
        <w:rPr>
          <w:rFonts w:ascii="Verdana" w:hAnsi="Verdana"/>
          <w:sz w:val="20"/>
        </w:rPr>
        <w:tab/>
        <w:t>Pablo Saavedra Alessandri, Secretario; y</w:t>
      </w:r>
    </w:p>
    <w:p w:rsidR="008F3860" w:rsidRPr="00740C0C" w:rsidRDefault="008F3860">
      <w:pPr>
        <w:spacing w:before="40"/>
        <w:jc w:val="both"/>
        <w:rPr>
          <w:rFonts w:ascii="Verdana" w:hAnsi="Verdana"/>
          <w:sz w:val="20"/>
        </w:rPr>
      </w:pPr>
      <w:r w:rsidRPr="00740C0C">
        <w:rPr>
          <w:rFonts w:ascii="Verdana" w:hAnsi="Verdana"/>
          <w:sz w:val="20"/>
        </w:rPr>
        <w:tab/>
        <w:t>Emilia Segares Rodríguez, Secretaria Adjunta;</w:t>
      </w:r>
    </w:p>
    <w:p w:rsidR="008F3860" w:rsidRPr="00740C0C" w:rsidRDefault="008F3860">
      <w:pPr>
        <w:spacing w:before="40"/>
        <w:jc w:val="both"/>
        <w:rPr>
          <w:rFonts w:ascii="Verdana" w:hAnsi="Verdana"/>
          <w:sz w:val="20"/>
        </w:rPr>
      </w:pPr>
    </w:p>
    <w:p w:rsidR="008F3860" w:rsidRPr="00740C0C" w:rsidRDefault="008F3860">
      <w:pPr>
        <w:spacing w:before="40"/>
        <w:jc w:val="both"/>
        <w:rPr>
          <w:rFonts w:ascii="Verdana" w:hAnsi="Verdana"/>
          <w:sz w:val="20"/>
          <w:szCs w:val="20"/>
          <w:lang w:val="es-ES_tradnl"/>
        </w:rPr>
      </w:pPr>
      <w:r w:rsidRPr="00740C0C">
        <w:rPr>
          <w:rFonts w:ascii="Verdana" w:hAnsi="Verdana"/>
          <w:sz w:val="20"/>
          <w:szCs w:val="20"/>
          <w:lang w:val="es-ES_tradnl"/>
        </w:rPr>
        <w:t xml:space="preserve">de conformidad con el artículo 67 de la Convención Americana sobre Derechos Humanos (en adelante “la Convención” o “la Convención Americana”) y el artículo 59 del Reglamento de la Corte (en adelante “el Reglamento”), resuelve sobre la demanda de interpretación de la Sentencia sobre excepciones preliminares, fondo, reparaciones </w:t>
      </w:r>
      <w:r w:rsidRPr="00814D7A">
        <w:rPr>
          <w:rFonts w:ascii="Verdana" w:hAnsi="Verdana"/>
          <w:sz w:val="20"/>
          <w:szCs w:val="20"/>
          <w:lang w:val="es-ES_tradnl"/>
        </w:rPr>
        <w:t>y costas</w:t>
      </w:r>
      <w:r w:rsidRPr="00740C0C">
        <w:rPr>
          <w:rFonts w:ascii="Verdana" w:hAnsi="Verdana"/>
          <w:sz w:val="20"/>
          <w:szCs w:val="20"/>
          <w:lang w:val="es-ES_tradnl"/>
        </w:rPr>
        <w:t xml:space="preserve"> emitida por la Corte el 8 de septiembre de 2005 en el Caso de las Niñas Yean y Bosico (en adelante “la demanda de interpretación”), presentada por </w:t>
      </w:r>
      <w:r w:rsidRPr="00740C0C">
        <w:rPr>
          <w:rFonts w:ascii="Verdana" w:hAnsi="Verdana"/>
          <w:sz w:val="20"/>
        </w:rPr>
        <w:t>la República Dominicana (en adelante “la República Dominicana” o “el Estado”)</w:t>
      </w:r>
      <w:r w:rsidRPr="00740C0C">
        <w:rPr>
          <w:rFonts w:ascii="Verdana" w:hAnsi="Verdana"/>
          <w:sz w:val="20"/>
          <w:szCs w:val="20"/>
          <w:lang w:val="es-ES_tradnl"/>
        </w:rPr>
        <w:t xml:space="preserve"> el 5 de enero de 2006.</w:t>
      </w:r>
    </w:p>
    <w:p w:rsidR="008F3860" w:rsidRPr="00740C0C" w:rsidRDefault="008F3860">
      <w:pPr>
        <w:spacing w:before="40"/>
        <w:jc w:val="both"/>
        <w:rPr>
          <w:rFonts w:ascii="Verdana" w:hAnsi="Verdana"/>
          <w:sz w:val="20"/>
          <w:szCs w:val="20"/>
          <w:lang w:val="es-ES_tradnl"/>
        </w:rPr>
      </w:pPr>
    </w:p>
    <w:p w:rsidR="008F3860" w:rsidRPr="00740C0C" w:rsidRDefault="008F3860">
      <w:pPr>
        <w:spacing w:before="40"/>
        <w:jc w:val="both"/>
        <w:rPr>
          <w:rFonts w:ascii="Verdana" w:hAnsi="Verdana"/>
          <w:sz w:val="20"/>
          <w:szCs w:val="20"/>
          <w:lang w:val="es-ES_tradnl"/>
        </w:rPr>
      </w:pPr>
    </w:p>
    <w:p w:rsidR="008F3860" w:rsidRPr="00740C0C" w:rsidRDefault="008F3860">
      <w:pPr>
        <w:spacing w:before="40"/>
        <w:jc w:val="center"/>
        <w:rPr>
          <w:rFonts w:ascii="Verdana" w:hAnsi="Verdana"/>
          <w:b/>
          <w:smallCaps/>
          <w:sz w:val="20"/>
          <w:szCs w:val="20"/>
          <w:lang w:val="es-ES_tradnl"/>
        </w:rPr>
      </w:pPr>
      <w:r w:rsidRPr="00740C0C">
        <w:rPr>
          <w:rFonts w:ascii="Verdana" w:hAnsi="Verdana"/>
          <w:b/>
          <w:smallCaps/>
          <w:sz w:val="20"/>
          <w:szCs w:val="20"/>
          <w:lang w:val="es-ES_tradnl"/>
        </w:rPr>
        <w:t>I</w:t>
      </w:r>
    </w:p>
    <w:p w:rsidR="008F3860" w:rsidRPr="00740C0C" w:rsidRDefault="008F3860">
      <w:pPr>
        <w:spacing w:before="40"/>
        <w:jc w:val="center"/>
        <w:rPr>
          <w:rFonts w:ascii="Verdana" w:hAnsi="Verdana"/>
          <w:b/>
          <w:smallCaps/>
          <w:sz w:val="20"/>
          <w:szCs w:val="20"/>
          <w:lang w:val="es-ES_tradnl"/>
        </w:rPr>
      </w:pPr>
      <w:r w:rsidRPr="00740C0C">
        <w:rPr>
          <w:rFonts w:ascii="Verdana" w:hAnsi="Verdana"/>
          <w:b/>
          <w:smallCaps/>
          <w:sz w:val="20"/>
          <w:szCs w:val="20"/>
          <w:lang w:val="es-ES_tradnl"/>
        </w:rPr>
        <w:t>Introducción de la demanda de interpretación y su objeto</w:t>
      </w:r>
    </w:p>
    <w:p w:rsidR="008F3860" w:rsidRPr="00740C0C" w:rsidRDefault="008F3860">
      <w:pPr>
        <w:spacing w:before="40"/>
        <w:jc w:val="center"/>
        <w:rPr>
          <w:rFonts w:ascii="Verdana" w:hAnsi="Verdana"/>
          <w:b/>
          <w:smallCaps/>
          <w:sz w:val="20"/>
          <w:szCs w:val="20"/>
          <w:lang w:val="es-ES_tradnl"/>
        </w:rPr>
      </w:pPr>
    </w:p>
    <w:p w:rsidR="008F3860" w:rsidRPr="00740C0C" w:rsidRDefault="008F3860">
      <w:pPr>
        <w:spacing w:before="40"/>
        <w:jc w:val="both"/>
        <w:rPr>
          <w:rFonts w:ascii="Verdana" w:hAnsi="Verdana"/>
          <w:sz w:val="20"/>
          <w:szCs w:val="20"/>
          <w:lang w:val="es-ES_tradnl"/>
        </w:rPr>
      </w:pPr>
      <w:r w:rsidRPr="00740C0C">
        <w:rPr>
          <w:rFonts w:ascii="Verdana" w:hAnsi="Verdana"/>
          <w:sz w:val="20"/>
        </w:rPr>
        <w:lastRenderedPageBreak/>
        <w:t>1.</w:t>
      </w:r>
      <w:r w:rsidRPr="00740C0C">
        <w:rPr>
          <w:rFonts w:ascii="Verdana" w:hAnsi="Verdana"/>
          <w:sz w:val="20"/>
        </w:rPr>
        <w:tab/>
        <w:t xml:space="preserve">El 8 de septiembre de 2005 la Corte emitió la Sentencia sobre excepciones preliminares, fondo, reparaciones </w:t>
      </w:r>
      <w:r w:rsidRPr="00814D7A">
        <w:rPr>
          <w:rFonts w:ascii="Verdana" w:hAnsi="Verdana"/>
          <w:sz w:val="20"/>
        </w:rPr>
        <w:t>y costas en</w:t>
      </w:r>
      <w:r w:rsidRPr="0046680A">
        <w:rPr>
          <w:rFonts w:ascii="Verdana" w:hAnsi="Verdana"/>
          <w:sz w:val="20"/>
        </w:rPr>
        <w:t xml:space="preserve"> este caso (</w:t>
      </w:r>
      <w:r w:rsidRPr="00740C0C">
        <w:rPr>
          <w:rFonts w:ascii="Verdana" w:hAnsi="Verdana"/>
          <w:sz w:val="20"/>
        </w:rPr>
        <w:t xml:space="preserve">en adelante “la Sentencia”). </w:t>
      </w:r>
      <w:r w:rsidRPr="0046680A">
        <w:rPr>
          <w:rFonts w:ascii="Verdana" w:hAnsi="Verdana"/>
          <w:sz w:val="20"/>
          <w:szCs w:val="20"/>
          <w:lang w:val="es-ES_tradnl"/>
        </w:rPr>
        <w:t>Dicha Sentencia fue notificada a las partes el 7 de octubre de 2005.</w:t>
      </w:r>
    </w:p>
    <w:p w:rsidR="008F3860" w:rsidRPr="00740C0C" w:rsidRDefault="008F3860">
      <w:pPr>
        <w:spacing w:before="40"/>
        <w:jc w:val="both"/>
        <w:rPr>
          <w:rFonts w:ascii="Verdana" w:hAnsi="Verdana"/>
          <w:sz w:val="20"/>
          <w:szCs w:val="20"/>
          <w:lang w:val="es-ES_tradnl"/>
        </w:rPr>
      </w:pPr>
    </w:p>
    <w:p w:rsidR="008F3860" w:rsidRPr="00740C0C" w:rsidRDefault="008F3860">
      <w:pPr>
        <w:spacing w:before="40"/>
        <w:jc w:val="both"/>
        <w:rPr>
          <w:rFonts w:ascii="Verdana" w:hAnsi="Verdana"/>
          <w:sz w:val="20"/>
          <w:szCs w:val="20"/>
          <w:lang w:val="es-ES_tradnl"/>
        </w:rPr>
      </w:pPr>
      <w:r w:rsidRPr="00740C0C">
        <w:rPr>
          <w:rFonts w:ascii="Verdana" w:hAnsi="Verdana"/>
          <w:sz w:val="20"/>
          <w:szCs w:val="20"/>
          <w:lang w:val="es-ES_tradnl"/>
        </w:rPr>
        <w:t>2.</w:t>
      </w:r>
      <w:r w:rsidRPr="00740C0C">
        <w:rPr>
          <w:rFonts w:ascii="Verdana" w:hAnsi="Verdana"/>
          <w:sz w:val="20"/>
          <w:szCs w:val="20"/>
          <w:lang w:val="es-ES_tradnl"/>
        </w:rPr>
        <w:tab/>
        <w:t xml:space="preserve">El 5 de enero de 2006 el Estado presentó una demanda de interpretación de la </w:t>
      </w:r>
      <w:r w:rsidRPr="0046680A">
        <w:rPr>
          <w:rFonts w:ascii="Verdana" w:hAnsi="Verdana"/>
          <w:sz w:val="20"/>
          <w:szCs w:val="20"/>
          <w:lang w:val="es-ES_tradnl"/>
        </w:rPr>
        <w:t>Sentencia, de</w:t>
      </w:r>
      <w:r w:rsidRPr="00740C0C">
        <w:rPr>
          <w:rFonts w:ascii="Verdana" w:hAnsi="Verdana"/>
          <w:sz w:val="20"/>
          <w:szCs w:val="20"/>
          <w:lang w:val="es-ES_tradnl"/>
        </w:rPr>
        <w:t xml:space="preserve"> conformidad con los artículos 67 de la Convención y 59 del Reglamento.</w:t>
      </w:r>
    </w:p>
    <w:p w:rsidR="008F3860" w:rsidRPr="00814D7A" w:rsidRDefault="008F3860">
      <w:pPr>
        <w:jc w:val="both"/>
        <w:rPr>
          <w:rFonts w:ascii="Verdana" w:hAnsi="Verdana"/>
          <w:sz w:val="20"/>
          <w:szCs w:val="20"/>
          <w:lang w:val="es-ES_tradnl"/>
        </w:rPr>
      </w:pPr>
    </w:p>
    <w:p w:rsidR="008F3860" w:rsidRPr="008A7BC5" w:rsidRDefault="008F3860">
      <w:pPr>
        <w:jc w:val="both"/>
        <w:rPr>
          <w:rFonts w:ascii="Verdana" w:hAnsi="Verdana"/>
          <w:sz w:val="20"/>
        </w:rPr>
      </w:pPr>
      <w:r w:rsidRPr="00521BC3">
        <w:rPr>
          <w:rFonts w:ascii="Verdana" w:hAnsi="Verdana"/>
          <w:sz w:val="20"/>
          <w:szCs w:val="20"/>
          <w:lang w:val="es-ES_tradnl"/>
        </w:rPr>
        <w:t>3.</w:t>
      </w:r>
      <w:r w:rsidRPr="00521BC3">
        <w:rPr>
          <w:rFonts w:ascii="Verdana" w:hAnsi="Verdana"/>
          <w:sz w:val="20"/>
          <w:szCs w:val="20"/>
          <w:lang w:val="es-ES_tradnl"/>
        </w:rPr>
        <w:tab/>
        <w:t xml:space="preserve">En la demanda de interpretación el Estado dividió sus alegaciones en cuatro acápites.  En los dos primeros literales, </w:t>
      </w:r>
      <w:r w:rsidRPr="00521BC3">
        <w:rPr>
          <w:rFonts w:ascii="Verdana" w:hAnsi="Verdana"/>
          <w:i/>
          <w:sz w:val="20"/>
          <w:szCs w:val="20"/>
          <w:lang w:val="es-ES_tradnl"/>
        </w:rPr>
        <w:t>inter alia</w:t>
      </w:r>
      <w:r w:rsidRPr="00521BC3">
        <w:rPr>
          <w:rFonts w:ascii="Verdana" w:hAnsi="Verdana"/>
          <w:sz w:val="20"/>
          <w:szCs w:val="20"/>
          <w:lang w:val="es-ES_tradnl"/>
        </w:rPr>
        <w:t>, indicó, a) sobre la niña Violeta Bosico, que no se ha podido demostrar si nació en la República Dominicana, y b) sobre la niña Dilcia Yean, que existen dudas de que sea hija de Leonidas Oliven Yean,</w:t>
      </w:r>
      <w:r w:rsidRPr="00521BC3">
        <w:rPr>
          <w:rFonts w:ascii="Verdana" w:hAnsi="Verdana"/>
          <w:b/>
          <w:sz w:val="20"/>
          <w:szCs w:val="20"/>
          <w:lang w:val="es-ES_tradnl"/>
        </w:rPr>
        <w:t xml:space="preserve"> </w:t>
      </w:r>
      <w:r w:rsidRPr="00521BC3">
        <w:rPr>
          <w:rFonts w:ascii="Verdana" w:hAnsi="Verdana"/>
          <w:sz w:val="20"/>
          <w:szCs w:val="20"/>
          <w:lang w:val="es-ES_tradnl"/>
        </w:rPr>
        <w:t>por lo que el Estado señaló que no se podría afirmar que dichas niñas son dominicanas.  En el apartado c) sobre la apatricidad, señaló que las niñas nunca fueron apátridas, ya que podrían haber adquirido la nacionalidad haitiana, la que tienen sus abuelos, y además indicó que “</w:t>
      </w:r>
      <w:r w:rsidRPr="00521BC3">
        <w:rPr>
          <w:rFonts w:ascii="Verdana" w:hAnsi="Verdana"/>
          <w:sz w:val="20"/>
        </w:rPr>
        <w:t>el Estado se siente liberado del cumplimiento de la entrega de las actas de nacimiento, [que estuvo] basado en un acuerdo amistoso[,] y [que] los demandantes[,] aunque estén en posesión de sus actas, deberán cumplir con los requisitos que la ley exige […] para la normal y legal adquisición de sus actas de nacimiento”; y d) sobre la responsabilidad del Estado, pretende “conocer el sentido y el alcance de la responsabilidad de la conducta de los funcionarios que intervinieron en el caso […] en el entendido que la disminución o eximente de [la] culpabilidad [de dichos funcionarios] será también la disminución o eximente de la culpabilidad del Estado”.</w:t>
      </w:r>
    </w:p>
    <w:p w:rsidR="008F3860" w:rsidRPr="00740C0C" w:rsidRDefault="008F3860">
      <w:pPr>
        <w:jc w:val="both"/>
        <w:rPr>
          <w:rFonts w:ascii="Verdana" w:hAnsi="Verdana"/>
          <w:sz w:val="20"/>
        </w:rPr>
      </w:pPr>
    </w:p>
    <w:p w:rsidR="008F3860" w:rsidRPr="00740C0C" w:rsidRDefault="008F3860">
      <w:pPr>
        <w:jc w:val="both"/>
        <w:rPr>
          <w:rFonts w:ascii="Verdana" w:hAnsi="Verdana"/>
          <w:sz w:val="20"/>
        </w:rPr>
      </w:pPr>
    </w:p>
    <w:p w:rsidR="008F3860" w:rsidRPr="00740C0C" w:rsidRDefault="008F3860">
      <w:pPr>
        <w:spacing w:before="40"/>
        <w:jc w:val="center"/>
        <w:rPr>
          <w:rFonts w:ascii="Verdana" w:hAnsi="Verdana"/>
          <w:b/>
          <w:sz w:val="20"/>
          <w:szCs w:val="20"/>
          <w:lang w:val="es-ES_tradnl"/>
        </w:rPr>
      </w:pPr>
      <w:r w:rsidRPr="00740C0C">
        <w:rPr>
          <w:rFonts w:ascii="Verdana" w:hAnsi="Verdana"/>
          <w:b/>
          <w:sz w:val="20"/>
          <w:szCs w:val="20"/>
          <w:lang w:val="es-ES_tradnl"/>
        </w:rPr>
        <w:t>II</w:t>
      </w:r>
    </w:p>
    <w:p w:rsidR="008F3860" w:rsidRPr="00740C0C" w:rsidRDefault="008F3860">
      <w:pPr>
        <w:spacing w:before="40"/>
        <w:jc w:val="center"/>
        <w:rPr>
          <w:rFonts w:ascii="Verdana" w:hAnsi="Verdana"/>
          <w:b/>
          <w:smallCaps/>
          <w:sz w:val="20"/>
          <w:szCs w:val="20"/>
          <w:lang w:val="es-ES_tradnl"/>
        </w:rPr>
      </w:pPr>
      <w:r w:rsidRPr="00740C0C">
        <w:rPr>
          <w:rFonts w:ascii="Verdana" w:hAnsi="Verdana"/>
          <w:b/>
          <w:smallCaps/>
          <w:sz w:val="20"/>
          <w:szCs w:val="20"/>
          <w:lang w:val="es-ES_tradnl"/>
        </w:rPr>
        <w:t>Competencia de la Corte</w:t>
      </w:r>
    </w:p>
    <w:p w:rsidR="008F3860" w:rsidRPr="00740C0C" w:rsidRDefault="008F3860">
      <w:pPr>
        <w:spacing w:before="40"/>
        <w:jc w:val="center"/>
        <w:rPr>
          <w:rFonts w:ascii="Verdana" w:hAnsi="Verdana"/>
          <w:smallCaps/>
          <w:sz w:val="20"/>
          <w:szCs w:val="20"/>
          <w:lang w:val="es-ES_tradnl"/>
        </w:rPr>
      </w:pPr>
    </w:p>
    <w:p w:rsidR="008F3860" w:rsidRPr="007A01F7" w:rsidRDefault="008F3860">
      <w:pPr>
        <w:widowControl w:val="0"/>
        <w:jc w:val="both"/>
        <w:rPr>
          <w:rFonts w:ascii="Verdana" w:hAnsi="Verdana"/>
          <w:sz w:val="20"/>
        </w:rPr>
      </w:pPr>
      <w:r w:rsidRPr="00740C0C">
        <w:rPr>
          <w:rFonts w:ascii="Verdana" w:hAnsi="Verdana"/>
          <w:sz w:val="20"/>
          <w:szCs w:val="20"/>
          <w:lang w:val="es-ES_tradnl"/>
        </w:rPr>
        <w:t>4.</w:t>
      </w:r>
      <w:r w:rsidRPr="00740C0C">
        <w:rPr>
          <w:rFonts w:ascii="Verdana" w:hAnsi="Verdana"/>
          <w:sz w:val="20"/>
          <w:szCs w:val="20"/>
          <w:lang w:val="es-ES_tradnl"/>
        </w:rPr>
        <w:tab/>
        <w:t xml:space="preserve">De conformidad con el artículo 67 de la Convención Americana, </w:t>
      </w:r>
      <w:r w:rsidRPr="003C6D0F">
        <w:rPr>
          <w:rFonts w:ascii="Verdana" w:hAnsi="Verdana"/>
          <w:sz w:val="20"/>
          <w:szCs w:val="20"/>
          <w:lang w:val="es-ES_tradnl"/>
        </w:rPr>
        <w:t xml:space="preserve">la Corte es </w:t>
      </w:r>
      <w:r w:rsidRPr="007A01F7">
        <w:rPr>
          <w:rFonts w:ascii="Verdana" w:hAnsi="Verdana"/>
          <w:sz w:val="20"/>
          <w:szCs w:val="20"/>
          <w:lang w:val="es-ES_tradnl"/>
        </w:rPr>
        <w:t xml:space="preserve">competente para interpretar sus fallos.  </w:t>
      </w:r>
    </w:p>
    <w:p w:rsidR="008F3860" w:rsidRPr="00740C0C" w:rsidRDefault="008F3860">
      <w:pPr>
        <w:jc w:val="both"/>
        <w:rPr>
          <w:rFonts w:ascii="Verdana" w:hAnsi="Verdana"/>
          <w:sz w:val="20"/>
        </w:rPr>
      </w:pPr>
    </w:p>
    <w:p w:rsidR="008F3860" w:rsidRPr="00740C0C" w:rsidRDefault="008F3860">
      <w:pPr>
        <w:jc w:val="both"/>
        <w:rPr>
          <w:rFonts w:ascii="Verdana" w:hAnsi="Verdana"/>
          <w:sz w:val="20"/>
        </w:rPr>
      </w:pPr>
    </w:p>
    <w:p w:rsidR="008F3860" w:rsidRPr="007F5982" w:rsidRDefault="008F3860">
      <w:pPr>
        <w:spacing w:before="40"/>
        <w:jc w:val="center"/>
        <w:rPr>
          <w:rFonts w:ascii="Verdana" w:hAnsi="Verdana"/>
          <w:b/>
          <w:sz w:val="20"/>
          <w:szCs w:val="20"/>
          <w:lang w:val="es-ES_tradnl"/>
        </w:rPr>
      </w:pPr>
      <w:r w:rsidRPr="007F5982">
        <w:rPr>
          <w:rFonts w:ascii="Verdana" w:hAnsi="Verdana"/>
          <w:b/>
          <w:sz w:val="20"/>
          <w:szCs w:val="20"/>
          <w:lang w:val="es-ES_tradnl"/>
        </w:rPr>
        <w:t>III</w:t>
      </w:r>
    </w:p>
    <w:p w:rsidR="008F3860" w:rsidRPr="007F5982" w:rsidRDefault="008F3860">
      <w:pPr>
        <w:spacing w:before="40"/>
        <w:jc w:val="center"/>
        <w:rPr>
          <w:rFonts w:ascii="Verdana" w:hAnsi="Verdana"/>
          <w:b/>
          <w:smallCaps/>
          <w:sz w:val="20"/>
          <w:szCs w:val="20"/>
          <w:lang w:val="es-ES_tradnl"/>
        </w:rPr>
      </w:pPr>
      <w:r w:rsidRPr="007F5982">
        <w:rPr>
          <w:rFonts w:ascii="Verdana" w:hAnsi="Verdana"/>
          <w:b/>
          <w:smallCaps/>
          <w:sz w:val="20"/>
          <w:szCs w:val="20"/>
          <w:lang w:val="es-ES_tradnl"/>
        </w:rPr>
        <w:t>Procedimiento ante la Corte</w:t>
      </w:r>
    </w:p>
    <w:p w:rsidR="008F3860" w:rsidRPr="00740C0C" w:rsidRDefault="008F3860">
      <w:pPr>
        <w:spacing w:before="40"/>
        <w:jc w:val="center"/>
        <w:rPr>
          <w:rFonts w:ascii="Verdana" w:hAnsi="Verdana"/>
          <w:b/>
          <w:smallCaps/>
          <w:sz w:val="20"/>
          <w:szCs w:val="20"/>
          <w:lang w:val="es-ES_tradnl"/>
        </w:rPr>
      </w:pPr>
    </w:p>
    <w:p w:rsidR="008F3860" w:rsidRPr="00740C0C" w:rsidRDefault="008F3860">
      <w:pPr>
        <w:jc w:val="both"/>
        <w:rPr>
          <w:rFonts w:ascii="Verdana" w:hAnsi="Verdana"/>
          <w:i/>
          <w:sz w:val="20"/>
          <w:szCs w:val="20"/>
          <w:lang w:val="es-ES_tradnl"/>
        </w:rPr>
      </w:pPr>
      <w:r w:rsidRPr="00740C0C">
        <w:rPr>
          <w:rFonts w:ascii="Verdana" w:hAnsi="Verdana"/>
          <w:sz w:val="20"/>
          <w:szCs w:val="20"/>
          <w:lang w:val="es-ES_tradnl"/>
        </w:rPr>
        <w:t>5.</w:t>
      </w:r>
      <w:r w:rsidRPr="00740C0C">
        <w:rPr>
          <w:rFonts w:ascii="Verdana" w:hAnsi="Verdana"/>
          <w:sz w:val="20"/>
          <w:szCs w:val="20"/>
          <w:lang w:val="es-ES_tradnl"/>
        </w:rPr>
        <w:tab/>
        <w:t xml:space="preserve">El 8 de febrero de 2006, de conformidad con lo dispuesto en el artículo 59.2 del Reglamento y siguiendo instrucciones del Presidente de la Corte, la Secretaría de la Corte transmitió copia de la demanda de interpretación a </w:t>
      </w:r>
      <w:r w:rsidRPr="0046680A">
        <w:rPr>
          <w:rFonts w:ascii="Verdana" w:hAnsi="Verdana"/>
          <w:sz w:val="20"/>
          <w:szCs w:val="20"/>
          <w:lang w:val="es-ES_tradnl"/>
        </w:rPr>
        <w:t>la Comisión Interamericana de Derechos Humanos (en adelante “la Comisión”)</w:t>
      </w:r>
      <w:r w:rsidRPr="00740C0C">
        <w:rPr>
          <w:rFonts w:ascii="Verdana" w:hAnsi="Verdana"/>
          <w:sz w:val="20"/>
          <w:szCs w:val="20"/>
          <w:lang w:val="es-ES_tradnl"/>
        </w:rPr>
        <w:t xml:space="preserve"> y a los representantes de las víctimas (en adelante “los representantes”), y les comunicó que podrían presentar las alegaciones escritas que estimaran pertinentes, a más tardar el 10 de abril de 2006.  Asimismo se recordó al Estado que, de conformidad con lo dispuesto en el artículo 59.4 del Reglamento, “la demanda de interpretación no suspende la ejecución de la Sentencia”. </w:t>
      </w:r>
    </w:p>
    <w:p w:rsidR="008F3860" w:rsidRPr="00740C0C" w:rsidRDefault="008F3860">
      <w:pPr>
        <w:jc w:val="both"/>
        <w:rPr>
          <w:rFonts w:ascii="Verdana" w:hAnsi="Verdana"/>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6.</w:t>
      </w:r>
      <w:r w:rsidRPr="00740C0C">
        <w:rPr>
          <w:rFonts w:ascii="Verdana" w:hAnsi="Verdana"/>
          <w:sz w:val="20"/>
          <w:szCs w:val="20"/>
          <w:lang w:val="es-ES_tradnl"/>
        </w:rPr>
        <w:tab/>
        <w:t xml:space="preserve">El 7 de abril de 2006 la Comisión solicitó una prórroga de diez días, contados a partir del vencimiento del plazo, para cumplir con la presentación de las alegaciones escritas.  Ese mismo día la Secretaría de la Corte, siguiendo instrucciones del Presidente del Tribunal, concedió la prórroga solicitada por la Comisión hasta el 19 de abril de 2006.  Asimismo, se informó a los representantes que se les otorgaba la misma prórroga para la presentación de sus </w:t>
      </w:r>
      <w:r w:rsidRPr="005E6E58">
        <w:rPr>
          <w:rFonts w:ascii="Verdana" w:hAnsi="Verdana"/>
          <w:sz w:val="20"/>
          <w:szCs w:val="20"/>
          <w:lang w:val="es-ES_tradnl"/>
        </w:rPr>
        <w:t>alegaciones.</w:t>
      </w:r>
    </w:p>
    <w:p w:rsidR="008F3860" w:rsidRPr="00740C0C" w:rsidRDefault="008F3860">
      <w:pPr>
        <w:jc w:val="both"/>
        <w:rPr>
          <w:rFonts w:ascii="Verdana" w:hAnsi="Verdana"/>
          <w:color w:val="0000FF"/>
          <w:sz w:val="20"/>
          <w:szCs w:val="20"/>
          <w:lang w:val="es-ES_tradnl"/>
        </w:rPr>
      </w:pPr>
    </w:p>
    <w:p w:rsidR="008F3860" w:rsidRPr="00740C0C" w:rsidRDefault="008F3860">
      <w:pPr>
        <w:jc w:val="both"/>
        <w:rPr>
          <w:rFonts w:ascii="Verdana" w:hAnsi="Verdana"/>
          <w:color w:val="0000FF"/>
          <w:sz w:val="20"/>
          <w:szCs w:val="20"/>
          <w:lang w:val="es-ES_tradnl"/>
        </w:rPr>
      </w:pPr>
      <w:r w:rsidRPr="00740C0C">
        <w:rPr>
          <w:rFonts w:ascii="Verdana" w:hAnsi="Verdana"/>
          <w:sz w:val="20"/>
          <w:szCs w:val="20"/>
          <w:lang w:val="es-ES_tradnl"/>
        </w:rPr>
        <w:t>7.</w:t>
      </w:r>
      <w:r w:rsidRPr="00740C0C">
        <w:rPr>
          <w:rFonts w:ascii="Verdana" w:hAnsi="Verdana"/>
          <w:sz w:val="20"/>
          <w:szCs w:val="20"/>
          <w:lang w:val="es-ES_tradnl"/>
        </w:rPr>
        <w:tab/>
        <w:t xml:space="preserve">El 19 de abril de 2006 la Comisión presentó sus alegatos sobre la demanda de interpretación, </w:t>
      </w:r>
      <w:r w:rsidRPr="00740C0C">
        <w:rPr>
          <w:rFonts w:ascii="Verdana" w:hAnsi="Verdana"/>
          <w:sz w:val="20"/>
        </w:rPr>
        <w:t>en los cuales indicó</w:t>
      </w:r>
      <w:r w:rsidRPr="00740C0C">
        <w:rPr>
          <w:rFonts w:ascii="Verdana" w:hAnsi="Verdana"/>
          <w:color w:val="0000FF"/>
          <w:sz w:val="20"/>
        </w:rPr>
        <w:t xml:space="preserve"> </w:t>
      </w:r>
      <w:r w:rsidRPr="00814D7A">
        <w:rPr>
          <w:rFonts w:ascii="Verdana" w:hAnsi="Verdana"/>
          <w:sz w:val="20"/>
        </w:rPr>
        <w:t xml:space="preserve">que el Estado no pretende que la Corte interprete el </w:t>
      </w:r>
      <w:r w:rsidRPr="00814D7A">
        <w:rPr>
          <w:rFonts w:ascii="Verdana" w:hAnsi="Verdana"/>
          <w:sz w:val="20"/>
        </w:rPr>
        <w:lastRenderedPageBreak/>
        <w:t xml:space="preserve">sentido y el alcance del fallo, como lo establecen los artículos 67 de la Convención y 58 </w:t>
      </w:r>
      <w:r w:rsidRPr="007A01F7">
        <w:rPr>
          <w:rFonts w:ascii="Verdana" w:hAnsi="Verdana"/>
          <w:sz w:val="20"/>
        </w:rPr>
        <w:t>(</w:t>
      </w:r>
      <w:r w:rsidRPr="00B56C11">
        <w:rPr>
          <w:rFonts w:ascii="Verdana" w:hAnsi="Verdana"/>
          <w:i/>
          <w:sz w:val="20"/>
        </w:rPr>
        <w:t>sic</w:t>
      </w:r>
      <w:r w:rsidRPr="007A01F7">
        <w:rPr>
          <w:rFonts w:ascii="Verdana" w:hAnsi="Verdana"/>
          <w:sz w:val="20"/>
        </w:rPr>
        <w:t>)</w:t>
      </w:r>
      <w:r w:rsidRPr="00814D7A">
        <w:rPr>
          <w:rFonts w:ascii="Verdana" w:hAnsi="Verdana"/>
          <w:sz w:val="20"/>
        </w:rPr>
        <w:t xml:space="preserve"> del Reglamento, sino que claramente busca una revisión y reconsideración de la Sentencia definitiva e inapelable que dictó la Corte, por estar en desacuerdo con las decisiones en ella contenidas, como indicó el mismo Estado al manifestar que recurre mediante este recurso al no regularse un recurso de revisión de las sentencias dictadas por el Tribunal.  En consecuencia, la Comisión estimó que la solicitud de interpretación interpuesta por el Estado no cumple con los requisitos normativos necesarios para ser considerada una demanda de interpretación, por lo que debe ser rechazada.</w:t>
      </w:r>
    </w:p>
    <w:p w:rsidR="008F3860" w:rsidRPr="00740C0C" w:rsidRDefault="008F3860">
      <w:pPr>
        <w:jc w:val="both"/>
        <w:rPr>
          <w:rFonts w:ascii="Verdana" w:hAnsi="Verdana"/>
          <w:color w:val="0000FF"/>
          <w:sz w:val="20"/>
          <w:szCs w:val="20"/>
          <w:lang w:val="es-ES_tradnl"/>
        </w:rPr>
      </w:pPr>
    </w:p>
    <w:p w:rsidR="008F3860" w:rsidRPr="00740C0C" w:rsidRDefault="008F3860">
      <w:pPr>
        <w:jc w:val="both"/>
        <w:rPr>
          <w:rFonts w:ascii="Verdana" w:hAnsi="Verdana"/>
          <w:color w:val="0000FF"/>
          <w:sz w:val="20"/>
          <w:szCs w:val="20"/>
          <w:lang w:val="es-ES_tradnl"/>
        </w:rPr>
      </w:pPr>
      <w:r w:rsidRPr="00740C0C">
        <w:rPr>
          <w:rFonts w:ascii="Verdana" w:hAnsi="Verdana"/>
          <w:sz w:val="20"/>
          <w:szCs w:val="20"/>
          <w:lang w:val="es-ES_tradnl"/>
        </w:rPr>
        <w:t>8.</w:t>
      </w:r>
      <w:r w:rsidRPr="00740C0C">
        <w:rPr>
          <w:rFonts w:ascii="Verdana" w:hAnsi="Verdana"/>
          <w:color w:val="0000FF"/>
          <w:sz w:val="20"/>
          <w:szCs w:val="20"/>
          <w:lang w:val="es-ES_tradnl"/>
        </w:rPr>
        <w:tab/>
      </w:r>
      <w:r w:rsidRPr="00740C0C">
        <w:rPr>
          <w:rFonts w:ascii="Verdana" w:hAnsi="Verdana"/>
          <w:sz w:val="20"/>
          <w:szCs w:val="20"/>
          <w:lang w:val="es-ES_tradnl"/>
        </w:rPr>
        <w:t xml:space="preserve">El 19 de abril de 2006 los representantes </w:t>
      </w:r>
      <w:r w:rsidRPr="005E6E58">
        <w:rPr>
          <w:rFonts w:ascii="Verdana" w:hAnsi="Verdana"/>
          <w:sz w:val="20"/>
          <w:szCs w:val="20"/>
          <w:lang w:val="es-ES_tradnl"/>
        </w:rPr>
        <w:t>manifestaron que el escrito presentado por el Estado no constituye una demanda de interpretación de conformidad con los artículos</w:t>
      </w:r>
      <w:r w:rsidRPr="00740C0C">
        <w:rPr>
          <w:rFonts w:ascii="Verdana" w:hAnsi="Verdana"/>
          <w:sz w:val="20"/>
          <w:szCs w:val="20"/>
          <w:lang w:val="es-ES_tradnl"/>
        </w:rPr>
        <w:t xml:space="preserve"> 67 de la Convención y 59.1 del Reglamento, ni es conforme con la jurisprudencia reiterada de esta Corte, sino que es un esfuerzo por </w:t>
      </w:r>
      <w:r w:rsidRPr="007A01F7">
        <w:rPr>
          <w:rFonts w:ascii="Verdana" w:hAnsi="Verdana"/>
          <w:sz w:val="20"/>
          <w:szCs w:val="20"/>
          <w:lang w:val="es-ES_tradnl"/>
        </w:rPr>
        <w:t>volver a litigar</w:t>
      </w:r>
      <w:r w:rsidRPr="00740C0C">
        <w:rPr>
          <w:rFonts w:ascii="Verdana" w:hAnsi="Verdana"/>
          <w:b/>
          <w:sz w:val="20"/>
          <w:szCs w:val="20"/>
          <w:lang w:val="es-ES_tradnl"/>
        </w:rPr>
        <w:t xml:space="preserve"> </w:t>
      </w:r>
      <w:r w:rsidRPr="00740C0C">
        <w:rPr>
          <w:rFonts w:ascii="Verdana" w:hAnsi="Verdana"/>
          <w:sz w:val="20"/>
          <w:szCs w:val="20"/>
          <w:lang w:val="es-ES_tradnl"/>
        </w:rPr>
        <w:t xml:space="preserve">temas ya resueltos en la Sentencia.  Consecuentemente, los representantes solicitaron al Tribunal que rechace el referido escrito, ya que lo que busca el Estado es impugnar la Sentencia.  </w:t>
      </w:r>
    </w:p>
    <w:p w:rsidR="008F3860" w:rsidRPr="00740C0C" w:rsidRDefault="008F3860">
      <w:pPr>
        <w:spacing w:before="40"/>
        <w:ind w:left="705"/>
        <w:jc w:val="both"/>
        <w:rPr>
          <w:rFonts w:ascii="Verdana" w:hAnsi="Verdana"/>
          <w:color w:val="0000FF"/>
          <w:sz w:val="20"/>
          <w:szCs w:val="20"/>
          <w:lang w:val="es-ES_tradnl"/>
        </w:rPr>
      </w:pPr>
    </w:p>
    <w:p w:rsidR="008F3860" w:rsidRPr="00740C0C" w:rsidRDefault="008F3860">
      <w:pPr>
        <w:spacing w:before="40"/>
        <w:ind w:left="705"/>
        <w:jc w:val="both"/>
        <w:rPr>
          <w:rFonts w:ascii="Verdana" w:hAnsi="Verdana"/>
          <w:color w:val="0000FF"/>
          <w:sz w:val="20"/>
          <w:szCs w:val="20"/>
          <w:lang w:val="es-ES_tradnl"/>
        </w:rPr>
      </w:pPr>
    </w:p>
    <w:p w:rsidR="008F3860" w:rsidRPr="00740C0C" w:rsidRDefault="008F3860">
      <w:pPr>
        <w:spacing w:before="40"/>
        <w:ind w:left="705"/>
        <w:jc w:val="center"/>
        <w:rPr>
          <w:rFonts w:ascii="Verdana" w:hAnsi="Verdana"/>
          <w:b/>
          <w:smallCaps/>
          <w:sz w:val="20"/>
          <w:szCs w:val="20"/>
          <w:lang w:val="es-ES_tradnl"/>
        </w:rPr>
      </w:pPr>
      <w:r w:rsidRPr="00740C0C">
        <w:rPr>
          <w:rFonts w:ascii="Verdana" w:hAnsi="Verdana"/>
          <w:b/>
          <w:smallCaps/>
          <w:sz w:val="20"/>
          <w:szCs w:val="20"/>
          <w:lang w:val="es-ES_tradnl"/>
        </w:rPr>
        <w:t>IV</w:t>
      </w:r>
    </w:p>
    <w:p w:rsidR="008F3860" w:rsidRPr="00740C0C" w:rsidRDefault="008F3860">
      <w:pPr>
        <w:spacing w:before="40"/>
        <w:ind w:left="705"/>
        <w:jc w:val="center"/>
        <w:rPr>
          <w:rFonts w:ascii="Verdana" w:hAnsi="Verdana"/>
          <w:b/>
          <w:smallCaps/>
          <w:sz w:val="20"/>
          <w:szCs w:val="20"/>
          <w:lang w:val="es-ES_tradnl"/>
        </w:rPr>
      </w:pPr>
      <w:r w:rsidRPr="00740C0C">
        <w:rPr>
          <w:rFonts w:ascii="Verdana" w:hAnsi="Verdana"/>
          <w:b/>
          <w:smallCaps/>
          <w:sz w:val="20"/>
          <w:szCs w:val="20"/>
          <w:lang w:val="es-ES_tradnl"/>
        </w:rPr>
        <w:t>Admisibilidad</w:t>
      </w:r>
    </w:p>
    <w:p w:rsidR="008F3860" w:rsidRPr="00740C0C" w:rsidRDefault="008F3860">
      <w:pPr>
        <w:spacing w:before="40"/>
        <w:ind w:left="705"/>
        <w:jc w:val="center"/>
        <w:rPr>
          <w:rFonts w:ascii="Verdana" w:hAnsi="Verdana"/>
          <w:b/>
          <w:smallCaps/>
          <w:color w:val="0000FF"/>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mallCaps/>
          <w:sz w:val="20"/>
          <w:szCs w:val="20"/>
          <w:lang w:val="es-ES_tradnl"/>
        </w:rPr>
        <w:t>9.</w:t>
      </w:r>
      <w:r w:rsidRPr="00740C0C">
        <w:rPr>
          <w:rFonts w:ascii="Verdana" w:hAnsi="Verdana"/>
          <w:smallCaps/>
          <w:sz w:val="20"/>
          <w:szCs w:val="20"/>
          <w:lang w:val="es-ES_tradnl"/>
        </w:rPr>
        <w:tab/>
      </w:r>
      <w:r w:rsidRPr="00740C0C">
        <w:rPr>
          <w:rFonts w:ascii="Verdana" w:hAnsi="Verdana"/>
          <w:sz w:val="20"/>
          <w:szCs w:val="20"/>
          <w:lang w:val="es-ES_tradnl"/>
        </w:rPr>
        <w:t>Corresponde a la Corte verificar si los términos de la demanda de interpretación cumplen las normas aplicables.</w:t>
      </w:r>
    </w:p>
    <w:p w:rsidR="008F3860" w:rsidRPr="00740C0C" w:rsidRDefault="008F3860">
      <w:pPr>
        <w:jc w:val="both"/>
        <w:rPr>
          <w:rFonts w:ascii="Verdana" w:hAnsi="Verdana"/>
          <w:color w:val="0000FF"/>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10.</w:t>
      </w:r>
      <w:r w:rsidRPr="00740C0C">
        <w:rPr>
          <w:rFonts w:ascii="Verdana" w:hAnsi="Verdana"/>
          <w:sz w:val="20"/>
          <w:szCs w:val="20"/>
          <w:lang w:val="es-ES_tradnl"/>
        </w:rPr>
        <w:tab/>
        <w:t>El artículo 67 de la Convención establece que</w:t>
      </w:r>
    </w:p>
    <w:p w:rsidR="008F3860" w:rsidRPr="00740C0C" w:rsidRDefault="008F3860">
      <w:pPr>
        <w:jc w:val="both"/>
        <w:rPr>
          <w:rFonts w:ascii="Verdana" w:hAnsi="Verdana"/>
          <w:sz w:val="20"/>
          <w:szCs w:val="20"/>
          <w:lang w:val="es-ES_tradnl"/>
        </w:rPr>
      </w:pPr>
    </w:p>
    <w:p w:rsidR="008F3860" w:rsidRPr="0046680A" w:rsidRDefault="008F3860">
      <w:pPr>
        <w:pStyle w:val="Textodebloque"/>
        <w:ind w:right="584"/>
        <w:rPr>
          <w:rFonts w:eastAsia="Times"/>
          <w:sz w:val="16"/>
        </w:rPr>
      </w:pPr>
      <w:r w:rsidRPr="0046680A">
        <w:rPr>
          <w:rFonts w:eastAsia="Times"/>
          <w:sz w:val="16"/>
        </w:rPr>
        <w:t>[</w:t>
      </w:r>
      <w:proofErr w:type="gramStart"/>
      <w:r w:rsidRPr="0046680A">
        <w:rPr>
          <w:rFonts w:eastAsia="Times"/>
          <w:sz w:val="16"/>
        </w:rPr>
        <w:t>e]</w:t>
      </w:r>
      <w:proofErr w:type="gramEnd"/>
      <w:r w:rsidRPr="0046680A">
        <w:rPr>
          <w:rFonts w:eastAsia="Times"/>
          <w:sz w:val="16"/>
        </w:rPr>
        <w:t>l fallo de la Corte será definitivo e inapelable.  En caso de desacuerdo sobre el sentido o alcance del fallo, la Corte lo interpretará a solicitud de cualquiera de las partes, siempre que dicha solicitud se presente dentro de los noventa días a partir de la fecha de la notificación del fallo.</w:t>
      </w:r>
    </w:p>
    <w:p w:rsidR="008F3860" w:rsidRPr="00740C0C" w:rsidRDefault="008F3860">
      <w:pPr>
        <w:jc w:val="both"/>
        <w:rPr>
          <w:rFonts w:ascii="Verdana" w:hAnsi="Verdana"/>
          <w:color w:val="0000FF"/>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11.</w:t>
      </w:r>
      <w:r w:rsidRPr="00740C0C">
        <w:rPr>
          <w:rFonts w:ascii="Verdana" w:hAnsi="Verdana"/>
          <w:sz w:val="20"/>
          <w:szCs w:val="20"/>
          <w:lang w:val="es-ES_tradnl"/>
        </w:rPr>
        <w:tab/>
        <w:t>El artículo 59 del Reglamento dispone, en lo conducente, que:</w:t>
      </w:r>
    </w:p>
    <w:p w:rsidR="008F3860" w:rsidRPr="00740C0C" w:rsidRDefault="008F3860">
      <w:pPr>
        <w:jc w:val="both"/>
        <w:rPr>
          <w:rFonts w:ascii="Verdana" w:hAnsi="Verdana"/>
          <w:sz w:val="20"/>
          <w:szCs w:val="20"/>
          <w:lang w:val="es-ES_tradnl"/>
        </w:rPr>
      </w:pPr>
    </w:p>
    <w:p w:rsidR="008F3860" w:rsidRPr="0046680A" w:rsidRDefault="008F3860">
      <w:pPr>
        <w:ind w:left="720" w:right="616"/>
        <w:jc w:val="both"/>
        <w:rPr>
          <w:rFonts w:ascii="Verdana" w:hAnsi="Verdana"/>
          <w:sz w:val="16"/>
          <w:lang w:val="es-ES_tradnl"/>
        </w:rPr>
      </w:pPr>
      <w:r w:rsidRPr="0046680A">
        <w:rPr>
          <w:rFonts w:ascii="Verdana" w:hAnsi="Verdana"/>
          <w:sz w:val="16"/>
          <w:lang w:val="es-ES_tradnl"/>
        </w:rPr>
        <w:t>1.</w:t>
      </w:r>
      <w:r w:rsidRPr="0046680A">
        <w:rPr>
          <w:rFonts w:ascii="Verdana" w:hAnsi="Verdana"/>
          <w:sz w:val="16"/>
          <w:lang w:val="es-ES_tradnl"/>
        </w:rPr>
        <w:tab/>
        <w:t>La demanda de interpretación a que se refiere el artículo 67 de la Convención podrá promoverse en relación con las sentencias de fondo o de reparaciones y se presentará en la Secretaría de la Corte indicándose en ella, con precisión, las cuestiones relativas al sentido o alcance de la sentencia cuya interpretación se pida.</w:t>
      </w:r>
    </w:p>
    <w:p w:rsidR="008F3860" w:rsidRPr="0046680A" w:rsidRDefault="008F3860">
      <w:pPr>
        <w:ind w:left="720" w:right="720"/>
        <w:jc w:val="both"/>
        <w:rPr>
          <w:rFonts w:ascii="Verdana" w:hAnsi="Verdana"/>
          <w:sz w:val="16"/>
          <w:lang w:val="es-ES_tradnl"/>
        </w:rPr>
      </w:pPr>
    </w:p>
    <w:p w:rsidR="008F3860" w:rsidRPr="0046680A" w:rsidRDefault="008F3860">
      <w:pPr>
        <w:ind w:left="720" w:right="720"/>
        <w:jc w:val="both"/>
        <w:rPr>
          <w:rFonts w:ascii="Verdana" w:hAnsi="Verdana"/>
          <w:sz w:val="16"/>
          <w:lang w:val="es-ES_tradnl"/>
        </w:rPr>
      </w:pPr>
      <w:r w:rsidRPr="0046680A">
        <w:rPr>
          <w:rFonts w:ascii="Verdana" w:hAnsi="Verdana"/>
          <w:sz w:val="16"/>
          <w:lang w:val="es-ES_tradnl"/>
        </w:rPr>
        <w:t>[…]</w:t>
      </w:r>
    </w:p>
    <w:p w:rsidR="008F3860" w:rsidRPr="0046680A" w:rsidRDefault="008F3860">
      <w:pPr>
        <w:ind w:left="720" w:right="720"/>
        <w:jc w:val="both"/>
        <w:rPr>
          <w:rFonts w:ascii="Verdana" w:hAnsi="Verdana"/>
          <w:sz w:val="16"/>
          <w:lang w:val="es-ES_tradnl"/>
        </w:rPr>
      </w:pPr>
    </w:p>
    <w:p w:rsidR="008F3860" w:rsidRPr="0046680A" w:rsidRDefault="008F3860">
      <w:pPr>
        <w:ind w:left="720" w:right="616"/>
        <w:jc w:val="both"/>
        <w:rPr>
          <w:rFonts w:ascii="Verdana" w:hAnsi="Verdana"/>
          <w:sz w:val="16"/>
          <w:lang w:val="es-ES_tradnl"/>
        </w:rPr>
      </w:pPr>
      <w:r w:rsidRPr="0046680A">
        <w:rPr>
          <w:rFonts w:ascii="Verdana" w:hAnsi="Verdana"/>
          <w:sz w:val="16"/>
          <w:lang w:val="es-ES_tradnl"/>
        </w:rPr>
        <w:t>4.</w:t>
      </w:r>
      <w:r w:rsidRPr="0046680A">
        <w:rPr>
          <w:rFonts w:ascii="Verdana" w:hAnsi="Verdana"/>
          <w:sz w:val="16"/>
          <w:lang w:val="es-ES_tradnl"/>
        </w:rPr>
        <w:tab/>
        <w:t>La demanda de interpretación no suspenderá la ejecución de la sentencia.</w:t>
      </w:r>
    </w:p>
    <w:p w:rsidR="008F3860" w:rsidRPr="0046680A" w:rsidRDefault="008F3860">
      <w:pPr>
        <w:ind w:left="720" w:right="720"/>
        <w:jc w:val="both"/>
        <w:rPr>
          <w:rFonts w:ascii="Verdana" w:hAnsi="Verdana"/>
          <w:sz w:val="16"/>
          <w:lang w:val="es-ES_tradnl"/>
        </w:rPr>
      </w:pPr>
    </w:p>
    <w:p w:rsidR="008F3860" w:rsidRPr="0046680A" w:rsidRDefault="008F3860">
      <w:pPr>
        <w:ind w:left="720" w:right="616"/>
        <w:jc w:val="both"/>
        <w:rPr>
          <w:rFonts w:ascii="Verdana" w:hAnsi="Verdana"/>
          <w:sz w:val="16"/>
          <w:lang w:val="es-ES_tradnl"/>
        </w:rPr>
      </w:pPr>
      <w:r w:rsidRPr="0046680A">
        <w:rPr>
          <w:rFonts w:ascii="Verdana" w:hAnsi="Verdana"/>
          <w:sz w:val="16"/>
          <w:lang w:val="es-ES_tradnl"/>
        </w:rPr>
        <w:t>5.</w:t>
      </w:r>
      <w:r w:rsidRPr="0046680A">
        <w:rPr>
          <w:rFonts w:ascii="Verdana" w:hAnsi="Verdana"/>
          <w:sz w:val="16"/>
          <w:lang w:val="es-ES_tradnl"/>
        </w:rPr>
        <w:tab/>
        <w:t>La Corte determinará el procedimiento que se seguirá y resolverá mediante una sentencia.</w:t>
      </w:r>
    </w:p>
    <w:p w:rsidR="008F3860" w:rsidRPr="00740C0C" w:rsidRDefault="008F3860">
      <w:pPr>
        <w:jc w:val="both"/>
        <w:rPr>
          <w:rFonts w:ascii="Verdana" w:hAnsi="Verdana"/>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12.</w:t>
      </w:r>
      <w:r w:rsidRPr="00740C0C">
        <w:rPr>
          <w:rFonts w:ascii="Verdana" w:hAnsi="Verdana"/>
          <w:sz w:val="20"/>
          <w:szCs w:val="20"/>
          <w:lang w:val="es-ES_tradnl"/>
        </w:rPr>
        <w:tab/>
        <w:t xml:space="preserve">El artículo 29.3 del Reglamento establece que “[c]ontra las sentencias y resoluciones de la Corte no procede ningún medio de impugnación”. </w:t>
      </w:r>
    </w:p>
    <w:p w:rsidR="008F3860" w:rsidRPr="00740C0C" w:rsidRDefault="008F3860">
      <w:pPr>
        <w:jc w:val="both"/>
        <w:rPr>
          <w:rFonts w:ascii="Verdana" w:hAnsi="Verdana"/>
          <w:sz w:val="20"/>
          <w:szCs w:val="20"/>
          <w:lang w:val="es-ES_tradnl"/>
        </w:rPr>
      </w:pPr>
    </w:p>
    <w:p w:rsidR="008F3860" w:rsidRPr="00740C0C" w:rsidRDefault="008F3860">
      <w:pPr>
        <w:jc w:val="both"/>
        <w:rPr>
          <w:rFonts w:ascii="Verdana" w:hAnsi="Verdana"/>
          <w:sz w:val="20"/>
          <w:szCs w:val="20"/>
          <w:u w:val="single"/>
          <w:lang w:val="es-ES_tradnl"/>
        </w:rPr>
      </w:pPr>
      <w:r w:rsidRPr="00740C0C">
        <w:rPr>
          <w:rFonts w:ascii="Verdana" w:hAnsi="Verdana"/>
          <w:sz w:val="20"/>
          <w:szCs w:val="20"/>
          <w:lang w:val="es-ES_tradnl"/>
        </w:rPr>
        <w:t>13.</w:t>
      </w:r>
      <w:r w:rsidRPr="00740C0C">
        <w:rPr>
          <w:rFonts w:ascii="Verdana" w:hAnsi="Verdana"/>
          <w:sz w:val="20"/>
          <w:szCs w:val="20"/>
          <w:lang w:val="es-ES_tradnl"/>
        </w:rPr>
        <w:tab/>
        <w:t>La Corte ha constatado que el Estado interpuso la demanda de interpretación el 5 de enero de 2006, dentro del plazo establecido en el artículo 67 de la Convención (</w:t>
      </w:r>
      <w:r w:rsidRPr="00740C0C">
        <w:rPr>
          <w:rFonts w:ascii="Verdana" w:hAnsi="Verdana"/>
          <w:i/>
          <w:sz w:val="20"/>
          <w:szCs w:val="20"/>
          <w:lang w:val="es-ES_tradnl"/>
        </w:rPr>
        <w:t>supra</w:t>
      </w:r>
      <w:r w:rsidRPr="00740C0C">
        <w:rPr>
          <w:rFonts w:ascii="Verdana" w:hAnsi="Verdana"/>
          <w:sz w:val="20"/>
          <w:szCs w:val="20"/>
          <w:lang w:val="es-ES_tradnl"/>
        </w:rPr>
        <w:t xml:space="preserve"> párr. 2), ya que la Sentencia fue notificada al Estado el </w:t>
      </w:r>
      <w:r w:rsidRPr="00814D7A">
        <w:rPr>
          <w:rFonts w:ascii="Verdana" w:hAnsi="Verdana"/>
          <w:sz w:val="20"/>
          <w:szCs w:val="20"/>
          <w:lang w:val="es-ES_tradnl"/>
        </w:rPr>
        <w:t xml:space="preserve">7 de octubre de </w:t>
      </w:r>
      <w:r w:rsidRPr="00814D7A">
        <w:rPr>
          <w:rFonts w:ascii="Verdana" w:hAnsi="Verdana"/>
          <w:sz w:val="20"/>
          <w:lang w:val="es-ES_tradnl"/>
        </w:rPr>
        <w:t>2006</w:t>
      </w:r>
      <w:r w:rsidRPr="00814D7A">
        <w:rPr>
          <w:rFonts w:ascii="Verdana" w:hAnsi="Verdana"/>
          <w:sz w:val="20"/>
          <w:szCs w:val="20"/>
          <w:lang w:val="es-ES_tradnl"/>
        </w:rPr>
        <w:t>.</w:t>
      </w:r>
    </w:p>
    <w:p w:rsidR="008F3860" w:rsidRPr="00740C0C" w:rsidRDefault="008F3860">
      <w:pPr>
        <w:jc w:val="both"/>
        <w:rPr>
          <w:rFonts w:ascii="Verdana" w:hAnsi="Verdana"/>
          <w:color w:val="0000FF"/>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14.</w:t>
      </w:r>
      <w:r w:rsidRPr="00740C0C">
        <w:rPr>
          <w:rFonts w:ascii="Verdana" w:hAnsi="Verdana"/>
          <w:sz w:val="20"/>
          <w:szCs w:val="20"/>
          <w:lang w:val="es-ES_tradnl"/>
        </w:rPr>
        <w:tab/>
        <w:t xml:space="preserve">Tal como lo ha dispuesto anteriormente este Tribunal, </w:t>
      </w:r>
      <w:r w:rsidRPr="00740C0C">
        <w:rPr>
          <w:rFonts w:ascii="Verdana" w:hAnsi="Verdana"/>
          <w:sz w:val="20"/>
          <w:lang w:val="es-ES_tradnl"/>
        </w:rPr>
        <w:t xml:space="preserve">una demanda de interpretación de una sentencia no debe utilizarse como un medio de impugnación, sino únicamente debe tener como objeto desentrañar el sentido de un fallo cuando una de las partes sostiene que el texto de sus puntos resolutivos o de sus consideraciones carece de </w:t>
      </w:r>
      <w:r w:rsidRPr="00740C0C">
        <w:rPr>
          <w:rFonts w:ascii="Verdana" w:hAnsi="Verdana"/>
          <w:sz w:val="20"/>
          <w:lang w:val="es-ES_tradnl"/>
        </w:rPr>
        <w:lastRenderedPageBreak/>
        <w:t xml:space="preserve">claridad o precisión, siempre y cuando esas consideraciones incidan en dicha parte resolutiva, por lo que, no se puede pedir la modificación o anulación de la sentencia respectiva a través de una demanda de </w:t>
      </w:r>
      <w:r w:rsidRPr="00814D7A">
        <w:rPr>
          <w:rFonts w:ascii="Verdana" w:hAnsi="Verdana"/>
          <w:sz w:val="20"/>
          <w:lang w:val="es-ES_tradnl"/>
        </w:rPr>
        <w:t>interpretación</w:t>
      </w:r>
      <w:r w:rsidRPr="00814D7A">
        <w:rPr>
          <w:rStyle w:val="Refdenotaalpie"/>
          <w:rFonts w:hAnsi="Verdana"/>
          <w:lang w:val="es-ES_tradnl"/>
        </w:rPr>
        <w:footnoteReference w:id="2"/>
      </w:r>
      <w:r w:rsidRPr="00814D7A">
        <w:rPr>
          <w:rFonts w:ascii="Verdana" w:hAnsi="Verdana"/>
          <w:sz w:val="20"/>
          <w:lang w:val="es-ES_tradnl"/>
        </w:rPr>
        <w:t>.</w:t>
      </w:r>
      <w:r w:rsidRPr="00740C0C">
        <w:rPr>
          <w:rFonts w:ascii="Verdana" w:hAnsi="Verdana"/>
          <w:sz w:val="20"/>
          <w:szCs w:val="20"/>
          <w:lang w:val="es-ES_tradnl"/>
        </w:rPr>
        <w:t xml:space="preserve">  </w:t>
      </w:r>
    </w:p>
    <w:p w:rsidR="008F3860" w:rsidRPr="00740C0C" w:rsidRDefault="008F3860">
      <w:pPr>
        <w:ind w:left="705" w:hanging="705"/>
        <w:jc w:val="both"/>
        <w:rPr>
          <w:rFonts w:ascii="Verdana" w:hAnsi="Verdana"/>
          <w:sz w:val="20"/>
          <w:szCs w:val="20"/>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15.</w:t>
      </w:r>
      <w:r w:rsidRPr="00740C0C">
        <w:rPr>
          <w:rFonts w:ascii="Verdana" w:hAnsi="Verdana"/>
          <w:sz w:val="20"/>
          <w:szCs w:val="20"/>
          <w:lang w:val="es-ES_tradnl"/>
        </w:rPr>
        <w:tab/>
        <w:t xml:space="preserve">Asimismo, la Corte ha establecido que la demanda de interpretación de sentencia no puede consistir en el sometimiento de </w:t>
      </w:r>
      <w:r w:rsidRPr="00740C0C">
        <w:rPr>
          <w:rFonts w:ascii="Verdana" w:hAnsi="Verdana"/>
          <w:sz w:val="20"/>
          <w:lang w:val="es-ES_tradnl"/>
        </w:rPr>
        <w:t>cuestiones de hecho y de derecho que ya fueron planteadas en su oportunidad procesal y sobre las cuales el Tribunal ya adoptó una decisión</w:t>
      </w:r>
      <w:r w:rsidRPr="00814D7A">
        <w:rPr>
          <w:rStyle w:val="Refdenotaalpie"/>
          <w:rFonts w:ascii="Verdana" w:hAnsi="Verdana"/>
          <w:lang w:val="es-ES_tradnl"/>
        </w:rPr>
        <w:footnoteReference w:id="3"/>
      </w:r>
      <w:r w:rsidRPr="00814D7A">
        <w:rPr>
          <w:rFonts w:ascii="Verdana" w:hAnsi="Verdana"/>
          <w:sz w:val="20"/>
          <w:lang w:val="es-ES_tradnl"/>
        </w:rPr>
        <w:t>.</w:t>
      </w:r>
    </w:p>
    <w:p w:rsidR="008F3860" w:rsidRPr="00740C0C" w:rsidRDefault="008F3860">
      <w:pPr>
        <w:jc w:val="both"/>
        <w:rPr>
          <w:rFonts w:ascii="Verdana" w:hAnsi="Verdana"/>
          <w:color w:val="0000FF"/>
          <w:sz w:val="20"/>
          <w:szCs w:val="20"/>
          <w:u w:val="single"/>
          <w:lang w:val="es-ES_tradnl"/>
        </w:rPr>
      </w:pPr>
    </w:p>
    <w:p w:rsidR="008F3860" w:rsidRPr="00740C0C" w:rsidRDefault="008F3860">
      <w:pPr>
        <w:jc w:val="both"/>
        <w:rPr>
          <w:rFonts w:ascii="Verdana" w:hAnsi="Verdana"/>
          <w:sz w:val="20"/>
          <w:szCs w:val="20"/>
          <w:lang w:val="es-ES_tradnl"/>
        </w:rPr>
      </w:pPr>
      <w:r w:rsidRPr="00740C0C">
        <w:rPr>
          <w:rFonts w:ascii="Verdana" w:hAnsi="Verdana"/>
          <w:sz w:val="20"/>
          <w:szCs w:val="20"/>
          <w:lang w:val="es-ES_tradnl"/>
        </w:rPr>
        <w:t>16.</w:t>
      </w:r>
      <w:r w:rsidRPr="00740C0C">
        <w:rPr>
          <w:rFonts w:ascii="Verdana" w:hAnsi="Verdana"/>
          <w:sz w:val="20"/>
          <w:szCs w:val="20"/>
          <w:lang w:val="es-ES_tradnl"/>
        </w:rPr>
        <w:tab/>
        <w:t>Para analizar la procedencia de la demanda de interpretación presentada por el Estado y, en su caso, aclarar el sentido o alcance de la Sentencia emitida el 8 de septiembre de 2005, seguidamente la Corte analizará el planteamiento del Estado.</w:t>
      </w:r>
    </w:p>
    <w:p w:rsidR="008F3860" w:rsidRPr="00740C0C" w:rsidRDefault="008F3860">
      <w:pPr>
        <w:spacing w:before="40"/>
        <w:jc w:val="both"/>
        <w:rPr>
          <w:rFonts w:ascii="Verdana" w:hAnsi="Verdana"/>
          <w:color w:val="0000FF"/>
          <w:sz w:val="20"/>
          <w:szCs w:val="20"/>
          <w:lang w:val="es-ES_tradnl"/>
        </w:rPr>
      </w:pPr>
    </w:p>
    <w:p w:rsidR="008F3860" w:rsidRPr="00740C0C" w:rsidRDefault="008F3860">
      <w:pPr>
        <w:spacing w:before="40"/>
        <w:jc w:val="both"/>
        <w:rPr>
          <w:rFonts w:ascii="Verdana" w:hAnsi="Verdana"/>
          <w:color w:val="0000FF"/>
          <w:sz w:val="20"/>
          <w:szCs w:val="20"/>
          <w:lang w:val="es-ES_tradnl"/>
        </w:rPr>
      </w:pPr>
    </w:p>
    <w:p w:rsidR="008F3860" w:rsidRPr="00740C0C" w:rsidRDefault="008F3860">
      <w:pPr>
        <w:spacing w:before="40"/>
        <w:jc w:val="center"/>
        <w:rPr>
          <w:rFonts w:ascii="Verdana" w:hAnsi="Verdana"/>
          <w:b/>
          <w:smallCaps/>
          <w:sz w:val="20"/>
          <w:szCs w:val="20"/>
          <w:lang w:val="es-ES_tradnl"/>
        </w:rPr>
      </w:pPr>
      <w:r w:rsidRPr="00740C0C">
        <w:rPr>
          <w:rFonts w:ascii="Verdana" w:hAnsi="Verdana"/>
          <w:b/>
          <w:smallCaps/>
          <w:sz w:val="20"/>
          <w:szCs w:val="20"/>
          <w:lang w:val="es-ES_tradnl"/>
        </w:rPr>
        <w:t>V</w:t>
      </w:r>
    </w:p>
    <w:p w:rsidR="008F3860" w:rsidRPr="00740C0C" w:rsidRDefault="008F3860">
      <w:pPr>
        <w:spacing w:before="40"/>
        <w:jc w:val="center"/>
        <w:rPr>
          <w:rFonts w:ascii="Verdana" w:hAnsi="Verdana"/>
          <w:b/>
          <w:smallCaps/>
          <w:sz w:val="20"/>
          <w:szCs w:val="20"/>
          <w:lang w:val="es-ES_tradnl"/>
        </w:rPr>
      </w:pPr>
      <w:r w:rsidRPr="00740C0C">
        <w:rPr>
          <w:rFonts w:ascii="Verdana" w:hAnsi="Verdana"/>
          <w:b/>
          <w:smallCaps/>
          <w:sz w:val="20"/>
          <w:szCs w:val="20"/>
          <w:lang w:val="es-ES_tradnl"/>
        </w:rPr>
        <w:t>Alegatos de las partes y consideraciones de la Corte sobre</w:t>
      </w:r>
    </w:p>
    <w:p w:rsidR="008F3860" w:rsidRPr="00740C0C" w:rsidRDefault="008F3860">
      <w:pPr>
        <w:spacing w:before="40"/>
        <w:jc w:val="center"/>
        <w:rPr>
          <w:rFonts w:ascii="Verdana" w:hAnsi="Verdana"/>
          <w:b/>
          <w:smallCaps/>
          <w:sz w:val="20"/>
          <w:szCs w:val="20"/>
          <w:lang w:val="es-ES_tradnl"/>
        </w:rPr>
      </w:pPr>
      <w:r w:rsidRPr="00740C0C">
        <w:rPr>
          <w:rFonts w:ascii="Verdana" w:hAnsi="Verdana"/>
          <w:b/>
          <w:smallCaps/>
          <w:sz w:val="20"/>
          <w:szCs w:val="20"/>
          <w:lang w:val="es-ES_tradnl"/>
        </w:rPr>
        <w:t xml:space="preserve"> </w:t>
      </w:r>
      <w:r w:rsidRPr="005E6E58">
        <w:rPr>
          <w:rFonts w:ascii="Verdana" w:hAnsi="Verdana"/>
          <w:b/>
          <w:smallCaps/>
          <w:sz w:val="20"/>
          <w:szCs w:val="20"/>
          <w:lang w:val="es-ES_tradnl"/>
        </w:rPr>
        <w:t>la demanda de</w:t>
      </w:r>
      <w:r w:rsidRPr="00740C0C">
        <w:rPr>
          <w:rFonts w:ascii="Verdana" w:hAnsi="Verdana"/>
          <w:b/>
          <w:smallCaps/>
          <w:sz w:val="20"/>
          <w:szCs w:val="20"/>
          <w:lang w:val="es-ES_tradnl"/>
        </w:rPr>
        <w:t xml:space="preserve"> interpretación</w:t>
      </w:r>
    </w:p>
    <w:p w:rsidR="008F3860" w:rsidRPr="00740C0C" w:rsidRDefault="008F3860">
      <w:pPr>
        <w:rPr>
          <w:rFonts w:ascii="Verdana" w:hAnsi="Verdana"/>
          <w:sz w:val="20"/>
        </w:rPr>
      </w:pPr>
    </w:p>
    <w:p w:rsidR="008F3860" w:rsidRPr="00740C0C" w:rsidRDefault="008F3860">
      <w:pPr>
        <w:rPr>
          <w:rFonts w:ascii="Verdana" w:hAnsi="Verdana"/>
          <w:sz w:val="20"/>
        </w:rPr>
      </w:pPr>
    </w:p>
    <w:p w:rsidR="008F3860" w:rsidRPr="001A33E9" w:rsidRDefault="008F3860">
      <w:pPr>
        <w:jc w:val="both"/>
        <w:rPr>
          <w:rFonts w:ascii="Verdana" w:hAnsi="Verdana"/>
          <w:i/>
          <w:sz w:val="20"/>
        </w:rPr>
      </w:pPr>
      <w:r w:rsidRPr="001A33E9">
        <w:rPr>
          <w:rFonts w:ascii="Verdana" w:hAnsi="Verdana"/>
          <w:i/>
          <w:sz w:val="20"/>
        </w:rPr>
        <w:t>Alegatos del Estado</w:t>
      </w:r>
    </w:p>
    <w:p w:rsidR="008F3860" w:rsidRPr="001A33E9" w:rsidRDefault="008F3860">
      <w:pPr>
        <w:jc w:val="both"/>
        <w:rPr>
          <w:rFonts w:ascii="Verdana" w:hAnsi="Verdana"/>
          <w:i/>
          <w:sz w:val="20"/>
        </w:rPr>
      </w:pPr>
    </w:p>
    <w:p w:rsidR="008F3860" w:rsidRPr="001A33E9" w:rsidRDefault="008F3860">
      <w:pPr>
        <w:jc w:val="both"/>
        <w:rPr>
          <w:rFonts w:ascii="Verdana" w:hAnsi="Verdana"/>
          <w:sz w:val="20"/>
        </w:rPr>
      </w:pPr>
      <w:r w:rsidRPr="001A33E9">
        <w:rPr>
          <w:rFonts w:ascii="Verdana" w:hAnsi="Verdana"/>
          <w:sz w:val="20"/>
        </w:rPr>
        <w:t>17.</w:t>
      </w:r>
      <w:r w:rsidRPr="001A33E9">
        <w:rPr>
          <w:rFonts w:ascii="Verdana" w:hAnsi="Verdana"/>
          <w:sz w:val="20"/>
        </w:rPr>
        <w:tab/>
        <w:t xml:space="preserve">El Estado indicó, </w:t>
      </w:r>
      <w:r w:rsidRPr="001A33E9">
        <w:rPr>
          <w:rFonts w:ascii="Verdana" w:hAnsi="Verdana"/>
          <w:i/>
          <w:sz w:val="20"/>
        </w:rPr>
        <w:t>inter alia</w:t>
      </w:r>
      <w:r w:rsidRPr="001A33E9">
        <w:rPr>
          <w:rFonts w:ascii="Verdana" w:hAnsi="Verdana"/>
          <w:sz w:val="20"/>
        </w:rPr>
        <w:t>, que:</w:t>
      </w:r>
    </w:p>
    <w:p w:rsidR="008F3860" w:rsidRPr="001A33E9" w:rsidRDefault="008F3860">
      <w:pPr>
        <w:ind w:left="360"/>
        <w:jc w:val="both"/>
        <w:rPr>
          <w:rFonts w:ascii="Verdana" w:hAnsi="Verdana"/>
          <w:sz w:val="20"/>
        </w:rPr>
      </w:pPr>
    </w:p>
    <w:p w:rsidR="008F3860" w:rsidRPr="001A33E9" w:rsidRDefault="008F3860">
      <w:pPr>
        <w:tabs>
          <w:tab w:val="left" w:pos="720"/>
        </w:tabs>
        <w:ind w:left="720"/>
        <w:jc w:val="both"/>
        <w:rPr>
          <w:rFonts w:ascii="Verdana" w:hAnsi="Verdana"/>
          <w:sz w:val="20"/>
        </w:rPr>
      </w:pPr>
      <w:r w:rsidRPr="001A33E9">
        <w:rPr>
          <w:rFonts w:ascii="Verdana" w:hAnsi="Verdana"/>
          <w:sz w:val="20"/>
        </w:rPr>
        <w:t>a)</w:t>
      </w:r>
      <w:r w:rsidRPr="001A33E9">
        <w:rPr>
          <w:rFonts w:ascii="Verdana" w:hAnsi="Verdana"/>
          <w:sz w:val="20"/>
        </w:rPr>
        <w:tab/>
        <w:t xml:space="preserve">aún falta por probar el lugar de nacimiento de la niña Violeta Bosico, </w:t>
      </w:r>
      <w:r w:rsidRPr="007A01F7">
        <w:rPr>
          <w:rFonts w:ascii="Verdana" w:hAnsi="Verdana"/>
          <w:sz w:val="20"/>
        </w:rPr>
        <w:t>ya que el Estado “[está</w:t>
      </w:r>
      <w:r w:rsidRPr="003C6D0F">
        <w:rPr>
          <w:rFonts w:ascii="Verdana" w:hAnsi="Verdana"/>
          <w:sz w:val="20"/>
        </w:rPr>
        <w:t>]</w:t>
      </w:r>
      <w:r w:rsidRPr="001A33E9">
        <w:rPr>
          <w:rFonts w:ascii="Verdana" w:hAnsi="Verdana"/>
          <w:sz w:val="20"/>
        </w:rPr>
        <w:t xml:space="preserve"> en completo desacuerdo con [la] apreciación [de la Corte] al constar que [la] casa en las Charcas y [el] hospital en Sabana Grande de Boyá están en la República Dominicana”; </w:t>
      </w:r>
    </w:p>
    <w:p w:rsidR="008F3860" w:rsidRPr="001A33E9" w:rsidRDefault="008F3860">
      <w:pPr>
        <w:ind w:left="720"/>
        <w:jc w:val="both"/>
        <w:rPr>
          <w:rFonts w:ascii="Verdana" w:hAnsi="Verdana"/>
          <w:sz w:val="20"/>
        </w:rPr>
      </w:pPr>
    </w:p>
    <w:p w:rsidR="008F3860" w:rsidRPr="001A33E9" w:rsidRDefault="008F3860">
      <w:pPr>
        <w:ind w:left="720"/>
        <w:jc w:val="both"/>
        <w:rPr>
          <w:rFonts w:ascii="Verdana" w:hAnsi="Verdana"/>
          <w:sz w:val="20"/>
        </w:rPr>
      </w:pPr>
      <w:r w:rsidRPr="001A33E9">
        <w:rPr>
          <w:rFonts w:ascii="Verdana" w:hAnsi="Verdana"/>
          <w:sz w:val="20"/>
        </w:rPr>
        <w:t>b)</w:t>
      </w:r>
      <w:r w:rsidRPr="001A33E9">
        <w:rPr>
          <w:rFonts w:ascii="Verdana" w:hAnsi="Verdana"/>
          <w:sz w:val="20"/>
        </w:rPr>
        <w:tab/>
        <w:t xml:space="preserve">existen dudas de que la niña Dilcia Yean sea hija de Leonidas Oliven Yean; </w:t>
      </w:r>
    </w:p>
    <w:p w:rsidR="008F3860" w:rsidRPr="001A33E9" w:rsidRDefault="008F3860">
      <w:pPr>
        <w:jc w:val="both"/>
        <w:rPr>
          <w:rFonts w:ascii="Verdana" w:hAnsi="Verdana"/>
          <w:sz w:val="20"/>
        </w:rPr>
      </w:pPr>
    </w:p>
    <w:p w:rsidR="008F3860" w:rsidRPr="007A01F7" w:rsidRDefault="008F3860">
      <w:pPr>
        <w:ind w:left="720"/>
        <w:jc w:val="both"/>
        <w:rPr>
          <w:rFonts w:ascii="Verdana" w:hAnsi="Verdana"/>
          <w:sz w:val="20"/>
        </w:rPr>
      </w:pPr>
      <w:r w:rsidRPr="003C6D0F">
        <w:rPr>
          <w:rFonts w:ascii="Verdana" w:hAnsi="Verdana"/>
          <w:sz w:val="20"/>
        </w:rPr>
        <w:t>c)</w:t>
      </w:r>
      <w:r w:rsidRPr="003C6D0F">
        <w:rPr>
          <w:rFonts w:ascii="Verdana" w:hAnsi="Verdana"/>
          <w:sz w:val="20"/>
        </w:rPr>
        <w:tab/>
        <w:t xml:space="preserve">las niñas Dilcia Yean y Violeta Bosico nunca fueron apátridas, debido a que quedó probada la nacionalidad haitiana </w:t>
      </w:r>
      <w:r w:rsidRPr="007A01F7">
        <w:rPr>
          <w:rFonts w:ascii="Verdana" w:hAnsi="Verdana"/>
          <w:sz w:val="20"/>
        </w:rPr>
        <w:t xml:space="preserve">de sus abuelos y porque la Constitución de Haití dice textualmente que “[p]osee la nacionalidad haitiana de origen, todo haitiano nacido de un padre haitiano o de una madre haitiana […]”, y que según la Convención de 1954 sobre el Estatuto de las Apátridas, es apátrida “la persona que no sea considerada como nacional de ningún Estado”;  </w:t>
      </w:r>
    </w:p>
    <w:p w:rsidR="008F3860" w:rsidRPr="001A33E9" w:rsidRDefault="008F3860">
      <w:pPr>
        <w:jc w:val="both"/>
        <w:rPr>
          <w:rFonts w:ascii="Verdana" w:hAnsi="Verdana"/>
          <w:sz w:val="20"/>
        </w:rPr>
      </w:pPr>
    </w:p>
    <w:p w:rsidR="008F3860" w:rsidRPr="008A7BC5" w:rsidRDefault="008F3860">
      <w:pPr>
        <w:ind w:left="720"/>
        <w:jc w:val="both"/>
        <w:rPr>
          <w:rFonts w:ascii="Verdana" w:hAnsi="Verdana"/>
          <w:strike/>
          <w:color w:val="FF0000"/>
          <w:sz w:val="20"/>
        </w:rPr>
      </w:pPr>
      <w:r w:rsidRPr="001A33E9">
        <w:rPr>
          <w:rFonts w:ascii="Verdana" w:hAnsi="Verdana"/>
          <w:sz w:val="20"/>
        </w:rPr>
        <w:t>d)</w:t>
      </w:r>
      <w:r w:rsidRPr="001A33E9">
        <w:rPr>
          <w:rFonts w:ascii="Verdana" w:hAnsi="Verdana"/>
          <w:sz w:val="20"/>
        </w:rPr>
        <w:tab/>
        <w:t xml:space="preserve">pretende conocer </w:t>
      </w:r>
      <w:r w:rsidRPr="00814D7A">
        <w:rPr>
          <w:rFonts w:ascii="Verdana" w:hAnsi="Verdana"/>
          <w:sz w:val="20"/>
        </w:rPr>
        <w:t xml:space="preserve">“el sentido y el alcance de la responsabilidad de la conducta de los funcionarios que intervinieron en el caso […] en el entendido que la disminución o eximente de [la] culpabilidad [de </w:t>
      </w:r>
      <w:r w:rsidRPr="001A33E9">
        <w:rPr>
          <w:rFonts w:ascii="Verdana" w:hAnsi="Verdana"/>
          <w:sz w:val="20"/>
        </w:rPr>
        <w:t xml:space="preserve">la Licda. Thelma Bienvenida Reyes y del Dr. Julio César Castro, funcionarios cuyas conductas se le han acreditado al </w:t>
      </w:r>
      <w:r w:rsidRPr="001A33E9">
        <w:rPr>
          <w:rFonts w:ascii="Verdana" w:hAnsi="Verdana"/>
          <w:sz w:val="20"/>
        </w:rPr>
        <w:lastRenderedPageBreak/>
        <w:t>Estado</w:t>
      </w:r>
      <w:r w:rsidRPr="00814D7A">
        <w:rPr>
          <w:rFonts w:ascii="Verdana" w:hAnsi="Verdana"/>
          <w:sz w:val="20"/>
        </w:rPr>
        <w:t>] será también la disminución o eximente de la culpabilidad del Estado”</w:t>
      </w:r>
      <w:r w:rsidRPr="0035046A">
        <w:rPr>
          <w:rFonts w:ascii="Verdana" w:hAnsi="Verdana"/>
          <w:sz w:val="20"/>
        </w:rPr>
        <w:t xml:space="preserve">.  </w:t>
      </w:r>
      <w:r w:rsidRPr="00326476">
        <w:rPr>
          <w:rFonts w:ascii="Verdana" w:hAnsi="Verdana"/>
          <w:sz w:val="20"/>
        </w:rPr>
        <w:t xml:space="preserve">En este sentido, alegó que las actuaciones de estos funcionarios fueron apegadas a derecho y por lo tanto “nada indebido se le puede imputar a la conducta de </w:t>
      </w:r>
      <w:r w:rsidRPr="00326476">
        <w:rPr>
          <w:rFonts w:ascii="Verdana" w:hAnsi="Verdana"/>
          <w:sz w:val="20"/>
        </w:rPr>
        <w:sym w:font="Symbol" w:char="F05B"/>
      </w:r>
      <w:r w:rsidRPr="00326476">
        <w:rPr>
          <w:rFonts w:ascii="Verdana" w:hAnsi="Verdana"/>
          <w:sz w:val="20"/>
        </w:rPr>
        <w:t>los mismos</w:t>
      </w:r>
      <w:r w:rsidRPr="00326476">
        <w:rPr>
          <w:rFonts w:ascii="Verdana" w:hAnsi="Verdana"/>
          <w:sz w:val="20"/>
        </w:rPr>
        <w:sym w:font="Symbol" w:char="F05D"/>
      </w:r>
      <w:r w:rsidRPr="00326476">
        <w:rPr>
          <w:rFonts w:ascii="Verdana" w:hAnsi="Verdana"/>
          <w:sz w:val="20"/>
        </w:rPr>
        <w:t xml:space="preserve">, por lo cual el Estado </w:t>
      </w:r>
      <w:r w:rsidRPr="007A01F7">
        <w:rPr>
          <w:rFonts w:ascii="Verdana" w:hAnsi="Verdana"/>
          <w:sz w:val="20"/>
        </w:rPr>
        <w:t xml:space="preserve">[…] </w:t>
      </w:r>
      <w:r w:rsidRPr="00326476">
        <w:rPr>
          <w:rFonts w:ascii="Verdana" w:hAnsi="Verdana"/>
          <w:sz w:val="20"/>
        </w:rPr>
        <w:t>es completamente inocente de las acusaciones que en su contra se han formulado, como responsable de las acciones de dichos funcionarios”;</w:t>
      </w:r>
    </w:p>
    <w:p w:rsidR="008F3860" w:rsidRPr="008A7BC5" w:rsidRDefault="008F3860">
      <w:pPr>
        <w:ind w:left="720"/>
        <w:jc w:val="both"/>
        <w:rPr>
          <w:rFonts w:ascii="Verdana" w:hAnsi="Verdana"/>
          <w:strike/>
          <w:color w:val="FF0000"/>
          <w:sz w:val="20"/>
        </w:rPr>
      </w:pPr>
    </w:p>
    <w:p w:rsidR="008F3860" w:rsidRPr="00326476" w:rsidRDefault="008F3860">
      <w:pPr>
        <w:ind w:left="720"/>
        <w:jc w:val="both"/>
        <w:rPr>
          <w:rFonts w:ascii="Verdana" w:hAnsi="Verdana"/>
          <w:sz w:val="20"/>
        </w:rPr>
      </w:pPr>
      <w:r w:rsidRPr="00326476">
        <w:rPr>
          <w:rFonts w:ascii="Verdana" w:hAnsi="Verdana"/>
          <w:sz w:val="20"/>
        </w:rPr>
        <w:t>e)</w:t>
      </w:r>
      <w:r w:rsidRPr="00326476">
        <w:rPr>
          <w:rFonts w:ascii="Verdana" w:hAnsi="Verdana"/>
          <w:sz w:val="20"/>
        </w:rPr>
        <w:tab/>
        <w:t xml:space="preserve">“no reconoció, sino que otorgó las actas de nacimiento basado en un acuerdo amistoso, no en el reconocimiento de un derecho anterior”. Por lo tanto, debido a que la Corte afirmó en la Sentencia que las partes no alcanzaron una solución amistosa, el Estado indicó que “se siente liberado del cumplimiento de la entrega de las actas de nacimiento, basado en un acuerdo </w:t>
      </w:r>
      <w:proofErr w:type="gramStart"/>
      <w:r w:rsidRPr="00326476">
        <w:rPr>
          <w:rFonts w:ascii="Verdana" w:hAnsi="Verdana"/>
          <w:sz w:val="20"/>
        </w:rPr>
        <w:t>amistoso[</w:t>
      </w:r>
      <w:proofErr w:type="gramEnd"/>
      <w:r w:rsidRPr="00326476">
        <w:rPr>
          <w:rFonts w:ascii="Verdana" w:hAnsi="Verdana"/>
          <w:sz w:val="20"/>
        </w:rPr>
        <w:t xml:space="preserve">,] y los demandantes[,] aunque estén en posesión de sus actas, deberán cumplir con los requisitos que la ley exige en la materia para la normal y legal adquisición de sus actas de nacimiento”; y </w:t>
      </w:r>
    </w:p>
    <w:p w:rsidR="008F3860" w:rsidRPr="00326476" w:rsidRDefault="008F3860">
      <w:pPr>
        <w:ind w:left="720"/>
        <w:jc w:val="both"/>
        <w:rPr>
          <w:rFonts w:ascii="Verdana" w:hAnsi="Verdana"/>
          <w:sz w:val="20"/>
        </w:rPr>
      </w:pPr>
    </w:p>
    <w:p w:rsidR="008F3860" w:rsidRPr="00326476" w:rsidRDefault="008F3860">
      <w:pPr>
        <w:ind w:left="720"/>
        <w:jc w:val="both"/>
        <w:rPr>
          <w:color w:val="FF0000"/>
        </w:rPr>
      </w:pPr>
      <w:r w:rsidRPr="00326476">
        <w:rPr>
          <w:rFonts w:ascii="Verdana" w:hAnsi="Verdana"/>
          <w:sz w:val="20"/>
        </w:rPr>
        <w:t xml:space="preserve">f) </w:t>
      </w:r>
      <w:r w:rsidRPr="00326476">
        <w:rPr>
          <w:rFonts w:ascii="Verdana" w:hAnsi="Verdana"/>
          <w:sz w:val="20"/>
        </w:rPr>
        <w:tab/>
        <w:t xml:space="preserve"> “la [S]entencia no impide que las autoridades competentes adopten decisiones acerca de la responsabilidad de las personas con respecto a los hechos ilícitos que se le atribuyen</w:t>
      </w:r>
      <w:r w:rsidRPr="003C6D0F">
        <w:rPr>
          <w:rFonts w:ascii="Verdana" w:hAnsi="Verdana"/>
          <w:sz w:val="20"/>
        </w:rPr>
        <w:t>”.</w:t>
      </w:r>
      <w:r w:rsidRPr="003C6D0F">
        <w:t xml:space="preserve"> </w:t>
      </w:r>
    </w:p>
    <w:p w:rsidR="008F3860" w:rsidRPr="001A33E9" w:rsidRDefault="008F3860">
      <w:pPr>
        <w:jc w:val="both"/>
        <w:rPr>
          <w:rFonts w:ascii="Verdana" w:hAnsi="Verdana"/>
          <w:sz w:val="20"/>
        </w:rPr>
      </w:pPr>
    </w:p>
    <w:p w:rsidR="008F3860" w:rsidRPr="001A33E9" w:rsidRDefault="008F3860">
      <w:pPr>
        <w:jc w:val="both"/>
        <w:rPr>
          <w:rFonts w:ascii="Verdana" w:hAnsi="Verdana"/>
          <w:i/>
          <w:sz w:val="20"/>
        </w:rPr>
      </w:pPr>
      <w:r w:rsidRPr="001A33E9">
        <w:rPr>
          <w:rFonts w:ascii="Verdana" w:hAnsi="Verdana"/>
          <w:i/>
          <w:sz w:val="20"/>
        </w:rPr>
        <w:t>Alegatos de la Comisión</w:t>
      </w:r>
    </w:p>
    <w:p w:rsidR="008F3860" w:rsidRPr="001A33E9" w:rsidRDefault="008F3860">
      <w:pPr>
        <w:jc w:val="both"/>
        <w:rPr>
          <w:rFonts w:ascii="Verdana" w:hAnsi="Verdana"/>
          <w:i/>
          <w:sz w:val="20"/>
        </w:rPr>
      </w:pPr>
    </w:p>
    <w:p w:rsidR="008F3860" w:rsidRPr="001A33E9" w:rsidRDefault="008F3860">
      <w:pPr>
        <w:jc w:val="both"/>
        <w:rPr>
          <w:rFonts w:ascii="Verdana" w:hAnsi="Verdana"/>
          <w:sz w:val="20"/>
        </w:rPr>
      </w:pPr>
      <w:r w:rsidRPr="001A33E9">
        <w:rPr>
          <w:rFonts w:ascii="Verdana" w:hAnsi="Verdana"/>
          <w:sz w:val="20"/>
        </w:rPr>
        <w:t>18.</w:t>
      </w:r>
      <w:r w:rsidRPr="001A33E9">
        <w:rPr>
          <w:rFonts w:ascii="Verdana" w:hAnsi="Verdana"/>
          <w:sz w:val="20"/>
        </w:rPr>
        <w:tab/>
        <w:t>La Comisión señaló, entre otros, que:</w:t>
      </w:r>
    </w:p>
    <w:p w:rsidR="008F3860" w:rsidRPr="001A33E9" w:rsidRDefault="008F3860">
      <w:pPr>
        <w:jc w:val="both"/>
        <w:rPr>
          <w:rFonts w:ascii="Verdana" w:hAnsi="Verdana"/>
          <w:sz w:val="20"/>
        </w:rPr>
      </w:pPr>
    </w:p>
    <w:p w:rsidR="008F3860" w:rsidRPr="001A33E9" w:rsidRDefault="008F3860">
      <w:pPr>
        <w:ind w:left="720"/>
        <w:jc w:val="both"/>
        <w:rPr>
          <w:rFonts w:ascii="Verdana" w:hAnsi="Verdana"/>
          <w:sz w:val="20"/>
        </w:rPr>
      </w:pPr>
      <w:r w:rsidRPr="001A33E9">
        <w:rPr>
          <w:rFonts w:ascii="Verdana" w:hAnsi="Verdana"/>
          <w:sz w:val="20"/>
        </w:rPr>
        <w:t>a)</w:t>
      </w:r>
      <w:r w:rsidRPr="001A33E9">
        <w:rPr>
          <w:rFonts w:ascii="Verdana" w:hAnsi="Verdana"/>
          <w:sz w:val="20"/>
        </w:rPr>
        <w:tab/>
        <w:t>la demanda de interpretación de Sentencia</w:t>
      </w:r>
      <w:r w:rsidRPr="008A7BC5">
        <w:rPr>
          <w:rFonts w:ascii="Verdana" w:hAnsi="Verdana"/>
          <w:sz w:val="20"/>
        </w:rPr>
        <w:t xml:space="preserve"> </w:t>
      </w:r>
      <w:r w:rsidRPr="00326476">
        <w:rPr>
          <w:rFonts w:ascii="Verdana" w:hAnsi="Verdana"/>
          <w:sz w:val="20"/>
        </w:rPr>
        <w:t xml:space="preserve">debe ser rechazada porque no cumple con los requisitos normativos necesarios para ser considerada como tal, ya que el Estado “no pretende que </w:t>
      </w:r>
      <w:r w:rsidRPr="00326476">
        <w:rPr>
          <w:rFonts w:ascii="Verdana" w:hAnsi="Verdana"/>
          <w:sz w:val="20"/>
        </w:rPr>
        <w:sym w:font="Symbol" w:char="F05B"/>
      </w:r>
      <w:r w:rsidRPr="00326476">
        <w:rPr>
          <w:rFonts w:ascii="Verdana" w:hAnsi="Verdana"/>
          <w:sz w:val="20"/>
        </w:rPr>
        <w:t>la Corte</w:t>
      </w:r>
      <w:r w:rsidRPr="00326476">
        <w:rPr>
          <w:rFonts w:ascii="Verdana" w:hAnsi="Verdana"/>
          <w:sz w:val="20"/>
        </w:rPr>
        <w:sym w:font="Symbol" w:char="F05D"/>
      </w:r>
      <w:r w:rsidRPr="00326476">
        <w:rPr>
          <w:rFonts w:ascii="Verdana" w:hAnsi="Verdana"/>
          <w:sz w:val="20"/>
        </w:rPr>
        <w:t xml:space="preserve"> interprete el sentido o alcance</w:t>
      </w:r>
      <w:r w:rsidRPr="001A33E9">
        <w:rPr>
          <w:rFonts w:ascii="Verdana" w:hAnsi="Verdana"/>
          <w:sz w:val="20"/>
        </w:rPr>
        <w:t xml:space="preserve"> del fallo, como lo </w:t>
      </w:r>
      <w:proofErr w:type="gramStart"/>
      <w:r w:rsidRPr="001A33E9">
        <w:rPr>
          <w:rFonts w:ascii="Verdana" w:hAnsi="Verdana"/>
          <w:sz w:val="20"/>
        </w:rPr>
        <w:t xml:space="preserve">establecen </w:t>
      </w:r>
      <w:proofErr w:type="gramEnd"/>
      <w:r w:rsidRPr="001A33E9">
        <w:rPr>
          <w:rFonts w:ascii="Verdana" w:hAnsi="Verdana"/>
          <w:sz w:val="20"/>
        </w:rPr>
        <w:sym w:font="Symbol" w:char="F05B"/>
      </w:r>
      <w:r w:rsidRPr="001A33E9">
        <w:rPr>
          <w:rFonts w:ascii="Verdana" w:hAnsi="Verdana"/>
          <w:sz w:val="20"/>
        </w:rPr>
        <w:t>…</w:t>
      </w:r>
      <w:r w:rsidRPr="001A33E9">
        <w:rPr>
          <w:rFonts w:ascii="Verdana" w:hAnsi="Verdana"/>
          <w:sz w:val="20"/>
        </w:rPr>
        <w:sym w:font="Symbol" w:char="F05D"/>
      </w:r>
      <w:r w:rsidRPr="001A33E9">
        <w:rPr>
          <w:rFonts w:ascii="Verdana" w:hAnsi="Verdana"/>
          <w:sz w:val="20"/>
        </w:rPr>
        <w:t xml:space="preserve"> la Convención y </w:t>
      </w:r>
      <w:r w:rsidRPr="001A33E9">
        <w:rPr>
          <w:rFonts w:ascii="Verdana" w:hAnsi="Verdana"/>
          <w:sz w:val="20"/>
        </w:rPr>
        <w:sym w:font="Symbol" w:char="F05B"/>
      </w:r>
      <w:r w:rsidRPr="001A33E9">
        <w:rPr>
          <w:rFonts w:ascii="Verdana" w:hAnsi="Verdana"/>
          <w:sz w:val="20"/>
        </w:rPr>
        <w:t>el</w:t>
      </w:r>
      <w:r w:rsidRPr="001A33E9">
        <w:rPr>
          <w:rFonts w:ascii="Verdana" w:hAnsi="Verdana"/>
          <w:sz w:val="20"/>
        </w:rPr>
        <w:sym w:font="Symbol" w:char="F05D"/>
      </w:r>
      <w:r w:rsidRPr="001A33E9">
        <w:rPr>
          <w:rFonts w:ascii="Verdana" w:hAnsi="Verdana"/>
          <w:sz w:val="20"/>
        </w:rPr>
        <w:t xml:space="preserve"> Reglamento, sino que claramente busca una revisión y reconsideración de la [S]entencia definitiva e inapelable </w:t>
      </w:r>
      <w:r w:rsidRPr="001A33E9">
        <w:rPr>
          <w:rFonts w:ascii="Verdana" w:hAnsi="Verdana"/>
          <w:sz w:val="20"/>
        </w:rPr>
        <w:sym w:font="Symbol" w:char="F05B"/>
      </w:r>
      <w:r w:rsidRPr="001A33E9">
        <w:rPr>
          <w:rFonts w:ascii="Verdana" w:hAnsi="Verdana"/>
          <w:sz w:val="20"/>
        </w:rPr>
        <w:t>de</w:t>
      </w:r>
      <w:r w:rsidRPr="001A33E9">
        <w:rPr>
          <w:rFonts w:ascii="Verdana" w:hAnsi="Verdana"/>
          <w:sz w:val="20"/>
        </w:rPr>
        <w:sym w:font="Symbol" w:char="F05D"/>
      </w:r>
      <w:r w:rsidRPr="001A33E9">
        <w:rPr>
          <w:rFonts w:ascii="Verdana" w:hAnsi="Verdana"/>
          <w:sz w:val="20"/>
        </w:rPr>
        <w:t xml:space="preserve"> la Corte, por estar en desacuerdo con las decisiones en ella contenidas </w:t>
      </w:r>
      <w:r w:rsidRPr="001A33E9">
        <w:rPr>
          <w:rFonts w:ascii="Verdana" w:hAnsi="Verdana"/>
          <w:sz w:val="20"/>
        </w:rPr>
        <w:sym w:font="Symbol" w:char="F05B"/>
      </w:r>
      <w:r w:rsidRPr="001A33E9">
        <w:rPr>
          <w:rFonts w:ascii="Verdana" w:hAnsi="Verdana"/>
          <w:sz w:val="20"/>
        </w:rPr>
        <w:t>…</w:t>
      </w:r>
      <w:r w:rsidRPr="001A33E9">
        <w:rPr>
          <w:rFonts w:ascii="Verdana" w:hAnsi="Verdana"/>
          <w:sz w:val="20"/>
        </w:rPr>
        <w:sym w:font="Symbol" w:char="F05D"/>
      </w:r>
      <w:r w:rsidRPr="001A33E9">
        <w:rPr>
          <w:rFonts w:ascii="Verdana" w:hAnsi="Verdana"/>
          <w:sz w:val="20"/>
        </w:rPr>
        <w:t xml:space="preserve">”; y </w:t>
      </w:r>
    </w:p>
    <w:p w:rsidR="008F3860" w:rsidRPr="001A33E9" w:rsidRDefault="008F3860">
      <w:pPr>
        <w:ind w:left="720"/>
        <w:jc w:val="both"/>
        <w:rPr>
          <w:rFonts w:ascii="Verdana" w:hAnsi="Verdana"/>
          <w:sz w:val="20"/>
        </w:rPr>
      </w:pPr>
    </w:p>
    <w:p w:rsidR="008F3860" w:rsidRPr="001A33E9" w:rsidRDefault="008F3860">
      <w:pPr>
        <w:ind w:left="720"/>
        <w:jc w:val="both"/>
        <w:rPr>
          <w:rFonts w:ascii="Verdana" w:hAnsi="Verdana"/>
          <w:sz w:val="20"/>
        </w:rPr>
      </w:pPr>
      <w:r w:rsidRPr="008A7BC5">
        <w:rPr>
          <w:rFonts w:ascii="Verdana" w:hAnsi="Verdana"/>
          <w:sz w:val="20"/>
        </w:rPr>
        <w:t>b</w:t>
      </w:r>
      <w:r w:rsidRPr="00326476">
        <w:rPr>
          <w:rFonts w:ascii="Verdana" w:hAnsi="Verdana"/>
          <w:sz w:val="20"/>
        </w:rPr>
        <w:t>)</w:t>
      </w:r>
      <w:r w:rsidRPr="00326476">
        <w:rPr>
          <w:rFonts w:ascii="Verdana" w:hAnsi="Verdana"/>
          <w:sz w:val="20"/>
        </w:rPr>
        <w:tab/>
        <w:t xml:space="preserve">las manifestaciones efectuadas por el Estado respecto de que se siente liberado del cumplimiento de la entrega de las actas, son contrarias a lo dispuesto por la Sentencia, representando una amenaza al carácter vinculante de las decisiones </w:t>
      </w:r>
      <w:r w:rsidRPr="007A01F7">
        <w:rPr>
          <w:rFonts w:ascii="Verdana" w:hAnsi="Verdana"/>
          <w:sz w:val="20"/>
        </w:rPr>
        <w:t xml:space="preserve">de la Corte y su autoridad. </w:t>
      </w:r>
      <w:r w:rsidRPr="00326476">
        <w:rPr>
          <w:rFonts w:ascii="Verdana" w:hAnsi="Verdana"/>
          <w:sz w:val="20"/>
        </w:rPr>
        <w:t xml:space="preserve"> El Estado pretende modificar la Sentencia de la Corte, obviar las reparaciones debidas, y establecer una carga adicional a las víctimas al imponerles nuevamente los requisitos para acceder a un derecho que les corresponde.  Por lo tanto, a pesar de que la Comisión se referirá al cumplimiento de la Sentencia en el momento oportuno, estima pertinente que se dé particular seguimiento al cumplimiento de las reparaciones que han sido cuestionadas por el Estado.</w:t>
      </w:r>
      <w:r w:rsidRPr="001A33E9">
        <w:rPr>
          <w:rFonts w:ascii="Verdana" w:hAnsi="Verdana"/>
          <w:sz w:val="20"/>
        </w:rPr>
        <w:t xml:space="preserve"> </w:t>
      </w:r>
    </w:p>
    <w:p w:rsidR="008F3860" w:rsidRPr="001A33E9" w:rsidRDefault="008F3860">
      <w:pPr>
        <w:jc w:val="both"/>
        <w:rPr>
          <w:rFonts w:ascii="Verdana" w:hAnsi="Verdana"/>
          <w:sz w:val="20"/>
        </w:rPr>
      </w:pPr>
    </w:p>
    <w:p w:rsidR="008F3860" w:rsidRPr="001A33E9" w:rsidRDefault="008F3860">
      <w:pPr>
        <w:jc w:val="both"/>
        <w:rPr>
          <w:rFonts w:ascii="Verdana" w:hAnsi="Verdana"/>
          <w:sz w:val="20"/>
        </w:rPr>
      </w:pPr>
    </w:p>
    <w:p w:rsidR="008F3860" w:rsidRPr="001A33E9" w:rsidRDefault="008F3860">
      <w:pPr>
        <w:jc w:val="both"/>
        <w:rPr>
          <w:rFonts w:ascii="Verdana" w:hAnsi="Verdana"/>
          <w:sz w:val="20"/>
        </w:rPr>
      </w:pPr>
    </w:p>
    <w:p w:rsidR="008F3860" w:rsidRPr="001A33E9" w:rsidRDefault="008F3860">
      <w:pPr>
        <w:jc w:val="both"/>
        <w:rPr>
          <w:rFonts w:ascii="Verdana" w:hAnsi="Verdana"/>
          <w:i/>
          <w:sz w:val="20"/>
        </w:rPr>
      </w:pPr>
      <w:r w:rsidRPr="001A33E9">
        <w:rPr>
          <w:rFonts w:ascii="Verdana" w:hAnsi="Verdana"/>
          <w:i/>
          <w:sz w:val="20"/>
        </w:rPr>
        <w:t>Alegatos de los representantes</w:t>
      </w:r>
    </w:p>
    <w:p w:rsidR="008F3860" w:rsidRPr="001A33E9" w:rsidRDefault="008F3860">
      <w:pPr>
        <w:jc w:val="both"/>
        <w:rPr>
          <w:rFonts w:ascii="Verdana" w:hAnsi="Verdana"/>
          <w:sz w:val="20"/>
        </w:rPr>
      </w:pPr>
    </w:p>
    <w:p w:rsidR="008F3860" w:rsidRPr="001A33E9" w:rsidRDefault="008F3860">
      <w:pPr>
        <w:jc w:val="both"/>
        <w:rPr>
          <w:rFonts w:ascii="Verdana" w:hAnsi="Verdana"/>
          <w:sz w:val="20"/>
        </w:rPr>
      </w:pPr>
      <w:r w:rsidRPr="001A33E9">
        <w:rPr>
          <w:rFonts w:ascii="Verdana" w:hAnsi="Verdana"/>
          <w:sz w:val="20"/>
        </w:rPr>
        <w:t>19.</w:t>
      </w:r>
      <w:r w:rsidRPr="001A33E9">
        <w:rPr>
          <w:rFonts w:ascii="Verdana" w:hAnsi="Verdana"/>
          <w:sz w:val="20"/>
        </w:rPr>
        <w:tab/>
        <w:t xml:space="preserve">Los representantes alegaron, </w:t>
      </w:r>
      <w:r w:rsidRPr="001A33E9">
        <w:rPr>
          <w:rFonts w:ascii="Verdana" w:hAnsi="Verdana"/>
          <w:i/>
          <w:sz w:val="20"/>
        </w:rPr>
        <w:t>inter alia</w:t>
      </w:r>
      <w:r w:rsidRPr="001A33E9">
        <w:rPr>
          <w:rFonts w:ascii="Verdana" w:hAnsi="Verdana"/>
          <w:sz w:val="20"/>
        </w:rPr>
        <w:t>, que:</w:t>
      </w:r>
    </w:p>
    <w:p w:rsidR="008F3860" w:rsidRPr="001A33E9" w:rsidRDefault="008F3860">
      <w:pPr>
        <w:jc w:val="both"/>
        <w:rPr>
          <w:rFonts w:ascii="Verdana" w:hAnsi="Verdana"/>
          <w:sz w:val="20"/>
        </w:rPr>
      </w:pPr>
    </w:p>
    <w:p w:rsidR="008F3860" w:rsidRPr="001A33E9" w:rsidRDefault="008F3860">
      <w:pPr>
        <w:ind w:left="720"/>
        <w:jc w:val="both"/>
        <w:rPr>
          <w:rFonts w:ascii="Verdana" w:hAnsi="Verdana"/>
          <w:sz w:val="20"/>
        </w:rPr>
      </w:pPr>
      <w:r w:rsidRPr="001A33E9">
        <w:rPr>
          <w:rFonts w:ascii="Verdana" w:hAnsi="Verdana"/>
          <w:sz w:val="20"/>
        </w:rPr>
        <w:t>a)</w:t>
      </w:r>
      <w:r w:rsidRPr="001A33E9">
        <w:rPr>
          <w:rFonts w:ascii="Verdana" w:hAnsi="Verdana"/>
          <w:sz w:val="20"/>
        </w:rPr>
        <w:tab/>
        <w:t>la Corte debe rechazar el escrito del Estado porque no constituye una demanda de interpretación, ya que “[l]ejos de solicitar una clarificación sobre el sentido o el alcance de lo establecido en la Sentencia de la Corte Interamericana</w:t>
      </w:r>
      <w:proofErr w:type="gramStart"/>
      <w:r w:rsidRPr="001A33E9">
        <w:rPr>
          <w:rFonts w:ascii="Verdana" w:hAnsi="Verdana"/>
          <w:sz w:val="20"/>
        </w:rPr>
        <w:t xml:space="preserve">, </w:t>
      </w:r>
      <w:proofErr w:type="gramEnd"/>
      <w:r w:rsidRPr="001A33E9">
        <w:rPr>
          <w:rFonts w:ascii="Verdana" w:hAnsi="Verdana"/>
          <w:sz w:val="20"/>
        </w:rPr>
        <w:sym w:font="Symbol" w:char="F05B"/>
      </w:r>
      <w:r w:rsidRPr="001A33E9">
        <w:rPr>
          <w:rFonts w:ascii="Verdana" w:hAnsi="Verdana"/>
          <w:sz w:val="20"/>
        </w:rPr>
        <w:t>…</w:t>
      </w:r>
      <w:r w:rsidRPr="001A33E9">
        <w:rPr>
          <w:rFonts w:ascii="Verdana" w:hAnsi="Verdana"/>
          <w:sz w:val="20"/>
        </w:rPr>
        <w:sym w:font="Symbol" w:char="F05D"/>
      </w:r>
      <w:r w:rsidRPr="001A33E9">
        <w:rPr>
          <w:rFonts w:ascii="Verdana" w:hAnsi="Verdana"/>
          <w:sz w:val="20"/>
        </w:rPr>
        <w:t xml:space="preserve"> el Estado ha buscado impugnar y ‘modificar… aspectos </w:t>
      </w:r>
      <w:r w:rsidRPr="001A33E9">
        <w:rPr>
          <w:rFonts w:ascii="Verdana" w:hAnsi="Verdana"/>
          <w:sz w:val="20"/>
        </w:rPr>
        <w:sym w:font="Symbol" w:char="F05B"/>
      </w:r>
      <w:r w:rsidRPr="001A33E9">
        <w:rPr>
          <w:rFonts w:ascii="Verdana" w:hAnsi="Verdana"/>
          <w:sz w:val="20"/>
        </w:rPr>
        <w:t>de la Sentencia</w:t>
      </w:r>
      <w:r w:rsidRPr="001A33E9">
        <w:rPr>
          <w:rFonts w:ascii="Verdana" w:hAnsi="Verdana"/>
          <w:sz w:val="20"/>
        </w:rPr>
        <w:sym w:font="Symbol" w:char="F05D"/>
      </w:r>
      <w:r w:rsidRPr="001A33E9">
        <w:rPr>
          <w:rFonts w:ascii="Verdana" w:hAnsi="Verdana"/>
          <w:sz w:val="20"/>
        </w:rPr>
        <w:t xml:space="preserve"> que tienen carácter obligatorio’”.  </w:t>
      </w:r>
      <w:r w:rsidRPr="007A01F7">
        <w:rPr>
          <w:rFonts w:ascii="Verdana" w:hAnsi="Verdana"/>
          <w:sz w:val="20"/>
        </w:rPr>
        <w:t xml:space="preserve">Lo anterior se demuestra porque el escrito del Estado </w:t>
      </w:r>
      <w:r w:rsidRPr="007A01F7">
        <w:rPr>
          <w:rFonts w:ascii="Verdana" w:hAnsi="Verdana"/>
          <w:sz w:val="20"/>
        </w:rPr>
        <w:lastRenderedPageBreak/>
        <w:t>“se refiere sólo a cuestiones de</w:t>
      </w:r>
      <w:r w:rsidRPr="001A33E9">
        <w:rPr>
          <w:rFonts w:ascii="Verdana" w:hAnsi="Verdana"/>
          <w:sz w:val="20"/>
        </w:rPr>
        <w:t xml:space="preserve"> hecho y de derecho que ya fueron resueltas por el fallo definitivo de </w:t>
      </w:r>
      <w:r w:rsidRPr="001A33E9">
        <w:rPr>
          <w:rFonts w:ascii="Verdana" w:hAnsi="Verdana"/>
          <w:sz w:val="20"/>
        </w:rPr>
        <w:sym w:font="Symbol" w:char="F05B"/>
      </w:r>
      <w:r w:rsidRPr="001A33E9">
        <w:rPr>
          <w:rFonts w:ascii="Verdana" w:hAnsi="Verdana"/>
          <w:sz w:val="20"/>
        </w:rPr>
        <w:t>la</w:t>
      </w:r>
      <w:r w:rsidRPr="001A33E9">
        <w:rPr>
          <w:rFonts w:ascii="Verdana" w:hAnsi="Verdana"/>
          <w:sz w:val="20"/>
        </w:rPr>
        <w:sym w:font="Symbol" w:char="F05D"/>
      </w:r>
      <w:r w:rsidRPr="001A33E9">
        <w:rPr>
          <w:rFonts w:ascii="Verdana" w:hAnsi="Verdana"/>
          <w:sz w:val="20"/>
        </w:rPr>
        <w:t xml:space="preserve"> Corte”;</w:t>
      </w:r>
    </w:p>
    <w:p w:rsidR="008F3860" w:rsidRPr="001A33E9" w:rsidRDefault="008F3860">
      <w:pPr>
        <w:ind w:left="720"/>
        <w:jc w:val="both"/>
        <w:rPr>
          <w:rFonts w:ascii="Verdana" w:hAnsi="Verdana"/>
          <w:sz w:val="20"/>
        </w:rPr>
      </w:pPr>
    </w:p>
    <w:p w:rsidR="008F3860" w:rsidRPr="001A33E9" w:rsidRDefault="008F3860">
      <w:pPr>
        <w:ind w:left="720"/>
        <w:jc w:val="both"/>
        <w:rPr>
          <w:rFonts w:ascii="Verdana" w:hAnsi="Verdana"/>
          <w:sz w:val="20"/>
        </w:rPr>
      </w:pPr>
      <w:r w:rsidRPr="001A33E9">
        <w:rPr>
          <w:rFonts w:ascii="Verdana" w:hAnsi="Verdana"/>
          <w:sz w:val="20"/>
        </w:rPr>
        <w:t>b)</w:t>
      </w:r>
      <w:r w:rsidRPr="001A33E9">
        <w:rPr>
          <w:rFonts w:ascii="Verdana" w:hAnsi="Verdana"/>
          <w:sz w:val="20"/>
        </w:rPr>
        <w:tab/>
        <w:t xml:space="preserve">el escrito del Estado se enmarca en una estrategia estatal de deslegitimizar la Sentencia del Tribunal y de evitar el cumplimiento de la misma; y </w:t>
      </w:r>
    </w:p>
    <w:p w:rsidR="008F3860" w:rsidRPr="001A33E9" w:rsidRDefault="008F3860">
      <w:pPr>
        <w:ind w:left="720"/>
        <w:jc w:val="both"/>
        <w:rPr>
          <w:rFonts w:ascii="Verdana" w:hAnsi="Verdana"/>
          <w:sz w:val="20"/>
        </w:rPr>
      </w:pPr>
    </w:p>
    <w:p w:rsidR="008F3860" w:rsidRPr="00326476" w:rsidRDefault="008F3860">
      <w:pPr>
        <w:ind w:left="720"/>
        <w:jc w:val="both"/>
        <w:rPr>
          <w:rFonts w:ascii="Verdana" w:hAnsi="Verdana"/>
          <w:sz w:val="20"/>
        </w:rPr>
      </w:pPr>
      <w:r w:rsidRPr="00326476">
        <w:rPr>
          <w:rFonts w:ascii="Verdana" w:hAnsi="Verdana"/>
          <w:sz w:val="20"/>
        </w:rPr>
        <w:t>c)</w:t>
      </w:r>
      <w:r w:rsidRPr="00326476">
        <w:rPr>
          <w:rFonts w:ascii="Verdana" w:hAnsi="Verdana"/>
          <w:sz w:val="20"/>
        </w:rPr>
        <w:tab/>
        <w:t>el Estado amenaza con adoptar medidas de represalia contra las víctimas y sus familiares. Por un lado, la de “revocar las actas de nacimiento de las niñas”, haciendo una distinción entre “otorgamiento” y “reconocimiento” del derecho a la nacionalidad de las niñas Yean y Bosico, fundamentándose en un relato erróneo de los hechos y siendo inválida a la luz del derecho interamericano, en virtud del principio de</w:t>
      </w:r>
      <w:r w:rsidRPr="00326476">
        <w:rPr>
          <w:rFonts w:ascii="Verdana" w:hAnsi="Verdana"/>
          <w:i/>
          <w:sz w:val="20"/>
        </w:rPr>
        <w:t xml:space="preserve"> estoppel</w:t>
      </w:r>
      <w:r w:rsidRPr="00326476">
        <w:rPr>
          <w:rFonts w:ascii="Verdana" w:hAnsi="Verdana"/>
          <w:sz w:val="20"/>
        </w:rPr>
        <w:t xml:space="preserve">.  Por otro lado, la de “abrir procesos penales contra las víctimas y sus familiares” por participar activamente en el litigio del caso ante los órganos interamericanos, lo cual es contrario a las garantías de acudir a dichos órganos libre de amenaza de sufrir </w:t>
      </w:r>
      <w:r w:rsidRPr="00427BD3">
        <w:rPr>
          <w:rFonts w:ascii="Verdana" w:hAnsi="Verdana"/>
          <w:sz w:val="20"/>
        </w:rPr>
        <w:t>retaliaciones,</w:t>
      </w:r>
      <w:r w:rsidRPr="00326476">
        <w:rPr>
          <w:rFonts w:ascii="Verdana" w:hAnsi="Verdana"/>
          <w:sz w:val="20"/>
        </w:rPr>
        <w:t xml:space="preserve"> consagradas en la Convención Americana y en el Reglamento y reiteradas por la jurisprudencia de la Corte.  En razón de dichas amenazas, el Tribunal debe “reafirm</w:t>
      </w:r>
      <w:r w:rsidRPr="00326476">
        <w:rPr>
          <w:rFonts w:ascii="Verdana" w:hAnsi="Verdana"/>
          <w:sz w:val="20"/>
        </w:rPr>
        <w:sym w:font="Symbol" w:char="F05B"/>
      </w:r>
      <w:r w:rsidRPr="00326476">
        <w:rPr>
          <w:rFonts w:ascii="Verdana" w:hAnsi="Verdana"/>
          <w:sz w:val="20"/>
        </w:rPr>
        <w:t>ar</w:t>
      </w:r>
      <w:r w:rsidRPr="00326476">
        <w:rPr>
          <w:rFonts w:ascii="Verdana" w:hAnsi="Verdana"/>
          <w:sz w:val="20"/>
        </w:rPr>
        <w:sym w:font="Symbol" w:char="F05D"/>
      </w:r>
      <w:r w:rsidRPr="00326476">
        <w:rPr>
          <w:rFonts w:ascii="Verdana" w:hAnsi="Verdana"/>
          <w:sz w:val="20"/>
        </w:rPr>
        <w:t xml:space="preserve"> la obligación del Estado de cumplir plenamente las medidas de </w:t>
      </w:r>
      <w:proofErr w:type="gramStart"/>
      <w:r w:rsidRPr="00326476">
        <w:rPr>
          <w:rFonts w:ascii="Verdana" w:hAnsi="Verdana"/>
          <w:sz w:val="20"/>
        </w:rPr>
        <w:t xml:space="preserve">reparación </w:t>
      </w:r>
      <w:proofErr w:type="gramEnd"/>
      <w:r w:rsidRPr="00326476">
        <w:rPr>
          <w:rFonts w:ascii="Verdana" w:hAnsi="Verdana"/>
          <w:sz w:val="20"/>
        </w:rPr>
        <w:sym w:font="Symbol" w:char="F05B"/>
      </w:r>
      <w:r w:rsidRPr="00326476">
        <w:rPr>
          <w:rFonts w:ascii="Verdana" w:hAnsi="Verdana"/>
          <w:sz w:val="20"/>
        </w:rPr>
        <w:t>…</w:t>
      </w:r>
      <w:r w:rsidRPr="00326476">
        <w:rPr>
          <w:rFonts w:ascii="Verdana" w:hAnsi="Verdana"/>
          <w:sz w:val="20"/>
        </w:rPr>
        <w:sym w:font="Symbol" w:char="F05D"/>
      </w:r>
      <w:r w:rsidRPr="00326476">
        <w:rPr>
          <w:rFonts w:ascii="Verdana" w:hAnsi="Verdana"/>
          <w:sz w:val="20"/>
        </w:rPr>
        <w:t xml:space="preserve"> y de garantizar y respetar los derechos humanos de las víctimas y sus familiares”.</w:t>
      </w:r>
    </w:p>
    <w:p w:rsidR="008F3860" w:rsidRPr="001A33E9" w:rsidRDefault="008F3860">
      <w:pPr>
        <w:ind w:left="360"/>
        <w:jc w:val="both"/>
        <w:rPr>
          <w:rFonts w:ascii="Verdana" w:hAnsi="Verdana"/>
          <w:b/>
          <w:sz w:val="20"/>
        </w:rPr>
      </w:pPr>
    </w:p>
    <w:p w:rsidR="008F3860" w:rsidRPr="00667E0A" w:rsidRDefault="008F3860">
      <w:pPr>
        <w:jc w:val="both"/>
        <w:rPr>
          <w:rFonts w:ascii="Verdana" w:hAnsi="Verdana"/>
          <w:sz w:val="20"/>
        </w:rPr>
      </w:pPr>
    </w:p>
    <w:p w:rsidR="008F3860" w:rsidRPr="00667E0A" w:rsidRDefault="008F3860">
      <w:pPr>
        <w:jc w:val="both"/>
        <w:rPr>
          <w:rFonts w:ascii="Verdana" w:hAnsi="Verdana"/>
          <w:i/>
          <w:sz w:val="20"/>
        </w:rPr>
      </w:pPr>
      <w:r w:rsidRPr="00667E0A">
        <w:rPr>
          <w:rFonts w:ascii="Verdana" w:hAnsi="Verdana"/>
          <w:i/>
          <w:sz w:val="20"/>
        </w:rPr>
        <w:t>Consideraciones de la Corte</w:t>
      </w:r>
    </w:p>
    <w:p w:rsidR="008F3860" w:rsidRPr="00667E0A" w:rsidRDefault="008F3860">
      <w:pPr>
        <w:jc w:val="both"/>
        <w:rPr>
          <w:rFonts w:ascii="Verdana" w:hAnsi="Verdana"/>
          <w:sz w:val="20"/>
        </w:rPr>
      </w:pPr>
    </w:p>
    <w:p w:rsidR="008F3860" w:rsidRPr="006E0A8F" w:rsidRDefault="008F3860">
      <w:pPr>
        <w:jc w:val="both"/>
        <w:rPr>
          <w:rFonts w:ascii="Verdana" w:hAnsi="Verdana"/>
          <w:sz w:val="20"/>
        </w:rPr>
      </w:pPr>
      <w:r w:rsidRPr="006E0A8F">
        <w:rPr>
          <w:rFonts w:ascii="Verdana" w:hAnsi="Verdana"/>
          <w:sz w:val="20"/>
        </w:rPr>
        <w:t>20.</w:t>
      </w:r>
      <w:r w:rsidRPr="006E0A8F">
        <w:rPr>
          <w:rFonts w:ascii="Verdana" w:hAnsi="Verdana"/>
          <w:sz w:val="20"/>
        </w:rPr>
        <w:tab/>
        <w:t xml:space="preserve">La Corte pasa a analizar si lo alegado por el Estado tiene como finalidad que el Tribunal interprete el sentido o alcance de la Sentencia, es decir, si es compatible con la naturaleza de una demanda de interpretación de sentencia, para entonces pasar a resolver lo pertinente.  </w:t>
      </w:r>
    </w:p>
    <w:p w:rsidR="008F3860" w:rsidRPr="00667E0A" w:rsidRDefault="008F3860">
      <w:pPr>
        <w:jc w:val="both"/>
        <w:rPr>
          <w:rFonts w:ascii="Verdana" w:hAnsi="Verdana"/>
          <w:b/>
          <w:sz w:val="20"/>
        </w:rPr>
      </w:pPr>
    </w:p>
    <w:p w:rsidR="008F3860" w:rsidRPr="00667E0A" w:rsidRDefault="008F3860">
      <w:pPr>
        <w:jc w:val="both"/>
        <w:rPr>
          <w:rFonts w:ascii="Verdana" w:hAnsi="Verdana"/>
          <w:b/>
          <w:strike/>
          <w:sz w:val="20"/>
        </w:rPr>
      </w:pPr>
      <w:r w:rsidRPr="006E0A8F">
        <w:rPr>
          <w:rFonts w:ascii="Verdana" w:hAnsi="Verdana"/>
          <w:sz w:val="20"/>
          <w:szCs w:val="20"/>
          <w:lang w:val="es-ES_tradnl"/>
        </w:rPr>
        <w:t>21.</w:t>
      </w:r>
      <w:r w:rsidRPr="006E0A8F">
        <w:rPr>
          <w:rFonts w:ascii="Verdana" w:hAnsi="Verdana"/>
          <w:sz w:val="20"/>
          <w:szCs w:val="20"/>
          <w:lang w:val="es-ES_tradnl"/>
        </w:rPr>
        <w:tab/>
        <w:t xml:space="preserve">En su demanda de interpretación el Estado dividió sus alegaciones en cuatro acápites.  En los dos primeros literales, </w:t>
      </w:r>
      <w:r w:rsidRPr="00C039AE">
        <w:rPr>
          <w:rFonts w:ascii="Verdana" w:hAnsi="Verdana"/>
          <w:i/>
          <w:sz w:val="20"/>
          <w:szCs w:val="20"/>
          <w:lang w:val="es-ES_tradnl"/>
        </w:rPr>
        <w:t>inter alia</w:t>
      </w:r>
      <w:r w:rsidRPr="006E0A8F">
        <w:rPr>
          <w:rFonts w:ascii="Verdana" w:hAnsi="Verdana"/>
          <w:sz w:val="20"/>
          <w:szCs w:val="20"/>
          <w:lang w:val="es-ES_tradnl"/>
        </w:rPr>
        <w:t>, indicó, a) sobre la niña Violeta Bosico, que no se ha podido demostrar si nació en la República Dominicana, y b) sobre la niña Dilcia Yean, que existen dudas de que sea hija de Leonidas Oliven Yean,</w:t>
      </w:r>
      <w:r w:rsidRPr="00667E0A">
        <w:rPr>
          <w:rFonts w:ascii="Verdana" w:hAnsi="Verdana"/>
          <w:b/>
          <w:sz w:val="20"/>
          <w:szCs w:val="20"/>
          <w:lang w:val="es-ES_tradnl"/>
        </w:rPr>
        <w:t xml:space="preserve"> </w:t>
      </w:r>
      <w:r w:rsidRPr="006E0A8F">
        <w:rPr>
          <w:rFonts w:ascii="Verdana" w:hAnsi="Verdana"/>
          <w:sz w:val="20"/>
          <w:szCs w:val="20"/>
          <w:lang w:val="es-ES_tradnl"/>
        </w:rPr>
        <w:t>por lo que el Estado señaló que no se podría afirmar que dichas niñas son dominicanas.  En el apartado c) sobre la apatricidad, señaló que las niñas nunca fueron apátridas, ya que podrían haber adquirido la nacionalidad haitiana, la que tienen sus abuelos</w:t>
      </w:r>
      <w:r w:rsidRPr="00994008">
        <w:rPr>
          <w:rFonts w:ascii="Verdana" w:hAnsi="Verdana"/>
          <w:sz w:val="20"/>
          <w:szCs w:val="20"/>
          <w:lang w:val="es-ES_tradnl"/>
        </w:rPr>
        <w:t xml:space="preserve">, y además indicó </w:t>
      </w:r>
      <w:r w:rsidRPr="00193984">
        <w:rPr>
          <w:rFonts w:ascii="Verdana" w:hAnsi="Verdana"/>
          <w:sz w:val="20"/>
          <w:szCs w:val="20"/>
          <w:lang w:val="es-ES_tradnl"/>
        </w:rPr>
        <w:t>que “</w:t>
      </w:r>
      <w:r w:rsidRPr="00193984">
        <w:rPr>
          <w:rFonts w:ascii="Verdana" w:hAnsi="Verdana"/>
          <w:sz w:val="20"/>
        </w:rPr>
        <w:t>el Estado se siente liberado del cumplimiento de la entrega de las actas de nacimiento, [que estuvo] basado en un acuerdo amistoso[,] y [que] los demandantes[,] aunque estén en posesión de sus actas, deberán cumplir con los requisitos que la ley exige […] para la normal y legal adquisición de sus actas de nacimiento”; y</w:t>
      </w:r>
      <w:r w:rsidRPr="006E0A8F">
        <w:rPr>
          <w:rFonts w:ascii="Verdana" w:hAnsi="Verdana"/>
          <w:sz w:val="20"/>
        </w:rPr>
        <w:t xml:space="preserve"> d) sobre la responsabilidad del Estado, pretende “conocer el sentido y el alcance de la responsabilidad de la conducta de los funcionarios que intervinieron en el caso […] en el entendido que la disminución o eximente de [la] culpabilidad [de dichos funcionarios] será también la disminución o eximente de la culpabilidad del Estado”.</w:t>
      </w:r>
      <w:r w:rsidRPr="00667E0A">
        <w:rPr>
          <w:rFonts w:ascii="Verdana" w:hAnsi="Verdana"/>
          <w:b/>
          <w:sz w:val="20"/>
        </w:rPr>
        <w:t xml:space="preserve"> </w:t>
      </w:r>
    </w:p>
    <w:p w:rsidR="008F3860" w:rsidRPr="00667E0A" w:rsidRDefault="008F3860">
      <w:pPr>
        <w:jc w:val="both"/>
        <w:rPr>
          <w:rFonts w:ascii="Verdana" w:hAnsi="Verdana"/>
          <w:b/>
          <w:sz w:val="20"/>
        </w:rPr>
      </w:pPr>
    </w:p>
    <w:p w:rsidR="008F3860" w:rsidRPr="00667E0A" w:rsidRDefault="008F3860">
      <w:pPr>
        <w:jc w:val="both"/>
        <w:rPr>
          <w:rFonts w:ascii="Verdana" w:hAnsi="Verdana"/>
          <w:b/>
          <w:sz w:val="20"/>
        </w:rPr>
      </w:pPr>
      <w:r w:rsidRPr="006E0A8F">
        <w:rPr>
          <w:rFonts w:ascii="Verdana" w:hAnsi="Verdana"/>
          <w:sz w:val="20"/>
        </w:rPr>
        <w:t>22.</w:t>
      </w:r>
      <w:r w:rsidRPr="006E0A8F">
        <w:rPr>
          <w:rFonts w:ascii="Verdana" w:hAnsi="Verdana"/>
          <w:sz w:val="20"/>
        </w:rPr>
        <w:tab/>
        <w:t xml:space="preserve">De lo anterior, la Corte observa que en los </w:t>
      </w:r>
      <w:r w:rsidRPr="00B56C11">
        <w:rPr>
          <w:rFonts w:ascii="Verdana" w:hAnsi="Verdana"/>
          <w:sz w:val="20"/>
        </w:rPr>
        <w:t>referidos l</w:t>
      </w:r>
      <w:r w:rsidRPr="006E0A8F">
        <w:rPr>
          <w:rFonts w:ascii="Verdana" w:hAnsi="Verdana"/>
          <w:sz w:val="20"/>
        </w:rPr>
        <w:t>iterales el Estado busca controvertir lo establecido en la Sentencia respecto de que,</w:t>
      </w:r>
      <w:r w:rsidRPr="00667E0A">
        <w:rPr>
          <w:rFonts w:ascii="Verdana" w:hAnsi="Verdana"/>
          <w:b/>
          <w:sz w:val="20"/>
        </w:rPr>
        <w:t xml:space="preserve"> </w:t>
      </w:r>
      <w:r w:rsidRPr="006E0A8F">
        <w:rPr>
          <w:rFonts w:ascii="Verdana" w:hAnsi="Verdana"/>
          <w:sz w:val="20"/>
        </w:rPr>
        <w:t xml:space="preserve">en primer lugar, Dilcia Yean y Violeta Bosico nacieron en la República Dominicana, y que por ello son de nacionalidad dominicana, en virtud del principio del </w:t>
      </w:r>
      <w:r w:rsidRPr="006E0A8F">
        <w:rPr>
          <w:rFonts w:ascii="Verdana" w:hAnsi="Verdana"/>
          <w:i/>
          <w:sz w:val="20"/>
        </w:rPr>
        <w:t>ius soli</w:t>
      </w:r>
      <w:r w:rsidRPr="006E0A8F">
        <w:rPr>
          <w:rFonts w:ascii="Verdana" w:hAnsi="Verdana"/>
          <w:sz w:val="20"/>
        </w:rPr>
        <w:t>, conforme a lo señalado en los párrafos 109.6, 109.7, 109.12, 144 y</w:t>
      </w:r>
      <w:r w:rsidRPr="00CA4996">
        <w:rPr>
          <w:rFonts w:ascii="Verdana" w:hAnsi="Verdana"/>
          <w:b/>
          <w:sz w:val="20"/>
        </w:rPr>
        <w:t xml:space="preserve"> </w:t>
      </w:r>
      <w:r w:rsidRPr="00427BD3">
        <w:rPr>
          <w:rFonts w:ascii="Verdana" w:hAnsi="Verdana"/>
          <w:sz w:val="20"/>
        </w:rPr>
        <w:t xml:space="preserve">158 </w:t>
      </w:r>
      <w:r w:rsidRPr="006E0A8F">
        <w:rPr>
          <w:rFonts w:ascii="Verdana" w:hAnsi="Verdana"/>
          <w:sz w:val="20"/>
        </w:rPr>
        <w:t>de la mencionada Sentencia</w:t>
      </w:r>
      <w:r w:rsidRPr="006E0A8F">
        <w:rPr>
          <w:rFonts w:ascii="Verdana" w:hAnsi="Verdana"/>
          <w:i/>
          <w:sz w:val="20"/>
        </w:rPr>
        <w:t>.</w:t>
      </w:r>
      <w:r w:rsidRPr="00667E0A">
        <w:rPr>
          <w:rFonts w:ascii="Verdana" w:hAnsi="Verdana"/>
          <w:b/>
          <w:sz w:val="20"/>
        </w:rPr>
        <w:t xml:space="preserve">  </w:t>
      </w:r>
      <w:r w:rsidRPr="006E0A8F">
        <w:rPr>
          <w:rFonts w:ascii="Verdana" w:hAnsi="Verdana"/>
          <w:sz w:val="20"/>
        </w:rPr>
        <w:t xml:space="preserve">En segundo lugar, el Estado rechazó lo establecido en los párrafos 173 y 174 de la Sentencia, que disponen que </w:t>
      </w:r>
      <w:r w:rsidRPr="00B56C11">
        <w:rPr>
          <w:rFonts w:ascii="Verdana" w:hAnsi="Verdana"/>
          <w:sz w:val="20"/>
        </w:rPr>
        <w:t>el Estado tiene responsabilidad internacional</w:t>
      </w:r>
      <w:r w:rsidRPr="006E0A8F">
        <w:rPr>
          <w:rFonts w:ascii="Verdana" w:hAnsi="Verdana"/>
          <w:sz w:val="20"/>
        </w:rPr>
        <w:t xml:space="preserve"> porque “incumplió con su obligación de garantizar los derechos consagrados en la Convención Americana”, ya que incurrió, en perjuicio de las niñas Dilcia Yean y Violeta Bosico, en una “privación arbitraria de su </w:t>
      </w:r>
      <w:r w:rsidRPr="006E0A8F">
        <w:rPr>
          <w:rFonts w:ascii="Verdana" w:hAnsi="Verdana"/>
          <w:sz w:val="20"/>
        </w:rPr>
        <w:lastRenderedPageBreak/>
        <w:t>nacionalidad, y las dejó apátridas por más de cuatro años y cuatro meses, en violación de los artículos 20 y 24 de la Convención Americana, en relación con el artículo 19 de la misma”.</w:t>
      </w:r>
      <w:r w:rsidRPr="00667E0A">
        <w:rPr>
          <w:rFonts w:ascii="Verdana" w:hAnsi="Verdana"/>
          <w:b/>
          <w:sz w:val="20"/>
        </w:rPr>
        <w:t xml:space="preserve">  </w:t>
      </w:r>
    </w:p>
    <w:p w:rsidR="008F3860" w:rsidRPr="00667E0A" w:rsidRDefault="008F3860">
      <w:pPr>
        <w:jc w:val="both"/>
        <w:rPr>
          <w:rFonts w:ascii="Verdana" w:hAnsi="Verdana"/>
          <w:b/>
          <w:sz w:val="20"/>
        </w:rPr>
      </w:pPr>
    </w:p>
    <w:p w:rsidR="008F3860" w:rsidRPr="007A01F7" w:rsidRDefault="008F3860">
      <w:pPr>
        <w:jc w:val="both"/>
        <w:rPr>
          <w:rFonts w:ascii="Verdana" w:hAnsi="Verdana"/>
          <w:sz w:val="20"/>
        </w:rPr>
      </w:pPr>
      <w:r w:rsidRPr="006E0A8F">
        <w:rPr>
          <w:rFonts w:ascii="Verdana" w:hAnsi="Verdana"/>
          <w:sz w:val="20"/>
        </w:rPr>
        <w:t>23.</w:t>
      </w:r>
      <w:r w:rsidRPr="006E0A8F">
        <w:rPr>
          <w:rFonts w:ascii="Verdana" w:hAnsi="Verdana"/>
          <w:sz w:val="20"/>
        </w:rPr>
        <w:tab/>
        <w:t>El Tribunal observa que las referidas alegaciones del Estado buscan controvertir los hechos establecidos y probados con base en el acervo probatorio que se presentó ante la Corte</w:t>
      </w:r>
      <w:r w:rsidRPr="00667E0A">
        <w:rPr>
          <w:rFonts w:ascii="Verdana" w:hAnsi="Verdana"/>
          <w:b/>
          <w:sz w:val="20"/>
        </w:rPr>
        <w:t xml:space="preserve"> </w:t>
      </w:r>
      <w:r w:rsidRPr="006E0A8F">
        <w:rPr>
          <w:rFonts w:ascii="Verdana" w:hAnsi="Verdana"/>
          <w:sz w:val="20"/>
        </w:rPr>
        <w:t xml:space="preserve">durante el </w:t>
      </w:r>
      <w:r w:rsidRPr="007A01F7">
        <w:rPr>
          <w:rFonts w:ascii="Verdana" w:hAnsi="Verdana"/>
          <w:sz w:val="20"/>
        </w:rPr>
        <w:t>trámite del caso contencioso, ya que la República Dominicana somete a la consideración del Tribunal cuestiones de hecho y de derecho que fueron planteadas en su oportunidad procesal y sobre las cuales la Corte ya adoptó una decisión, y que no merecen acogida en la presente etapa de interpretación de Sentencia.</w:t>
      </w:r>
    </w:p>
    <w:p w:rsidR="008F3860" w:rsidRPr="00667E0A" w:rsidRDefault="008F3860">
      <w:pPr>
        <w:jc w:val="both"/>
        <w:rPr>
          <w:rFonts w:ascii="Verdana" w:hAnsi="Verdana"/>
          <w:b/>
          <w:sz w:val="20"/>
        </w:rPr>
      </w:pPr>
    </w:p>
    <w:p w:rsidR="008F3860" w:rsidRPr="00DF038B" w:rsidRDefault="008F3860">
      <w:pPr>
        <w:spacing w:before="20"/>
        <w:jc w:val="both"/>
        <w:rPr>
          <w:rFonts w:ascii="Verdana" w:hAnsi="Verdana"/>
          <w:sz w:val="20"/>
          <w:szCs w:val="20"/>
          <w:lang w:val="es-ES_tradnl"/>
        </w:rPr>
      </w:pPr>
      <w:r w:rsidRPr="007A01F7">
        <w:rPr>
          <w:rFonts w:ascii="Verdana" w:hAnsi="Verdana"/>
          <w:sz w:val="20"/>
          <w:szCs w:val="20"/>
          <w:lang w:val="es-ES_tradnl"/>
        </w:rPr>
        <w:t>24.</w:t>
      </w:r>
      <w:r w:rsidRPr="00DF038B">
        <w:rPr>
          <w:rFonts w:ascii="Verdana" w:hAnsi="Verdana"/>
          <w:sz w:val="20"/>
          <w:szCs w:val="20"/>
          <w:lang w:val="es-ES_tradnl"/>
        </w:rPr>
        <w:tab/>
        <w:t xml:space="preserve">Por todo lo expuesto, la Corte decide desestimar la demanda de interpretación interpuesta por el Estado, debido a que no se adecua a lo previsto en el artículo 67 de la Convención y en los artículos 29.3 y 59 del Reglamento.  </w:t>
      </w:r>
    </w:p>
    <w:p w:rsidR="008F3860" w:rsidRPr="00DF038B" w:rsidRDefault="008F3860">
      <w:pPr>
        <w:spacing w:before="20"/>
        <w:jc w:val="both"/>
        <w:rPr>
          <w:rFonts w:ascii="Verdana" w:hAnsi="Verdana"/>
          <w:b/>
          <w:sz w:val="20"/>
          <w:szCs w:val="20"/>
          <w:u w:val="single"/>
          <w:lang w:val="es-ES_tradnl"/>
        </w:rPr>
      </w:pPr>
    </w:p>
    <w:p w:rsidR="008F3860" w:rsidRPr="00740C0C" w:rsidRDefault="008F3860">
      <w:pPr>
        <w:spacing w:before="40"/>
        <w:jc w:val="both"/>
        <w:rPr>
          <w:rFonts w:ascii="Verdana" w:hAnsi="Verdana"/>
          <w:color w:val="0000FF"/>
          <w:sz w:val="20"/>
          <w:szCs w:val="20"/>
          <w:lang w:val="es-ES_tradnl"/>
        </w:rPr>
      </w:pPr>
    </w:p>
    <w:p w:rsidR="008F3860" w:rsidRPr="00740C0C" w:rsidRDefault="008F3860">
      <w:pPr>
        <w:spacing w:before="40"/>
        <w:jc w:val="center"/>
        <w:rPr>
          <w:rFonts w:ascii="Verdana" w:hAnsi="Verdana"/>
          <w:b/>
          <w:smallCaps/>
          <w:sz w:val="20"/>
          <w:lang w:val="es-ES_tradnl"/>
        </w:rPr>
      </w:pPr>
      <w:r w:rsidRPr="00740C0C">
        <w:rPr>
          <w:rFonts w:ascii="Verdana" w:hAnsi="Verdana"/>
          <w:b/>
          <w:smallCaps/>
          <w:sz w:val="20"/>
          <w:lang w:val="es-ES_tradnl"/>
        </w:rPr>
        <w:t>VI</w:t>
      </w:r>
    </w:p>
    <w:p w:rsidR="008F3860" w:rsidRPr="00193984" w:rsidRDefault="008F3860">
      <w:pPr>
        <w:spacing w:before="40"/>
        <w:jc w:val="center"/>
        <w:rPr>
          <w:rFonts w:ascii="Verdana" w:hAnsi="Verdana"/>
          <w:b/>
          <w:smallCaps/>
          <w:lang w:val="es-ES_tradnl"/>
        </w:rPr>
      </w:pPr>
      <w:r w:rsidRPr="00193984">
        <w:rPr>
          <w:rFonts w:ascii="Verdana" w:hAnsi="Verdana"/>
          <w:b/>
          <w:smallCaps/>
          <w:lang w:val="es-ES_tradnl"/>
        </w:rPr>
        <w:t>Puntos Resolutivos</w:t>
      </w:r>
    </w:p>
    <w:p w:rsidR="008F3860" w:rsidRPr="00740C0C" w:rsidRDefault="008F3860">
      <w:pPr>
        <w:spacing w:before="40"/>
        <w:rPr>
          <w:rFonts w:ascii="Verdana" w:hAnsi="Verdana"/>
          <w:b/>
          <w:smallCaps/>
          <w:sz w:val="20"/>
          <w:lang w:val="es-ES_tradnl"/>
        </w:rPr>
      </w:pPr>
    </w:p>
    <w:p w:rsidR="008F3860" w:rsidRPr="00740C0C" w:rsidRDefault="008F3860">
      <w:pPr>
        <w:spacing w:before="40"/>
        <w:jc w:val="both"/>
        <w:rPr>
          <w:rFonts w:ascii="Verdana" w:hAnsi="Verdana"/>
          <w:sz w:val="20"/>
          <w:lang w:val="es-ES_tradnl"/>
        </w:rPr>
      </w:pPr>
    </w:p>
    <w:p w:rsidR="008F3860" w:rsidRPr="00740C0C" w:rsidRDefault="008F3860">
      <w:pPr>
        <w:spacing w:before="40"/>
        <w:jc w:val="both"/>
        <w:rPr>
          <w:rFonts w:ascii="Verdana" w:hAnsi="Verdana"/>
          <w:sz w:val="20"/>
          <w:lang w:val="es-ES_tradnl"/>
        </w:rPr>
      </w:pPr>
      <w:r w:rsidRPr="00740C0C">
        <w:rPr>
          <w:rFonts w:ascii="Verdana" w:hAnsi="Verdana"/>
          <w:sz w:val="20"/>
          <w:lang w:val="es-ES_tradnl"/>
        </w:rPr>
        <w:t>25.</w:t>
      </w:r>
      <w:r w:rsidRPr="00740C0C">
        <w:rPr>
          <w:rFonts w:ascii="Verdana" w:hAnsi="Verdana"/>
          <w:sz w:val="20"/>
          <w:lang w:val="es-ES_tradnl"/>
        </w:rPr>
        <w:tab/>
        <w:t>Por las razones expuestas,</w:t>
      </w:r>
    </w:p>
    <w:p w:rsidR="008F3860" w:rsidRPr="00740C0C" w:rsidRDefault="008F3860">
      <w:pPr>
        <w:spacing w:before="40"/>
        <w:jc w:val="both"/>
        <w:rPr>
          <w:rFonts w:ascii="Verdana" w:hAnsi="Verdana"/>
          <w:sz w:val="20"/>
          <w:lang w:val="es-ES_tradnl"/>
        </w:rPr>
      </w:pPr>
    </w:p>
    <w:p w:rsidR="008F3860" w:rsidRPr="00193984" w:rsidRDefault="008F3860">
      <w:pPr>
        <w:spacing w:before="40"/>
        <w:jc w:val="both"/>
        <w:rPr>
          <w:rFonts w:ascii="Verdana" w:hAnsi="Verdana"/>
          <w:b/>
          <w:lang w:val="es-ES_tradnl"/>
        </w:rPr>
      </w:pPr>
      <w:r w:rsidRPr="00193984">
        <w:rPr>
          <w:rFonts w:ascii="Verdana" w:hAnsi="Verdana"/>
          <w:b/>
          <w:smallCaps/>
          <w:lang w:val="es-ES_tradnl"/>
        </w:rPr>
        <w:t xml:space="preserve">la Corte Interamericana de Derechos Humanos </w:t>
      </w:r>
    </w:p>
    <w:p w:rsidR="008F3860" w:rsidRPr="00740C0C" w:rsidRDefault="008F3860">
      <w:pPr>
        <w:spacing w:before="40"/>
        <w:jc w:val="both"/>
        <w:rPr>
          <w:rFonts w:ascii="Verdana" w:hAnsi="Verdana"/>
          <w:b/>
          <w:smallCaps/>
          <w:sz w:val="20"/>
          <w:lang w:val="es-ES_tradnl"/>
        </w:rPr>
      </w:pPr>
    </w:p>
    <w:p w:rsidR="008F3860" w:rsidRPr="00814D7A" w:rsidRDefault="008F3860">
      <w:pPr>
        <w:spacing w:before="40"/>
        <w:jc w:val="both"/>
        <w:rPr>
          <w:rFonts w:ascii="Verdana" w:hAnsi="Verdana"/>
          <w:sz w:val="20"/>
          <w:lang w:val="es-ES_tradnl"/>
        </w:rPr>
      </w:pPr>
      <w:r w:rsidRPr="00814D7A">
        <w:rPr>
          <w:rFonts w:ascii="Verdana" w:hAnsi="Verdana"/>
          <w:sz w:val="20"/>
          <w:lang w:val="es-ES_tradnl"/>
        </w:rPr>
        <w:t>de conformidad con el artículo 67 de la Convención Americana de Derechos Humanos y los artículos 29.3 y 59 del Reglamento,</w:t>
      </w:r>
    </w:p>
    <w:p w:rsidR="008F3860" w:rsidRPr="00740C0C" w:rsidRDefault="008F3860">
      <w:pPr>
        <w:spacing w:before="40"/>
        <w:jc w:val="both"/>
        <w:rPr>
          <w:rFonts w:ascii="Verdana" w:hAnsi="Verdana"/>
          <w:b/>
          <w:smallCaps/>
          <w:sz w:val="20"/>
          <w:lang w:val="es-ES_tradnl"/>
        </w:rPr>
      </w:pPr>
    </w:p>
    <w:p w:rsidR="008F3860" w:rsidRPr="00193984" w:rsidRDefault="008F3860">
      <w:pPr>
        <w:spacing w:before="40"/>
        <w:jc w:val="both"/>
        <w:rPr>
          <w:rFonts w:ascii="Verdana" w:hAnsi="Verdana"/>
          <w:b/>
          <w:smallCaps/>
          <w:lang w:val="es-ES_tradnl"/>
        </w:rPr>
      </w:pPr>
      <w:r w:rsidRPr="00193984">
        <w:rPr>
          <w:rFonts w:ascii="Verdana" w:hAnsi="Verdana"/>
          <w:b/>
          <w:smallCaps/>
          <w:lang w:val="es-ES_tradnl"/>
        </w:rPr>
        <w:t xml:space="preserve">Decide: </w:t>
      </w:r>
    </w:p>
    <w:p w:rsidR="008F3860" w:rsidRPr="00740C0C" w:rsidRDefault="008F3860">
      <w:pPr>
        <w:spacing w:before="40"/>
        <w:jc w:val="both"/>
        <w:rPr>
          <w:rFonts w:ascii="Verdana" w:hAnsi="Verdana"/>
          <w:b/>
          <w:caps/>
          <w:sz w:val="20"/>
          <w:lang w:val="es-ES_tradnl"/>
        </w:rPr>
      </w:pPr>
    </w:p>
    <w:p w:rsidR="008F3860" w:rsidRPr="00740C0C" w:rsidRDefault="008F3860">
      <w:pPr>
        <w:spacing w:before="40"/>
        <w:jc w:val="both"/>
        <w:rPr>
          <w:rFonts w:ascii="Verdana" w:hAnsi="Verdana"/>
          <w:b/>
          <w:smallCaps/>
          <w:color w:val="0000FF"/>
          <w:sz w:val="20"/>
          <w:lang w:val="es-ES_tradnl"/>
        </w:rPr>
      </w:pPr>
    </w:p>
    <w:p w:rsidR="008F3860" w:rsidRPr="00814D7A" w:rsidRDefault="008F3860">
      <w:pPr>
        <w:pStyle w:val="Textoindependiente"/>
        <w:spacing w:before="40"/>
        <w:rPr>
          <w:rFonts w:ascii="Verdana" w:hAnsi="Verdana"/>
          <w:sz w:val="20"/>
        </w:rPr>
      </w:pPr>
      <w:r w:rsidRPr="00814D7A">
        <w:rPr>
          <w:rFonts w:ascii="Verdana" w:hAnsi="Verdana"/>
          <w:sz w:val="20"/>
        </w:rPr>
        <w:t>Por unanimidad,</w:t>
      </w:r>
    </w:p>
    <w:p w:rsidR="008F3860" w:rsidRPr="00740C0C" w:rsidRDefault="008F3860">
      <w:pPr>
        <w:pStyle w:val="Textoindependiente"/>
        <w:spacing w:before="40"/>
        <w:rPr>
          <w:rFonts w:ascii="Verdana" w:hAnsi="Verdana"/>
          <w:color w:val="0000FF"/>
          <w:sz w:val="20"/>
        </w:rPr>
      </w:pPr>
    </w:p>
    <w:p w:rsidR="008F3860" w:rsidRPr="00B56C11" w:rsidRDefault="008F3860">
      <w:pPr>
        <w:pStyle w:val="Textoindependiente"/>
        <w:spacing w:before="40"/>
        <w:rPr>
          <w:rFonts w:ascii="Verdana" w:hAnsi="Verdana"/>
          <w:sz w:val="20"/>
        </w:rPr>
      </w:pPr>
      <w:r w:rsidRPr="006E0A8F">
        <w:rPr>
          <w:rFonts w:ascii="Verdana" w:hAnsi="Verdana"/>
          <w:sz w:val="20"/>
        </w:rPr>
        <w:t>1.</w:t>
      </w:r>
      <w:r w:rsidRPr="006E0A8F">
        <w:rPr>
          <w:rFonts w:ascii="Verdana" w:hAnsi="Verdana"/>
          <w:sz w:val="20"/>
        </w:rPr>
        <w:tab/>
        <w:t xml:space="preserve">Desestimar por improcedente la demanda de interpretación de la Sentencia de excepciones preliminares, fondo, reparaciones y costas en el Caso de las Niñas Yean y Bosico interpuesta por el Estado, debido a que no se adecua a lo previsto en los artículos 67 de la Convención Americana de Derechos Humanos y 29.3 y 59 del Reglamento de la Corte, </w:t>
      </w:r>
      <w:r w:rsidRPr="00B56C11">
        <w:rPr>
          <w:rFonts w:ascii="Verdana" w:hAnsi="Verdana"/>
          <w:sz w:val="20"/>
        </w:rPr>
        <w:t>en los términos de los párrafos 20 a 24 de la presente Sentencia.</w:t>
      </w:r>
    </w:p>
    <w:p w:rsidR="008F3860" w:rsidRPr="00B56C11" w:rsidRDefault="008F3860">
      <w:pPr>
        <w:pStyle w:val="Textoindependiente"/>
        <w:spacing w:before="40"/>
        <w:rPr>
          <w:rFonts w:ascii="Verdana" w:hAnsi="Verdana"/>
          <w:sz w:val="20"/>
        </w:rPr>
      </w:pPr>
    </w:p>
    <w:p w:rsidR="008F3860" w:rsidRPr="00740C0C" w:rsidRDefault="008F3860">
      <w:pPr>
        <w:pStyle w:val="Textoindependiente"/>
        <w:spacing w:before="40"/>
        <w:rPr>
          <w:rFonts w:ascii="Verdana" w:hAnsi="Verdana"/>
          <w:color w:val="0000FF"/>
          <w:sz w:val="20"/>
        </w:rPr>
        <w:sectPr w:rsidR="008F3860" w:rsidRPr="00740C0C">
          <w:headerReference w:type="even" r:id="rId7"/>
          <w:headerReference w:type="default" r:id="rId8"/>
          <w:footerReference w:type="even" r:id="rId9"/>
          <w:pgSz w:w="12240" w:h="15840"/>
          <w:pgMar w:top="1411" w:right="1584" w:bottom="1411" w:left="1440" w:header="706" w:footer="706" w:gutter="0"/>
          <w:cols w:space="708"/>
          <w:titlePg/>
          <w:docGrid w:linePitch="360"/>
        </w:sectPr>
      </w:pPr>
    </w:p>
    <w:p w:rsidR="008F3860" w:rsidRPr="007967D6" w:rsidRDefault="008F3860">
      <w:pPr>
        <w:jc w:val="both"/>
        <w:rPr>
          <w:rFonts w:ascii="Verdana" w:hAnsi="Verdana"/>
          <w:sz w:val="20"/>
          <w:lang w:val="es-ES_tradnl"/>
        </w:rPr>
      </w:pPr>
    </w:p>
    <w:p w:rsidR="008F3860" w:rsidRPr="007967D6" w:rsidRDefault="008F3860">
      <w:pPr>
        <w:jc w:val="both"/>
        <w:rPr>
          <w:rFonts w:ascii="Verdana" w:hAnsi="Verdana"/>
          <w:sz w:val="20"/>
          <w:lang w:val="es-ES_tradnl"/>
        </w:rPr>
      </w:pPr>
      <w:r w:rsidRPr="007967D6">
        <w:rPr>
          <w:rFonts w:ascii="Verdana" w:hAnsi="Verdana"/>
          <w:sz w:val="20"/>
          <w:lang w:val="es-ES_tradnl"/>
        </w:rPr>
        <w:t>Redactada en español e inglés, haciendo fe el texto en español, en San José, Costa Rica, el 23 de noviembre de 2006.</w:t>
      </w:r>
    </w:p>
    <w:p w:rsidR="008F3860" w:rsidRDefault="008F3860">
      <w:pPr>
        <w:pStyle w:val="Textoindependiente"/>
      </w:pPr>
    </w:p>
    <w:p w:rsidR="008F3860" w:rsidRPr="00DD7CDC" w:rsidRDefault="008F3860">
      <w:pPr>
        <w:rPr>
          <w:rFonts w:ascii="Verdana" w:hAnsi="Verdana"/>
          <w:sz w:val="20"/>
          <w:lang w:bidi="ar-SA"/>
        </w:rPr>
      </w:pPr>
    </w:p>
    <w:p w:rsidR="008F3860" w:rsidRPr="00DD7CDC" w:rsidRDefault="008F3860">
      <w:pPr>
        <w:rPr>
          <w:rFonts w:ascii="Verdana" w:hAnsi="Verdana"/>
          <w:sz w:val="20"/>
          <w:lang w:bidi="ar-SA"/>
        </w:rPr>
      </w:pPr>
    </w:p>
    <w:p w:rsidR="008F3860" w:rsidRDefault="008F3860">
      <w:pPr>
        <w:rPr>
          <w:rFonts w:ascii="Verdana" w:hAnsi="Verdana"/>
          <w:sz w:val="20"/>
        </w:rPr>
      </w:pPr>
    </w:p>
    <w:p w:rsidR="008F3860" w:rsidRDefault="008F3860">
      <w:pPr>
        <w:rPr>
          <w:rFonts w:ascii="Verdana" w:hAnsi="Verdana"/>
          <w:sz w:val="20"/>
        </w:rPr>
      </w:pPr>
    </w:p>
    <w:p w:rsidR="008F3860" w:rsidRDefault="008F3860">
      <w:pPr>
        <w:rPr>
          <w:rFonts w:ascii="Verdana" w:hAnsi="Verdana"/>
          <w:sz w:val="20"/>
        </w:rPr>
      </w:pPr>
    </w:p>
    <w:p w:rsidR="008F3860" w:rsidRDefault="008F3860">
      <w:pPr>
        <w:rPr>
          <w:rFonts w:ascii="Verdana" w:hAnsi="Verdana"/>
          <w:sz w:val="20"/>
        </w:rPr>
      </w:pPr>
    </w:p>
    <w:p w:rsidR="008F3860" w:rsidRDefault="008F3860">
      <w:pPr>
        <w:jc w:val="center"/>
        <w:rPr>
          <w:rFonts w:ascii="Verdana" w:hAnsi="Verdana"/>
          <w:sz w:val="20"/>
        </w:rPr>
      </w:pPr>
      <w:r>
        <w:rPr>
          <w:rFonts w:ascii="Verdana" w:hAnsi="Verdana"/>
          <w:sz w:val="20"/>
        </w:rPr>
        <w:t>Sergio García Ramírez</w:t>
      </w:r>
    </w:p>
    <w:p w:rsidR="008F3860" w:rsidRDefault="008F3860">
      <w:pPr>
        <w:jc w:val="center"/>
        <w:rPr>
          <w:rFonts w:ascii="Verdana" w:hAnsi="Verdana"/>
          <w:sz w:val="20"/>
        </w:rPr>
      </w:pPr>
      <w:r>
        <w:rPr>
          <w:rFonts w:ascii="Verdana" w:hAnsi="Verdana"/>
          <w:sz w:val="20"/>
        </w:rPr>
        <w:t>Presidente</w:t>
      </w:r>
    </w:p>
    <w:tbl>
      <w:tblPr>
        <w:tblW w:w="0" w:type="auto"/>
        <w:tblBorders>
          <w:top w:val="nil"/>
          <w:left w:val="nil"/>
          <w:bottom w:val="nil"/>
          <w:right w:val="nil"/>
          <w:insideH w:val="nil"/>
          <w:insideV w:val="nil"/>
        </w:tblBorders>
        <w:tblLook w:val="00BE" w:firstRow="1" w:lastRow="0" w:firstColumn="1" w:lastColumn="0" w:noHBand="0" w:noVBand="0"/>
      </w:tblPr>
      <w:tblGrid>
        <w:gridCol w:w="4428"/>
        <w:gridCol w:w="4428"/>
      </w:tblGrid>
      <w:tr w:rsidR="008F3860">
        <w:tblPrEx>
          <w:tblCellMar>
            <w:top w:w="0" w:type="dxa"/>
            <w:bottom w:w="0" w:type="dxa"/>
          </w:tblCellMar>
        </w:tblPrEx>
        <w:tc>
          <w:tcPr>
            <w:tcW w:w="4428" w:type="dxa"/>
          </w:tcPr>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r>
              <w:rPr>
                <w:rFonts w:ascii="Verdana" w:hAnsi="Verdana"/>
                <w:sz w:val="20"/>
              </w:rPr>
              <w:t xml:space="preserve">Alirio Abreu Burelli </w:t>
            </w:r>
          </w:p>
        </w:tc>
        <w:tc>
          <w:tcPr>
            <w:tcW w:w="4428" w:type="dxa"/>
          </w:tcPr>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r>
              <w:rPr>
                <w:rFonts w:ascii="Verdana" w:hAnsi="Verdana"/>
                <w:sz w:val="20"/>
              </w:rPr>
              <w:t>Antônio A. Cançado Trindade</w:t>
            </w:r>
          </w:p>
        </w:tc>
      </w:tr>
      <w:tr w:rsidR="008F3860">
        <w:tblPrEx>
          <w:tblCellMar>
            <w:top w:w="0" w:type="dxa"/>
            <w:bottom w:w="0" w:type="dxa"/>
          </w:tblCellMar>
        </w:tblPrEx>
        <w:tc>
          <w:tcPr>
            <w:tcW w:w="4428" w:type="dxa"/>
          </w:tcPr>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r>
              <w:rPr>
                <w:rFonts w:ascii="Verdana" w:hAnsi="Verdana"/>
                <w:sz w:val="20"/>
              </w:rPr>
              <w:t>Cecilia Medina Quiroga</w:t>
            </w:r>
          </w:p>
        </w:tc>
        <w:tc>
          <w:tcPr>
            <w:tcW w:w="4428" w:type="dxa"/>
          </w:tcPr>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r>
              <w:rPr>
                <w:rFonts w:ascii="Verdana" w:hAnsi="Verdana"/>
                <w:sz w:val="20"/>
              </w:rPr>
              <w:t>Manuel E. Ventura Robles</w:t>
            </w:r>
          </w:p>
        </w:tc>
      </w:tr>
      <w:tr w:rsidR="008F3860">
        <w:tblPrEx>
          <w:tblCellMar>
            <w:top w:w="0" w:type="dxa"/>
            <w:bottom w:w="0" w:type="dxa"/>
          </w:tblCellMar>
        </w:tblPrEx>
        <w:tc>
          <w:tcPr>
            <w:tcW w:w="4428" w:type="dxa"/>
          </w:tcPr>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tabs>
                <w:tab w:val="center" w:pos="6120"/>
              </w:tabs>
              <w:jc w:val="both"/>
              <w:rPr>
                <w:rFonts w:ascii="Verdana" w:hAnsi="Verdana"/>
                <w:sz w:val="20"/>
              </w:rPr>
            </w:pPr>
          </w:p>
          <w:p w:rsidR="008F3860" w:rsidRDefault="008F3860">
            <w:pPr>
              <w:rPr>
                <w:rFonts w:ascii="Verdana" w:hAnsi="Verdana"/>
                <w:sz w:val="20"/>
              </w:rPr>
            </w:pPr>
          </w:p>
        </w:tc>
        <w:tc>
          <w:tcPr>
            <w:tcW w:w="4428" w:type="dxa"/>
          </w:tcPr>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p w:rsidR="008F3860" w:rsidRDefault="008F3860">
            <w:pPr>
              <w:tabs>
                <w:tab w:val="center" w:pos="6120"/>
              </w:tabs>
              <w:jc w:val="right"/>
              <w:rPr>
                <w:rFonts w:ascii="Verdana" w:hAnsi="Verdana"/>
                <w:sz w:val="20"/>
              </w:rPr>
            </w:pPr>
          </w:p>
        </w:tc>
      </w:tr>
    </w:tbl>
    <w:p w:rsidR="008F3860" w:rsidRDefault="008F3860">
      <w:pPr>
        <w:rPr>
          <w:rFonts w:ascii="Verdana" w:hAnsi="Verdana"/>
          <w:sz w:val="20"/>
        </w:rPr>
      </w:pPr>
    </w:p>
    <w:p w:rsidR="008F3860" w:rsidRDefault="008F3860">
      <w:pPr>
        <w:jc w:val="center"/>
        <w:rPr>
          <w:rFonts w:ascii="Verdana" w:hAnsi="Verdana"/>
          <w:sz w:val="20"/>
        </w:rPr>
      </w:pPr>
    </w:p>
    <w:p w:rsidR="008F3860" w:rsidRDefault="008F3860">
      <w:pPr>
        <w:jc w:val="center"/>
        <w:rPr>
          <w:rFonts w:ascii="Verdana" w:hAnsi="Verdana"/>
          <w:sz w:val="20"/>
        </w:rPr>
      </w:pPr>
      <w:r>
        <w:rPr>
          <w:rFonts w:ascii="Verdana" w:hAnsi="Verdana"/>
          <w:sz w:val="20"/>
        </w:rPr>
        <w:t>Diego García-Sayán</w:t>
      </w:r>
    </w:p>
    <w:p w:rsidR="008F3860" w:rsidRPr="009F4DF7" w:rsidRDefault="008F3860">
      <w:pPr>
        <w:jc w:val="center"/>
        <w:rPr>
          <w:rFonts w:ascii="Verdana" w:hAnsi="Verdana"/>
          <w:i/>
          <w:sz w:val="20"/>
        </w:rPr>
      </w:pPr>
    </w:p>
    <w:p w:rsidR="008F3860" w:rsidRDefault="008F3860">
      <w:pPr>
        <w:rPr>
          <w:rFonts w:ascii="Verdana" w:hAnsi="Verdana"/>
          <w:sz w:val="20"/>
        </w:rPr>
      </w:pPr>
    </w:p>
    <w:p w:rsidR="008F3860" w:rsidRDefault="008F3860">
      <w:pPr>
        <w:rPr>
          <w:rFonts w:ascii="Verdana" w:hAnsi="Verdana"/>
          <w:sz w:val="20"/>
        </w:rPr>
      </w:pPr>
    </w:p>
    <w:p w:rsidR="008F3860" w:rsidRDefault="008F3860">
      <w:pPr>
        <w:rPr>
          <w:rFonts w:ascii="Verdana" w:hAnsi="Verdana"/>
          <w:sz w:val="20"/>
        </w:rPr>
      </w:pPr>
    </w:p>
    <w:p w:rsidR="008F3860" w:rsidRDefault="008F3860">
      <w:pPr>
        <w:rPr>
          <w:rFonts w:ascii="Verdana" w:hAnsi="Verdana"/>
          <w:sz w:val="20"/>
        </w:rPr>
      </w:pPr>
    </w:p>
    <w:p w:rsidR="008F3860" w:rsidRDefault="008F3860">
      <w:pPr>
        <w:jc w:val="center"/>
        <w:rPr>
          <w:rFonts w:ascii="Verdana" w:hAnsi="Verdana"/>
          <w:sz w:val="20"/>
        </w:rPr>
      </w:pPr>
      <w:r>
        <w:rPr>
          <w:rFonts w:ascii="Verdana" w:hAnsi="Verdana"/>
          <w:sz w:val="20"/>
        </w:rPr>
        <w:t>Pablo Saavedra Alessandri</w:t>
      </w:r>
    </w:p>
    <w:p w:rsidR="008F3860" w:rsidRDefault="008F3860">
      <w:pPr>
        <w:jc w:val="center"/>
        <w:rPr>
          <w:rFonts w:ascii="Verdana" w:hAnsi="Verdana"/>
          <w:sz w:val="20"/>
        </w:rPr>
      </w:pPr>
      <w:r>
        <w:rPr>
          <w:rFonts w:ascii="Verdana" w:hAnsi="Verdana"/>
          <w:sz w:val="20"/>
        </w:rPr>
        <w:t>Secretario</w:t>
      </w:r>
    </w:p>
    <w:p w:rsidR="008F3860" w:rsidRDefault="008F3860">
      <w:pPr>
        <w:jc w:val="both"/>
        <w:rPr>
          <w:rFonts w:ascii="Verdana" w:hAnsi="Verdana"/>
          <w:sz w:val="20"/>
        </w:rPr>
      </w:pPr>
    </w:p>
    <w:p w:rsidR="008F3860" w:rsidRDefault="008F3860">
      <w:pPr>
        <w:jc w:val="both"/>
        <w:rPr>
          <w:rFonts w:ascii="Verdana" w:hAnsi="Verdana"/>
          <w:sz w:val="20"/>
        </w:rPr>
      </w:pPr>
    </w:p>
    <w:p w:rsidR="008F3860" w:rsidRDefault="008F3860">
      <w:pPr>
        <w:jc w:val="both"/>
        <w:rPr>
          <w:rFonts w:ascii="Verdana" w:hAnsi="Verdana"/>
          <w:sz w:val="20"/>
        </w:rPr>
      </w:pPr>
      <w:r>
        <w:rPr>
          <w:rFonts w:ascii="Verdana" w:hAnsi="Verdana"/>
          <w:sz w:val="20"/>
        </w:rPr>
        <w:t>Comuníquese y ejecútese,</w:t>
      </w:r>
    </w:p>
    <w:p w:rsidR="008F3860" w:rsidRDefault="008F3860">
      <w:pPr>
        <w:jc w:val="both"/>
        <w:rPr>
          <w:rFonts w:ascii="Verdana" w:hAnsi="Verdana"/>
          <w:sz w:val="20"/>
        </w:rPr>
      </w:pPr>
    </w:p>
    <w:p w:rsidR="008F3860" w:rsidRDefault="008F3860">
      <w:pPr>
        <w:jc w:val="both"/>
        <w:rPr>
          <w:rFonts w:ascii="Verdana" w:hAnsi="Verdana"/>
          <w:sz w:val="20"/>
        </w:rPr>
      </w:pPr>
    </w:p>
    <w:p w:rsidR="008F3860" w:rsidRDefault="008F3860">
      <w:pPr>
        <w:jc w:val="both"/>
        <w:rPr>
          <w:rFonts w:ascii="Verdana" w:hAnsi="Verdana"/>
          <w:sz w:val="20"/>
        </w:rPr>
      </w:pPr>
    </w:p>
    <w:p w:rsidR="008F3860" w:rsidRDefault="008F3860">
      <w:pPr>
        <w:ind w:left="5760"/>
        <w:rPr>
          <w:rFonts w:ascii="Verdana" w:hAnsi="Verdana"/>
          <w:sz w:val="20"/>
        </w:rPr>
      </w:pPr>
      <w:r>
        <w:rPr>
          <w:rFonts w:ascii="Verdana" w:hAnsi="Verdana"/>
          <w:sz w:val="20"/>
        </w:rPr>
        <w:t xml:space="preserve">         Sergio García Ramírez</w:t>
      </w:r>
    </w:p>
    <w:p w:rsidR="008F3860" w:rsidRDefault="008F3860">
      <w:pPr>
        <w:tabs>
          <w:tab w:val="left" w:pos="4860"/>
        </w:tabs>
        <w:jc w:val="both"/>
        <w:rPr>
          <w:rFonts w:ascii="Verdana" w:hAnsi="Verdana"/>
          <w:sz w:val="20"/>
        </w:rPr>
      </w:pPr>
      <w:r>
        <w:rPr>
          <w:rFonts w:ascii="Verdana" w:hAnsi="Verdana"/>
          <w:sz w:val="20"/>
        </w:rPr>
        <w:t xml:space="preserve">                               </w:t>
      </w:r>
      <w:r>
        <w:rPr>
          <w:rFonts w:ascii="Verdana" w:hAnsi="Verdana"/>
          <w:sz w:val="20"/>
        </w:rPr>
        <w:tab/>
      </w:r>
      <w:r>
        <w:rPr>
          <w:rFonts w:ascii="Verdana" w:hAnsi="Verdana"/>
          <w:sz w:val="20"/>
        </w:rPr>
        <w:tab/>
      </w:r>
      <w:r>
        <w:rPr>
          <w:rFonts w:ascii="Verdana" w:hAnsi="Verdana"/>
          <w:sz w:val="20"/>
        </w:rPr>
        <w:tab/>
      </w:r>
      <w:r>
        <w:rPr>
          <w:rFonts w:ascii="Verdana" w:hAnsi="Verdana"/>
          <w:sz w:val="20"/>
        </w:rPr>
        <w:tab/>
        <w:t xml:space="preserve">       Presidente</w:t>
      </w:r>
    </w:p>
    <w:p w:rsidR="008F3860" w:rsidRDefault="008F3860">
      <w:pPr>
        <w:jc w:val="both"/>
        <w:rPr>
          <w:rFonts w:ascii="Verdana" w:hAnsi="Verdana"/>
          <w:sz w:val="20"/>
        </w:rPr>
      </w:pPr>
    </w:p>
    <w:p w:rsidR="008F3860" w:rsidRDefault="008F3860">
      <w:pPr>
        <w:jc w:val="both"/>
        <w:rPr>
          <w:rFonts w:ascii="Verdana" w:hAnsi="Verdana"/>
          <w:sz w:val="20"/>
        </w:rPr>
      </w:pPr>
    </w:p>
    <w:p w:rsidR="008F3860" w:rsidRDefault="008F3860">
      <w:pPr>
        <w:jc w:val="both"/>
        <w:rPr>
          <w:rFonts w:ascii="Verdana" w:hAnsi="Verdana"/>
          <w:sz w:val="20"/>
        </w:rPr>
      </w:pPr>
    </w:p>
    <w:p w:rsidR="008F3860" w:rsidRDefault="008F3860">
      <w:pPr>
        <w:jc w:val="both"/>
        <w:rPr>
          <w:rFonts w:ascii="Verdana" w:hAnsi="Verdana"/>
          <w:sz w:val="20"/>
        </w:rPr>
      </w:pPr>
    </w:p>
    <w:p w:rsidR="008F3860" w:rsidRDefault="008F3860">
      <w:pPr>
        <w:jc w:val="center"/>
        <w:rPr>
          <w:rFonts w:ascii="Verdana" w:hAnsi="Verdana"/>
          <w:sz w:val="20"/>
        </w:rPr>
      </w:pPr>
    </w:p>
    <w:p w:rsidR="008F3860" w:rsidRDefault="008F3860">
      <w:pPr>
        <w:rPr>
          <w:rFonts w:ascii="Verdana" w:hAnsi="Verdana"/>
          <w:sz w:val="20"/>
        </w:rPr>
      </w:pPr>
      <w:r>
        <w:rPr>
          <w:rFonts w:ascii="Verdana" w:hAnsi="Verdana"/>
          <w:sz w:val="20"/>
        </w:rPr>
        <w:t>Pablo Saavedra Alessandri</w:t>
      </w:r>
    </w:p>
    <w:p w:rsidR="008F3860" w:rsidRDefault="008F3860">
      <w:pPr>
        <w:rPr>
          <w:rFonts w:ascii="Verdana" w:hAnsi="Verdana"/>
          <w:sz w:val="20"/>
        </w:rPr>
      </w:pPr>
      <w:r>
        <w:rPr>
          <w:rFonts w:ascii="Verdana" w:hAnsi="Verdana"/>
          <w:sz w:val="20"/>
        </w:rPr>
        <w:t xml:space="preserve">         Secretario</w:t>
      </w:r>
    </w:p>
    <w:p w:rsidR="008F3860" w:rsidRPr="00740C0C" w:rsidRDefault="008F3860"/>
    <w:sectPr w:rsidR="008F3860" w:rsidRPr="00740C0C">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B0D" w:rsidRDefault="006A0B0D">
      <w:r>
        <w:separator/>
      </w:r>
    </w:p>
  </w:endnote>
  <w:endnote w:type="continuationSeparator" w:id="0">
    <w:p w:rsidR="006A0B0D" w:rsidRDefault="006A0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Bradley Hand ITC TT-Bold">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60" w:rsidRDefault="008F386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F3860" w:rsidRDefault="008F3860">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B0D" w:rsidRDefault="006A0B0D">
      <w:r>
        <w:separator/>
      </w:r>
    </w:p>
  </w:footnote>
  <w:footnote w:type="continuationSeparator" w:id="0">
    <w:p w:rsidR="006A0B0D" w:rsidRDefault="006A0B0D">
      <w:r>
        <w:continuationSeparator/>
      </w:r>
    </w:p>
  </w:footnote>
  <w:footnote w:id="1">
    <w:p w:rsidR="008F3860" w:rsidRDefault="008F3860">
      <w:pPr>
        <w:pStyle w:val="Textonotapie"/>
        <w:jc w:val="both"/>
      </w:pPr>
      <w:r w:rsidRPr="00DF1886">
        <w:rPr>
          <w:rStyle w:val="Refdenotaalpie"/>
        </w:rPr>
        <w:sym w:font="Symbol" w:char="F02A"/>
      </w:r>
      <w:r>
        <w:tab/>
      </w:r>
      <w:r w:rsidRPr="007A01F7">
        <w:rPr>
          <w:rFonts w:ascii="Verdana" w:hAnsi="Verdana"/>
          <w:sz w:val="16"/>
          <w:lang w:val="es-CO"/>
        </w:rPr>
        <w:t>El Juez Oliver Jackman no participó en la deliberación y firma de la presente Sentencia, ya que informó a la Corte que, por motivos de fuerza mayor, no podía participar en el LXXIII Período Ordinario de Sesiones del Tribunal</w:t>
      </w:r>
      <w:r w:rsidRPr="007A01F7">
        <w:rPr>
          <w:rFonts w:ascii="Verdana" w:hAnsi="Verdana"/>
          <w:sz w:val="16"/>
        </w:rPr>
        <w:t>.</w:t>
      </w:r>
    </w:p>
  </w:footnote>
  <w:footnote w:id="2">
    <w:p w:rsidR="008F3860" w:rsidRPr="00101E75" w:rsidRDefault="008F3860">
      <w:pPr>
        <w:jc w:val="both"/>
      </w:pPr>
      <w:r w:rsidRPr="001A33E9">
        <w:rPr>
          <w:rStyle w:val="Refdenotaalpie"/>
          <w:sz w:val="16"/>
        </w:rPr>
        <w:footnoteRef/>
      </w:r>
      <w:r w:rsidRPr="001A33E9">
        <w:tab/>
      </w:r>
      <w:r w:rsidRPr="00994008">
        <w:rPr>
          <w:rFonts w:ascii="Verdana" w:hAnsi="Verdana"/>
          <w:i/>
          <w:sz w:val="16"/>
        </w:rPr>
        <w:t>Cfr</w:t>
      </w:r>
      <w:r w:rsidRPr="00994008">
        <w:rPr>
          <w:rFonts w:ascii="Verdana" w:hAnsi="Verdana"/>
          <w:sz w:val="16"/>
        </w:rPr>
        <w:t xml:space="preserve">. </w:t>
      </w:r>
      <w:r w:rsidRPr="00994008">
        <w:rPr>
          <w:rFonts w:ascii="Verdana" w:hAnsi="Verdana"/>
          <w:i/>
          <w:sz w:val="16"/>
        </w:rPr>
        <w:t xml:space="preserve">Caso de la Comunidad Moiwana. Solicitud de Interpretación de la Sentencia sobre Fondo, Reparaciones y Costas. </w:t>
      </w:r>
      <w:r w:rsidRPr="00101E75">
        <w:rPr>
          <w:rFonts w:ascii="Verdana" w:hAnsi="Verdana"/>
          <w:sz w:val="16"/>
        </w:rPr>
        <w:t>(art. 67 Convención Americana sobre Derechos Humanos). Sentencia de 8 de febrero de 2006. Serie C No. 145,</w:t>
      </w:r>
      <w:r w:rsidRPr="00994008">
        <w:rPr>
          <w:rFonts w:ascii="Verdana" w:hAnsi="Verdana"/>
          <w:sz w:val="16"/>
        </w:rPr>
        <w:t xml:space="preserve"> párr. 14; </w:t>
      </w:r>
      <w:r w:rsidRPr="00994008">
        <w:rPr>
          <w:rFonts w:ascii="Verdana" w:hAnsi="Verdana"/>
          <w:i/>
          <w:sz w:val="16"/>
        </w:rPr>
        <w:t>Caso Raxcacó Reyes. Solicitud de Interpretación de la Sentencia sobre</w:t>
      </w:r>
      <w:r w:rsidRPr="00994008">
        <w:rPr>
          <w:rFonts w:ascii="Verdana" w:hAnsi="Verdana"/>
          <w:sz w:val="16"/>
        </w:rPr>
        <w:t xml:space="preserve"> </w:t>
      </w:r>
      <w:r w:rsidRPr="00994008">
        <w:rPr>
          <w:rFonts w:ascii="Verdana" w:hAnsi="Verdana"/>
          <w:i/>
          <w:sz w:val="16"/>
        </w:rPr>
        <w:t>Fondo, Reparaciones y Costas</w:t>
      </w:r>
      <w:r w:rsidRPr="00101E75">
        <w:rPr>
          <w:rFonts w:ascii="Verdana" w:hAnsi="Verdana"/>
          <w:sz w:val="16"/>
        </w:rPr>
        <w:t>. (art. 67 Convención Americana sobre Derechos Humanos). Sentencia de 6 de febrero de 2006. Serie C No. 143,</w:t>
      </w:r>
      <w:r w:rsidRPr="00994008">
        <w:rPr>
          <w:rFonts w:ascii="Verdana" w:hAnsi="Verdana"/>
          <w:sz w:val="16"/>
        </w:rPr>
        <w:t xml:space="preserve"> párr. 15; y </w:t>
      </w:r>
      <w:r w:rsidRPr="00994008">
        <w:rPr>
          <w:rFonts w:ascii="Verdana" w:hAnsi="Verdana"/>
          <w:i/>
          <w:sz w:val="16"/>
        </w:rPr>
        <w:t xml:space="preserve">Caso Comunidad Indígena Yakye Axa. Solicitud de Interpretación de la Sentencia sobre Fondo, Reparaciones y Costas. </w:t>
      </w:r>
      <w:r w:rsidRPr="00101E75">
        <w:rPr>
          <w:rFonts w:ascii="Verdana" w:hAnsi="Verdana"/>
          <w:sz w:val="16"/>
        </w:rPr>
        <w:t>(art. 67 Convención Americana sobre Derechos Humanos). Sentencia de 6 de febrero de 2006. Serie C No. 142, párr. 15.</w:t>
      </w:r>
    </w:p>
    <w:p w:rsidR="008F3860" w:rsidRPr="00101E75" w:rsidRDefault="008F3860">
      <w:pPr>
        <w:pStyle w:val="Textonotapie"/>
        <w:jc w:val="both"/>
        <w:rPr>
          <w:rFonts w:ascii="Verdana" w:hAnsi="Verdana"/>
          <w:sz w:val="16"/>
          <w:lang w:val="es-ES"/>
        </w:rPr>
      </w:pPr>
    </w:p>
  </w:footnote>
  <w:footnote w:id="3">
    <w:p w:rsidR="008F3860" w:rsidRPr="001A33E9" w:rsidRDefault="008F3860">
      <w:pPr>
        <w:pStyle w:val="Textonotapie"/>
        <w:jc w:val="both"/>
        <w:rPr>
          <w:rFonts w:ascii="Verdana" w:hAnsi="Verdana"/>
          <w:sz w:val="16"/>
        </w:rPr>
      </w:pPr>
      <w:r w:rsidRPr="00994008">
        <w:rPr>
          <w:rStyle w:val="Refdenotaalpie"/>
          <w:sz w:val="16"/>
        </w:rPr>
        <w:footnoteRef/>
      </w:r>
      <w:r w:rsidRPr="00994008">
        <w:t xml:space="preserve"> </w:t>
      </w:r>
      <w:r w:rsidRPr="00994008">
        <w:tab/>
      </w:r>
      <w:r w:rsidRPr="00994008">
        <w:rPr>
          <w:rFonts w:ascii="Verdana" w:hAnsi="Verdana"/>
          <w:i/>
          <w:sz w:val="16"/>
        </w:rPr>
        <w:t>Cfr. Caso de la Comunidad Moiwana</w:t>
      </w:r>
      <w:r w:rsidRPr="00994008">
        <w:rPr>
          <w:rFonts w:ascii="Verdana" w:hAnsi="Verdana"/>
          <w:sz w:val="16"/>
        </w:rPr>
        <w:t xml:space="preserve">. </w:t>
      </w:r>
      <w:r w:rsidRPr="00994008">
        <w:rPr>
          <w:rFonts w:ascii="Verdana" w:hAnsi="Verdana"/>
          <w:i/>
          <w:sz w:val="16"/>
        </w:rPr>
        <w:t>Solicitud de</w:t>
      </w:r>
      <w:r w:rsidRPr="00994008">
        <w:rPr>
          <w:rFonts w:ascii="Verdana" w:hAnsi="Verdana"/>
          <w:sz w:val="16"/>
        </w:rPr>
        <w:t xml:space="preserve"> </w:t>
      </w:r>
      <w:r w:rsidRPr="00994008">
        <w:rPr>
          <w:rFonts w:ascii="Verdana" w:hAnsi="Verdana"/>
          <w:i/>
          <w:sz w:val="16"/>
        </w:rPr>
        <w:t xml:space="preserve">Interpretación de la Sentencia sobre Fondo, Reparaciones y Costas, supra </w:t>
      </w:r>
      <w:r w:rsidRPr="00994008">
        <w:rPr>
          <w:rFonts w:ascii="Verdana" w:hAnsi="Verdana"/>
          <w:sz w:val="16"/>
        </w:rPr>
        <w:t>nota 1</w:t>
      </w:r>
      <w:r w:rsidRPr="00994008">
        <w:rPr>
          <w:rFonts w:ascii="Verdana" w:hAnsi="Verdana"/>
          <w:i/>
          <w:sz w:val="16"/>
        </w:rPr>
        <w:t xml:space="preserve">, </w:t>
      </w:r>
      <w:r w:rsidRPr="00994008">
        <w:rPr>
          <w:rFonts w:ascii="Verdana" w:hAnsi="Verdana"/>
          <w:sz w:val="16"/>
        </w:rPr>
        <w:t>párr. 15;</w:t>
      </w:r>
      <w:r w:rsidRPr="00994008">
        <w:rPr>
          <w:rFonts w:ascii="Verdana" w:hAnsi="Verdana"/>
          <w:i/>
          <w:sz w:val="16"/>
        </w:rPr>
        <w:t xml:space="preserve"> Caso Raxcacó Reyes</w:t>
      </w:r>
      <w:r w:rsidRPr="00994008">
        <w:rPr>
          <w:rFonts w:ascii="Verdana" w:hAnsi="Verdana"/>
          <w:sz w:val="16"/>
        </w:rPr>
        <w:t xml:space="preserve">. </w:t>
      </w:r>
      <w:r w:rsidRPr="00994008">
        <w:rPr>
          <w:rFonts w:ascii="Verdana" w:hAnsi="Verdana"/>
          <w:i/>
          <w:sz w:val="16"/>
        </w:rPr>
        <w:t>Solicitud de</w:t>
      </w:r>
      <w:r w:rsidRPr="00994008">
        <w:rPr>
          <w:rFonts w:ascii="Verdana" w:hAnsi="Verdana"/>
          <w:sz w:val="16"/>
        </w:rPr>
        <w:t xml:space="preserve"> </w:t>
      </w:r>
      <w:r w:rsidRPr="00994008">
        <w:rPr>
          <w:rFonts w:ascii="Verdana" w:hAnsi="Verdana"/>
          <w:i/>
          <w:sz w:val="16"/>
        </w:rPr>
        <w:t>Interpretación de la Sentencia sobre Fondo, Reparaciones y Costas</w:t>
      </w:r>
      <w:r w:rsidRPr="00994008">
        <w:rPr>
          <w:rFonts w:ascii="Verdana" w:hAnsi="Verdana"/>
          <w:sz w:val="16"/>
        </w:rPr>
        <w:t xml:space="preserve">, </w:t>
      </w:r>
      <w:r w:rsidRPr="00994008">
        <w:rPr>
          <w:rFonts w:ascii="Verdana" w:hAnsi="Verdana"/>
          <w:i/>
          <w:sz w:val="16"/>
        </w:rPr>
        <w:t xml:space="preserve">supra </w:t>
      </w:r>
      <w:r w:rsidRPr="00994008">
        <w:rPr>
          <w:rFonts w:ascii="Verdana" w:hAnsi="Verdana"/>
          <w:sz w:val="16"/>
        </w:rPr>
        <w:t>nota 1</w:t>
      </w:r>
      <w:r w:rsidRPr="00994008">
        <w:rPr>
          <w:rFonts w:ascii="Verdana" w:hAnsi="Verdana"/>
          <w:i/>
          <w:sz w:val="16"/>
        </w:rPr>
        <w:t>,</w:t>
      </w:r>
      <w:r w:rsidRPr="00994008">
        <w:rPr>
          <w:rFonts w:ascii="Verdana" w:hAnsi="Verdana"/>
          <w:sz w:val="16"/>
        </w:rPr>
        <w:t xml:space="preserve"> párr. 16; y</w:t>
      </w:r>
      <w:r w:rsidRPr="00994008">
        <w:rPr>
          <w:rFonts w:ascii="Verdana" w:hAnsi="Verdana"/>
          <w:sz w:val="20"/>
        </w:rPr>
        <w:t xml:space="preserve"> </w:t>
      </w:r>
      <w:r w:rsidRPr="00994008">
        <w:rPr>
          <w:rFonts w:ascii="Verdana" w:hAnsi="Verdana"/>
          <w:i/>
          <w:sz w:val="16"/>
        </w:rPr>
        <w:t>Caso Comunidad Indígena Yakye Axa</w:t>
      </w:r>
      <w:r w:rsidRPr="00994008">
        <w:rPr>
          <w:rFonts w:ascii="Verdana" w:hAnsi="Verdana"/>
          <w:sz w:val="16"/>
        </w:rPr>
        <w:t xml:space="preserve">. </w:t>
      </w:r>
      <w:r w:rsidRPr="00994008">
        <w:rPr>
          <w:rFonts w:ascii="Verdana" w:hAnsi="Verdana"/>
          <w:i/>
          <w:sz w:val="16"/>
        </w:rPr>
        <w:t>Solicitud de</w:t>
      </w:r>
      <w:r w:rsidRPr="00994008">
        <w:rPr>
          <w:rFonts w:ascii="Verdana" w:hAnsi="Verdana"/>
          <w:sz w:val="16"/>
        </w:rPr>
        <w:t xml:space="preserve"> </w:t>
      </w:r>
      <w:r w:rsidRPr="00994008">
        <w:rPr>
          <w:rFonts w:ascii="Verdana" w:hAnsi="Verdana"/>
          <w:i/>
          <w:sz w:val="16"/>
        </w:rPr>
        <w:t xml:space="preserve">Interpretación de la Sentencia sobre Fondo, Reparaciones y Costas, supra </w:t>
      </w:r>
      <w:r w:rsidRPr="00994008">
        <w:rPr>
          <w:rFonts w:ascii="Verdana" w:hAnsi="Verdana"/>
          <w:sz w:val="16"/>
        </w:rPr>
        <w:t>nota 1</w:t>
      </w:r>
      <w:r w:rsidRPr="00994008">
        <w:rPr>
          <w:rFonts w:ascii="Verdana" w:hAnsi="Verdana"/>
          <w:i/>
          <w:sz w:val="16"/>
        </w:rPr>
        <w:t xml:space="preserve">, </w:t>
      </w:r>
      <w:r w:rsidRPr="00994008">
        <w:rPr>
          <w:rFonts w:ascii="Verdana" w:hAnsi="Verdana"/>
          <w:sz w:val="16"/>
        </w:rPr>
        <w:t>párr. 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60" w:rsidRDefault="008F3860">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8F3860" w:rsidRDefault="008F386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60" w:rsidRPr="00F00F13" w:rsidRDefault="008F3860">
    <w:pPr>
      <w:pStyle w:val="Encabezado"/>
      <w:framePr w:wrap="around" w:vAnchor="text" w:hAnchor="margin" w:xAlign="center" w:y="1"/>
      <w:rPr>
        <w:rStyle w:val="Nmerodepgina"/>
        <w:rFonts w:ascii="Verdana" w:hAnsi="Verdana"/>
        <w:sz w:val="20"/>
      </w:rPr>
    </w:pPr>
    <w:r>
      <w:rPr>
        <w:rStyle w:val="Nmerodepgina"/>
        <w:rFonts w:ascii="Verdana" w:hAnsi="Verdana"/>
        <w:sz w:val="20"/>
      </w:rPr>
      <w:fldChar w:fldCharType="begin"/>
    </w:r>
    <w:r>
      <w:rPr>
        <w:rStyle w:val="Nmerodepgina"/>
        <w:rFonts w:ascii="Verdana" w:hAnsi="Verdana"/>
        <w:sz w:val="20"/>
      </w:rPr>
      <w:instrText xml:space="preserve">PAGE  </w:instrText>
    </w:r>
    <w:r>
      <w:rPr>
        <w:rStyle w:val="Nmerodepgina"/>
        <w:rFonts w:ascii="Verdana" w:hAnsi="Verdana"/>
        <w:sz w:val="20"/>
      </w:rPr>
      <w:fldChar w:fldCharType="separate"/>
    </w:r>
    <w:r w:rsidR="00C175DB">
      <w:rPr>
        <w:rStyle w:val="Nmerodepgina"/>
        <w:rFonts w:ascii="Verdana" w:hAnsi="Verdana"/>
        <w:noProof/>
        <w:sz w:val="20"/>
      </w:rPr>
      <w:t>8</w:t>
    </w:r>
    <w:r>
      <w:rPr>
        <w:rStyle w:val="Nmerodepgina"/>
        <w:rFonts w:ascii="Verdana" w:hAnsi="Verdana"/>
        <w:sz w:val="20"/>
      </w:rPr>
      <w:fldChar w:fldCharType="end"/>
    </w:r>
  </w:p>
  <w:p w:rsidR="008F3860" w:rsidRPr="00F00F13" w:rsidRDefault="008F3860">
    <w:pPr>
      <w:pStyle w:val="Encabezado"/>
      <w:rPr>
        <w:rFonts w:ascii="Verdana" w:hAnsi="Verdana"/>
        <w:i/>
        <w:sz w:val="16"/>
      </w:rPr>
    </w:pPr>
    <w:r w:rsidRPr="00F00F13">
      <w:rPr>
        <w:rFonts w:ascii="Verdana" w:hAnsi="Verdana"/>
        <w:i/>
        <w:sz w:val="16"/>
      </w:rPr>
      <w:tab/>
    </w:r>
  </w:p>
  <w:p w:rsidR="008F3860" w:rsidRPr="00F00F13" w:rsidRDefault="008F3860">
    <w:pPr>
      <w:pStyle w:val="Encabezado"/>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27EC"/>
    <w:multiLevelType w:val="hybridMultilevel"/>
    <w:tmpl w:val="CDFA9E40"/>
    <w:lvl w:ilvl="0" w:tplc="4B78FC44">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192F5B26"/>
    <w:multiLevelType w:val="hybridMultilevel"/>
    <w:tmpl w:val="920C634E"/>
    <w:lvl w:ilvl="0" w:tplc="88403C8E">
      <w:start w:val="1"/>
      <w:numFmt w:val="bullet"/>
      <w:lvlText w:val="-"/>
      <w:lvlJc w:val="left"/>
      <w:pPr>
        <w:tabs>
          <w:tab w:val="num" w:pos="2340"/>
        </w:tabs>
        <w:ind w:left="2340" w:hanging="360"/>
      </w:pPr>
      <w:rPr>
        <w:rFonts w:ascii="Times New Roman" w:eastAsia="Times New Roman" w:hAnsi="Times New Roman" w:hint="default"/>
      </w:rPr>
    </w:lvl>
    <w:lvl w:ilvl="1" w:tplc="00030409" w:tentative="1">
      <w:start w:val="1"/>
      <w:numFmt w:val="bullet"/>
      <w:lvlText w:val="o"/>
      <w:lvlJc w:val="left"/>
      <w:pPr>
        <w:tabs>
          <w:tab w:val="num" w:pos="3060"/>
        </w:tabs>
        <w:ind w:left="3060" w:hanging="360"/>
      </w:pPr>
      <w:rPr>
        <w:rFonts w:ascii="Courier New" w:hAnsi="Courier New" w:hint="default"/>
      </w:rPr>
    </w:lvl>
    <w:lvl w:ilvl="2" w:tplc="00050409" w:tentative="1">
      <w:start w:val="1"/>
      <w:numFmt w:val="bullet"/>
      <w:lvlText w:val=""/>
      <w:lvlJc w:val="left"/>
      <w:pPr>
        <w:tabs>
          <w:tab w:val="num" w:pos="3780"/>
        </w:tabs>
        <w:ind w:left="3780" w:hanging="360"/>
      </w:pPr>
      <w:rPr>
        <w:rFonts w:ascii="Wingdings" w:hAnsi="Wingdings" w:hint="default"/>
      </w:rPr>
    </w:lvl>
    <w:lvl w:ilvl="3" w:tplc="00010409" w:tentative="1">
      <w:start w:val="1"/>
      <w:numFmt w:val="bullet"/>
      <w:lvlText w:val=""/>
      <w:lvlJc w:val="left"/>
      <w:pPr>
        <w:tabs>
          <w:tab w:val="num" w:pos="4500"/>
        </w:tabs>
        <w:ind w:left="4500" w:hanging="360"/>
      </w:pPr>
      <w:rPr>
        <w:rFonts w:ascii="Symbol" w:hAnsi="Symbol" w:hint="default"/>
      </w:rPr>
    </w:lvl>
    <w:lvl w:ilvl="4" w:tplc="00030409" w:tentative="1">
      <w:start w:val="1"/>
      <w:numFmt w:val="bullet"/>
      <w:lvlText w:val="o"/>
      <w:lvlJc w:val="left"/>
      <w:pPr>
        <w:tabs>
          <w:tab w:val="num" w:pos="5220"/>
        </w:tabs>
        <w:ind w:left="5220" w:hanging="360"/>
      </w:pPr>
      <w:rPr>
        <w:rFonts w:ascii="Courier New" w:hAnsi="Courier New" w:hint="default"/>
      </w:rPr>
    </w:lvl>
    <w:lvl w:ilvl="5" w:tplc="00050409" w:tentative="1">
      <w:start w:val="1"/>
      <w:numFmt w:val="bullet"/>
      <w:lvlText w:val=""/>
      <w:lvlJc w:val="left"/>
      <w:pPr>
        <w:tabs>
          <w:tab w:val="num" w:pos="5940"/>
        </w:tabs>
        <w:ind w:left="5940" w:hanging="360"/>
      </w:pPr>
      <w:rPr>
        <w:rFonts w:ascii="Wingdings" w:hAnsi="Wingdings" w:hint="default"/>
      </w:rPr>
    </w:lvl>
    <w:lvl w:ilvl="6" w:tplc="00010409" w:tentative="1">
      <w:start w:val="1"/>
      <w:numFmt w:val="bullet"/>
      <w:lvlText w:val=""/>
      <w:lvlJc w:val="left"/>
      <w:pPr>
        <w:tabs>
          <w:tab w:val="num" w:pos="6660"/>
        </w:tabs>
        <w:ind w:left="6660" w:hanging="360"/>
      </w:pPr>
      <w:rPr>
        <w:rFonts w:ascii="Symbol" w:hAnsi="Symbol" w:hint="default"/>
      </w:rPr>
    </w:lvl>
    <w:lvl w:ilvl="7" w:tplc="00030409" w:tentative="1">
      <w:start w:val="1"/>
      <w:numFmt w:val="bullet"/>
      <w:lvlText w:val="o"/>
      <w:lvlJc w:val="left"/>
      <w:pPr>
        <w:tabs>
          <w:tab w:val="num" w:pos="7380"/>
        </w:tabs>
        <w:ind w:left="7380" w:hanging="360"/>
      </w:pPr>
      <w:rPr>
        <w:rFonts w:ascii="Courier New" w:hAnsi="Courier New" w:hint="default"/>
      </w:rPr>
    </w:lvl>
    <w:lvl w:ilvl="8" w:tplc="00050409" w:tentative="1">
      <w:start w:val="1"/>
      <w:numFmt w:val="bullet"/>
      <w:lvlText w:val=""/>
      <w:lvlJc w:val="left"/>
      <w:pPr>
        <w:tabs>
          <w:tab w:val="num" w:pos="8100"/>
        </w:tabs>
        <w:ind w:left="8100" w:hanging="360"/>
      </w:pPr>
      <w:rPr>
        <w:rFonts w:ascii="Wingdings" w:hAnsi="Wingdings" w:hint="default"/>
      </w:rPr>
    </w:lvl>
  </w:abstractNum>
  <w:abstractNum w:abstractNumId="2">
    <w:nsid w:val="1CCA1C03"/>
    <w:multiLevelType w:val="hybridMultilevel"/>
    <w:tmpl w:val="EC562946"/>
    <w:lvl w:ilvl="0" w:tplc="85404F60">
      <w:start w:val="1"/>
      <w:numFmt w:val="lowerRoman"/>
      <w:lvlText w:val="%1."/>
      <w:lvlJc w:val="left"/>
      <w:pPr>
        <w:tabs>
          <w:tab w:val="num" w:pos="1080"/>
        </w:tabs>
        <w:ind w:left="1080" w:hanging="720"/>
      </w:pPr>
      <w:rPr>
        <w:rFonts w:hint="default"/>
      </w:rPr>
    </w:lvl>
    <w:lvl w:ilvl="1" w:tplc="EBE8DF8E">
      <w:start w:val="1"/>
      <w:numFmt w:val="lowerRoman"/>
      <w:lvlText w:val="%2."/>
      <w:lvlJc w:val="left"/>
      <w:pPr>
        <w:tabs>
          <w:tab w:val="num" w:pos="1800"/>
        </w:tabs>
        <w:ind w:left="1800" w:hanging="72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243667DA"/>
    <w:multiLevelType w:val="hybridMultilevel"/>
    <w:tmpl w:val="E28CB682"/>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
    <w:nsid w:val="25450FBE"/>
    <w:multiLevelType w:val="hybridMultilevel"/>
    <w:tmpl w:val="C714C9C8"/>
    <w:lvl w:ilvl="0" w:tplc="41E85848">
      <w:start w:val="1"/>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27495406"/>
    <w:multiLevelType w:val="hybridMultilevel"/>
    <w:tmpl w:val="09544C82"/>
    <w:lvl w:ilvl="0" w:tplc="B938E946">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29735F44"/>
    <w:multiLevelType w:val="hybridMultilevel"/>
    <w:tmpl w:val="38EC21EC"/>
    <w:lvl w:ilvl="0" w:tplc="00170409">
      <w:start w:val="1"/>
      <w:numFmt w:val="lowerLetter"/>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2BB750D4"/>
    <w:multiLevelType w:val="hybridMultilevel"/>
    <w:tmpl w:val="9B1AAE56"/>
    <w:lvl w:ilvl="0" w:tplc="FFFFFFFF">
      <w:start w:val="1"/>
      <w:numFmt w:val="upperLetter"/>
      <w:pStyle w:val="Ttulo9"/>
      <w:lvlText w:val="%1)"/>
      <w:lvlJc w:val="left"/>
      <w:pPr>
        <w:tabs>
          <w:tab w:val="num" w:pos="1080"/>
        </w:tabs>
        <w:ind w:left="1080" w:hanging="360"/>
      </w:pPr>
      <w:rPr>
        <w:rFonts w:ascii="Garamond" w:hAnsi="Garamond" w:hint="default"/>
        <w:b w:val="0"/>
        <w:i/>
        <w:sz w:val="24"/>
      </w:rPr>
    </w:lvl>
    <w:lvl w:ilvl="1" w:tplc="FFFFFFFF">
      <w:numFmt w:val="none"/>
      <w:lvlText w:val=""/>
      <w:lvlJc w:val="left"/>
      <w:pPr>
        <w:tabs>
          <w:tab w:val="num" w:pos="360"/>
        </w:tabs>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nsid w:val="34B134BC"/>
    <w:multiLevelType w:val="hybridMultilevel"/>
    <w:tmpl w:val="5DF633D8"/>
    <w:lvl w:ilvl="0" w:tplc="2024360E">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35AB230F"/>
    <w:multiLevelType w:val="hybridMultilevel"/>
    <w:tmpl w:val="BF106894"/>
    <w:lvl w:ilvl="0" w:tplc="80265CEE">
      <w:start w:val="205"/>
      <w:numFmt w:val="decimal"/>
      <w:lvlText w:val="%1."/>
      <w:lvlJc w:val="left"/>
      <w:pPr>
        <w:tabs>
          <w:tab w:val="num" w:pos="0"/>
        </w:tabs>
        <w:ind w:left="0" w:firstLine="0"/>
      </w:pPr>
      <w:rPr>
        <w:rFonts w:hint="default"/>
        <w:i w:val="0"/>
        <w:u w:val="none"/>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39BD4F17"/>
    <w:multiLevelType w:val="hybridMultilevel"/>
    <w:tmpl w:val="18143AF0"/>
    <w:lvl w:ilvl="0" w:tplc="B47869EA">
      <w:start w:val="1"/>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3D482BA8"/>
    <w:multiLevelType w:val="hybridMultilevel"/>
    <w:tmpl w:val="4802CAE6"/>
    <w:lvl w:ilvl="0" w:tplc="DC2CD66E">
      <w:start w:val="2"/>
      <w:numFmt w:val="lowerRoman"/>
      <w:lvlText w:val="%1."/>
      <w:lvlJc w:val="left"/>
      <w:pPr>
        <w:tabs>
          <w:tab w:val="num" w:pos="2520"/>
        </w:tabs>
        <w:ind w:left="2520" w:hanging="720"/>
      </w:pPr>
      <w:rPr>
        <w:rFonts w:hint="default"/>
      </w:rPr>
    </w:lvl>
    <w:lvl w:ilvl="1" w:tplc="BE685016">
      <w:start w:val="1"/>
      <w:numFmt w:val="lowerLetter"/>
      <w:lvlText w:val="%2)"/>
      <w:lvlJc w:val="left"/>
      <w:pPr>
        <w:tabs>
          <w:tab w:val="num" w:pos="2880"/>
        </w:tabs>
        <w:ind w:left="2880" w:hanging="360"/>
      </w:pPr>
      <w:rPr>
        <w:rFonts w:hint="default"/>
      </w:rPr>
    </w:lvl>
    <w:lvl w:ilvl="2" w:tplc="001B0409" w:tentative="1">
      <w:start w:val="1"/>
      <w:numFmt w:val="lowerRoman"/>
      <w:lvlText w:val="%3."/>
      <w:lvlJc w:val="right"/>
      <w:pPr>
        <w:tabs>
          <w:tab w:val="num" w:pos="3600"/>
        </w:tabs>
        <w:ind w:left="3600" w:hanging="180"/>
      </w:pPr>
    </w:lvl>
    <w:lvl w:ilvl="3" w:tplc="000F0409" w:tentative="1">
      <w:start w:val="1"/>
      <w:numFmt w:val="decimal"/>
      <w:lvlText w:val="%4."/>
      <w:lvlJc w:val="left"/>
      <w:pPr>
        <w:tabs>
          <w:tab w:val="num" w:pos="4320"/>
        </w:tabs>
        <w:ind w:left="4320" w:hanging="360"/>
      </w:pPr>
    </w:lvl>
    <w:lvl w:ilvl="4" w:tplc="00190409" w:tentative="1">
      <w:start w:val="1"/>
      <w:numFmt w:val="lowerLetter"/>
      <w:lvlText w:val="%5."/>
      <w:lvlJc w:val="left"/>
      <w:pPr>
        <w:tabs>
          <w:tab w:val="num" w:pos="5040"/>
        </w:tabs>
        <w:ind w:left="5040" w:hanging="360"/>
      </w:pPr>
    </w:lvl>
    <w:lvl w:ilvl="5" w:tplc="001B0409" w:tentative="1">
      <w:start w:val="1"/>
      <w:numFmt w:val="lowerRoman"/>
      <w:lvlText w:val="%6."/>
      <w:lvlJc w:val="right"/>
      <w:pPr>
        <w:tabs>
          <w:tab w:val="num" w:pos="5760"/>
        </w:tabs>
        <w:ind w:left="5760" w:hanging="180"/>
      </w:pPr>
    </w:lvl>
    <w:lvl w:ilvl="6" w:tplc="000F0409" w:tentative="1">
      <w:start w:val="1"/>
      <w:numFmt w:val="decimal"/>
      <w:lvlText w:val="%7."/>
      <w:lvlJc w:val="left"/>
      <w:pPr>
        <w:tabs>
          <w:tab w:val="num" w:pos="6480"/>
        </w:tabs>
        <w:ind w:left="6480" w:hanging="360"/>
      </w:pPr>
    </w:lvl>
    <w:lvl w:ilvl="7" w:tplc="00190409" w:tentative="1">
      <w:start w:val="1"/>
      <w:numFmt w:val="lowerLetter"/>
      <w:lvlText w:val="%8."/>
      <w:lvlJc w:val="left"/>
      <w:pPr>
        <w:tabs>
          <w:tab w:val="num" w:pos="7200"/>
        </w:tabs>
        <w:ind w:left="7200" w:hanging="360"/>
      </w:pPr>
    </w:lvl>
    <w:lvl w:ilvl="8" w:tplc="001B0409" w:tentative="1">
      <w:start w:val="1"/>
      <w:numFmt w:val="lowerRoman"/>
      <w:lvlText w:val="%9."/>
      <w:lvlJc w:val="right"/>
      <w:pPr>
        <w:tabs>
          <w:tab w:val="num" w:pos="7920"/>
        </w:tabs>
        <w:ind w:left="7920" w:hanging="180"/>
      </w:pPr>
    </w:lvl>
  </w:abstractNum>
  <w:abstractNum w:abstractNumId="12">
    <w:nsid w:val="40844874"/>
    <w:multiLevelType w:val="hybridMultilevel"/>
    <w:tmpl w:val="5ACA65F2"/>
    <w:lvl w:ilvl="0" w:tplc="13805D76">
      <w:start w:val="1"/>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nsid w:val="40DF73E1"/>
    <w:multiLevelType w:val="hybridMultilevel"/>
    <w:tmpl w:val="27EAA444"/>
    <w:lvl w:ilvl="0" w:tplc="BB48BF8A">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45F03DE6"/>
    <w:multiLevelType w:val="hybridMultilevel"/>
    <w:tmpl w:val="27ECF62A"/>
    <w:lvl w:ilvl="0" w:tplc="A67A02A4">
      <w:start w:val="1"/>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48C14826"/>
    <w:multiLevelType w:val="hybridMultilevel"/>
    <w:tmpl w:val="BE08B9A0"/>
    <w:lvl w:ilvl="0" w:tplc="70827AC6">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4A347D17"/>
    <w:multiLevelType w:val="hybridMultilevel"/>
    <w:tmpl w:val="AB44FBC6"/>
    <w:lvl w:ilvl="0" w:tplc="9884E7D0">
      <w:start w:val="1"/>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6371394A"/>
    <w:multiLevelType w:val="hybridMultilevel"/>
    <w:tmpl w:val="3B661176"/>
    <w:lvl w:ilvl="0" w:tplc="C4B025FE">
      <w:start w:val="1"/>
      <w:numFmt w:val="lowerRoman"/>
      <w:lvlText w:val="%1."/>
      <w:lvlJc w:val="left"/>
      <w:pPr>
        <w:tabs>
          <w:tab w:val="num" w:pos="1080"/>
        </w:tabs>
        <w:ind w:left="1080" w:hanging="72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64A67506"/>
    <w:multiLevelType w:val="hybridMultilevel"/>
    <w:tmpl w:val="EDA8FDAA"/>
    <w:lvl w:ilvl="0" w:tplc="814EE11C">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6FA845A1"/>
    <w:multiLevelType w:val="hybridMultilevel"/>
    <w:tmpl w:val="1EC6FFDE"/>
    <w:lvl w:ilvl="0" w:tplc="5F749478">
      <w:start w:val="66"/>
      <w:numFmt w:val="decimal"/>
      <w:lvlText w:val="%1."/>
      <w:lvlJc w:val="left"/>
      <w:pPr>
        <w:tabs>
          <w:tab w:val="num" w:pos="0"/>
        </w:tabs>
        <w:ind w:left="0" w:firstLine="0"/>
      </w:pPr>
      <w:rPr>
        <w:rFonts w:hint="default"/>
        <w:b w:val="0"/>
        <w:i w:val="0"/>
        <w:color w:val="auto"/>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723E15FA"/>
    <w:multiLevelType w:val="hybridMultilevel"/>
    <w:tmpl w:val="459A839C"/>
    <w:lvl w:ilvl="0" w:tplc="FA064504">
      <w:start w:val="9"/>
      <w:numFmt w:val="lowerLetter"/>
      <w:lvlText w:val="%1."/>
      <w:lvlJc w:val="left"/>
      <w:pPr>
        <w:tabs>
          <w:tab w:val="num" w:pos="2520"/>
        </w:tabs>
        <w:ind w:left="2520" w:hanging="360"/>
      </w:pPr>
      <w:rPr>
        <w:rFonts w:hint="default"/>
      </w:rPr>
    </w:lvl>
    <w:lvl w:ilvl="1" w:tplc="00190409" w:tentative="1">
      <w:start w:val="1"/>
      <w:numFmt w:val="lowerLetter"/>
      <w:lvlText w:val="%2."/>
      <w:lvlJc w:val="left"/>
      <w:pPr>
        <w:tabs>
          <w:tab w:val="num" w:pos="3240"/>
        </w:tabs>
        <w:ind w:left="3240" w:hanging="360"/>
      </w:p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21">
    <w:nsid w:val="79515887"/>
    <w:multiLevelType w:val="hybridMultilevel"/>
    <w:tmpl w:val="C1623CE4"/>
    <w:lvl w:ilvl="0" w:tplc="7994E42E">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7"/>
  </w:num>
  <w:num w:numId="2">
    <w:abstractNumId w:val="19"/>
  </w:num>
  <w:num w:numId="3">
    <w:abstractNumId w:val="9"/>
  </w:num>
  <w:num w:numId="4">
    <w:abstractNumId w:val="4"/>
  </w:num>
  <w:num w:numId="5">
    <w:abstractNumId w:val="16"/>
  </w:num>
  <w:num w:numId="6">
    <w:abstractNumId w:val="14"/>
  </w:num>
  <w:num w:numId="7">
    <w:abstractNumId w:val="10"/>
  </w:num>
  <w:num w:numId="8">
    <w:abstractNumId w:val="12"/>
  </w:num>
  <w:num w:numId="9">
    <w:abstractNumId w:val="18"/>
  </w:num>
  <w:num w:numId="10">
    <w:abstractNumId w:val="21"/>
  </w:num>
  <w:num w:numId="11">
    <w:abstractNumId w:val="5"/>
  </w:num>
  <w:num w:numId="12">
    <w:abstractNumId w:val="15"/>
  </w:num>
  <w:num w:numId="13">
    <w:abstractNumId w:val="0"/>
  </w:num>
  <w:num w:numId="14">
    <w:abstractNumId w:val="13"/>
  </w:num>
  <w:num w:numId="15">
    <w:abstractNumId w:val="8"/>
  </w:num>
  <w:num w:numId="16">
    <w:abstractNumId w:val="2"/>
  </w:num>
  <w:num w:numId="17">
    <w:abstractNumId w:val="3"/>
  </w:num>
  <w:num w:numId="18">
    <w:abstractNumId w:val="17"/>
  </w:num>
  <w:num w:numId="19">
    <w:abstractNumId w:val="11"/>
  </w:num>
  <w:num w:numId="20">
    <w:abstractNumId w:val="6"/>
  </w:num>
  <w:num w:numId="21">
    <w:abstractNumId w:val="2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6E63"/>
    <w:rsid w:val="006A0B0D"/>
    <w:rsid w:val="008468F9"/>
    <w:rsid w:val="008F3860"/>
    <w:rsid w:val="00AF6E63"/>
    <w:rsid w:val="00C175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312F"/>
    <w:rPr>
      <w:sz w:val="24"/>
      <w:szCs w:val="24"/>
      <w:lang w:val="es-ES" w:eastAsia="es-ES"/>
    </w:rPr>
  </w:style>
  <w:style w:type="paragraph" w:styleId="Ttulo6">
    <w:name w:val="heading 6"/>
    <w:basedOn w:val="Normal"/>
    <w:next w:val="Normal"/>
    <w:qFormat/>
    <w:rsid w:val="0014312F"/>
    <w:pPr>
      <w:keepNext/>
      <w:jc w:val="both"/>
      <w:outlineLvl w:val="5"/>
    </w:pPr>
    <w:rPr>
      <w:rFonts w:ascii="Verdana" w:eastAsia="Times" w:hAnsi="Verdana"/>
      <w:b/>
      <w:sz w:val="20"/>
      <w:szCs w:val="20"/>
      <w:lang w:val="es-ES_tradnl" w:eastAsia="en-US"/>
    </w:rPr>
  </w:style>
  <w:style w:type="paragraph" w:styleId="Ttulo9">
    <w:name w:val="heading 9"/>
    <w:basedOn w:val="Normal"/>
    <w:next w:val="Normal"/>
    <w:qFormat/>
    <w:rsid w:val="0014312F"/>
    <w:pPr>
      <w:keepNext/>
      <w:numPr>
        <w:numId w:val="1"/>
      </w:numPr>
      <w:outlineLvl w:val="8"/>
    </w:pPr>
    <w:rPr>
      <w:rFonts w:ascii="Garamond" w:eastAsia="Times" w:hAnsi="Garamond"/>
      <w:i/>
      <w:szCs w:val="20"/>
      <w:lang w:val="es-ES_tradnl" w:eastAsia="en-US"/>
    </w:rPr>
  </w:style>
  <w:style w:type="character" w:default="1" w:styleId="Fuentedeprrafopredeter">
    <w:name w:val="Default Paragraph Font"/>
  </w:style>
  <w:style w:type="table" w:default="1" w:styleId="Tablanormal">
    <w:name w:val="Normal Table"/>
    <w:semiHidden/>
    <w:rPr>
      <w:lang w:bidi="ar-SA"/>
    </w:rPr>
    <w:tblPr>
      <w:tblInd w:w="0" w:type="dxa"/>
      <w:tblCellMar>
        <w:top w:w="0" w:type="dxa"/>
        <w:left w:w="108" w:type="dxa"/>
        <w:bottom w:w="0" w:type="dxa"/>
        <w:right w:w="108" w:type="dxa"/>
      </w:tblCellMar>
    </w:tblPr>
  </w:style>
  <w:style w:type="numbering" w:default="1" w:styleId="Sinlista">
    <w:name w:val="No List"/>
    <w:semiHidden/>
  </w:style>
  <w:style w:type="character" w:styleId="Refdenotaalpie">
    <w:name w:val="footnote reference"/>
    <w:semiHidden/>
    <w:rsid w:val="0014312F"/>
    <w:rPr>
      <w:sz w:val="20"/>
      <w:vertAlign w:val="superscript"/>
    </w:rPr>
  </w:style>
  <w:style w:type="paragraph" w:styleId="Textonotapie">
    <w:name w:val="footnote text"/>
    <w:aliases w:val="Footnote reference,FA Fu,Footnote Text Char Char Char Char Char,Footnote Text Char Char Char Char,Footnote Text Char Char Char"/>
    <w:basedOn w:val="Normal"/>
    <w:semiHidden/>
    <w:rsid w:val="0014312F"/>
    <w:rPr>
      <w:rFonts w:ascii="Times" w:eastAsia="Times" w:hAnsi="Times"/>
      <w:szCs w:val="20"/>
      <w:lang w:val="es-ES_tradnl" w:eastAsia="en-US"/>
    </w:rPr>
  </w:style>
  <w:style w:type="paragraph" w:styleId="Textodebloque">
    <w:name w:val="Block Text"/>
    <w:basedOn w:val="Normal"/>
    <w:rsid w:val="0014312F"/>
    <w:pPr>
      <w:ind w:left="720" w:right="764"/>
      <w:jc w:val="both"/>
    </w:pPr>
    <w:rPr>
      <w:rFonts w:ascii="Verdana" w:hAnsi="Verdana"/>
      <w:sz w:val="18"/>
      <w:szCs w:val="20"/>
      <w:lang w:val="es-ES_tradnl" w:eastAsia="en-US"/>
    </w:rPr>
  </w:style>
  <w:style w:type="paragraph" w:customStyle="1" w:styleId="Lneadereferencia">
    <w:name w:val="Línea de referencia"/>
    <w:basedOn w:val="Textoindependiente2"/>
    <w:rsid w:val="0014312F"/>
    <w:pPr>
      <w:spacing w:after="0" w:line="240" w:lineRule="auto"/>
      <w:jc w:val="both"/>
    </w:pPr>
    <w:rPr>
      <w:rFonts w:ascii="Garamond" w:hAnsi="Garamond"/>
      <w:szCs w:val="20"/>
      <w:lang w:val="en-US" w:eastAsia="en-US"/>
    </w:rPr>
  </w:style>
  <w:style w:type="paragraph" w:styleId="Textoindependiente2">
    <w:name w:val="Body Text 2"/>
    <w:basedOn w:val="Normal"/>
    <w:rsid w:val="0014312F"/>
    <w:pPr>
      <w:spacing w:after="120" w:line="480" w:lineRule="auto"/>
    </w:pPr>
  </w:style>
  <w:style w:type="paragraph" w:styleId="Encabezado">
    <w:name w:val="header"/>
    <w:basedOn w:val="Normal"/>
    <w:rsid w:val="0014312F"/>
    <w:pPr>
      <w:tabs>
        <w:tab w:val="center" w:pos="4320"/>
        <w:tab w:val="right" w:pos="8640"/>
      </w:tabs>
    </w:pPr>
    <w:rPr>
      <w:rFonts w:ascii="Times" w:hAnsi="Times"/>
      <w:color w:val="000000"/>
      <w:szCs w:val="20"/>
      <w:lang w:val="es-ES_tradnl" w:eastAsia="en-US"/>
    </w:rPr>
  </w:style>
  <w:style w:type="paragraph" w:styleId="Textoindependiente">
    <w:name w:val="Body Text"/>
    <w:basedOn w:val="Normal"/>
    <w:rsid w:val="0014312F"/>
    <w:pPr>
      <w:jc w:val="both"/>
    </w:pPr>
    <w:rPr>
      <w:rFonts w:ascii="Garamond" w:hAnsi="Garamond"/>
      <w:szCs w:val="20"/>
      <w:lang w:val="es-ES_tradnl" w:eastAsia="en-US"/>
    </w:rPr>
  </w:style>
  <w:style w:type="paragraph" w:customStyle="1" w:styleId="Textoindependiente1">
    <w:name w:val="Texto independiente1"/>
    <w:basedOn w:val="Normal"/>
    <w:rsid w:val="0014312F"/>
    <w:pPr>
      <w:widowControl w:val="0"/>
      <w:jc w:val="both"/>
    </w:pPr>
    <w:rPr>
      <w:rFonts w:ascii="New York" w:hAnsi="New York"/>
      <w:szCs w:val="20"/>
      <w:lang w:val="es-ES_tradnl" w:eastAsia="en-US"/>
    </w:rPr>
  </w:style>
  <w:style w:type="paragraph" w:styleId="Piedepgina">
    <w:name w:val="footer"/>
    <w:basedOn w:val="Normal"/>
    <w:semiHidden/>
    <w:rsid w:val="0014312F"/>
    <w:pPr>
      <w:tabs>
        <w:tab w:val="center" w:pos="4320"/>
        <w:tab w:val="right" w:pos="8640"/>
      </w:tabs>
    </w:pPr>
  </w:style>
  <w:style w:type="character" w:styleId="Nmerodepgina">
    <w:name w:val="page number"/>
    <w:basedOn w:val="Fuentedeprrafopredeter"/>
    <w:rsid w:val="0014312F"/>
  </w:style>
  <w:style w:type="paragraph" w:styleId="Sangra2detindependiente">
    <w:name w:val="Body Text Indent 2"/>
    <w:basedOn w:val="Normal"/>
    <w:rsid w:val="0014312F"/>
    <w:pPr>
      <w:spacing w:after="120" w:line="480" w:lineRule="auto"/>
      <w:ind w:left="360"/>
    </w:pPr>
  </w:style>
  <w:style w:type="paragraph" w:customStyle="1" w:styleId="caption">
    <w:name w:val="caption"/>
    <w:basedOn w:val="Normal"/>
    <w:rsid w:val="0014312F"/>
    <w:pPr>
      <w:jc w:val="center"/>
    </w:pPr>
    <w:rPr>
      <w:rFonts w:ascii="Bradley Hand ITC TT-Bold" w:hAnsi="Bradley Hand ITC TT-Bold"/>
      <w:b/>
      <w:sz w:val="28"/>
      <w:szCs w:val="20"/>
      <w:lang w:val="es-ES_tradnl" w:eastAsia="en-US"/>
    </w:rPr>
  </w:style>
  <w:style w:type="character" w:styleId="Hipervnculo">
    <w:name w:val="Hyperlink"/>
    <w:rsid w:val="0014312F"/>
    <w:rPr>
      <w:strike w:val="0"/>
      <w:dstrike w:val="0"/>
      <w:color w:val="FFFFFF"/>
      <w:u w:val="none"/>
      <w:effect w:val="none"/>
    </w:rPr>
  </w:style>
  <w:style w:type="paragraph" w:customStyle="1" w:styleId="negritamayuscula">
    <w:name w:val="negrita mayuscula"/>
    <w:basedOn w:val="Normal"/>
    <w:rsid w:val="0014312F"/>
    <w:pPr>
      <w:widowControl w:val="0"/>
      <w:tabs>
        <w:tab w:val="left" w:pos="1120"/>
      </w:tabs>
      <w:spacing w:line="360" w:lineRule="atLeast"/>
      <w:jc w:val="both"/>
    </w:pPr>
    <w:rPr>
      <w:rFonts w:ascii="Garamond" w:hAnsi="Garamond"/>
      <w:sz w:val="16"/>
      <w:szCs w:val="20"/>
      <w:lang w:val="es-ES_tradnl" w:eastAsia="en-US"/>
    </w:rPr>
  </w:style>
  <w:style w:type="paragraph" w:customStyle="1" w:styleId="Textodenotaalpie">
    <w:name w:val="Texto de nota al pie"/>
    <w:basedOn w:val="Normal"/>
    <w:rsid w:val="0014312F"/>
    <w:pPr>
      <w:widowControl w:val="0"/>
      <w:autoSpaceDE w:val="0"/>
      <w:autoSpaceDN w:val="0"/>
      <w:adjustRightInd w:val="0"/>
    </w:pPr>
    <w:rPr>
      <w:rFonts w:ascii="Courier New" w:hAnsi="Courier New"/>
      <w:lang w:val="es-ES_tradnl"/>
    </w:rPr>
  </w:style>
  <w:style w:type="paragraph" w:styleId="Textoindependiente3">
    <w:name w:val="Body Text 3"/>
    <w:basedOn w:val="Normal"/>
    <w:rsid w:val="001A33E9"/>
    <w:pPr>
      <w:spacing w:after="120"/>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2815</Words>
  <Characters>15488</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CORTE INTERAMERICANA DE DERECHOS HUMANOS</vt:lpstr>
    </vt:vector>
  </TitlesOfParts>
  <Company>Corte IDH</Company>
  <LinksUpToDate>false</LinksUpToDate>
  <CharactersWithSpaces>18267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CORTE INTERAMERICANA DE DERECHOS HUMANOS</dc:title>
  <dc:creator>cla</dc:creator>
  <cp:lastModifiedBy>Liliana Tojo</cp:lastModifiedBy>
  <cp:revision>3</cp:revision>
  <cp:lastPrinted>2017-08-16T19:20:00Z</cp:lastPrinted>
  <dcterms:created xsi:type="dcterms:W3CDTF">2017-08-16T19:20:00Z</dcterms:created>
  <dcterms:modified xsi:type="dcterms:W3CDTF">2017-08-16T19:20:00Z</dcterms:modified>
</cp:coreProperties>
</file>