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0F5" w:rsidRDefault="00AB60F5" w:rsidP="00AB60F5">
      <w:pPr>
        <w:tabs>
          <w:tab w:val="left" w:pos="567"/>
        </w:tabs>
        <w:jc w:val="center"/>
        <w:rPr>
          <w:rFonts w:ascii="Verdana" w:hAnsi="Verdana"/>
          <w:b/>
          <w:spacing w:val="-4"/>
          <w:sz w:val="20"/>
          <w:lang w:val="es-MX"/>
        </w:rPr>
      </w:pPr>
      <w:r>
        <w:rPr>
          <w:rFonts w:ascii="Verdana" w:hAnsi="Verdana"/>
          <w:b/>
          <w:spacing w:val="-4"/>
          <w:sz w:val="20"/>
          <w:lang w:val="es-MX"/>
        </w:rPr>
        <w:t xml:space="preserve">RESOLUCIÓN DEL PRESIDENTE DE LA </w:t>
      </w:r>
    </w:p>
    <w:p w:rsidR="00AB60F5" w:rsidRDefault="00AB60F5" w:rsidP="00AB60F5">
      <w:pPr>
        <w:tabs>
          <w:tab w:val="left" w:pos="567"/>
        </w:tabs>
        <w:jc w:val="center"/>
        <w:rPr>
          <w:b/>
          <w:spacing w:val="-4"/>
        </w:rPr>
      </w:pPr>
      <w:r>
        <w:rPr>
          <w:rFonts w:ascii="Verdana" w:hAnsi="Verdana"/>
          <w:b/>
          <w:spacing w:val="-4"/>
          <w:sz w:val="20"/>
          <w:lang w:val="es-MX"/>
        </w:rPr>
        <w:t>CORTE INTERAMERICANA DE DERECHOS HUMANOS</w:t>
      </w:r>
    </w:p>
    <w:p w:rsidR="00AB60F5" w:rsidRDefault="00AB60F5" w:rsidP="00AB60F5">
      <w:pPr>
        <w:tabs>
          <w:tab w:val="left" w:pos="567"/>
        </w:tabs>
        <w:rPr>
          <w:spacing w:val="-4"/>
        </w:rPr>
      </w:pPr>
    </w:p>
    <w:p w:rsidR="00AB60F5" w:rsidRDefault="00AB60F5" w:rsidP="00AB60F5">
      <w:pPr>
        <w:tabs>
          <w:tab w:val="left" w:pos="567"/>
        </w:tabs>
        <w:jc w:val="center"/>
        <w:rPr>
          <w:rFonts w:ascii="Verdana" w:hAnsi="Verdana"/>
          <w:b/>
          <w:spacing w:val="-4"/>
          <w:sz w:val="20"/>
          <w:lang w:val="es-MX"/>
        </w:rPr>
      </w:pPr>
      <w:r>
        <w:rPr>
          <w:rFonts w:ascii="Verdana" w:hAnsi="Verdana"/>
          <w:b/>
          <w:spacing w:val="-4"/>
          <w:sz w:val="20"/>
          <w:lang w:val="es-MX"/>
        </w:rPr>
        <w:t xml:space="preserve">DE </w:t>
      </w:r>
      <w:r w:rsidR="009A6B63">
        <w:rPr>
          <w:rFonts w:ascii="Verdana" w:hAnsi="Verdana"/>
          <w:b/>
          <w:spacing w:val="-4"/>
          <w:sz w:val="20"/>
          <w:lang w:val="es-MX"/>
        </w:rPr>
        <w:t>1</w:t>
      </w:r>
      <w:r>
        <w:rPr>
          <w:rFonts w:ascii="Verdana" w:hAnsi="Verdana"/>
          <w:b/>
          <w:spacing w:val="-4"/>
          <w:sz w:val="20"/>
          <w:lang w:val="es-MX"/>
        </w:rPr>
        <w:t xml:space="preserve"> DE </w:t>
      </w:r>
      <w:r w:rsidR="009A6B63">
        <w:rPr>
          <w:rFonts w:ascii="Verdana" w:hAnsi="Verdana"/>
          <w:b/>
          <w:spacing w:val="-4"/>
          <w:sz w:val="20"/>
          <w:lang w:val="es-MX"/>
        </w:rPr>
        <w:t>SEPTIEMBRE</w:t>
      </w:r>
      <w:r>
        <w:rPr>
          <w:rFonts w:ascii="Verdana" w:hAnsi="Verdana"/>
          <w:b/>
          <w:spacing w:val="-4"/>
          <w:sz w:val="20"/>
          <w:lang w:val="es-MX"/>
        </w:rPr>
        <w:t xml:space="preserve"> DE 2016</w:t>
      </w:r>
    </w:p>
    <w:p w:rsidR="00AB60F5" w:rsidRDefault="00AB60F5" w:rsidP="00AB60F5">
      <w:pPr>
        <w:tabs>
          <w:tab w:val="left" w:pos="567"/>
        </w:tabs>
        <w:rPr>
          <w:rFonts w:ascii="Verdana" w:hAnsi="Verdana"/>
          <w:b/>
          <w:spacing w:val="-4"/>
          <w:sz w:val="20"/>
          <w:lang w:val="es-MX"/>
        </w:rPr>
      </w:pPr>
    </w:p>
    <w:p w:rsidR="00AB60F5" w:rsidRDefault="00AB60F5" w:rsidP="00AB60F5">
      <w:pPr>
        <w:tabs>
          <w:tab w:val="left" w:pos="567"/>
        </w:tabs>
        <w:jc w:val="center"/>
        <w:rPr>
          <w:rFonts w:ascii="Verdana" w:hAnsi="Verdana"/>
          <w:b/>
          <w:spacing w:val="-4"/>
          <w:sz w:val="20"/>
          <w:lang w:val="es-CR"/>
        </w:rPr>
      </w:pPr>
      <w:r w:rsidRPr="00AB60F5">
        <w:rPr>
          <w:rFonts w:ascii="Verdana" w:hAnsi="Verdana"/>
          <w:b/>
          <w:spacing w:val="-4"/>
          <w:sz w:val="20"/>
          <w:lang w:val="es-CR"/>
        </w:rPr>
        <w:t>CASOS DE LAS COMUNIDADES INDÍGENAS YAKYE AXA, SAWHOYAMAXA</w:t>
      </w:r>
      <w:r>
        <w:rPr>
          <w:rFonts w:ascii="Verdana" w:hAnsi="Verdana"/>
          <w:b/>
          <w:spacing w:val="-4"/>
          <w:sz w:val="20"/>
          <w:lang w:val="es-CR"/>
        </w:rPr>
        <w:t xml:space="preserve"> Y XÁKMOK KÁSEK VS. PARAGUAY</w:t>
      </w:r>
    </w:p>
    <w:p w:rsidR="00AB60F5" w:rsidRDefault="00AB60F5" w:rsidP="00AB60F5">
      <w:pPr>
        <w:tabs>
          <w:tab w:val="left" w:pos="567"/>
        </w:tabs>
        <w:jc w:val="center"/>
        <w:rPr>
          <w:rFonts w:ascii="Verdana" w:hAnsi="Verdana"/>
          <w:b/>
          <w:spacing w:val="-4"/>
          <w:sz w:val="20"/>
          <w:lang w:val="es-CR"/>
        </w:rPr>
      </w:pPr>
    </w:p>
    <w:p w:rsidR="00AB60F5" w:rsidRDefault="00AB60F5" w:rsidP="00AB60F5">
      <w:pPr>
        <w:tabs>
          <w:tab w:val="left" w:pos="567"/>
        </w:tabs>
        <w:jc w:val="center"/>
        <w:rPr>
          <w:rFonts w:ascii="Verdana" w:hAnsi="Verdana"/>
          <w:b/>
          <w:spacing w:val="-4"/>
          <w:sz w:val="20"/>
          <w:lang w:val="es-CR"/>
        </w:rPr>
      </w:pPr>
      <w:r>
        <w:rPr>
          <w:rFonts w:ascii="Verdana" w:hAnsi="Verdana"/>
          <w:b/>
          <w:spacing w:val="-4"/>
          <w:sz w:val="20"/>
          <w:lang w:val="es-CR"/>
        </w:rPr>
        <w:t>SUPERVISIÓN DE CUMPLIMIENTO DE SENTENCIAS</w:t>
      </w:r>
    </w:p>
    <w:p w:rsidR="00AB60F5" w:rsidRDefault="00AB60F5" w:rsidP="00AB60F5">
      <w:pPr>
        <w:tabs>
          <w:tab w:val="left" w:pos="567"/>
        </w:tabs>
        <w:jc w:val="center"/>
        <w:rPr>
          <w:rFonts w:ascii="Verdana" w:hAnsi="Verdana"/>
          <w:b/>
          <w:spacing w:val="-4"/>
          <w:sz w:val="20"/>
          <w:lang w:val="es-CR"/>
        </w:rPr>
      </w:pPr>
    </w:p>
    <w:p w:rsidR="008F1212" w:rsidRDefault="008F1212" w:rsidP="00AB60F5">
      <w:pPr>
        <w:tabs>
          <w:tab w:val="left" w:pos="567"/>
        </w:tabs>
        <w:jc w:val="center"/>
        <w:rPr>
          <w:rFonts w:ascii="Verdana" w:hAnsi="Verdana"/>
          <w:b/>
          <w:spacing w:val="-4"/>
          <w:sz w:val="20"/>
          <w:lang w:val="es-CR"/>
        </w:rPr>
      </w:pPr>
    </w:p>
    <w:p w:rsidR="00AB60F5" w:rsidRDefault="00AB60F5" w:rsidP="00AB60F5">
      <w:pPr>
        <w:tabs>
          <w:tab w:val="left" w:pos="567"/>
        </w:tabs>
        <w:jc w:val="both"/>
        <w:rPr>
          <w:rFonts w:ascii="Verdana" w:hAnsi="Verdana"/>
          <w:b/>
          <w:spacing w:val="-4"/>
          <w:sz w:val="20"/>
          <w:lang w:val="es-CR"/>
        </w:rPr>
      </w:pPr>
      <w:r>
        <w:rPr>
          <w:rFonts w:ascii="Verdana" w:hAnsi="Verdana"/>
          <w:b/>
          <w:spacing w:val="-4"/>
          <w:sz w:val="20"/>
          <w:lang w:val="es-CR"/>
        </w:rPr>
        <w:t>VISTO:</w:t>
      </w:r>
    </w:p>
    <w:p w:rsidR="00AB60F5" w:rsidRDefault="00AB60F5" w:rsidP="00AB60F5">
      <w:pPr>
        <w:tabs>
          <w:tab w:val="left" w:pos="567"/>
        </w:tabs>
        <w:jc w:val="both"/>
        <w:rPr>
          <w:rFonts w:ascii="Verdana" w:hAnsi="Verdana"/>
          <w:b/>
          <w:spacing w:val="-4"/>
          <w:sz w:val="20"/>
          <w:lang w:val="es-CR"/>
        </w:rPr>
      </w:pPr>
    </w:p>
    <w:p w:rsidR="00AB60F5" w:rsidRPr="00AB60F5" w:rsidRDefault="00AB60F5" w:rsidP="00AB60F5">
      <w:pPr>
        <w:numPr>
          <w:ilvl w:val="0"/>
          <w:numId w:val="1"/>
        </w:numPr>
        <w:ind w:left="0" w:right="4" w:firstLine="0"/>
        <w:jc w:val="both"/>
        <w:rPr>
          <w:rFonts w:ascii="Verdana" w:hAnsi="Verdana" w:cs="Arial"/>
          <w:b/>
          <w:sz w:val="20"/>
          <w:lang w:val="es-CR"/>
        </w:rPr>
      </w:pPr>
      <w:bookmarkStart w:id="0" w:name="_Ref456707882"/>
      <w:r>
        <w:rPr>
          <w:rFonts w:ascii="Verdana" w:hAnsi="Verdana" w:cs="Arial"/>
          <w:sz w:val="20"/>
          <w:lang w:val="es-CR"/>
        </w:rPr>
        <w:t>Las Sentencias de fondo, reparaciones y costas emitidas por la Corte Interamericana de Derechos Humanos (en adelante “la Corte”, “la Corte Interamericana” o “el Tribunal”) los días 17 de junio de 2005</w:t>
      </w:r>
      <w:r>
        <w:rPr>
          <w:rStyle w:val="Refdenotaalpie"/>
          <w:rFonts w:ascii="Verdana" w:hAnsi="Verdana" w:cs="Arial"/>
          <w:sz w:val="20"/>
          <w:lang w:val="es-CR"/>
        </w:rPr>
        <w:footnoteReference w:id="1"/>
      </w:r>
      <w:r>
        <w:rPr>
          <w:rFonts w:ascii="Verdana" w:hAnsi="Verdana" w:cs="Arial"/>
          <w:sz w:val="20"/>
          <w:lang w:val="es-CR"/>
        </w:rPr>
        <w:t>, 29 de marzo de 2006</w:t>
      </w:r>
      <w:r>
        <w:rPr>
          <w:rStyle w:val="Refdenotaalpie"/>
          <w:rFonts w:ascii="Verdana" w:hAnsi="Verdana" w:cs="Arial"/>
          <w:sz w:val="20"/>
          <w:lang w:val="es-CR"/>
        </w:rPr>
        <w:footnoteReference w:id="2"/>
      </w:r>
      <w:r>
        <w:rPr>
          <w:rFonts w:ascii="Verdana" w:hAnsi="Verdana" w:cs="Arial"/>
          <w:sz w:val="20"/>
          <w:lang w:val="es-CR"/>
        </w:rPr>
        <w:t xml:space="preserve"> y 24 de agosto de 2010</w:t>
      </w:r>
      <w:r>
        <w:rPr>
          <w:rStyle w:val="Refdenotaalpie"/>
          <w:rFonts w:ascii="Verdana" w:hAnsi="Verdana" w:cs="Arial"/>
          <w:sz w:val="20"/>
          <w:lang w:val="es-CR"/>
        </w:rPr>
        <w:footnoteReference w:id="3"/>
      </w:r>
      <w:r>
        <w:rPr>
          <w:rFonts w:ascii="Verdana" w:hAnsi="Verdana" w:cs="Arial"/>
          <w:sz w:val="20"/>
          <w:lang w:val="es-CR"/>
        </w:rPr>
        <w:t xml:space="preserve"> (en adelante “las Sentencias”), respectivamente, en los casos de las </w:t>
      </w:r>
      <w:r>
        <w:rPr>
          <w:rFonts w:ascii="Verdana" w:hAnsi="Verdana" w:cs="Arial"/>
          <w:i/>
          <w:sz w:val="20"/>
          <w:lang w:val="es-CR"/>
        </w:rPr>
        <w:t xml:space="preserve">Comunidades Indígenas </w:t>
      </w:r>
      <w:proofErr w:type="spellStart"/>
      <w:r>
        <w:rPr>
          <w:rFonts w:ascii="Verdana" w:hAnsi="Verdana" w:cs="Arial"/>
          <w:i/>
          <w:sz w:val="20"/>
          <w:lang w:val="es-CR"/>
        </w:rPr>
        <w:t>Yakye</w:t>
      </w:r>
      <w:proofErr w:type="spellEnd"/>
      <w:r>
        <w:rPr>
          <w:rFonts w:ascii="Verdana" w:hAnsi="Verdana" w:cs="Arial"/>
          <w:i/>
          <w:sz w:val="20"/>
          <w:lang w:val="es-CR"/>
        </w:rPr>
        <w:t xml:space="preserve"> Axa, </w:t>
      </w:r>
      <w:proofErr w:type="spellStart"/>
      <w:r>
        <w:rPr>
          <w:rFonts w:ascii="Verdana" w:hAnsi="Verdana" w:cs="Arial"/>
          <w:i/>
          <w:sz w:val="20"/>
          <w:lang w:val="es-CR"/>
        </w:rPr>
        <w:t>Sawhoyamaxa</w:t>
      </w:r>
      <w:proofErr w:type="spellEnd"/>
      <w:r>
        <w:rPr>
          <w:rFonts w:ascii="Verdana" w:hAnsi="Verdana" w:cs="Arial"/>
          <w:i/>
          <w:sz w:val="20"/>
          <w:lang w:val="es-CR"/>
        </w:rPr>
        <w:t xml:space="preserve"> y </w:t>
      </w:r>
      <w:proofErr w:type="spellStart"/>
      <w:r>
        <w:rPr>
          <w:rFonts w:ascii="Verdana" w:hAnsi="Verdana" w:cs="Arial"/>
          <w:i/>
          <w:sz w:val="20"/>
          <w:lang w:val="es-CR"/>
        </w:rPr>
        <w:t>Xákmok</w:t>
      </w:r>
      <w:proofErr w:type="spellEnd"/>
      <w:r>
        <w:rPr>
          <w:rFonts w:ascii="Verdana" w:hAnsi="Verdana" w:cs="Arial"/>
          <w:i/>
          <w:sz w:val="20"/>
          <w:lang w:val="es-CR"/>
        </w:rPr>
        <w:t xml:space="preserve"> </w:t>
      </w:r>
      <w:proofErr w:type="spellStart"/>
      <w:r>
        <w:rPr>
          <w:rFonts w:ascii="Verdana" w:hAnsi="Verdana" w:cs="Arial"/>
          <w:i/>
          <w:sz w:val="20"/>
          <w:lang w:val="es-CR"/>
        </w:rPr>
        <w:t>Kásek</w:t>
      </w:r>
      <w:proofErr w:type="spellEnd"/>
      <w:r>
        <w:rPr>
          <w:rFonts w:ascii="Verdana" w:hAnsi="Verdana" w:cs="Arial"/>
          <w:sz w:val="20"/>
          <w:lang w:val="es-CR"/>
        </w:rPr>
        <w:t xml:space="preserve"> (en adelante casos “</w:t>
      </w:r>
      <w:proofErr w:type="spellStart"/>
      <w:r>
        <w:rPr>
          <w:rFonts w:ascii="Verdana" w:hAnsi="Verdana" w:cs="Arial"/>
          <w:i/>
          <w:sz w:val="20"/>
          <w:lang w:val="es-CR"/>
        </w:rPr>
        <w:t>Yakye</w:t>
      </w:r>
      <w:proofErr w:type="spellEnd"/>
      <w:r>
        <w:rPr>
          <w:rFonts w:ascii="Verdana" w:hAnsi="Verdana" w:cs="Arial"/>
          <w:i/>
          <w:sz w:val="20"/>
          <w:lang w:val="es-CR"/>
        </w:rPr>
        <w:t xml:space="preserve"> Axa”, “</w:t>
      </w:r>
      <w:proofErr w:type="spellStart"/>
      <w:r>
        <w:rPr>
          <w:rFonts w:ascii="Verdana" w:hAnsi="Verdana" w:cs="Arial"/>
          <w:i/>
          <w:sz w:val="20"/>
          <w:lang w:val="es-CR"/>
        </w:rPr>
        <w:t>Sawhoyamaxa</w:t>
      </w:r>
      <w:proofErr w:type="spellEnd"/>
      <w:r>
        <w:rPr>
          <w:rFonts w:ascii="Verdana" w:hAnsi="Verdana" w:cs="Arial"/>
          <w:i/>
          <w:sz w:val="20"/>
          <w:lang w:val="es-CR"/>
        </w:rPr>
        <w:t>” y “</w:t>
      </w:r>
      <w:proofErr w:type="spellStart"/>
      <w:r>
        <w:rPr>
          <w:rFonts w:ascii="Verdana" w:hAnsi="Verdana" w:cs="Arial"/>
          <w:i/>
          <w:sz w:val="20"/>
          <w:lang w:val="es-CR"/>
        </w:rPr>
        <w:t>Xákmok</w:t>
      </w:r>
      <w:proofErr w:type="spellEnd"/>
      <w:r>
        <w:rPr>
          <w:rFonts w:ascii="Verdana" w:hAnsi="Verdana" w:cs="Arial"/>
          <w:i/>
          <w:sz w:val="20"/>
          <w:lang w:val="es-CR"/>
        </w:rPr>
        <w:t xml:space="preserve"> </w:t>
      </w:r>
      <w:proofErr w:type="spellStart"/>
      <w:r>
        <w:rPr>
          <w:rFonts w:ascii="Verdana" w:hAnsi="Verdana" w:cs="Arial"/>
          <w:i/>
          <w:sz w:val="20"/>
          <w:lang w:val="es-CR"/>
        </w:rPr>
        <w:t>Kásek</w:t>
      </w:r>
      <w:proofErr w:type="spellEnd"/>
      <w:r>
        <w:rPr>
          <w:rFonts w:ascii="Verdana" w:hAnsi="Verdana" w:cs="Arial"/>
          <w:sz w:val="20"/>
          <w:lang w:val="es-CR"/>
        </w:rPr>
        <w:t>” o “los tres casos”)</w:t>
      </w:r>
      <w:r w:rsidR="00316A20">
        <w:rPr>
          <w:rFonts w:ascii="Verdana" w:hAnsi="Verdana" w:cs="Arial"/>
          <w:sz w:val="20"/>
          <w:lang w:val="es-CR"/>
        </w:rPr>
        <w:t>.</w:t>
      </w:r>
      <w:r>
        <w:rPr>
          <w:rFonts w:ascii="Verdana" w:hAnsi="Verdana" w:cs="Arial"/>
          <w:sz w:val="20"/>
          <w:lang w:val="es-CR"/>
        </w:rPr>
        <w:t xml:space="preserve"> </w:t>
      </w:r>
      <w:r w:rsidR="00316A20">
        <w:rPr>
          <w:rFonts w:ascii="Verdana" w:hAnsi="Verdana" w:cs="Arial"/>
          <w:sz w:val="20"/>
          <w:lang w:val="es-CR"/>
        </w:rPr>
        <w:t>L</w:t>
      </w:r>
      <w:r>
        <w:rPr>
          <w:rFonts w:ascii="Verdana" w:hAnsi="Verdana" w:cs="Arial"/>
          <w:sz w:val="20"/>
          <w:lang w:val="es-CR"/>
        </w:rPr>
        <w:t>a Corte determinó que la República de Paraguay (en adelante “el Estado” o “Paraguay”) incurrió en responsabilidad internacional por haber violado, entre otros, los derechos protegidos en los artículos 21 y 25 de la Convención Americana sobre Derechos Humanos (en adelante “la Convención”), por no haber garantizado el derecho a la propiedad comunitaria sobre las tierras tradicionales de las referidas comunidades indígenas, lo cual generó numerosas afectaciones a sus respectivos miembros. Entre otras reparaciones, la Corte dispuso medidas relacionadas con la identificación, entrega y titulación de las tierras de las referidas comunidades indígenas en el Paraguay (</w:t>
      </w:r>
      <w:r>
        <w:rPr>
          <w:rFonts w:ascii="Verdana" w:hAnsi="Verdana" w:cs="Arial"/>
          <w:i/>
          <w:sz w:val="20"/>
          <w:lang w:val="es-CR"/>
        </w:rPr>
        <w:t>infra</w:t>
      </w:r>
      <w:r>
        <w:rPr>
          <w:rFonts w:ascii="Verdana" w:hAnsi="Verdana" w:cs="Arial"/>
          <w:sz w:val="20"/>
          <w:lang w:val="es-CR"/>
        </w:rPr>
        <w:t xml:space="preserve"> Considerando </w:t>
      </w:r>
      <w:r w:rsidR="00FC31C0">
        <w:rPr>
          <w:rFonts w:ascii="Verdana" w:hAnsi="Verdana" w:cs="Arial"/>
          <w:sz w:val="20"/>
          <w:lang w:val="es-CR"/>
        </w:rPr>
        <w:fldChar w:fldCharType="begin"/>
      </w:r>
      <w:r w:rsidR="00FC31C0">
        <w:rPr>
          <w:rFonts w:ascii="Verdana" w:hAnsi="Verdana" w:cs="Arial"/>
          <w:sz w:val="20"/>
          <w:lang w:val="es-CR"/>
        </w:rPr>
        <w:instrText xml:space="preserve"> REF _Ref456707808 \r \h </w:instrText>
      </w:r>
      <w:r w:rsidR="00FC31C0">
        <w:rPr>
          <w:rFonts w:ascii="Verdana" w:hAnsi="Verdana" w:cs="Arial"/>
          <w:sz w:val="20"/>
          <w:lang w:val="es-CR"/>
        </w:rPr>
      </w:r>
      <w:r w:rsidR="00FC31C0">
        <w:rPr>
          <w:rFonts w:ascii="Verdana" w:hAnsi="Verdana" w:cs="Arial"/>
          <w:sz w:val="20"/>
          <w:lang w:val="es-CR"/>
        </w:rPr>
        <w:fldChar w:fldCharType="separate"/>
      </w:r>
      <w:r w:rsidR="00717A33">
        <w:rPr>
          <w:rFonts w:ascii="Verdana" w:hAnsi="Verdana" w:cs="Arial"/>
          <w:sz w:val="20"/>
          <w:lang w:val="es-CR"/>
        </w:rPr>
        <w:t>1</w:t>
      </w:r>
      <w:r w:rsidR="00FC31C0">
        <w:rPr>
          <w:rFonts w:ascii="Verdana" w:hAnsi="Verdana" w:cs="Arial"/>
          <w:sz w:val="20"/>
          <w:lang w:val="es-CR"/>
        </w:rPr>
        <w:fldChar w:fldCharType="end"/>
      </w:r>
      <w:r>
        <w:rPr>
          <w:rFonts w:ascii="Verdana" w:hAnsi="Verdana" w:cs="Arial"/>
          <w:sz w:val="20"/>
          <w:lang w:val="es-CR"/>
        </w:rPr>
        <w:t>).</w:t>
      </w:r>
      <w:bookmarkEnd w:id="0"/>
    </w:p>
    <w:p w:rsidR="00AB60F5" w:rsidRPr="00AB60F5" w:rsidRDefault="00AB60F5" w:rsidP="00AB60F5">
      <w:pPr>
        <w:ind w:right="4"/>
        <w:jc w:val="both"/>
        <w:rPr>
          <w:rFonts w:ascii="Verdana" w:hAnsi="Verdana" w:cs="Arial"/>
          <w:b/>
          <w:sz w:val="20"/>
          <w:lang w:val="es-CR"/>
        </w:rPr>
      </w:pPr>
    </w:p>
    <w:p w:rsidR="00AB60F5" w:rsidRPr="00AB60F5" w:rsidRDefault="00AB60F5" w:rsidP="00AB60F5">
      <w:pPr>
        <w:numPr>
          <w:ilvl w:val="0"/>
          <w:numId w:val="1"/>
        </w:numPr>
        <w:ind w:left="0" w:right="4" w:firstLine="0"/>
        <w:jc w:val="both"/>
        <w:rPr>
          <w:rFonts w:ascii="Verdana" w:hAnsi="Verdana" w:cs="Arial"/>
          <w:b/>
          <w:sz w:val="20"/>
          <w:lang w:val="es-CR"/>
        </w:rPr>
      </w:pPr>
      <w:r>
        <w:rPr>
          <w:rFonts w:ascii="Verdana" w:hAnsi="Verdana" w:cs="Arial"/>
          <w:sz w:val="20"/>
          <w:lang w:val="es-CR"/>
        </w:rPr>
        <w:t xml:space="preserve">La Sentencia de interpretación de la Sentencia del caso </w:t>
      </w:r>
      <w:proofErr w:type="spellStart"/>
      <w:r>
        <w:rPr>
          <w:rFonts w:ascii="Verdana" w:hAnsi="Verdana" w:cs="Arial"/>
          <w:i/>
          <w:sz w:val="20"/>
          <w:lang w:val="es-CR"/>
        </w:rPr>
        <w:t>Yakye</w:t>
      </w:r>
      <w:proofErr w:type="spellEnd"/>
      <w:r>
        <w:rPr>
          <w:rFonts w:ascii="Verdana" w:hAnsi="Verdana" w:cs="Arial"/>
          <w:i/>
          <w:sz w:val="20"/>
          <w:lang w:val="es-CR"/>
        </w:rPr>
        <w:t xml:space="preserve"> Axa</w:t>
      </w:r>
      <w:r>
        <w:rPr>
          <w:rFonts w:ascii="Verdana" w:hAnsi="Verdana" w:cs="Arial"/>
          <w:sz w:val="20"/>
          <w:lang w:val="es-CR"/>
        </w:rPr>
        <w:t>, emitida por la Corte el 6 de febrero de 2006</w:t>
      </w:r>
      <w:r>
        <w:rPr>
          <w:rStyle w:val="Refdenotaalpie"/>
          <w:rFonts w:ascii="Verdana" w:hAnsi="Verdana" w:cs="Arial"/>
          <w:sz w:val="20"/>
          <w:lang w:val="es-CR"/>
        </w:rPr>
        <w:footnoteReference w:id="4"/>
      </w:r>
      <w:r>
        <w:rPr>
          <w:rFonts w:ascii="Verdana" w:hAnsi="Verdana" w:cs="Arial"/>
          <w:sz w:val="20"/>
          <w:lang w:val="es-CR"/>
        </w:rPr>
        <w:t>.</w:t>
      </w:r>
    </w:p>
    <w:p w:rsidR="00AB60F5" w:rsidRDefault="00AB60F5" w:rsidP="00AB60F5">
      <w:pPr>
        <w:ind w:right="4"/>
        <w:jc w:val="both"/>
        <w:rPr>
          <w:rFonts w:ascii="Verdana" w:hAnsi="Verdana" w:cs="Arial"/>
          <w:b/>
          <w:sz w:val="20"/>
          <w:lang w:val="es-CR"/>
        </w:rPr>
      </w:pPr>
    </w:p>
    <w:p w:rsidR="00AB60F5" w:rsidRPr="00AB60F5" w:rsidRDefault="00AB60F5" w:rsidP="00AB60F5">
      <w:pPr>
        <w:numPr>
          <w:ilvl w:val="0"/>
          <w:numId w:val="1"/>
        </w:numPr>
        <w:ind w:left="0" w:right="4" w:firstLine="0"/>
        <w:jc w:val="both"/>
        <w:rPr>
          <w:rFonts w:ascii="Verdana" w:hAnsi="Verdana" w:cs="Arial"/>
          <w:b/>
          <w:sz w:val="20"/>
          <w:lang w:val="es-CR"/>
        </w:rPr>
      </w:pPr>
      <w:bookmarkStart w:id="1" w:name="_Ref456707849"/>
      <w:r>
        <w:rPr>
          <w:rFonts w:ascii="Verdana" w:hAnsi="Verdana" w:cs="Arial"/>
          <w:sz w:val="20"/>
          <w:lang w:val="es-CR"/>
        </w:rPr>
        <w:t xml:space="preserve">La Resolución </w:t>
      </w:r>
      <w:r w:rsidR="00017C98">
        <w:rPr>
          <w:rFonts w:ascii="Verdana" w:hAnsi="Verdana" w:cs="Arial"/>
          <w:sz w:val="20"/>
          <w:lang w:val="es-CR"/>
        </w:rPr>
        <w:t xml:space="preserve">emitida por la Corte el 24 de junio de 2015, mediante la cual </w:t>
      </w:r>
      <w:r>
        <w:rPr>
          <w:rFonts w:ascii="Verdana" w:hAnsi="Verdana" w:cs="Arial"/>
          <w:sz w:val="20"/>
          <w:lang w:val="es-CR"/>
        </w:rPr>
        <w:t>supervis</w:t>
      </w:r>
      <w:r w:rsidR="00017C98">
        <w:rPr>
          <w:rFonts w:ascii="Verdana" w:hAnsi="Verdana" w:cs="Arial"/>
          <w:sz w:val="20"/>
          <w:lang w:val="es-CR"/>
        </w:rPr>
        <w:t>ó</w:t>
      </w:r>
      <w:r>
        <w:rPr>
          <w:rFonts w:ascii="Verdana" w:hAnsi="Verdana" w:cs="Arial"/>
          <w:sz w:val="20"/>
          <w:lang w:val="es-CR"/>
        </w:rPr>
        <w:t xml:space="preserve"> </w:t>
      </w:r>
      <w:r w:rsidR="00017C98">
        <w:rPr>
          <w:rFonts w:ascii="Verdana" w:hAnsi="Verdana" w:cs="Arial"/>
          <w:sz w:val="20"/>
          <w:lang w:val="es-CR"/>
        </w:rPr>
        <w:t>el</w:t>
      </w:r>
      <w:r>
        <w:rPr>
          <w:rFonts w:ascii="Verdana" w:hAnsi="Verdana" w:cs="Arial"/>
          <w:sz w:val="20"/>
          <w:lang w:val="es-CR"/>
        </w:rPr>
        <w:t xml:space="preserve"> </w:t>
      </w:r>
      <w:r w:rsidR="0089190D">
        <w:rPr>
          <w:rFonts w:ascii="Verdana" w:hAnsi="Verdana" w:cs="Arial"/>
          <w:sz w:val="20"/>
          <w:lang w:val="es-CR"/>
        </w:rPr>
        <w:t xml:space="preserve">grado de </w:t>
      </w:r>
      <w:r>
        <w:rPr>
          <w:rFonts w:ascii="Verdana" w:hAnsi="Verdana" w:cs="Arial"/>
          <w:sz w:val="20"/>
          <w:lang w:val="es-CR"/>
        </w:rPr>
        <w:t xml:space="preserve">cumplimiento de </w:t>
      </w:r>
      <w:r w:rsidR="002C4657">
        <w:rPr>
          <w:rFonts w:ascii="Verdana" w:hAnsi="Verdana" w:cs="Arial"/>
          <w:sz w:val="20"/>
          <w:lang w:val="es-CR"/>
        </w:rPr>
        <w:t>las reparaciones relativas a</w:t>
      </w:r>
      <w:r w:rsidR="0089190D">
        <w:rPr>
          <w:rFonts w:ascii="Verdana" w:hAnsi="Verdana" w:cs="Arial"/>
          <w:sz w:val="20"/>
          <w:lang w:val="es-CR"/>
        </w:rPr>
        <w:t xml:space="preserve"> la</w:t>
      </w:r>
      <w:r w:rsidR="002C4657">
        <w:rPr>
          <w:rFonts w:ascii="Verdana" w:hAnsi="Verdana" w:cs="Arial"/>
          <w:sz w:val="20"/>
          <w:lang w:val="es-CR"/>
        </w:rPr>
        <w:t xml:space="preserve"> identificación, entrega y titulación de tierras tradicionales de las comunidades</w:t>
      </w:r>
      <w:r w:rsidR="00017C98">
        <w:rPr>
          <w:rFonts w:ascii="Verdana" w:hAnsi="Verdana" w:cs="Arial"/>
          <w:sz w:val="20"/>
          <w:lang w:val="es-CR"/>
        </w:rPr>
        <w:t xml:space="preserve"> ordenadas en las Sentencias</w:t>
      </w:r>
      <w:r w:rsidR="00437E81">
        <w:rPr>
          <w:rStyle w:val="Refdenotaalpie"/>
          <w:rFonts w:ascii="Verdana" w:hAnsi="Verdana" w:cs="Arial"/>
          <w:sz w:val="20"/>
          <w:lang w:val="es-CR"/>
        </w:rPr>
        <w:footnoteReference w:id="5"/>
      </w:r>
      <w:r>
        <w:rPr>
          <w:rFonts w:ascii="Verdana" w:hAnsi="Verdana" w:cs="Arial"/>
          <w:sz w:val="20"/>
          <w:lang w:val="es-CR"/>
        </w:rPr>
        <w:t>.</w:t>
      </w:r>
      <w:bookmarkEnd w:id="1"/>
    </w:p>
    <w:p w:rsidR="00AB60F5" w:rsidRPr="00AB60F5" w:rsidRDefault="00AB60F5" w:rsidP="00AB60F5">
      <w:pPr>
        <w:ind w:right="4"/>
        <w:jc w:val="both"/>
        <w:rPr>
          <w:rFonts w:ascii="Verdana" w:hAnsi="Verdana" w:cs="Arial"/>
          <w:b/>
          <w:sz w:val="20"/>
          <w:lang w:val="es-CR"/>
        </w:rPr>
      </w:pPr>
    </w:p>
    <w:p w:rsidR="00AB60F5" w:rsidRPr="00AB60F5" w:rsidRDefault="00455AF4" w:rsidP="00AB60F5">
      <w:pPr>
        <w:numPr>
          <w:ilvl w:val="0"/>
          <w:numId w:val="1"/>
        </w:numPr>
        <w:ind w:left="0" w:right="4" w:firstLine="0"/>
        <w:jc w:val="both"/>
        <w:rPr>
          <w:rFonts w:ascii="Verdana" w:hAnsi="Verdana" w:cs="Arial"/>
          <w:b/>
          <w:sz w:val="20"/>
          <w:lang w:val="es-CR"/>
        </w:rPr>
      </w:pPr>
      <w:bookmarkStart w:id="2" w:name="_Ref456708045"/>
      <w:r>
        <w:rPr>
          <w:rFonts w:ascii="Verdana" w:hAnsi="Verdana" w:cs="Arial"/>
          <w:sz w:val="20"/>
          <w:lang w:val="es-CR"/>
        </w:rPr>
        <w:t xml:space="preserve">El informe y sus anexos presentados por </w:t>
      </w:r>
      <w:r w:rsidR="00AB60F5">
        <w:rPr>
          <w:rFonts w:ascii="Verdana" w:hAnsi="Verdana" w:cs="Arial"/>
          <w:sz w:val="20"/>
          <w:lang w:val="es-CR"/>
        </w:rPr>
        <w:t>el Estado</w:t>
      </w:r>
      <w:r>
        <w:rPr>
          <w:rFonts w:ascii="Verdana" w:hAnsi="Verdana" w:cs="Arial"/>
          <w:sz w:val="20"/>
          <w:lang w:val="es-CR"/>
        </w:rPr>
        <w:t xml:space="preserve"> los días</w:t>
      </w:r>
      <w:r w:rsidR="00AB60F5">
        <w:rPr>
          <w:rFonts w:ascii="Verdana" w:hAnsi="Verdana" w:cs="Arial"/>
          <w:sz w:val="20"/>
          <w:lang w:val="es-CR"/>
        </w:rPr>
        <w:t xml:space="preserve"> 4 de diciembre de 2015 y </w:t>
      </w:r>
      <w:r>
        <w:rPr>
          <w:rFonts w:ascii="Verdana" w:hAnsi="Verdana" w:cs="Arial"/>
          <w:sz w:val="20"/>
          <w:lang w:val="es-CR"/>
        </w:rPr>
        <w:t>4</w:t>
      </w:r>
      <w:r w:rsidR="00AB60F5">
        <w:rPr>
          <w:rFonts w:ascii="Verdana" w:hAnsi="Verdana" w:cs="Arial"/>
          <w:sz w:val="20"/>
          <w:lang w:val="es-CR"/>
        </w:rPr>
        <w:t xml:space="preserve"> de enero de 2016, en atención a lo requerido en la Resolución de 24 de junio (</w:t>
      </w:r>
      <w:r w:rsidR="00AB60F5">
        <w:rPr>
          <w:rFonts w:ascii="Verdana" w:hAnsi="Verdana" w:cs="Arial"/>
          <w:i/>
          <w:sz w:val="20"/>
          <w:lang w:val="es-CR"/>
        </w:rPr>
        <w:t>supra</w:t>
      </w:r>
      <w:r w:rsidR="00AB60F5">
        <w:rPr>
          <w:rFonts w:ascii="Verdana" w:hAnsi="Verdana" w:cs="Arial"/>
          <w:sz w:val="20"/>
          <w:lang w:val="es-CR"/>
        </w:rPr>
        <w:t xml:space="preserve"> Visto </w:t>
      </w:r>
      <w:r w:rsidR="00FC31C0">
        <w:rPr>
          <w:rFonts w:ascii="Verdana" w:hAnsi="Verdana" w:cs="Arial"/>
          <w:sz w:val="20"/>
          <w:lang w:val="es-CR"/>
        </w:rPr>
        <w:fldChar w:fldCharType="begin"/>
      </w:r>
      <w:r w:rsidR="00FC31C0">
        <w:rPr>
          <w:rFonts w:ascii="Verdana" w:hAnsi="Verdana" w:cs="Arial"/>
          <w:sz w:val="20"/>
          <w:lang w:val="es-CR"/>
        </w:rPr>
        <w:instrText xml:space="preserve"> REF _Ref456707849 \r \h </w:instrText>
      </w:r>
      <w:r w:rsidR="00FC31C0">
        <w:rPr>
          <w:rFonts w:ascii="Verdana" w:hAnsi="Verdana" w:cs="Arial"/>
          <w:sz w:val="20"/>
          <w:lang w:val="es-CR"/>
        </w:rPr>
      </w:r>
      <w:r w:rsidR="00FC31C0">
        <w:rPr>
          <w:rFonts w:ascii="Verdana" w:hAnsi="Verdana" w:cs="Arial"/>
          <w:sz w:val="20"/>
          <w:lang w:val="es-CR"/>
        </w:rPr>
        <w:fldChar w:fldCharType="separate"/>
      </w:r>
      <w:r w:rsidR="00717A33">
        <w:rPr>
          <w:rFonts w:ascii="Verdana" w:hAnsi="Verdana" w:cs="Arial"/>
          <w:sz w:val="20"/>
          <w:lang w:val="es-CR"/>
        </w:rPr>
        <w:t>3</w:t>
      </w:r>
      <w:r w:rsidR="00FC31C0">
        <w:rPr>
          <w:rFonts w:ascii="Verdana" w:hAnsi="Verdana" w:cs="Arial"/>
          <w:sz w:val="20"/>
          <w:lang w:val="es-CR"/>
        </w:rPr>
        <w:fldChar w:fldCharType="end"/>
      </w:r>
      <w:r w:rsidR="00AB60F5">
        <w:rPr>
          <w:rFonts w:ascii="Verdana" w:hAnsi="Verdana" w:cs="Arial"/>
          <w:sz w:val="20"/>
          <w:lang w:val="es-CR"/>
        </w:rPr>
        <w:t>).</w:t>
      </w:r>
      <w:bookmarkEnd w:id="2"/>
    </w:p>
    <w:p w:rsidR="00AB60F5" w:rsidRDefault="00AB60F5" w:rsidP="00AB60F5">
      <w:pPr>
        <w:pStyle w:val="Prrafodelista"/>
        <w:rPr>
          <w:rFonts w:ascii="Verdana" w:hAnsi="Verdana" w:cs="Arial"/>
          <w:b/>
          <w:sz w:val="20"/>
          <w:lang w:val="es-CR"/>
        </w:rPr>
      </w:pPr>
    </w:p>
    <w:p w:rsidR="00AB60F5" w:rsidRPr="00AB60F5" w:rsidRDefault="00AB60F5" w:rsidP="00AB60F5">
      <w:pPr>
        <w:numPr>
          <w:ilvl w:val="0"/>
          <w:numId w:val="1"/>
        </w:numPr>
        <w:ind w:left="0" w:right="4" w:firstLine="0"/>
        <w:jc w:val="both"/>
        <w:rPr>
          <w:rFonts w:ascii="Verdana" w:hAnsi="Verdana" w:cs="Arial"/>
          <w:b/>
          <w:sz w:val="20"/>
          <w:lang w:val="es-CR"/>
        </w:rPr>
      </w:pPr>
      <w:bookmarkStart w:id="3" w:name="_Ref456708077"/>
      <w:r>
        <w:rPr>
          <w:rFonts w:ascii="Verdana" w:hAnsi="Verdana" w:cs="Arial"/>
          <w:sz w:val="20"/>
          <w:lang w:val="es-CR"/>
        </w:rPr>
        <w:t>El escrito de observaciones presentado por los representantes de la</w:t>
      </w:r>
      <w:r w:rsidR="00FC52BE">
        <w:rPr>
          <w:rFonts w:ascii="Verdana" w:hAnsi="Verdana" w:cs="Arial"/>
          <w:sz w:val="20"/>
          <w:lang w:val="es-CR"/>
        </w:rPr>
        <w:t>s</w:t>
      </w:r>
      <w:r>
        <w:rPr>
          <w:rFonts w:ascii="Verdana" w:hAnsi="Verdana" w:cs="Arial"/>
          <w:sz w:val="20"/>
          <w:lang w:val="es-CR"/>
        </w:rPr>
        <w:t xml:space="preserve"> víctima</w:t>
      </w:r>
      <w:r w:rsidR="00FC52BE">
        <w:rPr>
          <w:rFonts w:ascii="Verdana" w:hAnsi="Verdana" w:cs="Arial"/>
          <w:sz w:val="20"/>
          <w:lang w:val="es-CR"/>
        </w:rPr>
        <w:t xml:space="preserve">s </w:t>
      </w:r>
      <w:r w:rsidR="00FC52BE" w:rsidRPr="00714BEB">
        <w:rPr>
          <w:rFonts w:ascii="Verdana" w:hAnsi="Verdana" w:cs="Arial"/>
          <w:sz w:val="20"/>
          <w:lang w:val="es-CR"/>
        </w:rPr>
        <w:t>(en adelante “los representantes”)</w:t>
      </w:r>
      <w:r w:rsidR="00FC52BE" w:rsidRPr="00714BEB">
        <w:rPr>
          <w:rStyle w:val="Refdenotaalpie"/>
          <w:rFonts w:ascii="Verdana" w:hAnsi="Verdana" w:cs="Arial"/>
          <w:sz w:val="20"/>
          <w:lang w:val="es-CR"/>
        </w:rPr>
        <w:footnoteReference w:id="6"/>
      </w:r>
      <w:r w:rsidR="00FC52BE" w:rsidRPr="00714BEB">
        <w:rPr>
          <w:rFonts w:ascii="Verdana" w:hAnsi="Verdana" w:cs="Arial"/>
          <w:i/>
          <w:sz w:val="20"/>
          <w:lang w:val="es-CR"/>
        </w:rPr>
        <w:t xml:space="preserve"> </w:t>
      </w:r>
      <w:r>
        <w:rPr>
          <w:rFonts w:ascii="Verdana" w:hAnsi="Verdana" w:cs="Arial"/>
          <w:sz w:val="20"/>
          <w:lang w:val="es-CR"/>
        </w:rPr>
        <w:t xml:space="preserve">el </w:t>
      </w:r>
      <w:r w:rsidR="00DF68A5">
        <w:rPr>
          <w:rFonts w:ascii="Verdana" w:hAnsi="Verdana" w:cs="Arial"/>
          <w:sz w:val="20"/>
          <w:lang w:val="es-CR"/>
        </w:rPr>
        <w:t>13 de junio</w:t>
      </w:r>
      <w:r w:rsidR="00E322E4">
        <w:rPr>
          <w:rFonts w:ascii="Verdana" w:hAnsi="Verdana" w:cs="Arial"/>
          <w:sz w:val="20"/>
          <w:lang w:val="es-CR"/>
        </w:rPr>
        <w:t xml:space="preserve"> </w:t>
      </w:r>
      <w:r>
        <w:rPr>
          <w:rFonts w:ascii="Verdana" w:hAnsi="Verdana" w:cs="Arial"/>
          <w:sz w:val="20"/>
          <w:lang w:val="es-CR"/>
        </w:rPr>
        <w:t>de 2016</w:t>
      </w:r>
      <w:r w:rsidR="00FC31C0">
        <w:rPr>
          <w:rFonts w:ascii="Verdana" w:hAnsi="Verdana" w:cs="Arial"/>
          <w:sz w:val="20"/>
          <w:lang w:val="es-CR"/>
        </w:rPr>
        <w:t xml:space="preserve">, en el que </w:t>
      </w:r>
      <w:r w:rsidR="00FC31C0">
        <w:rPr>
          <w:rFonts w:ascii="Verdana" w:hAnsi="Verdana"/>
          <w:sz w:val="20"/>
        </w:rPr>
        <w:t xml:space="preserve">solicitaron, </w:t>
      </w:r>
      <w:r w:rsidR="00FA5426" w:rsidRPr="00FA5426">
        <w:rPr>
          <w:rFonts w:ascii="Verdana" w:hAnsi="Verdana"/>
          <w:sz w:val="20"/>
        </w:rPr>
        <w:t>entre otros</w:t>
      </w:r>
      <w:r w:rsidR="00FC31C0">
        <w:rPr>
          <w:rFonts w:ascii="Verdana" w:hAnsi="Verdana"/>
          <w:sz w:val="20"/>
        </w:rPr>
        <w:t>, que</w:t>
      </w:r>
      <w:r w:rsidR="00BB61E1">
        <w:rPr>
          <w:rFonts w:ascii="Verdana" w:hAnsi="Verdana"/>
          <w:sz w:val="20"/>
        </w:rPr>
        <w:t xml:space="preserve"> se</w:t>
      </w:r>
      <w:r w:rsidR="00FC31C0">
        <w:rPr>
          <w:rFonts w:ascii="Verdana" w:hAnsi="Verdana"/>
          <w:sz w:val="20"/>
        </w:rPr>
        <w:t xml:space="preserve"> “delegue a uno o más jueces de la Corte a la realización de una visita a Paraguay a fin de obtener de forma directa información relevante para la supervisión de sentencias”, de conformidad con lo dispuesto en el artículo 69 del Reglamento</w:t>
      </w:r>
      <w:r w:rsidR="0089190D">
        <w:rPr>
          <w:rFonts w:ascii="Verdana" w:hAnsi="Verdana"/>
          <w:sz w:val="20"/>
        </w:rPr>
        <w:t xml:space="preserve"> de la Corte Interamericana</w:t>
      </w:r>
      <w:r w:rsidR="00FC31C0">
        <w:rPr>
          <w:rFonts w:ascii="Verdana" w:hAnsi="Verdana"/>
          <w:sz w:val="20"/>
        </w:rPr>
        <w:t xml:space="preserve"> y en el punto resolutivo séptimo de la Resolución de la Corte de 24 de junio de 2015</w:t>
      </w:r>
      <w:r>
        <w:rPr>
          <w:rFonts w:ascii="Verdana" w:hAnsi="Verdana" w:cs="Arial"/>
          <w:sz w:val="20"/>
          <w:lang w:val="es-CR"/>
        </w:rPr>
        <w:t>.</w:t>
      </w:r>
      <w:bookmarkEnd w:id="3"/>
    </w:p>
    <w:p w:rsidR="00AB60F5" w:rsidRDefault="00AB60F5" w:rsidP="00AB60F5">
      <w:pPr>
        <w:pStyle w:val="Prrafodelista"/>
        <w:rPr>
          <w:rFonts w:ascii="Verdana" w:hAnsi="Verdana" w:cs="Arial"/>
          <w:b/>
          <w:sz w:val="20"/>
          <w:lang w:val="es-CR"/>
        </w:rPr>
      </w:pPr>
    </w:p>
    <w:p w:rsidR="00AB60F5" w:rsidRPr="00E91E91" w:rsidRDefault="00AB60F5" w:rsidP="00AB60F5">
      <w:pPr>
        <w:numPr>
          <w:ilvl w:val="0"/>
          <w:numId w:val="1"/>
        </w:numPr>
        <w:ind w:left="0" w:right="4" w:firstLine="0"/>
        <w:jc w:val="both"/>
        <w:rPr>
          <w:rFonts w:ascii="Verdana" w:hAnsi="Verdana"/>
          <w:b/>
          <w:spacing w:val="-4"/>
          <w:sz w:val="20"/>
          <w:lang w:val="es-CR"/>
        </w:rPr>
      </w:pPr>
      <w:bookmarkStart w:id="4" w:name="_Ref456708084"/>
      <w:r w:rsidRPr="00E91E91">
        <w:rPr>
          <w:rFonts w:ascii="Verdana" w:hAnsi="Verdana" w:cs="Arial"/>
          <w:sz w:val="20"/>
          <w:lang w:val="es-CR"/>
        </w:rPr>
        <w:t>El escrito de observaciones presentado por la Comisión Interamericana de Derechos Humanos (</w:t>
      </w:r>
      <w:r w:rsidRPr="00E91E91">
        <w:rPr>
          <w:rFonts w:ascii="Verdana" w:eastAsia="Times New Roman" w:hAnsi="Verdana" w:cs="Arial"/>
          <w:color w:val="000000"/>
          <w:sz w:val="20"/>
          <w:lang w:val="es-CO"/>
        </w:rPr>
        <w:t xml:space="preserve">en adelante “la Comisión Interamericana” o “la Comisión”) el </w:t>
      </w:r>
      <w:r w:rsidR="00E91E91" w:rsidRPr="00E91E91">
        <w:rPr>
          <w:rFonts w:ascii="Verdana" w:eastAsia="Times New Roman" w:hAnsi="Verdana" w:cs="Arial"/>
          <w:color w:val="000000"/>
          <w:sz w:val="20"/>
          <w:lang w:val="es-CO"/>
        </w:rPr>
        <w:t>19</w:t>
      </w:r>
      <w:r w:rsidRPr="00E91E91">
        <w:rPr>
          <w:rFonts w:ascii="Verdana" w:eastAsia="Times New Roman" w:hAnsi="Verdana" w:cs="Arial"/>
          <w:color w:val="000000"/>
          <w:sz w:val="20"/>
          <w:lang w:val="es-CO"/>
        </w:rPr>
        <w:t xml:space="preserve"> de </w:t>
      </w:r>
      <w:r w:rsidR="00E91E91" w:rsidRPr="00E91E91">
        <w:rPr>
          <w:rFonts w:ascii="Verdana" w:eastAsia="Times New Roman" w:hAnsi="Verdana" w:cs="Arial"/>
          <w:color w:val="000000"/>
          <w:sz w:val="20"/>
          <w:lang w:val="es-CO"/>
        </w:rPr>
        <w:t>julio</w:t>
      </w:r>
      <w:r w:rsidRPr="00E91E91">
        <w:rPr>
          <w:rFonts w:ascii="Verdana" w:eastAsia="Times New Roman" w:hAnsi="Verdana" w:cs="Arial"/>
          <w:color w:val="000000"/>
          <w:sz w:val="20"/>
          <w:lang w:val="es-CO"/>
        </w:rPr>
        <w:t xml:space="preserve"> de 2016. </w:t>
      </w:r>
      <w:bookmarkEnd w:id="4"/>
    </w:p>
    <w:p w:rsidR="00E91E91" w:rsidRDefault="00E91E91" w:rsidP="00E91E91">
      <w:pPr>
        <w:pStyle w:val="Prrafodelista"/>
        <w:rPr>
          <w:rFonts w:ascii="Verdana" w:hAnsi="Verdana"/>
          <w:b/>
          <w:spacing w:val="-4"/>
          <w:sz w:val="20"/>
          <w:lang w:val="es-CR"/>
        </w:rPr>
      </w:pPr>
    </w:p>
    <w:p w:rsidR="00AB60F5" w:rsidRDefault="00AB60F5" w:rsidP="00AB60F5">
      <w:pPr>
        <w:tabs>
          <w:tab w:val="left" w:pos="567"/>
        </w:tabs>
        <w:jc w:val="both"/>
        <w:rPr>
          <w:rFonts w:ascii="Verdana" w:hAnsi="Verdana"/>
          <w:b/>
          <w:spacing w:val="-4"/>
          <w:sz w:val="20"/>
          <w:lang w:val="es-MX"/>
        </w:rPr>
      </w:pPr>
      <w:r>
        <w:rPr>
          <w:rFonts w:ascii="Verdana" w:hAnsi="Verdana"/>
          <w:b/>
          <w:spacing w:val="-4"/>
          <w:sz w:val="20"/>
          <w:lang w:val="es-MX"/>
        </w:rPr>
        <w:t xml:space="preserve">CONSIDERANDO QUE: </w:t>
      </w:r>
    </w:p>
    <w:p w:rsidR="00364F3D" w:rsidRDefault="00364F3D">
      <w:pPr>
        <w:rPr>
          <w:lang w:val="es-CR"/>
        </w:rPr>
      </w:pPr>
    </w:p>
    <w:p w:rsidR="00A46F12" w:rsidRPr="00CD664D" w:rsidRDefault="002D141C" w:rsidP="002D141C">
      <w:pPr>
        <w:numPr>
          <w:ilvl w:val="0"/>
          <w:numId w:val="4"/>
        </w:numPr>
        <w:ind w:left="0" w:right="4" w:firstLine="0"/>
        <w:jc w:val="both"/>
        <w:rPr>
          <w:lang w:val="es-CR"/>
        </w:rPr>
      </w:pPr>
      <w:bookmarkStart w:id="5" w:name="_Ref456707808"/>
      <w:r w:rsidRPr="00CD664D">
        <w:rPr>
          <w:rFonts w:ascii="Verdana" w:hAnsi="Verdana"/>
          <w:sz w:val="20"/>
        </w:rPr>
        <w:t>En el ejercicio de su función jurisdiccional de supervisar el cumplimiento de sus decisiones</w:t>
      </w:r>
      <w:r w:rsidRPr="00CD664D">
        <w:rPr>
          <w:rStyle w:val="PrrafodelistaCar"/>
          <w:rFonts w:ascii="Verdana" w:hAnsi="Verdana"/>
          <w:sz w:val="20"/>
          <w:vertAlign w:val="superscript"/>
        </w:rPr>
        <w:footnoteReference w:id="7"/>
      </w:r>
      <w:r w:rsidRPr="00CD664D">
        <w:rPr>
          <w:rFonts w:ascii="Verdana" w:hAnsi="Verdana"/>
          <w:sz w:val="20"/>
        </w:rPr>
        <w:t xml:space="preserve">, </w:t>
      </w:r>
      <w:r w:rsidRPr="00CD664D">
        <w:rPr>
          <w:rFonts w:ascii="Verdana" w:hAnsi="Verdana"/>
          <w:sz w:val="20"/>
          <w:lang w:val="es-ES"/>
        </w:rPr>
        <w:t xml:space="preserve">la Corte ha venido supervisando la ejecución de las Sentencias emitidas </w:t>
      </w:r>
      <w:r w:rsidRPr="00CD664D">
        <w:rPr>
          <w:rFonts w:ascii="Verdana" w:hAnsi="Verdana"/>
          <w:sz w:val="20"/>
          <w:lang w:val="es-MX"/>
        </w:rPr>
        <w:t xml:space="preserve">en los tres casos: desde el 2005 en el </w:t>
      </w:r>
      <w:r w:rsidRPr="00CD664D">
        <w:rPr>
          <w:rFonts w:ascii="Verdana" w:hAnsi="Verdana"/>
          <w:i/>
          <w:sz w:val="20"/>
          <w:lang w:val="es-MX"/>
        </w:rPr>
        <w:t>caso</w:t>
      </w:r>
      <w:r w:rsidRPr="00CD664D">
        <w:rPr>
          <w:rFonts w:ascii="Verdana" w:hAnsi="Verdana"/>
          <w:sz w:val="20"/>
          <w:lang w:val="es-MX"/>
        </w:rPr>
        <w:t xml:space="preserve"> </w:t>
      </w:r>
      <w:proofErr w:type="spellStart"/>
      <w:r w:rsidRPr="00CD664D">
        <w:rPr>
          <w:rFonts w:ascii="Verdana" w:hAnsi="Verdana"/>
          <w:i/>
          <w:sz w:val="20"/>
          <w:lang w:val="es-MX"/>
        </w:rPr>
        <w:t>Yakye</w:t>
      </w:r>
      <w:proofErr w:type="spellEnd"/>
      <w:r w:rsidRPr="00CD664D">
        <w:rPr>
          <w:rFonts w:ascii="Verdana" w:hAnsi="Verdana"/>
          <w:i/>
          <w:sz w:val="20"/>
          <w:lang w:val="es-MX"/>
        </w:rPr>
        <w:t xml:space="preserve"> Axa</w:t>
      </w:r>
      <w:r w:rsidRPr="00CD664D">
        <w:rPr>
          <w:rFonts w:ascii="Verdana" w:hAnsi="Verdana"/>
          <w:sz w:val="20"/>
          <w:lang w:val="es-MX"/>
        </w:rPr>
        <w:t xml:space="preserve">; desde el 2006 en el </w:t>
      </w:r>
      <w:r w:rsidRPr="00CD664D">
        <w:rPr>
          <w:rFonts w:ascii="Verdana" w:hAnsi="Verdana"/>
          <w:i/>
          <w:sz w:val="20"/>
          <w:lang w:val="es-MX"/>
        </w:rPr>
        <w:t>caso</w:t>
      </w:r>
      <w:r w:rsidRPr="00CD664D">
        <w:rPr>
          <w:rFonts w:ascii="Verdana" w:hAnsi="Verdana"/>
          <w:sz w:val="20"/>
          <w:lang w:val="es-MX"/>
        </w:rPr>
        <w:t xml:space="preserve"> </w:t>
      </w:r>
      <w:proofErr w:type="spellStart"/>
      <w:r w:rsidRPr="00CD664D">
        <w:rPr>
          <w:rFonts w:ascii="Verdana" w:hAnsi="Verdana" w:cs="Arial"/>
          <w:i/>
          <w:sz w:val="20"/>
          <w:lang w:val="es-CR"/>
        </w:rPr>
        <w:t>Sawhoyamaxa</w:t>
      </w:r>
      <w:proofErr w:type="spellEnd"/>
      <w:r w:rsidRPr="00CD664D">
        <w:rPr>
          <w:rFonts w:ascii="Verdana" w:hAnsi="Verdana" w:cs="Arial"/>
          <w:i/>
          <w:sz w:val="20"/>
          <w:lang w:val="es-CR"/>
        </w:rPr>
        <w:t>,</w:t>
      </w:r>
      <w:r w:rsidRPr="00CD664D">
        <w:rPr>
          <w:rFonts w:ascii="Verdana" w:hAnsi="Verdana"/>
          <w:sz w:val="20"/>
          <w:lang w:val="es-MX"/>
        </w:rPr>
        <w:t xml:space="preserve"> y desde el 2010 en el </w:t>
      </w:r>
      <w:r w:rsidRPr="00CD664D">
        <w:rPr>
          <w:rFonts w:ascii="Verdana" w:hAnsi="Verdana"/>
          <w:i/>
          <w:sz w:val="20"/>
          <w:lang w:val="es-MX"/>
        </w:rPr>
        <w:t>caso</w:t>
      </w:r>
      <w:r w:rsidRPr="00CD664D">
        <w:rPr>
          <w:rFonts w:ascii="Verdana" w:hAnsi="Verdana"/>
          <w:sz w:val="20"/>
          <w:lang w:val="es-MX"/>
        </w:rPr>
        <w:t xml:space="preserve"> </w:t>
      </w:r>
      <w:proofErr w:type="spellStart"/>
      <w:r w:rsidRPr="00CD664D">
        <w:rPr>
          <w:rFonts w:ascii="Verdana" w:hAnsi="Verdana" w:cs="Arial"/>
          <w:i/>
          <w:sz w:val="20"/>
          <w:lang w:val="es-CR"/>
        </w:rPr>
        <w:t>Xákmok</w:t>
      </w:r>
      <w:proofErr w:type="spellEnd"/>
      <w:r w:rsidRPr="00CD664D">
        <w:rPr>
          <w:rFonts w:ascii="Verdana" w:hAnsi="Verdana" w:cs="Arial"/>
          <w:i/>
          <w:sz w:val="20"/>
          <w:lang w:val="es-CR"/>
        </w:rPr>
        <w:t xml:space="preserve"> </w:t>
      </w:r>
      <w:proofErr w:type="spellStart"/>
      <w:r w:rsidRPr="00CD664D">
        <w:rPr>
          <w:rFonts w:ascii="Verdana" w:hAnsi="Verdana" w:cs="Arial"/>
          <w:i/>
          <w:sz w:val="20"/>
          <w:lang w:val="es-CR"/>
        </w:rPr>
        <w:t>Kásek</w:t>
      </w:r>
      <w:proofErr w:type="spellEnd"/>
      <w:r w:rsidRPr="00CD664D">
        <w:rPr>
          <w:rFonts w:ascii="Verdana" w:hAnsi="Verdana"/>
          <w:sz w:val="20"/>
          <w:lang w:val="es-MX"/>
        </w:rPr>
        <w:t xml:space="preserve"> (</w:t>
      </w:r>
      <w:r w:rsidRPr="00CD664D">
        <w:rPr>
          <w:rFonts w:ascii="Verdana" w:hAnsi="Verdana"/>
          <w:i/>
          <w:sz w:val="20"/>
          <w:lang w:val="es-MX"/>
        </w:rPr>
        <w:t>supra</w:t>
      </w:r>
      <w:r w:rsidRPr="00CD664D">
        <w:rPr>
          <w:rFonts w:ascii="Verdana" w:hAnsi="Verdana"/>
          <w:sz w:val="20"/>
          <w:lang w:val="es-MX"/>
        </w:rPr>
        <w:t xml:space="preserve"> Visto </w:t>
      </w:r>
      <w:r w:rsidR="00FC31C0" w:rsidRPr="00CD664D">
        <w:rPr>
          <w:rFonts w:ascii="Verdana" w:hAnsi="Verdana"/>
          <w:sz w:val="20"/>
          <w:lang w:val="es-MX"/>
        </w:rPr>
        <w:fldChar w:fldCharType="begin"/>
      </w:r>
      <w:r w:rsidR="00FC31C0" w:rsidRPr="00CD664D">
        <w:rPr>
          <w:rFonts w:ascii="Verdana" w:hAnsi="Verdana"/>
          <w:sz w:val="20"/>
          <w:lang w:val="es-MX"/>
        </w:rPr>
        <w:instrText xml:space="preserve"> REF _Ref456707882 \r \h </w:instrText>
      </w:r>
      <w:r w:rsidR="00CD664D">
        <w:rPr>
          <w:rFonts w:ascii="Verdana" w:hAnsi="Verdana"/>
          <w:sz w:val="20"/>
          <w:lang w:val="es-MX"/>
        </w:rPr>
        <w:instrText xml:space="preserve"> \* MERGEFORMAT </w:instrText>
      </w:r>
      <w:r w:rsidR="00FC31C0" w:rsidRPr="00CD664D">
        <w:rPr>
          <w:rFonts w:ascii="Verdana" w:hAnsi="Verdana"/>
          <w:sz w:val="20"/>
          <w:lang w:val="es-MX"/>
        </w:rPr>
      </w:r>
      <w:r w:rsidR="00FC31C0" w:rsidRPr="00CD664D">
        <w:rPr>
          <w:rFonts w:ascii="Verdana" w:hAnsi="Verdana"/>
          <w:sz w:val="20"/>
          <w:lang w:val="es-MX"/>
        </w:rPr>
        <w:fldChar w:fldCharType="separate"/>
      </w:r>
      <w:r w:rsidR="00717A33">
        <w:rPr>
          <w:rFonts w:ascii="Verdana" w:hAnsi="Verdana"/>
          <w:sz w:val="20"/>
          <w:lang w:val="es-MX"/>
        </w:rPr>
        <w:t>1</w:t>
      </w:r>
      <w:r w:rsidR="00FC31C0" w:rsidRPr="00CD664D">
        <w:rPr>
          <w:rFonts w:ascii="Verdana" w:hAnsi="Verdana"/>
          <w:sz w:val="20"/>
          <w:lang w:val="es-MX"/>
        </w:rPr>
        <w:fldChar w:fldCharType="end"/>
      </w:r>
      <w:r w:rsidRPr="00CD664D">
        <w:rPr>
          <w:rFonts w:ascii="Verdana" w:hAnsi="Verdana"/>
          <w:sz w:val="20"/>
          <w:lang w:val="es-MX"/>
        </w:rPr>
        <w:t xml:space="preserve">). </w:t>
      </w:r>
      <w:r w:rsidR="00BB301C" w:rsidRPr="00CD664D">
        <w:rPr>
          <w:rFonts w:ascii="Verdana" w:hAnsi="Verdana"/>
          <w:sz w:val="20"/>
          <w:lang w:val="es-MX"/>
        </w:rPr>
        <w:t>E</w:t>
      </w:r>
      <w:r w:rsidRPr="00CD664D">
        <w:rPr>
          <w:rFonts w:ascii="Verdana" w:hAnsi="Verdana"/>
          <w:sz w:val="20"/>
          <w:lang w:val="es-MX"/>
        </w:rPr>
        <w:t>ntre otras acciones, el 24 de junio de 2015 la Corte emitió una resolución de supervisión de cumplimiento de las Sentencias de los tres casos</w:t>
      </w:r>
      <w:r w:rsidR="00BB301C" w:rsidRPr="00CD664D">
        <w:rPr>
          <w:rFonts w:ascii="Verdana" w:hAnsi="Verdana"/>
          <w:sz w:val="20"/>
          <w:lang w:val="es-MX"/>
        </w:rPr>
        <w:t>,</w:t>
      </w:r>
      <w:r w:rsidR="00F8478C" w:rsidRPr="00CD664D">
        <w:rPr>
          <w:rFonts w:ascii="Verdana" w:hAnsi="Verdana"/>
          <w:sz w:val="20"/>
          <w:lang w:val="es-MX"/>
        </w:rPr>
        <w:t xml:space="preserve"> en la que</w:t>
      </w:r>
      <w:r w:rsidR="009965E0" w:rsidRPr="00CD664D">
        <w:rPr>
          <w:rFonts w:ascii="Verdana" w:hAnsi="Verdana"/>
          <w:sz w:val="20"/>
          <w:lang w:val="es-MX"/>
        </w:rPr>
        <w:t xml:space="preserve"> determinó que</w:t>
      </w:r>
      <w:r w:rsidR="00316A20" w:rsidRPr="00CD664D">
        <w:rPr>
          <w:rFonts w:ascii="Verdana" w:hAnsi="Verdana"/>
          <w:sz w:val="20"/>
          <w:lang w:val="es-MX"/>
        </w:rPr>
        <w:t xml:space="preserve">, con excepción de una medida de reparación correspondiente al caso </w:t>
      </w:r>
      <w:proofErr w:type="spellStart"/>
      <w:r w:rsidR="00316A20" w:rsidRPr="00CD664D">
        <w:rPr>
          <w:rFonts w:ascii="Verdana" w:hAnsi="Verdana"/>
          <w:i/>
          <w:sz w:val="20"/>
          <w:lang w:val="es-MX"/>
        </w:rPr>
        <w:t>Xákmok</w:t>
      </w:r>
      <w:proofErr w:type="spellEnd"/>
      <w:r w:rsidR="00316A20" w:rsidRPr="00CD664D">
        <w:rPr>
          <w:rFonts w:ascii="Verdana" w:hAnsi="Verdana"/>
          <w:i/>
          <w:sz w:val="20"/>
          <w:lang w:val="es-MX"/>
        </w:rPr>
        <w:t xml:space="preserve"> </w:t>
      </w:r>
      <w:proofErr w:type="spellStart"/>
      <w:r w:rsidR="00316A20" w:rsidRPr="00CD664D">
        <w:rPr>
          <w:rFonts w:ascii="Verdana" w:hAnsi="Verdana"/>
          <w:i/>
          <w:sz w:val="20"/>
          <w:lang w:val="es-MX"/>
        </w:rPr>
        <w:t>Kásek</w:t>
      </w:r>
      <w:proofErr w:type="spellEnd"/>
      <w:r w:rsidR="00316A20" w:rsidRPr="00CD664D">
        <w:rPr>
          <w:rStyle w:val="Refdenotaalpie"/>
          <w:rFonts w:ascii="Verdana" w:hAnsi="Verdana"/>
          <w:i/>
          <w:sz w:val="20"/>
          <w:lang w:val="es-MX"/>
        </w:rPr>
        <w:footnoteReference w:id="8"/>
      </w:r>
      <w:r w:rsidR="00316A20" w:rsidRPr="00CD664D">
        <w:rPr>
          <w:rFonts w:ascii="Verdana" w:hAnsi="Verdana"/>
          <w:i/>
          <w:sz w:val="20"/>
          <w:lang w:val="es-MX"/>
        </w:rPr>
        <w:t xml:space="preserve"> </w:t>
      </w:r>
      <w:r w:rsidR="00316A20" w:rsidRPr="00CD664D">
        <w:rPr>
          <w:rFonts w:ascii="Verdana" w:hAnsi="Verdana"/>
          <w:sz w:val="20"/>
          <w:lang w:val="es-MX"/>
        </w:rPr>
        <w:t>(</w:t>
      </w:r>
      <w:r w:rsidR="00316A20" w:rsidRPr="00CD664D">
        <w:rPr>
          <w:rFonts w:ascii="Verdana" w:hAnsi="Verdana"/>
          <w:i/>
          <w:sz w:val="20"/>
          <w:lang w:val="es-MX"/>
        </w:rPr>
        <w:t>infra</w:t>
      </w:r>
      <w:r w:rsidR="00316A20" w:rsidRPr="00CD664D">
        <w:rPr>
          <w:rFonts w:ascii="Verdana" w:hAnsi="Verdana"/>
          <w:sz w:val="20"/>
          <w:lang w:val="es-MX"/>
        </w:rPr>
        <w:t xml:space="preserve"> Considerandos </w:t>
      </w:r>
      <w:r w:rsidR="00316A20" w:rsidRPr="00CD664D">
        <w:rPr>
          <w:rFonts w:ascii="Verdana" w:hAnsi="Verdana"/>
          <w:sz w:val="20"/>
          <w:lang w:val="es-MX"/>
        </w:rPr>
        <w:fldChar w:fldCharType="begin"/>
      </w:r>
      <w:r w:rsidR="00316A20" w:rsidRPr="00CD664D">
        <w:rPr>
          <w:rFonts w:ascii="Verdana" w:hAnsi="Verdana"/>
          <w:sz w:val="20"/>
          <w:lang w:val="es-MX"/>
        </w:rPr>
        <w:instrText xml:space="preserve"> REF _Ref456707949 \r \h </w:instrText>
      </w:r>
      <w:r w:rsidR="00316A20">
        <w:rPr>
          <w:rFonts w:ascii="Verdana" w:hAnsi="Verdana"/>
          <w:sz w:val="20"/>
          <w:lang w:val="es-MX"/>
        </w:rPr>
        <w:instrText xml:space="preserve"> \* MERGEFORMAT </w:instrText>
      </w:r>
      <w:r w:rsidR="00316A20" w:rsidRPr="00CD664D">
        <w:rPr>
          <w:rFonts w:ascii="Verdana" w:hAnsi="Verdana"/>
          <w:sz w:val="20"/>
          <w:lang w:val="es-MX"/>
        </w:rPr>
      </w:r>
      <w:r w:rsidR="00316A20" w:rsidRPr="00CD664D">
        <w:rPr>
          <w:rFonts w:ascii="Verdana" w:hAnsi="Verdana"/>
          <w:sz w:val="20"/>
          <w:lang w:val="es-MX"/>
        </w:rPr>
        <w:fldChar w:fldCharType="separate"/>
      </w:r>
      <w:r w:rsidR="00717A33">
        <w:rPr>
          <w:rFonts w:ascii="Verdana" w:hAnsi="Verdana"/>
          <w:sz w:val="20"/>
          <w:lang w:val="es-MX"/>
        </w:rPr>
        <w:t>4</w:t>
      </w:r>
      <w:r w:rsidR="00316A20" w:rsidRPr="00CD664D">
        <w:rPr>
          <w:rFonts w:ascii="Verdana" w:hAnsi="Verdana"/>
          <w:sz w:val="20"/>
          <w:lang w:val="es-MX"/>
        </w:rPr>
        <w:fldChar w:fldCharType="end"/>
      </w:r>
      <w:r w:rsidR="00316A20" w:rsidRPr="00CD664D">
        <w:rPr>
          <w:rFonts w:ascii="Verdana" w:hAnsi="Verdana"/>
          <w:sz w:val="20"/>
          <w:lang w:val="es-MX"/>
        </w:rPr>
        <w:t xml:space="preserve"> a </w:t>
      </w:r>
      <w:r w:rsidR="00316A20" w:rsidRPr="00CD664D">
        <w:rPr>
          <w:rFonts w:ascii="Verdana" w:hAnsi="Verdana"/>
          <w:sz w:val="20"/>
          <w:lang w:val="es-MX"/>
        </w:rPr>
        <w:fldChar w:fldCharType="begin"/>
      </w:r>
      <w:r w:rsidR="00316A20" w:rsidRPr="00CD664D">
        <w:rPr>
          <w:rFonts w:ascii="Verdana" w:hAnsi="Verdana"/>
          <w:sz w:val="20"/>
          <w:lang w:val="es-MX"/>
        </w:rPr>
        <w:instrText xml:space="preserve"> REF _Ref456707955 \r \h </w:instrText>
      </w:r>
      <w:r w:rsidR="00316A20">
        <w:rPr>
          <w:rFonts w:ascii="Verdana" w:hAnsi="Verdana"/>
          <w:sz w:val="20"/>
          <w:lang w:val="es-MX"/>
        </w:rPr>
        <w:instrText xml:space="preserve"> \* MERGEFORMAT </w:instrText>
      </w:r>
      <w:r w:rsidR="00316A20" w:rsidRPr="00CD664D">
        <w:rPr>
          <w:rFonts w:ascii="Verdana" w:hAnsi="Verdana"/>
          <w:sz w:val="20"/>
          <w:lang w:val="es-MX"/>
        </w:rPr>
      </w:r>
      <w:r w:rsidR="00316A20" w:rsidRPr="00CD664D">
        <w:rPr>
          <w:rFonts w:ascii="Verdana" w:hAnsi="Verdana"/>
          <w:sz w:val="20"/>
          <w:lang w:val="es-MX"/>
        </w:rPr>
        <w:fldChar w:fldCharType="separate"/>
      </w:r>
      <w:r w:rsidR="00717A33">
        <w:rPr>
          <w:rFonts w:ascii="Verdana" w:hAnsi="Verdana"/>
          <w:sz w:val="20"/>
          <w:lang w:val="es-MX"/>
        </w:rPr>
        <w:t>12</w:t>
      </w:r>
      <w:r w:rsidR="00316A20" w:rsidRPr="00CD664D">
        <w:rPr>
          <w:rFonts w:ascii="Verdana" w:hAnsi="Verdana"/>
          <w:sz w:val="20"/>
          <w:lang w:val="es-MX"/>
        </w:rPr>
        <w:fldChar w:fldCharType="end"/>
      </w:r>
      <w:r w:rsidR="00316A20" w:rsidRPr="00CD664D">
        <w:rPr>
          <w:rFonts w:ascii="Verdana" w:hAnsi="Verdana"/>
          <w:sz w:val="20"/>
          <w:lang w:val="es-MX"/>
        </w:rPr>
        <w:t>),</w:t>
      </w:r>
      <w:r w:rsidR="009E6B87" w:rsidRPr="00CD664D">
        <w:rPr>
          <w:rFonts w:ascii="Verdana" w:hAnsi="Verdana"/>
          <w:sz w:val="20"/>
          <w:lang w:val="es-MX"/>
        </w:rPr>
        <w:t xml:space="preserve"> </w:t>
      </w:r>
      <w:r w:rsidR="009965E0" w:rsidRPr="00CD664D">
        <w:rPr>
          <w:rFonts w:ascii="Verdana" w:hAnsi="Verdana"/>
          <w:sz w:val="20"/>
          <w:lang w:val="es-MX"/>
        </w:rPr>
        <w:t xml:space="preserve">el Estado no había dado cumplimiento a las reparaciones </w:t>
      </w:r>
      <w:r w:rsidR="009E6B87" w:rsidRPr="00CD664D">
        <w:rPr>
          <w:rFonts w:ascii="Verdana" w:hAnsi="Verdana"/>
          <w:sz w:val="20"/>
          <w:lang w:val="es-MX"/>
        </w:rPr>
        <w:t xml:space="preserve">relativas </w:t>
      </w:r>
      <w:r w:rsidR="009965E0" w:rsidRPr="00CD664D">
        <w:rPr>
          <w:rFonts w:ascii="Verdana" w:hAnsi="Verdana"/>
          <w:sz w:val="20"/>
          <w:lang w:val="es-MX"/>
        </w:rPr>
        <w:t>a la identificación, entrega y titulación de las tierras tradicionales de las comunidades</w:t>
      </w:r>
      <w:r w:rsidR="009E6B87" w:rsidRPr="00CD664D">
        <w:rPr>
          <w:rFonts w:ascii="Verdana" w:hAnsi="Verdana"/>
          <w:sz w:val="20"/>
          <w:lang w:val="es-MX"/>
        </w:rPr>
        <w:t xml:space="preserve"> a pesar de que se encontraban vencidos los plazos dispuestos en las tres Sentencias para su cumplimiento (</w:t>
      </w:r>
      <w:r w:rsidR="009E6B87" w:rsidRPr="00CD664D">
        <w:rPr>
          <w:rFonts w:ascii="Verdana" w:hAnsi="Verdana"/>
          <w:i/>
          <w:sz w:val="20"/>
          <w:lang w:val="es-MX"/>
        </w:rPr>
        <w:t>infra</w:t>
      </w:r>
      <w:r w:rsidR="009E6B87" w:rsidRPr="00CD664D">
        <w:rPr>
          <w:rFonts w:ascii="Verdana" w:hAnsi="Verdana"/>
          <w:sz w:val="20"/>
          <w:lang w:val="es-MX"/>
        </w:rPr>
        <w:t xml:space="preserve"> Considerando </w:t>
      </w:r>
      <w:r w:rsidR="007A52EE">
        <w:rPr>
          <w:rFonts w:ascii="Verdana" w:hAnsi="Verdana"/>
          <w:sz w:val="20"/>
          <w:lang w:val="es-MX"/>
        </w:rPr>
        <w:fldChar w:fldCharType="begin"/>
      </w:r>
      <w:r w:rsidR="007A52EE">
        <w:rPr>
          <w:rFonts w:ascii="Verdana" w:hAnsi="Verdana"/>
          <w:sz w:val="20"/>
          <w:lang w:val="es-MX"/>
        </w:rPr>
        <w:instrText xml:space="preserve"> REF _Ref456707911 \r \h </w:instrText>
      </w:r>
      <w:r w:rsidR="007A52EE">
        <w:rPr>
          <w:rFonts w:ascii="Verdana" w:hAnsi="Verdana"/>
          <w:sz w:val="20"/>
          <w:lang w:val="es-MX"/>
        </w:rPr>
      </w:r>
      <w:r w:rsidR="007A52EE">
        <w:rPr>
          <w:rFonts w:ascii="Verdana" w:hAnsi="Verdana"/>
          <w:sz w:val="20"/>
          <w:lang w:val="es-MX"/>
        </w:rPr>
        <w:fldChar w:fldCharType="separate"/>
      </w:r>
      <w:r w:rsidR="00717A33">
        <w:rPr>
          <w:rFonts w:ascii="Verdana" w:hAnsi="Verdana"/>
          <w:sz w:val="20"/>
          <w:lang w:val="es-MX"/>
        </w:rPr>
        <w:t>18</w:t>
      </w:r>
      <w:r w:rsidR="007A52EE">
        <w:rPr>
          <w:rFonts w:ascii="Verdana" w:hAnsi="Verdana"/>
          <w:sz w:val="20"/>
          <w:lang w:val="es-MX"/>
        </w:rPr>
        <w:fldChar w:fldCharType="end"/>
      </w:r>
      <w:r w:rsidR="009E6B87" w:rsidRPr="00CD664D">
        <w:rPr>
          <w:rFonts w:ascii="Verdana" w:hAnsi="Verdana"/>
          <w:sz w:val="20"/>
          <w:lang w:val="es-MX"/>
        </w:rPr>
        <w:t>)</w:t>
      </w:r>
      <w:r w:rsidR="00F8478C" w:rsidRPr="00CD664D">
        <w:rPr>
          <w:rFonts w:ascii="Verdana" w:hAnsi="Verdana"/>
          <w:sz w:val="20"/>
          <w:lang w:val="es-CR"/>
        </w:rPr>
        <w:t xml:space="preserve">. Igualmente, en dicha Resolución </w:t>
      </w:r>
      <w:r w:rsidR="006E25A0" w:rsidRPr="00CD664D">
        <w:rPr>
          <w:rFonts w:ascii="Verdana" w:hAnsi="Verdana"/>
          <w:sz w:val="20"/>
        </w:rPr>
        <w:t xml:space="preserve">la Corte ordenó al Estado que presentara un informe conjunto sobre el cumplimiento de las Sentencias de los </w:t>
      </w:r>
      <w:r w:rsidR="00EF4FF2" w:rsidRPr="00CD664D">
        <w:rPr>
          <w:rFonts w:ascii="Verdana" w:hAnsi="Verdana"/>
          <w:sz w:val="20"/>
        </w:rPr>
        <w:t xml:space="preserve">tres </w:t>
      </w:r>
      <w:r w:rsidR="006E25A0" w:rsidRPr="00CD664D">
        <w:rPr>
          <w:rFonts w:ascii="Verdana" w:hAnsi="Verdana"/>
          <w:sz w:val="20"/>
        </w:rPr>
        <w:t>casos, en el cual se refiriera a todas las reparaciones pendientes de cumplimiento</w:t>
      </w:r>
      <w:r w:rsidR="00B716CF" w:rsidRPr="00CD664D">
        <w:rPr>
          <w:rFonts w:ascii="Verdana" w:hAnsi="Verdana"/>
          <w:sz w:val="20"/>
        </w:rPr>
        <w:t xml:space="preserve"> </w:t>
      </w:r>
      <w:r w:rsidR="00EF4FF2" w:rsidRPr="00CD664D">
        <w:rPr>
          <w:rFonts w:ascii="Verdana" w:hAnsi="Verdana"/>
          <w:sz w:val="20"/>
        </w:rPr>
        <w:t>y,</w:t>
      </w:r>
      <w:r w:rsidR="006E25A0" w:rsidRPr="00CD664D">
        <w:rPr>
          <w:rFonts w:ascii="Verdana" w:hAnsi="Verdana"/>
          <w:sz w:val="20"/>
        </w:rPr>
        <w:t xml:space="preserve"> </w:t>
      </w:r>
      <w:r w:rsidR="00EF4FF2" w:rsidRPr="00CD664D">
        <w:rPr>
          <w:rFonts w:ascii="Verdana" w:hAnsi="Verdana"/>
          <w:sz w:val="20"/>
        </w:rPr>
        <w:t>p</w:t>
      </w:r>
      <w:r w:rsidR="006E25A0" w:rsidRPr="00CD664D">
        <w:rPr>
          <w:rFonts w:ascii="Verdana" w:hAnsi="Verdana"/>
          <w:sz w:val="20"/>
        </w:rPr>
        <w:t xml:space="preserve">articularmente, </w:t>
      </w:r>
      <w:r w:rsidR="00EF4FF2" w:rsidRPr="00CD664D">
        <w:rPr>
          <w:rFonts w:ascii="Verdana" w:hAnsi="Verdana"/>
          <w:sz w:val="20"/>
        </w:rPr>
        <w:t xml:space="preserve">le requirió información específica sobre </w:t>
      </w:r>
      <w:r w:rsidR="006E25A0" w:rsidRPr="00CD664D">
        <w:rPr>
          <w:rFonts w:ascii="Verdana" w:hAnsi="Verdana"/>
          <w:sz w:val="20"/>
        </w:rPr>
        <w:t>las medidas relativas a la identificación, entrega y titulación de tierras</w:t>
      </w:r>
      <w:r w:rsidR="00E45843" w:rsidRPr="00CD664D">
        <w:rPr>
          <w:rStyle w:val="Refdenotaalpie"/>
          <w:rFonts w:ascii="Verdana" w:hAnsi="Verdana"/>
          <w:sz w:val="20"/>
        </w:rPr>
        <w:footnoteReference w:id="9"/>
      </w:r>
      <w:r w:rsidR="006E25A0" w:rsidRPr="00CD664D">
        <w:rPr>
          <w:rFonts w:ascii="Verdana" w:hAnsi="Verdana"/>
          <w:sz w:val="20"/>
        </w:rPr>
        <w:t>.</w:t>
      </w:r>
      <w:r w:rsidR="00F8478C" w:rsidRPr="00CD664D">
        <w:rPr>
          <w:rFonts w:ascii="Verdana" w:hAnsi="Verdana"/>
          <w:sz w:val="20"/>
          <w:lang w:val="es-ES"/>
        </w:rPr>
        <w:t xml:space="preserve"> Finalmente, la Corte dispuso en el punto resolutivo séptimo de dicha Resolución que</w:t>
      </w:r>
      <w:r w:rsidR="00A1198A" w:rsidRPr="00CD664D">
        <w:rPr>
          <w:rFonts w:ascii="Verdana" w:hAnsi="Verdana"/>
          <w:sz w:val="20"/>
          <w:lang w:val="es-ES"/>
        </w:rPr>
        <w:t>,</w:t>
      </w:r>
      <w:r w:rsidR="00F8478C" w:rsidRPr="00CD664D">
        <w:rPr>
          <w:rFonts w:ascii="Verdana" w:hAnsi="Verdana"/>
          <w:sz w:val="20"/>
          <w:lang w:val="es-ES"/>
        </w:rPr>
        <w:t xml:space="preserve"> </w:t>
      </w:r>
    </w:p>
    <w:p w:rsidR="00A46F12" w:rsidRPr="00A46F12" w:rsidRDefault="00A46F12" w:rsidP="00A46F12">
      <w:pPr>
        <w:ind w:right="4"/>
        <w:jc w:val="both"/>
        <w:rPr>
          <w:lang w:val="es-CR"/>
        </w:rPr>
      </w:pPr>
    </w:p>
    <w:p w:rsidR="00F8478C" w:rsidRPr="00A46F12" w:rsidRDefault="009364B5" w:rsidP="00A46F12">
      <w:pPr>
        <w:ind w:left="567" w:right="474"/>
        <w:jc w:val="both"/>
        <w:rPr>
          <w:sz w:val="16"/>
          <w:szCs w:val="16"/>
          <w:lang w:val="es-CR"/>
        </w:rPr>
      </w:pPr>
      <w:r>
        <w:rPr>
          <w:rFonts w:ascii="Verdana" w:hAnsi="Verdana"/>
          <w:sz w:val="16"/>
          <w:szCs w:val="16"/>
          <w:lang w:val="es-ES"/>
        </w:rPr>
        <w:t xml:space="preserve">[…] </w:t>
      </w:r>
      <w:r w:rsidR="00F8478C" w:rsidRPr="00A46F12">
        <w:rPr>
          <w:rFonts w:ascii="Verdana" w:hAnsi="Verdana"/>
          <w:sz w:val="16"/>
          <w:szCs w:val="16"/>
          <w:lang w:val="es-ES"/>
        </w:rPr>
        <w:t xml:space="preserve">de conformidad con el artículo 69 del Reglamento de la Corte, de ser necesario, el Presidente de la Corte </w:t>
      </w:r>
      <w:r w:rsidR="00F8478C" w:rsidRPr="00A46F12">
        <w:rPr>
          <w:rFonts w:ascii="Verdana" w:hAnsi="Verdana"/>
          <w:sz w:val="16"/>
          <w:szCs w:val="16"/>
          <w:lang w:val="es-CR"/>
        </w:rPr>
        <w:t>podrá delegar a uno o más jueces de la Corte o funcionarios de la Secretaría la realización de una visita a Paraguay con el fin de obtener de forma directa información relevante de las partes para supervisar el cumplimiento de la Sentencia, previo consentimiento y coordinación con el Estado de Paraguay.</w:t>
      </w:r>
      <w:bookmarkEnd w:id="5"/>
    </w:p>
    <w:p w:rsidR="00F8478C" w:rsidRPr="00F8478C" w:rsidRDefault="00F8478C" w:rsidP="00F8478C">
      <w:pPr>
        <w:ind w:right="4"/>
        <w:jc w:val="both"/>
        <w:rPr>
          <w:lang w:val="es-CR"/>
        </w:rPr>
      </w:pPr>
    </w:p>
    <w:p w:rsidR="00F8478C" w:rsidRDefault="00F8478C" w:rsidP="00F8478C">
      <w:pPr>
        <w:numPr>
          <w:ilvl w:val="0"/>
          <w:numId w:val="4"/>
        </w:numPr>
        <w:ind w:left="0" w:right="4" w:firstLine="0"/>
        <w:jc w:val="both"/>
        <w:rPr>
          <w:rFonts w:ascii="Verdana" w:hAnsi="Verdana"/>
          <w:sz w:val="20"/>
        </w:rPr>
      </w:pPr>
      <w:r>
        <w:rPr>
          <w:rFonts w:ascii="Verdana" w:hAnsi="Verdana"/>
          <w:sz w:val="20"/>
          <w:lang w:val="es-CR"/>
        </w:rPr>
        <w:t xml:space="preserve"> </w:t>
      </w:r>
      <w:r>
        <w:rPr>
          <w:rFonts w:ascii="Verdana" w:hAnsi="Verdana"/>
          <w:sz w:val="20"/>
        </w:rPr>
        <w:t xml:space="preserve">De conformidad con lo establecido en el artículo 68.1 de la Convención Americana, “[l]os Estados Partes en la Convención se comprometen a cumplir la </w:t>
      </w:r>
      <w:r>
        <w:rPr>
          <w:rFonts w:ascii="Verdana" w:hAnsi="Verdana"/>
          <w:sz w:val="20"/>
        </w:rPr>
        <w:lastRenderedPageBreak/>
        <w:t>decisión de la Corte en todo caso en que sean partes”. Esta obligación incluye el deber del Estado de informar a la Corte sobre las medidas adoptadas para cumplir cada uno de los puntos ordenados por ésta, lo cual es fundamental para evaluar el estado de cumplimiento de la</w:t>
      </w:r>
      <w:r w:rsidR="00FD6205">
        <w:rPr>
          <w:rFonts w:ascii="Verdana" w:hAnsi="Verdana"/>
          <w:sz w:val="20"/>
        </w:rPr>
        <w:t>s</w:t>
      </w:r>
      <w:r>
        <w:rPr>
          <w:rFonts w:ascii="Verdana" w:hAnsi="Verdana"/>
          <w:sz w:val="20"/>
        </w:rPr>
        <w:t xml:space="preserve"> Sentencia</w:t>
      </w:r>
      <w:r w:rsidR="00FD6205">
        <w:rPr>
          <w:rFonts w:ascii="Verdana" w:hAnsi="Verdana"/>
          <w:sz w:val="20"/>
        </w:rPr>
        <w:t>s</w:t>
      </w:r>
      <w:r>
        <w:rPr>
          <w:rFonts w:ascii="Verdana" w:hAnsi="Verdana"/>
          <w:sz w:val="20"/>
        </w:rPr>
        <w:t xml:space="preserve"> en su conjunto. Los Estados Parte en la Convención deben garantizar el cumplimiento de las disposiciones convencionales y sus efectos propios (</w:t>
      </w:r>
      <w:proofErr w:type="spellStart"/>
      <w:r>
        <w:rPr>
          <w:rFonts w:ascii="Verdana" w:hAnsi="Verdana"/>
          <w:i/>
          <w:sz w:val="20"/>
        </w:rPr>
        <w:t>effet</w:t>
      </w:r>
      <w:proofErr w:type="spellEnd"/>
      <w:r>
        <w:rPr>
          <w:rFonts w:ascii="Verdana" w:hAnsi="Verdana"/>
          <w:i/>
          <w:sz w:val="20"/>
        </w:rPr>
        <w:t xml:space="preserve"> </w:t>
      </w:r>
      <w:proofErr w:type="spellStart"/>
      <w:r>
        <w:rPr>
          <w:rFonts w:ascii="Verdana" w:hAnsi="Verdana"/>
          <w:i/>
          <w:sz w:val="20"/>
        </w:rPr>
        <w:t>utile</w:t>
      </w:r>
      <w:proofErr w:type="spellEnd"/>
      <w:r>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rPr>
        <w:footnoteReference w:id="10"/>
      </w:r>
      <w:r>
        <w:rPr>
          <w:rFonts w:ascii="Verdana" w:hAnsi="Verdana"/>
          <w:sz w:val="20"/>
        </w:rPr>
        <w:t>.</w:t>
      </w:r>
    </w:p>
    <w:p w:rsidR="00F8478C" w:rsidRDefault="00F8478C" w:rsidP="00F8478C">
      <w:pPr>
        <w:pStyle w:val="Prrafodelista"/>
        <w:rPr>
          <w:rFonts w:ascii="Verdana" w:hAnsi="Verdana"/>
          <w:sz w:val="20"/>
        </w:rPr>
      </w:pPr>
    </w:p>
    <w:p w:rsidR="001234EB" w:rsidRPr="008D72EA" w:rsidRDefault="00B7142F" w:rsidP="001234EB">
      <w:pPr>
        <w:numPr>
          <w:ilvl w:val="0"/>
          <w:numId w:val="4"/>
        </w:numPr>
        <w:ind w:left="0" w:right="4" w:firstLine="0"/>
        <w:jc w:val="both"/>
        <w:rPr>
          <w:rFonts w:ascii="Verdana" w:hAnsi="Verdana"/>
          <w:b/>
          <w:sz w:val="20"/>
        </w:rPr>
      </w:pPr>
      <w:r>
        <w:rPr>
          <w:rFonts w:ascii="Verdana" w:hAnsi="Verdana"/>
          <w:sz w:val="20"/>
        </w:rPr>
        <w:t>E</w:t>
      </w:r>
      <w:r w:rsidR="00F8478C" w:rsidRPr="006E25A0">
        <w:rPr>
          <w:rFonts w:ascii="Verdana" w:hAnsi="Verdana"/>
          <w:sz w:val="20"/>
        </w:rPr>
        <w:t xml:space="preserve">l Presidente estudiará la información proporcionada por el Estado en su informe </w:t>
      </w:r>
      <w:r w:rsidR="00953A3D">
        <w:rPr>
          <w:rFonts w:ascii="Verdana" w:hAnsi="Verdana"/>
          <w:sz w:val="20"/>
        </w:rPr>
        <w:t xml:space="preserve">presentado en atención a la </w:t>
      </w:r>
      <w:r w:rsidR="003A57D6">
        <w:rPr>
          <w:rFonts w:ascii="Verdana" w:hAnsi="Verdana"/>
          <w:sz w:val="20"/>
        </w:rPr>
        <w:t>R</w:t>
      </w:r>
      <w:r w:rsidR="00953A3D">
        <w:rPr>
          <w:rFonts w:ascii="Verdana" w:hAnsi="Verdana"/>
          <w:sz w:val="20"/>
        </w:rPr>
        <w:t>esolución de junio de 2015</w:t>
      </w:r>
      <w:r w:rsidR="003A57D6">
        <w:rPr>
          <w:rFonts w:ascii="Verdana" w:hAnsi="Verdana"/>
          <w:sz w:val="20"/>
        </w:rPr>
        <w:t xml:space="preserve"> </w:t>
      </w:r>
      <w:r w:rsidR="001947CE" w:rsidRPr="006E25A0">
        <w:rPr>
          <w:rFonts w:ascii="Verdana" w:hAnsi="Verdana"/>
          <w:sz w:val="20"/>
        </w:rPr>
        <w:t>(</w:t>
      </w:r>
      <w:r w:rsidR="001947CE" w:rsidRPr="006E25A0">
        <w:rPr>
          <w:rFonts w:ascii="Verdana" w:hAnsi="Verdana"/>
          <w:i/>
          <w:sz w:val="20"/>
        </w:rPr>
        <w:t>supra</w:t>
      </w:r>
      <w:r w:rsidR="00FC31C0">
        <w:rPr>
          <w:rFonts w:ascii="Verdana" w:hAnsi="Verdana"/>
          <w:sz w:val="20"/>
        </w:rPr>
        <w:t xml:space="preserve"> Visto</w:t>
      </w:r>
      <w:r w:rsidR="001947CE" w:rsidRPr="006E25A0">
        <w:rPr>
          <w:rFonts w:ascii="Verdana" w:hAnsi="Verdana"/>
          <w:sz w:val="20"/>
        </w:rPr>
        <w:t xml:space="preserve"> </w:t>
      </w:r>
      <w:r w:rsidR="00FC31C0">
        <w:rPr>
          <w:rFonts w:ascii="Verdana" w:hAnsi="Verdana"/>
          <w:sz w:val="20"/>
        </w:rPr>
        <w:fldChar w:fldCharType="begin"/>
      </w:r>
      <w:r w:rsidR="00FC31C0">
        <w:rPr>
          <w:rFonts w:ascii="Verdana" w:hAnsi="Verdana"/>
          <w:sz w:val="20"/>
        </w:rPr>
        <w:instrText xml:space="preserve"> REF _Ref456708045 \r \h </w:instrText>
      </w:r>
      <w:r w:rsidR="00FC31C0">
        <w:rPr>
          <w:rFonts w:ascii="Verdana" w:hAnsi="Verdana"/>
          <w:sz w:val="20"/>
        </w:rPr>
      </w:r>
      <w:r w:rsidR="00FC31C0">
        <w:rPr>
          <w:rFonts w:ascii="Verdana" w:hAnsi="Verdana"/>
          <w:sz w:val="20"/>
        </w:rPr>
        <w:fldChar w:fldCharType="separate"/>
      </w:r>
      <w:r w:rsidR="00717A33">
        <w:rPr>
          <w:rFonts w:ascii="Verdana" w:hAnsi="Verdana"/>
          <w:sz w:val="20"/>
        </w:rPr>
        <w:t>4</w:t>
      </w:r>
      <w:r w:rsidR="00FC31C0">
        <w:rPr>
          <w:rFonts w:ascii="Verdana" w:hAnsi="Verdana"/>
          <w:sz w:val="20"/>
        </w:rPr>
        <w:fldChar w:fldCharType="end"/>
      </w:r>
      <w:r w:rsidR="001947CE" w:rsidRPr="006E25A0">
        <w:rPr>
          <w:rFonts w:ascii="Verdana" w:hAnsi="Verdana"/>
          <w:sz w:val="20"/>
        </w:rPr>
        <w:t>)</w:t>
      </w:r>
      <w:r w:rsidR="00F8478C" w:rsidRPr="006E25A0">
        <w:rPr>
          <w:rFonts w:ascii="Verdana" w:hAnsi="Verdana"/>
          <w:sz w:val="20"/>
        </w:rPr>
        <w:t xml:space="preserve">, al igual que las observaciones </w:t>
      </w:r>
      <w:r w:rsidR="008D72EA">
        <w:rPr>
          <w:rFonts w:ascii="Verdana" w:hAnsi="Verdana"/>
          <w:sz w:val="20"/>
        </w:rPr>
        <w:t>remitidas</w:t>
      </w:r>
      <w:r w:rsidR="00F8478C" w:rsidRPr="006E25A0">
        <w:rPr>
          <w:rFonts w:ascii="Verdana" w:hAnsi="Verdana"/>
          <w:sz w:val="20"/>
        </w:rPr>
        <w:t xml:space="preserve"> por los representantes y la Comisión</w:t>
      </w:r>
      <w:r w:rsidR="001947CE" w:rsidRPr="006E25A0">
        <w:rPr>
          <w:rFonts w:ascii="Verdana" w:hAnsi="Verdana"/>
          <w:sz w:val="20"/>
        </w:rPr>
        <w:t xml:space="preserve"> (</w:t>
      </w:r>
      <w:r w:rsidR="001947CE" w:rsidRPr="006E25A0">
        <w:rPr>
          <w:rFonts w:ascii="Verdana" w:hAnsi="Verdana"/>
          <w:i/>
          <w:sz w:val="20"/>
        </w:rPr>
        <w:t>supra</w:t>
      </w:r>
      <w:r w:rsidR="001947CE" w:rsidRPr="006E25A0">
        <w:rPr>
          <w:rFonts w:ascii="Verdana" w:hAnsi="Verdana"/>
          <w:sz w:val="20"/>
        </w:rPr>
        <w:t xml:space="preserve"> Vistos </w:t>
      </w:r>
      <w:r w:rsidR="00FC31C0">
        <w:rPr>
          <w:rFonts w:ascii="Verdana" w:hAnsi="Verdana"/>
          <w:sz w:val="20"/>
        </w:rPr>
        <w:fldChar w:fldCharType="begin"/>
      </w:r>
      <w:r w:rsidR="00FC31C0">
        <w:rPr>
          <w:rFonts w:ascii="Verdana" w:hAnsi="Verdana"/>
          <w:sz w:val="20"/>
        </w:rPr>
        <w:instrText xml:space="preserve"> REF _Ref456708077 \r \h </w:instrText>
      </w:r>
      <w:r w:rsidR="00FC31C0">
        <w:rPr>
          <w:rFonts w:ascii="Verdana" w:hAnsi="Verdana"/>
          <w:sz w:val="20"/>
        </w:rPr>
      </w:r>
      <w:r w:rsidR="00FC31C0">
        <w:rPr>
          <w:rFonts w:ascii="Verdana" w:hAnsi="Verdana"/>
          <w:sz w:val="20"/>
        </w:rPr>
        <w:fldChar w:fldCharType="separate"/>
      </w:r>
      <w:r w:rsidR="00717A33">
        <w:rPr>
          <w:rFonts w:ascii="Verdana" w:hAnsi="Verdana"/>
          <w:sz w:val="20"/>
        </w:rPr>
        <w:t>5</w:t>
      </w:r>
      <w:r w:rsidR="00FC31C0">
        <w:rPr>
          <w:rFonts w:ascii="Verdana" w:hAnsi="Verdana"/>
          <w:sz w:val="20"/>
        </w:rPr>
        <w:fldChar w:fldCharType="end"/>
      </w:r>
      <w:r w:rsidR="00FC31C0">
        <w:rPr>
          <w:rFonts w:ascii="Verdana" w:hAnsi="Verdana"/>
          <w:sz w:val="20"/>
        </w:rPr>
        <w:t xml:space="preserve"> y </w:t>
      </w:r>
      <w:r w:rsidR="00FC31C0">
        <w:rPr>
          <w:rFonts w:ascii="Verdana" w:hAnsi="Verdana"/>
          <w:sz w:val="20"/>
        </w:rPr>
        <w:fldChar w:fldCharType="begin"/>
      </w:r>
      <w:r w:rsidR="00FC31C0">
        <w:rPr>
          <w:rFonts w:ascii="Verdana" w:hAnsi="Verdana"/>
          <w:sz w:val="20"/>
        </w:rPr>
        <w:instrText xml:space="preserve"> REF _Ref456708084 \r \h </w:instrText>
      </w:r>
      <w:r w:rsidR="00FC31C0">
        <w:rPr>
          <w:rFonts w:ascii="Verdana" w:hAnsi="Verdana"/>
          <w:sz w:val="20"/>
        </w:rPr>
      </w:r>
      <w:r w:rsidR="00FC31C0">
        <w:rPr>
          <w:rFonts w:ascii="Verdana" w:hAnsi="Verdana"/>
          <w:sz w:val="20"/>
        </w:rPr>
        <w:fldChar w:fldCharType="separate"/>
      </w:r>
      <w:r w:rsidR="00717A33">
        <w:rPr>
          <w:rFonts w:ascii="Verdana" w:hAnsi="Verdana"/>
          <w:sz w:val="20"/>
        </w:rPr>
        <w:t>6</w:t>
      </w:r>
      <w:r w:rsidR="00FC31C0">
        <w:rPr>
          <w:rFonts w:ascii="Verdana" w:hAnsi="Verdana"/>
          <w:sz w:val="20"/>
        </w:rPr>
        <w:fldChar w:fldCharType="end"/>
      </w:r>
      <w:r w:rsidR="001947CE" w:rsidRPr="006E25A0">
        <w:rPr>
          <w:rFonts w:ascii="Verdana" w:hAnsi="Verdana"/>
          <w:sz w:val="20"/>
        </w:rPr>
        <w:t>)</w:t>
      </w:r>
      <w:r w:rsidR="00F8478C" w:rsidRPr="006E25A0">
        <w:rPr>
          <w:rFonts w:ascii="Verdana" w:hAnsi="Verdana"/>
          <w:sz w:val="20"/>
        </w:rPr>
        <w:t>, para determinar</w:t>
      </w:r>
      <w:r w:rsidR="001947CE" w:rsidRPr="006E25A0">
        <w:rPr>
          <w:rFonts w:ascii="Verdana" w:hAnsi="Verdana"/>
          <w:sz w:val="20"/>
        </w:rPr>
        <w:t xml:space="preserve"> si </w:t>
      </w:r>
      <w:r w:rsidR="00AD130C">
        <w:rPr>
          <w:rFonts w:ascii="Verdana" w:hAnsi="Verdana"/>
          <w:sz w:val="20"/>
        </w:rPr>
        <w:t xml:space="preserve">resulta conveniente coordinar con el Estado la posibilidad de efectuar una visita para </w:t>
      </w:r>
      <w:r w:rsidR="000B145D" w:rsidRPr="006E25A0">
        <w:rPr>
          <w:rFonts w:ascii="Verdana" w:hAnsi="Verdana"/>
          <w:sz w:val="20"/>
        </w:rPr>
        <w:t xml:space="preserve">obtener </w:t>
      </w:r>
      <w:r w:rsidR="00ED0CEF" w:rsidRPr="006E25A0">
        <w:rPr>
          <w:rFonts w:ascii="Verdana" w:hAnsi="Verdana"/>
          <w:sz w:val="20"/>
        </w:rPr>
        <w:t xml:space="preserve">información de forma directa </w:t>
      </w:r>
      <w:r w:rsidR="00AD130C">
        <w:rPr>
          <w:rFonts w:ascii="Verdana" w:hAnsi="Verdana"/>
          <w:sz w:val="20"/>
        </w:rPr>
        <w:t>(</w:t>
      </w:r>
      <w:r w:rsidR="00AD130C" w:rsidRPr="00292D7A">
        <w:rPr>
          <w:rFonts w:ascii="Verdana" w:hAnsi="Verdana"/>
          <w:i/>
          <w:sz w:val="20"/>
        </w:rPr>
        <w:t>supra</w:t>
      </w:r>
      <w:r w:rsidR="00AD130C">
        <w:rPr>
          <w:rFonts w:ascii="Verdana" w:hAnsi="Verdana"/>
          <w:sz w:val="20"/>
        </w:rPr>
        <w:t xml:space="preserve"> Considerando </w:t>
      </w:r>
      <w:r w:rsidR="00FC31C0">
        <w:rPr>
          <w:rFonts w:ascii="Verdana" w:hAnsi="Verdana"/>
          <w:sz w:val="20"/>
        </w:rPr>
        <w:fldChar w:fldCharType="begin"/>
      </w:r>
      <w:r w:rsidR="00FC31C0">
        <w:rPr>
          <w:rFonts w:ascii="Verdana" w:hAnsi="Verdana"/>
          <w:sz w:val="20"/>
        </w:rPr>
        <w:instrText xml:space="preserve"> REF _Ref456707808 \r \h </w:instrText>
      </w:r>
      <w:r w:rsidR="00FC31C0">
        <w:rPr>
          <w:rFonts w:ascii="Verdana" w:hAnsi="Verdana"/>
          <w:sz w:val="20"/>
        </w:rPr>
      </w:r>
      <w:r w:rsidR="00FC31C0">
        <w:rPr>
          <w:rFonts w:ascii="Verdana" w:hAnsi="Verdana"/>
          <w:sz w:val="20"/>
        </w:rPr>
        <w:fldChar w:fldCharType="separate"/>
      </w:r>
      <w:r w:rsidR="00717A33">
        <w:rPr>
          <w:rFonts w:ascii="Verdana" w:hAnsi="Verdana"/>
          <w:sz w:val="20"/>
        </w:rPr>
        <w:t>1</w:t>
      </w:r>
      <w:r w:rsidR="00FC31C0">
        <w:rPr>
          <w:rFonts w:ascii="Verdana" w:hAnsi="Verdana"/>
          <w:sz w:val="20"/>
        </w:rPr>
        <w:fldChar w:fldCharType="end"/>
      </w:r>
      <w:r w:rsidR="00AD130C">
        <w:rPr>
          <w:rFonts w:ascii="Verdana" w:hAnsi="Verdana"/>
          <w:sz w:val="20"/>
        </w:rPr>
        <w:t>)</w:t>
      </w:r>
      <w:r w:rsidR="006E25A0" w:rsidRPr="006E25A0">
        <w:rPr>
          <w:rFonts w:ascii="Verdana" w:hAnsi="Verdana"/>
          <w:sz w:val="20"/>
        </w:rPr>
        <w:t>, tal como lo solicitaron los representantes</w:t>
      </w:r>
      <w:r w:rsidR="00AD130C">
        <w:rPr>
          <w:rFonts w:ascii="Verdana" w:hAnsi="Verdana"/>
          <w:sz w:val="20"/>
        </w:rPr>
        <w:t xml:space="preserve"> (</w:t>
      </w:r>
      <w:r w:rsidR="00AD130C" w:rsidRPr="00953A3D">
        <w:rPr>
          <w:rFonts w:ascii="Verdana" w:hAnsi="Verdana"/>
          <w:i/>
          <w:sz w:val="20"/>
        </w:rPr>
        <w:t>supra</w:t>
      </w:r>
      <w:r w:rsidR="00AD130C">
        <w:rPr>
          <w:rFonts w:ascii="Verdana" w:hAnsi="Verdana"/>
          <w:sz w:val="20"/>
        </w:rPr>
        <w:t xml:space="preserve"> Visto </w:t>
      </w:r>
      <w:r w:rsidR="00FC31C0">
        <w:rPr>
          <w:rFonts w:ascii="Verdana" w:hAnsi="Verdana"/>
          <w:sz w:val="20"/>
        </w:rPr>
        <w:fldChar w:fldCharType="begin"/>
      </w:r>
      <w:r w:rsidR="00FC31C0">
        <w:rPr>
          <w:rFonts w:ascii="Verdana" w:hAnsi="Verdana"/>
          <w:sz w:val="20"/>
        </w:rPr>
        <w:instrText xml:space="preserve"> REF _Ref456708077 \r \h </w:instrText>
      </w:r>
      <w:r w:rsidR="00FC31C0">
        <w:rPr>
          <w:rFonts w:ascii="Verdana" w:hAnsi="Verdana"/>
          <w:sz w:val="20"/>
        </w:rPr>
      </w:r>
      <w:r w:rsidR="00FC31C0">
        <w:rPr>
          <w:rFonts w:ascii="Verdana" w:hAnsi="Verdana"/>
          <w:sz w:val="20"/>
        </w:rPr>
        <w:fldChar w:fldCharType="separate"/>
      </w:r>
      <w:r w:rsidR="00717A33">
        <w:rPr>
          <w:rFonts w:ascii="Verdana" w:hAnsi="Verdana"/>
          <w:sz w:val="20"/>
        </w:rPr>
        <w:t>5</w:t>
      </w:r>
      <w:r w:rsidR="00FC31C0">
        <w:rPr>
          <w:rFonts w:ascii="Verdana" w:hAnsi="Verdana"/>
          <w:sz w:val="20"/>
        </w:rPr>
        <w:fldChar w:fldCharType="end"/>
      </w:r>
      <w:r w:rsidR="00AD130C">
        <w:rPr>
          <w:rFonts w:ascii="Verdana" w:hAnsi="Verdana"/>
          <w:sz w:val="20"/>
        </w:rPr>
        <w:t xml:space="preserve">), o decidir si solicitar un nuevo informe escrito al Paraguay para posteriormente poner en conocimiento de la Corte </w:t>
      </w:r>
      <w:r w:rsidR="00423CDA">
        <w:rPr>
          <w:rFonts w:ascii="Verdana" w:hAnsi="Verdana"/>
          <w:sz w:val="20"/>
        </w:rPr>
        <w:t xml:space="preserve">toda </w:t>
      </w:r>
      <w:r w:rsidR="00AD130C">
        <w:rPr>
          <w:rFonts w:ascii="Verdana" w:hAnsi="Verdana"/>
          <w:sz w:val="20"/>
        </w:rPr>
        <w:t>la información</w:t>
      </w:r>
      <w:r w:rsidR="00423CDA">
        <w:rPr>
          <w:rFonts w:ascii="Verdana" w:hAnsi="Verdana"/>
          <w:sz w:val="20"/>
        </w:rPr>
        <w:t xml:space="preserve"> y observaciones recibidas</w:t>
      </w:r>
      <w:r w:rsidR="006E25A0" w:rsidRPr="006E25A0">
        <w:rPr>
          <w:rFonts w:ascii="Verdana" w:hAnsi="Verdana"/>
          <w:sz w:val="20"/>
        </w:rPr>
        <w:t>.</w:t>
      </w:r>
      <w:r w:rsidR="00ED0CEF" w:rsidRPr="006E25A0">
        <w:rPr>
          <w:rFonts w:ascii="Verdana" w:hAnsi="Verdana"/>
          <w:sz w:val="20"/>
        </w:rPr>
        <w:t xml:space="preserve"> </w:t>
      </w:r>
      <w:r w:rsidR="001E7D44" w:rsidRPr="00EF653C">
        <w:rPr>
          <w:rFonts w:ascii="Verdana" w:hAnsi="Verdana"/>
          <w:sz w:val="20"/>
        </w:rPr>
        <w:t xml:space="preserve">El estado de cumplimiento de las </w:t>
      </w:r>
      <w:r w:rsidR="005611E4" w:rsidRPr="00EF653C">
        <w:rPr>
          <w:rFonts w:ascii="Verdana" w:hAnsi="Verdana"/>
          <w:sz w:val="20"/>
        </w:rPr>
        <w:t>reparaciones</w:t>
      </w:r>
      <w:r w:rsidR="001E7D44" w:rsidRPr="00EF653C">
        <w:rPr>
          <w:rFonts w:ascii="Verdana" w:hAnsi="Verdana"/>
          <w:sz w:val="20"/>
        </w:rPr>
        <w:t xml:space="preserve"> </w:t>
      </w:r>
      <w:r w:rsidR="005611E4" w:rsidRPr="00EF653C">
        <w:rPr>
          <w:rFonts w:ascii="Verdana" w:hAnsi="Verdana"/>
          <w:sz w:val="20"/>
        </w:rPr>
        <w:t>relativas a</w:t>
      </w:r>
      <w:r w:rsidR="001E7D44" w:rsidRPr="00EF653C">
        <w:rPr>
          <w:rFonts w:ascii="Verdana" w:hAnsi="Verdana"/>
          <w:sz w:val="20"/>
        </w:rPr>
        <w:t xml:space="preserve"> pago</w:t>
      </w:r>
      <w:r w:rsidR="005611E4" w:rsidRPr="00EF653C">
        <w:rPr>
          <w:rFonts w:ascii="Verdana" w:hAnsi="Verdana"/>
          <w:sz w:val="20"/>
        </w:rPr>
        <w:t>s</w:t>
      </w:r>
      <w:r w:rsidR="001E7D44" w:rsidRPr="00EF653C">
        <w:rPr>
          <w:rFonts w:ascii="Verdana" w:hAnsi="Verdana"/>
          <w:sz w:val="20"/>
        </w:rPr>
        <w:t xml:space="preserve"> de </w:t>
      </w:r>
      <w:r w:rsidR="005611E4" w:rsidRPr="00EF653C">
        <w:rPr>
          <w:rFonts w:ascii="Verdana" w:hAnsi="Verdana"/>
          <w:sz w:val="20"/>
        </w:rPr>
        <w:t>indemnizaciones</w:t>
      </w:r>
      <w:r w:rsidR="001E7D44" w:rsidRPr="00EF653C">
        <w:rPr>
          <w:rFonts w:ascii="Verdana" w:hAnsi="Verdana"/>
          <w:sz w:val="20"/>
        </w:rPr>
        <w:t xml:space="preserve"> y reintegro de costas y gastos</w:t>
      </w:r>
      <w:r w:rsidR="005611E4" w:rsidRPr="00EF653C">
        <w:rPr>
          <w:rStyle w:val="Refdenotaalpie"/>
          <w:rFonts w:ascii="Verdana" w:hAnsi="Verdana"/>
          <w:sz w:val="20"/>
        </w:rPr>
        <w:footnoteReference w:id="11"/>
      </w:r>
      <w:r w:rsidR="001E7D44" w:rsidRPr="00EF653C">
        <w:rPr>
          <w:rFonts w:ascii="Verdana" w:hAnsi="Verdana"/>
          <w:sz w:val="20"/>
        </w:rPr>
        <w:t>, las publicaciones y transmisio</w:t>
      </w:r>
      <w:r w:rsidR="005611E4" w:rsidRPr="00EF653C">
        <w:rPr>
          <w:rFonts w:ascii="Verdana" w:hAnsi="Verdana"/>
          <w:sz w:val="20"/>
        </w:rPr>
        <w:t>nes radiales de las Sentencias</w:t>
      </w:r>
      <w:r w:rsidR="005611E4" w:rsidRPr="00EF653C">
        <w:rPr>
          <w:rStyle w:val="Refdenotaalpie"/>
          <w:rFonts w:ascii="Verdana" w:hAnsi="Verdana"/>
          <w:sz w:val="20"/>
        </w:rPr>
        <w:footnoteReference w:id="12"/>
      </w:r>
      <w:r w:rsidR="001E7D44" w:rsidRPr="00EF653C">
        <w:rPr>
          <w:rFonts w:ascii="Verdana" w:hAnsi="Verdana"/>
          <w:sz w:val="20"/>
        </w:rPr>
        <w:t>, y la realización de un acto público de reconocimiento de responsabilidad</w:t>
      </w:r>
      <w:r w:rsidR="00B535E1" w:rsidRPr="00EF653C">
        <w:rPr>
          <w:rFonts w:ascii="Verdana" w:hAnsi="Verdana"/>
          <w:sz w:val="20"/>
        </w:rPr>
        <w:t xml:space="preserve"> internacional</w:t>
      </w:r>
      <w:r w:rsidR="00C40F64" w:rsidRPr="00EF653C">
        <w:rPr>
          <w:rStyle w:val="Refdenotaalpie"/>
          <w:rFonts w:ascii="Verdana" w:hAnsi="Verdana"/>
          <w:sz w:val="20"/>
        </w:rPr>
        <w:footnoteReference w:id="13"/>
      </w:r>
      <w:r w:rsidR="001E7D44" w:rsidRPr="00EF653C">
        <w:rPr>
          <w:rFonts w:ascii="Verdana" w:hAnsi="Verdana"/>
          <w:sz w:val="20"/>
        </w:rPr>
        <w:t xml:space="preserve"> serán valoradas por la </w:t>
      </w:r>
      <w:r w:rsidR="001E7D44" w:rsidRPr="00AB021F">
        <w:rPr>
          <w:rFonts w:ascii="Verdana" w:hAnsi="Verdana"/>
          <w:sz w:val="20"/>
        </w:rPr>
        <w:t>Corte en</w:t>
      </w:r>
      <w:r w:rsidR="00EF653C" w:rsidRPr="00AB021F">
        <w:rPr>
          <w:rFonts w:ascii="Verdana" w:hAnsi="Verdana"/>
          <w:sz w:val="20"/>
        </w:rPr>
        <w:t xml:space="preserve"> otra</w:t>
      </w:r>
      <w:r w:rsidR="00B535E1" w:rsidRPr="00AB021F">
        <w:rPr>
          <w:rFonts w:ascii="Verdana" w:hAnsi="Verdana"/>
          <w:sz w:val="20"/>
        </w:rPr>
        <w:t xml:space="preserve"> resolución</w:t>
      </w:r>
      <w:r w:rsidR="001E7D44" w:rsidRPr="00AB021F">
        <w:rPr>
          <w:rFonts w:ascii="Verdana" w:hAnsi="Verdana"/>
          <w:sz w:val="20"/>
        </w:rPr>
        <w:t xml:space="preserve">. </w:t>
      </w:r>
      <w:r w:rsidR="00EB73E4" w:rsidRPr="00AB021F">
        <w:rPr>
          <w:rFonts w:ascii="Verdana" w:hAnsi="Verdana"/>
          <w:sz w:val="20"/>
        </w:rPr>
        <w:t>L</w:t>
      </w:r>
      <w:r w:rsidR="006E25A0" w:rsidRPr="00AB021F">
        <w:rPr>
          <w:rFonts w:ascii="Verdana" w:hAnsi="Verdana"/>
          <w:sz w:val="20"/>
        </w:rPr>
        <w:t>a presente Resolución se estructura de la siguiente forma:</w:t>
      </w:r>
    </w:p>
    <w:p w:rsidR="008D72EA" w:rsidRPr="00AB021F" w:rsidRDefault="008D72EA" w:rsidP="008D72EA">
      <w:pPr>
        <w:ind w:right="4"/>
        <w:jc w:val="both"/>
        <w:rPr>
          <w:rFonts w:ascii="Verdana" w:hAnsi="Verdana"/>
          <w:b/>
          <w:sz w:val="20"/>
        </w:rPr>
      </w:pPr>
    </w:p>
    <w:p w:rsidR="006E25A0" w:rsidRPr="00AB021F" w:rsidRDefault="006E25A0">
      <w:pPr>
        <w:pStyle w:val="TtulodeTDC"/>
        <w:rPr>
          <w:rFonts w:ascii="Verdana" w:hAnsi="Verdana"/>
          <w:b w:val="0"/>
          <w:sz w:val="2"/>
          <w:szCs w:val="2"/>
        </w:rPr>
      </w:pPr>
    </w:p>
    <w:p w:rsidR="00E01505" w:rsidRPr="00F83E66" w:rsidRDefault="006E25A0" w:rsidP="005B643D">
      <w:pPr>
        <w:pStyle w:val="TDC1"/>
        <w:tabs>
          <w:tab w:val="left" w:pos="440"/>
          <w:tab w:val="right" w:leader="dot" w:pos="8828"/>
        </w:tabs>
        <w:ind w:left="567"/>
        <w:jc w:val="both"/>
        <w:rPr>
          <w:rFonts w:ascii="Verdana" w:eastAsia="MS Mincho" w:hAnsi="Verdana"/>
          <w:i/>
          <w:noProof/>
          <w:sz w:val="18"/>
          <w:szCs w:val="18"/>
          <w:lang w:val="es-CR" w:eastAsia="es-CR"/>
        </w:rPr>
      </w:pPr>
      <w:r w:rsidRPr="00AB021F">
        <w:rPr>
          <w:rFonts w:ascii="Verdana" w:hAnsi="Verdana"/>
          <w:i/>
          <w:sz w:val="20"/>
        </w:rPr>
        <w:fldChar w:fldCharType="begin"/>
      </w:r>
      <w:r w:rsidRPr="00AB021F">
        <w:rPr>
          <w:rFonts w:ascii="Verdana" w:hAnsi="Verdana"/>
          <w:i/>
          <w:sz w:val="20"/>
        </w:rPr>
        <w:instrText xml:space="preserve"> TOC \o "1-3" \h \z \u </w:instrText>
      </w:r>
      <w:r w:rsidRPr="00AB021F">
        <w:rPr>
          <w:rFonts w:ascii="Verdana" w:hAnsi="Verdana"/>
          <w:i/>
          <w:sz w:val="20"/>
        </w:rPr>
        <w:fldChar w:fldCharType="separate"/>
      </w:r>
      <w:hyperlink w:anchor="_Toc456959924" w:history="1">
        <w:r w:rsidR="00E01505" w:rsidRPr="00AB021F">
          <w:rPr>
            <w:rStyle w:val="Hipervnculo"/>
            <w:rFonts w:ascii="Verdana" w:hAnsi="Verdana"/>
            <w:i/>
            <w:noProof/>
            <w:sz w:val="18"/>
            <w:szCs w:val="18"/>
          </w:rPr>
          <w:t>A.</w:t>
        </w:r>
        <w:r w:rsidR="005B643D" w:rsidRPr="00AB021F">
          <w:rPr>
            <w:rStyle w:val="Hipervnculo"/>
            <w:rFonts w:ascii="Verdana" w:hAnsi="Verdana"/>
            <w:i/>
            <w:noProof/>
            <w:sz w:val="18"/>
            <w:szCs w:val="18"/>
          </w:rPr>
          <w:t xml:space="preserve"> </w:t>
        </w:r>
        <w:r w:rsidR="00E01505" w:rsidRPr="00AB021F">
          <w:rPr>
            <w:rStyle w:val="Hipervnculo"/>
            <w:rFonts w:ascii="Verdana" w:hAnsi="Verdana"/>
            <w:i/>
            <w:noProof/>
            <w:sz w:val="18"/>
            <w:szCs w:val="18"/>
          </w:rPr>
          <w:t>Medidas relativas a la identificación, entrega y titulación de las tierras tradicionales de las comunidades indígenas</w:t>
        </w:r>
        <w:r w:rsidR="00E01505" w:rsidRPr="00AB021F">
          <w:rPr>
            <w:rFonts w:ascii="Verdana" w:hAnsi="Verdana"/>
            <w:i/>
            <w:noProof/>
            <w:webHidden/>
            <w:sz w:val="18"/>
            <w:szCs w:val="18"/>
          </w:rPr>
          <w:tab/>
        </w:r>
        <w:r w:rsidR="00E01505" w:rsidRPr="00AB021F">
          <w:rPr>
            <w:rFonts w:ascii="Verdana" w:hAnsi="Verdana"/>
            <w:i/>
            <w:noProof/>
            <w:webHidden/>
            <w:sz w:val="18"/>
            <w:szCs w:val="18"/>
          </w:rPr>
          <w:fldChar w:fldCharType="begin"/>
        </w:r>
        <w:r w:rsidR="00E01505" w:rsidRPr="00AB021F">
          <w:rPr>
            <w:rFonts w:ascii="Verdana" w:hAnsi="Verdana"/>
            <w:i/>
            <w:noProof/>
            <w:webHidden/>
            <w:sz w:val="18"/>
            <w:szCs w:val="18"/>
          </w:rPr>
          <w:instrText xml:space="preserve"> PAGEREF _Toc456959924 \h </w:instrText>
        </w:r>
        <w:r w:rsidR="00E01505" w:rsidRPr="00AB021F">
          <w:rPr>
            <w:rFonts w:ascii="Verdana" w:hAnsi="Verdana"/>
            <w:i/>
            <w:noProof/>
            <w:webHidden/>
            <w:sz w:val="18"/>
            <w:szCs w:val="18"/>
          </w:rPr>
        </w:r>
        <w:r w:rsidR="00E01505" w:rsidRPr="00AB021F">
          <w:rPr>
            <w:rFonts w:ascii="Verdana" w:hAnsi="Verdana"/>
            <w:i/>
            <w:noProof/>
            <w:webHidden/>
            <w:sz w:val="18"/>
            <w:szCs w:val="18"/>
          </w:rPr>
          <w:fldChar w:fldCharType="separate"/>
        </w:r>
        <w:r w:rsidR="00717A33">
          <w:rPr>
            <w:rFonts w:ascii="Verdana" w:hAnsi="Verdana"/>
            <w:i/>
            <w:noProof/>
            <w:webHidden/>
            <w:sz w:val="18"/>
            <w:szCs w:val="18"/>
          </w:rPr>
          <w:t>3</w:t>
        </w:r>
        <w:r w:rsidR="00E01505" w:rsidRPr="00AB021F">
          <w:rPr>
            <w:rFonts w:ascii="Verdana" w:hAnsi="Verdana"/>
            <w:i/>
            <w:noProof/>
            <w:webHidden/>
            <w:sz w:val="18"/>
            <w:szCs w:val="18"/>
          </w:rPr>
          <w:fldChar w:fldCharType="end"/>
        </w:r>
      </w:hyperlink>
    </w:p>
    <w:p w:rsidR="00E01505" w:rsidRPr="00F83E66" w:rsidRDefault="00D347CE" w:rsidP="005B643D">
      <w:pPr>
        <w:pStyle w:val="TDC1"/>
        <w:tabs>
          <w:tab w:val="left" w:pos="440"/>
          <w:tab w:val="right" w:leader="dot" w:pos="8828"/>
        </w:tabs>
        <w:ind w:left="567"/>
        <w:jc w:val="both"/>
        <w:rPr>
          <w:rFonts w:ascii="Verdana" w:eastAsia="MS Mincho" w:hAnsi="Verdana"/>
          <w:i/>
          <w:noProof/>
          <w:sz w:val="18"/>
          <w:szCs w:val="18"/>
          <w:lang w:val="es-CR" w:eastAsia="es-CR"/>
        </w:rPr>
      </w:pPr>
      <w:hyperlink w:anchor="_Toc456959925" w:history="1">
        <w:r w:rsidR="00E01505" w:rsidRPr="00AB021F">
          <w:rPr>
            <w:rStyle w:val="Hipervnculo"/>
            <w:rFonts w:ascii="Verdana" w:hAnsi="Verdana"/>
            <w:i/>
            <w:noProof/>
            <w:sz w:val="18"/>
            <w:szCs w:val="18"/>
          </w:rPr>
          <w:t>B.</w:t>
        </w:r>
        <w:r w:rsidR="005B643D" w:rsidRPr="00AB021F">
          <w:rPr>
            <w:rStyle w:val="Hipervnculo"/>
            <w:rFonts w:ascii="Verdana" w:hAnsi="Verdana"/>
            <w:i/>
            <w:noProof/>
            <w:sz w:val="18"/>
            <w:szCs w:val="18"/>
          </w:rPr>
          <w:t xml:space="preserve"> </w:t>
        </w:r>
        <w:r w:rsidR="00E01505" w:rsidRPr="00AB021F">
          <w:rPr>
            <w:rStyle w:val="Hipervnculo"/>
            <w:rFonts w:ascii="Verdana" w:hAnsi="Verdana"/>
            <w:i/>
            <w:noProof/>
            <w:sz w:val="18"/>
            <w:szCs w:val="18"/>
          </w:rPr>
          <w:t>Con relación al cumplimiento de otras medidas de reparación</w:t>
        </w:r>
        <w:r w:rsidR="00E01505" w:rsidRPr="00AB021F">
          <w:rPr>
            <w:rFonts w:ascii="Verdana" w:hAnsi="Verdana"/>
            <w:i/>
            <w:noProof/>
            <w:webHidden/>
            <w:sz w:val="18"/>
            <w:szCs w:val="18"/>
          </w:rPr>
          <w:tab/>
        </w:r>
        <w:r w:rsidR="00E01505" w:rsidRPr="00AB021F">
          <w:rPr>
            <w:rFonts w:ascii="Verdana" w:hAnsi="Verdana"/>
            <w:i/>
            <w:noProof/>
            <w:webHidden/>
            <w:sz w:val="18"/>
            <w:szCs w:val="18"/>
          </w:rPr>
          <w:fldChar w:fldCharType="begin"/>
        </w:r>
        <w:r w:rsidR="00E01505" w:rsidRPr="00AB021F">
          <w:rPr>
            <w:rFonts w:ascii="Verdana" w:hAnsi="Verdana"/>
            <w:i/>
            <w:noProof/>
            <w:webHidden/>
            <w:sz w:val="18"/>
            <w:szCs w:val="18"/>
          </w:rPr>
          <w:instrText xml:space="preserve"> PAGEREF _Toc456959925 \h </w:instrText>
        </w:r>
        <w:r w:rsidR="00E01505" w:rsidRPr="00AB021F">
          <w:rPr>
            <w:rFonts w:ascii="Verdana" w:hAnsi="Verdana"/>
            <w:i/>
            <w:noProof/>
            <w:webHidden/>
            <w:sz w:val="18"/>
            <w:szCs w:val="18"/>
          </w:rPr>
        </w:r>
        <w:r w:rsidR="00E01505" w:rsidRPr="00AB021F">
          <w:rPr>
            <w:rFonts w:ascii="Verdana" w:hAnsi="Verdana"/>
            <w:i/>
            <w:noProof/>
            <w:webHidden/>
            <w:sz w:val="18"/>
            <w:szCs w:val="18"/>
          </w:rPr>
          <w:fldChar w:fldCharType="separate"/>
        </w:r>
        <w:r w:rsidR="00717A33">
          <w:rPr>
            <w:rFonts w:ascii="Verdana" w:hAnsi="Verdana"/>
            <w:i/>
            <w:noProof/>
            <w:webHidden/>
            <w:sz w:val="18"/>
            <w:szCs w:val="18"/>
          </w:rPr>
          <w:t>8</w:t>
        </w:r>
        <w:r w:rsidR="00E01505" w:rsidRPr="00AB021F">
          <w:rPr>
            <w:rFonts w:ascii="Verdana" w:hAnsi="Verdana"/>
            <w:i/>
            <w:noProof/>
            <w:webHidden/>
            <w:sz w:val="18"/>
            <w:szCs w:val="18"/>
          </w:rPr>
          <w:fldChar w:fldCharType="end"/>
        </w:r>
      </w:hyperlink>
    </w:p>
    <w:p w:rsidR="00E01505" w:rsidRPr="00F83E66" w:rsidRDefault="00D347CE" w:rsidP="005B643D">
      <w:pPr>
        <w:pStyle w:val="TDC1"/>
        <w:tabs>
          <w:tab w:val="left" w:pos="440"/>
          <w:tab w:val="right" w:leader="dot" w:pos="8828"/>
        </w:tabs>
        <w:ind w:left="567"/>
        <w:jc w:val="both"/>
        <w:rPr>
          <w:rFonts w:ascii="Verdana" w:eastAsia="MS Mincho" w:hAnsi="Verdana"/>
          <w:i/>
          <w:noProof/>
          <w:sz w:val="18"/>
          <w:szCs w:val="18"/>
          <w:lang w:val="es-CR" w:eastAsia="es-CR"/>
        </w:rPr>
      </w:pPr>
      <w:hyperlink w:anchor="_Toc456959926" w:history="1">
        <w:r w:rsidR="00E01505" w:rsidRPr="00AB021F">
          <w:rPr>
            <w:rStyle w:val="Hipervnculo"/>
            <w:rFonts w:ascii="Verdana" w:hAnsi="Verdana"/>
            <w:i/>
            <w:noProof/>
            <w:sz w:val="18"/>
            <w:szCs w:val="18"/>
          </w:rPr>
          <w:t>C.</w:t>
        </w:r>
        <w:r w:rsidR="005B643D" w:rsidRPr="00AB021F">
          <w:rPr>
            <w:rStyle w:val="Hipervnculo"/>
            <w:rFonts w:ascii="Verdana" w:hAnsi="Verdana"/>
            <w:i/>
            <w:noProof/>
            <w:sz w:val="18"/>
            <w:szCs w:val="18"/>
          </w:rPr>
          <w:t xml:space="preserve"> </w:t>
        </w:r>
        <w:r w:rsidR="00E01505" w:rsidRPr="00AB021F">
          <w:rPr>
            <w:rStyle w:val="Hipervnculo"/>
            <w:rFonts w:ascii="Verdana" w:hAnsi="Verdana"/>
            <w:i/>
            <w:noProof/>
            <w:sz w:val="18"/>
            <w:szCs w:val="18"/>
          </w:rPr>
          <w:t>Coordinación con Paraguay sobre posible visita (punto resolutivo séptimo de la Resolución de 2015)</w:t>
        </w:r>
        <w:r w:rsidR="00E01505" w:rsidRPr="00AB021F">
          <w:rPr>
            <w:rFonts w:ascii="Verdana" w:hAnsi="Verdana"/>
            <w:i/>
            <w:noProof/>
            <w:webHidden/>
            <w:sz w:val="18"/>
            <w:szCs w:val="18"/>
          </w:rPr>
          <w:tab/>
        </w:r>
        <w:r w:rsidR="00E01505" w:rsidRPr="00AB021F">
          <w:rPr>
            <w:rFonts w:ascii="Verdana" w:hAnsi="Verdana"/>
            <w:i/>
            <w:noProof/>
            <w:webHidden/>
            <w:sz w:val="18"/>
            <w:szCs w:val="18"/>
          </w:rPr>
          <w:fldChar w:fldCharType="begin"/>
        </w:r>
        <w:r w:rsidR="00E01505" w:rsidRPr="00AB021F">
          <w:rPr>
            <w:rFonts w:ascii="Verdana" w:hAnsi="Verdana"/>
            <w:i/>
            <w:noProof/>
            <w:webHidden/>
            <w:sz w:val="18"/>
            <w:szCs w:val="18"/>
          </w:rPr>
          <w:instrText xml:space="preserve"> PAGEREF _Toc456959926 \h </w:instrText>
        </w:r>
        <w:r w:rsidR="00E01505" w:rsidRPr="00AB021F">
          <w:rPr>
            <w:rFonts w:ascii="Verdana" w:hAnsi="Verdana"/>
            <w:i/>
            <w:noProof/>
            <w:webHidden/>
            <w:sz w:val="18"/>
            <w:szCs w:val="18"/>
          </w:rPr>
        </w:r>
        <w:r w:rsidR="00E01505" w:rsidRPr="00AB021F">
          <w:rPr>
            <w:rFonts w:ascii="Verdana" w:hAnsi="Verdana"/>
            <w:i/>
            <w:noProof/>
            <w:webHidden/>
            <w:sz w:val="18"/>
            <w:szCs w:val="18"/>
          </w:rPr>
          <w:fldChar w:fldCharType="separate"/>
        </w:r>
        <w:r w:rsidR="00717A33">
          <w:rPr>
            <w:rFonts w:ascii="Verdana" w:hAnsi="Verdana"/>
            <w:i/>
            <w:noProof/>
            <w:webHidden/>
            <w:sz w:val="18"/>
            <w:szCs w:val="18"/>
          </w:rPr>
          <w:t>10</w:t>
        </w:r>
        <w:r w:rsidR="00E01505" w:rsidRPr="00AB021F">
          <w:rPr>
            <w:rFonts w:ascii="Verdana" w:hAnsi="Verdana"/>
            <w:i/>
            <w:noProof/>
            <w:webHidden/>
            <w:sz w:val="18"/>
            <w:szCs w:val="18"/>
          </w:rPr>
          <w:fldChar w:fldCharType="end"/>
        </w:r>
      </w:hyperlink>
    </w:p>
    <w:p w:rsidR="005D3476" w:rsidRPr="00AB021F" w:rsidRDefault="006E25A0" w:rsidP="00DC6547">
      <w:r w:rsidRPr="00AB021F">
        <w:rPr>
          <w:rFonts w:ascii="Verdana" w:hAnsi="Verdana"/>
          <w:bCs/>
          <w:i/>
          <w:noProof/>
          <w:sz w:val="20"/>
        </w:rPr>
        <w:fldChar w:fldCharType="end"/>
      </w:r>
    </w:p>
    <w:p w:rsidR="008D72EA" w:rsidRDefault="008D72EA" w:rsidP="008D72EA">
      <w:pPr>
        <w:pStyle w:val="Ttulo1"/>
        <w:numPr>
          <w:ilvl w:val="0"/>
          <w:numId w:val="0"/>
        </w:numPr>
        <w:ind w:left="1440"/>
      </w:pPr>
      <w:bookmarkStart w:id="6" w:name="_Toc456959924"/>
    </w:p>
    <w:p w:rsidR="008D72EA" w:rsidRDefault="008D72EA" w:rsidP="008D72EA"/>
    <w:p w:rsidR="008D72EA" w:rsidRDefault="008D72EA" w:rsidP="008D72EA"/>
    <w:p w:rsidR="008D72EA" w:rsidRDefault="008D72EA" w:rsidP="008D72EA"/>
    <w:p w:rsidR="001234EB" w:rsidRPr="00CD664D" w:rsidRDefault="008C7C9B" w:rsidP="00953A3D">
      <w:pPr>
        <w:pStyle w:val="Ttulo1"/>
        <w:numPr>
          <w:ilvl w:val="0"/>
          <w:numId w:val="18"/>
        </w:numPr>
      </w:pPr>
      <w:r w:rsidRPr="00AB021F">
        <w:t>M</w:t>
      </w:r>
      <w:r w:rsidR="000B145D" w:rsidRPr="00AB021F">
        <w:t xml:space="preserve">edidas </w:t>
      </w:r>
      <w:r w:rsidR="00953A3D" w:rsidRPr="00AB021F">
        <w:t>relativas a la identificación, entrega y titulación de las</w:t>
      </w:r>
      <w:r w:rsidR="00953A3D" w:rsidRPr="00CD664D">
        <w:t xml:space="preserve"> tierras tradicionales de las comunidades indígenas</w:t>
      </w:r>
      <w:bookmarkEnd w:id="6"/>
    </w:p>
    <w:p w:rsidR="008F1212" w:rsidRPr="002C772A" w:rsidRDefault="008F1212" w:rsidP="002C772A">
      <w:pPr>
        <w:ind w:right="4"/>
        <w:jc w:val="both"/>
        <w:rPr>
          <w:rFonts w:ascii="Verdana" w:hAnsi="Verdana"/>
          <w:sz w:val="20"/>
        </w:rPr>
      </w:pPr>
    </w:p>
    <w:p w:rsidR="002C772A" w:rsidRPr="006A10A4" w:rsidRDefault="002C772A" w:rsidP="00F8478C">
      <w:pPr>
        <w:numPr>
          <w:ilvl w:val="0"/>
          <w:numId w:val="4"/>
        </w:numPr>
        <w:ind w:left="0" w:right="4" w:firstLine="0"/>
        <w:jc w:val="both"/>
        <w:rPr>
          <w:rFonts w:ascii="Verdana" w:hAnsi="Verdana"/>
          <w:sz w:val="20"/>
        </w:rPr>
      </w:pPr>
      <w:bookmarkStart w:id="7" w:name="_Ref456707949"/>
      <w:r>
        <w:rPr>
          <w:rFonts w:ascii="Verdana" w:hAnsi="Verdana"/>
          <w:sz w:val="20"/>
        </w:rPr>
        <w:t xml:space="preserve">Con relación al caso </w:t>
      </w:r>
      <w:proofErr w:type="spellStart"/>
      <w:r>
        <w:rPr>
          <w:rFonts w:ascii="Verdana" w:hAnsi="Verdana"/>
          <w:i/>
          <w:sz w:val="20"/>
        </w:rPr>
        <w:t>Yakye</w:t>
      </w:r>
      <w:proofErr w:type="spellEnd"/>
      <w:r>
        <w:rPr>
          <w:rFonts w:ascii="Verdana" w:hAnsi="Verdana"/>
          <w:i/>
          <w:sz w:val="20"/>
        </w:rPr>
        <w:t xml:space="preserve"> Axa</w:t>
      </w:r>
      <w:r>
        <w:rPr>
          <w:rFonts w:ascii="Verdana" w:hAnsi="Verdana"/>
          <w:sz w:val="20"/>
        </w:rPr>
        <w:t xml:space="preserve">, </w:t>
      </w:r>
      <w:r w:rsidR="007C03EE">
        <w:rPr>
          <w:rFonts w:ascii="Verdana" w:hAnsi="Verdana"/>
          <w:sz w:val="20"/>
        </w:rPr>
        <w:t xml:space="preserve">en la Resolución del 2015 </w:t>
      </w:r>
      <w:r>
        <w:rPr>
          <w:rFonts w:ascii="Verdana" w:hAnsi="Verdana"/>
          <w:sz w:val="20"/>
        </w:rPr>
        <w:t xml:space="preserve">la Corte determinó que </w:t>
      </w:r>
      <w:r>
        <w:rPr>
          <w:rFonts w:ascii="Verdana" w:hAnsi="Verdana"/>
          <w:sz w:val="20"/>
          <w:lang w:val="es-ES"/>
        </w:rPr>
        <w:t xml:space="preserve">la falta de titulación de las tierras alternativas a favor de la Comunidad </w:t>
      </w:r>
      <w:r w:rsidR="007561A6">
        <w:rPr>
          <w:rFonts w:ascii="Verdana" w:hAnsi="Verdana"/>
          <w:sz w:val="20"/>
          <w:lang w:val="es-ES"/>
        </w:rPr>
        <w:t>i</w:t>
      </w:r>
      <w:r>
        <w:rPr>
          <w:rFonts w:ascii="Verdana" w:hAnsi="Verdana"/>
          <w:sz w:val="20"/>
          <w:lang w:val="es-ES"/>
        </w:rPr>
        <w:t xml:space="preserve">ndígena </w:t>
      </w:r>
      <w:proofErr w:type="spellStart"/>
      <w:r>
        <w:rPr>
          <w:rFonts w:ascii="Verdana" w:hAnsi="Verdana"/>
          <w:i/>
          <w:sz w:val="20"/>
          <w:lang w:val="es-ES"/>
        </w:rPr>
        <w:t>Yakye</w:t>
      </w:r>
      <w:proofErr w:type="spellEnd"/>
      <w:r>
        <w:rPr>
          <w:rFonts w:ascii="Verdana" w:hAnsi="Verdana"/>
          <w:i/>
          <w:sz w:val="20"/>
          <w:lang w:val="es-ES"/>
        </w:rPr>
        <w:t xml:space="preserve"> Axa </w:t>
      </w:r>
      <w:r>
        <w:rPr>
          <w:rFonts w:ascii="Verdana" w:hAnsi="Verdana"/>
          <w:sz w:val="20"/>
          <w:lang w:val="es-ES"/>
        </w:rPr>
        <w:t>y la falta de un camino que permita el acceso a las mismas</w:t>
      </w:r>
      <w:r w:rsidR="00471E3A">
        <w:rPr>
          <w:rStyle w:val="Refdenotaalpie"/>
          <w:rFonts w:ascii="Verdana" w:hAnsi="Verdana"/>
          <w:sz w:val="20"/>
          <w:lang w:val="es-ES"/>
        </w:rPr>
        <w:footnoteReference w:id="14"/>
      </w:r>
      <w:r>
        <w:rPr>
          <w:rFonts w:ascii="Verdana" w:hAnsi="Verdana"/>
          <w:sz w:val="20"/>
          <w:lang w:val="es-ES"/>
        </w:rPr>
        <w:t xml:space="preserve"> configuran un </w:t>
      </w:r>
      <w:r>
        <w:rPr>
          <w:rFonts w:ascii="Verdana" w:hAnsi="Verdana"/>
          <w:sz w:val="20"/>
          <w:lang w:val="es-ES"/>
        </w:rPr>
        <w:lastRenderedPageBreak/>
        <w:t xml:space="preserve">incumplimiento del Estado de su obligación de delimitar, demarcar, titular y entregar las tierras alternativas a la Comunidad </w:t>
      </w:r>
      <w:proofErr w:type="spellStart"/>
      <w:r>
        <w:rPr>
          <w:rFonts w:ascii="Verdana" w:hAnsi="Verdana"/>
          <w:i/>
          <w:sz w:val="20"/>
          <w:lang w:val="es-ES"/>
        </w:rPr>
        <w:t>Yakye</w:t>
      </w:r>
      <w:proofErr w:type="spellEnd"/>
      <w:r>
        <w:rPr>
          <w:rFonts w:ascii="Verdana" w:hAnsi="Verdana"/>
          <w:i/>
          <w:sz w:val="20"/>
          <w:lang w:val="es-ES"/>
        </w:rPr>
        <w:t xml:space="preserve"> Axa</w:t>
      </w:r>
      <w:r>
        <w:rPr>
          <w:rFonts w:ascii="Verdana" w:hAnsi="Verdana"/>
          <w:sz w:val="20"/>
          <w:lang w:val="es-ES"/>
        </w:rPr>
        <w:t>, dispuesta en el punto resolutivo sexto de la Sentencia</w:t>
      </w:r>
      <w:r w:rsidR="00FA194C">
        <w:rPr>
          <w:rStyle w:val="Refdenotaalpie"/>
          <w:rFonts w:ascii="Verdana" w:hAnsi="Verdana"/>
          <w:sz w:val="20"/>
          <w:lang w:val="es-ES"/>
        </w:rPr>
        <w:footnoteReference w:id="15"/>
      </w:r>
      <w:r>
        <w:rPr>
          <w:rFonts w:ascii="Verdana" w:hAnsi="Verdana"/>
          <w:sz w:val="20"/>
          <w:lang w:val="es-ES"/>
        </w:rPr>
        <w:t xml:space="preserve">. Por ello, </w:t>
      </w:r>
      <w:r w:rsidR="007C03EE">
        <w:rPr>
          <w:rFonts w:ascii="Verdana" w:hAnsi="Verdana"/>
          <w:sz w:val="20"/>
          <w:lang w:val="es-ES"/>
        </w:rPr>
        <w:t xml:space="preserve">requirió </w:t>
      </w:r>
      <w:r w:rsidR="000B145D">
        <w:rPr>
          <w:rFonts w:ascii="Verdana" w:hAnsi="Verdana"/>
          <w:sz w:val="20"/>
          <w:lang w:val="es-ES"/>
        </w:rPr>
        <w:t>al Estado</w:t>
      </w:r>
      <w:r>
        <w:rPr>
          <w:rFonts w:ascii="Verdana" w:hAnsi="Verdana"/>
          <w:sz w:val="20"/>
          <w:lang w:val="es-ES"/>
        </w:rPr>
        <w:t xml:space="preserve"> </w:t>
      </w:r>
      <w:r w:rsidR="007C03EE">
        <w:rPr>
          <w:rFonts w:ascii="Verdana" w:hAnsi="Verdana"/>
          <w:sz w:val="20"/>
          <w:lang w:val="es-ES"/>
        </w:rPr>
        <w:t xml:space="preserve">proporcionar la información que </w:t>
      </w:r>
      <w:r>
        <w:rPr>
          <w:rFonts w:ascii="Verdana" w:hAnsi="Verdana"/>
          <w:sz w:val="20"/>
          <w:lang w:val="es-ES"/>
        </w:rPr>
        <w:t>acredit</w:t>
      </w:r>
      <w:r w:rsidR="007C03EE">
        <w:rPr>
          <w:rFonts w:ascii="Verdana" w:hAnsi="Verdana"/>
          <w:sz w:val="20"/>
          <w:lang w:val="es-ES"/>
        </w:rPr>
        <w:t>e</w:t>
      </w:r>
      <w:r>
        <w:rPr>
          <w:rFonts w:ascii="Verdana" w:hAnsi="Verdana"/>
          <w:sz w:val="20"/>
          <w:lang w:val="es-ES"/>
        </w:rPr>
        <w:t xml:space="preserve"> la adquisición de las tierras alternativas</w:t>
      </w:r>
      <w:r w:rsidR="00DC6547" w:rsidRPr="00DC6547">
        <w:rPr>
          <w:rFonts w:ascii="Verdana" w:hAnsi="Verdana"/>
          <w:sz w:val="20"/>
          <w:lang w:val="es-ES"/>
        </w:rPr>
        <w:t xml:space="preserve"> </w:t>
      </w:r>
      <w:r w:rsidR="00DC6547">
        <w:rPr>
          <w:rFonts w:ascii="Verdana" w:hAnsi="Verdana"/>
          <w:sz w:val="20"/>
          <w:lang w:val="es-ES"/>
        </w:rPr>
        <w:t>acordadas con la comunidad</w:t>
      </w:r>
      <w:r w:rsidR="006E2AA6">
        <w:rPr>
          <w:rStyle w:val="Refdenotaalpie"/>
          <w:rFonts w:ascii="Verdana" w:hAnsi="Verdana"/>
          <w:sz w:val="20"/>
          <w:lang w:val="es-ES"/>
        </w:rPr>
        <w:footnoteReference w:id="16"/>
      </w:r>
      <w:r>
        <w:rPr>
          <w:rFonts w:ascii="Verdana" w:hAnsi="Verdana"/>
          <w:sz w:val="20"/>
          <w:lang w:val="es-ES"/>
        </w:rPr>
        <w:t xml:space="preserve"> y su tit</w:t>
      </w:r>
      <w:r w:rsidR="000B145D">
        <w:rPr>
          <w:rFonts w:ascii="Verdana" w:hAnsi="Verdana"/>
          <w:sz w:val="20"/>
          <w:lang w:val="es-ES"/>
        </w:rPr>
        <w:t>ulación a favor de la comunidad</w:t>
      </w:r>
      <w:r w:rsidR="00DC6547" w:rsidRPr="00DC6547">
        <w:rPr>
          <w:rFonts w:ascii="Verdana" w:hAnsi="Verdana"/>
          <w:sz w:val="20"/>
          <w:lang w:val="es-ES"/>
        </w:rPr>
        <w:t xml:space="preserve"> </w:t>
      </w:r>
      <w:proofErr w:type="spellStart"/>
      <w:r w:rsidR="00DC6547">
        <w:rPr>
          <w:rFonts w:ascii="Verdana" w:hAnsi="Verdana"/>
          <w:i/>
          <w:sz w:val="20"/>
          <w:lang w:val="es-ES"/>
        </w:rPr>
        <w:t>Yakye</w:t>
      </w:r>
      <w:proofErr w:type="spellEnd"/>
      <w:r w:rsidR="00DC6547">
        <w:rPr>
          <w:rFonts w:ascii="Verdana" w:hAnsi="Verdana"/>
          <w:i/>
          <w:sz w:val="20"/>
          <w:lang w:val="es-ES"/>
        </w:rPr>
        <w:t xml:space="preserve"> Axa</w:t>
      </w:r>
      <w:r w:rsidR="007C03EE">
        <w:rPr>
          <w:rFonts w:ascii="Verdana" w:hAnsi="Verdana"/>
          <w:sz w:val="20"/>
          <w:lang w:val="es-ES"/>
        </w:rPr>
        <w:t xml:space="preserve">, así como aportar </w:t>
      </w:r>
      <w:r>
        <w:rPr>
          <w:rFonts w:ascii="Verdana" w:hAnsi="Verdana"/>
          <w:sz w:val="20"/>
          <w:lang w:val="es-ES"/>
        </w:rPr>
        <w:t xml:space="preserve">información actualizada y detallada sobre las medidas específicas que </w:t>
      </w:r>
      <w:r w:rsidR="000B145D">
        <w:rPr>
          <w:rFonts w:ascii="Verdana" w:hAnsi="Verdana"/>
          <w:sz w:val="20"/>
          <w:lang w:val="es-ES"/>
        </w:rPr>
        <w:t>se encuentra</w:t>
      </w:r>
      <w:r>
        <w:rPr>
          <w:rFonts w:ascii="Verdana" w:hAnsi="Verdana"/>
          <w:sz w:val="20"/>
          <w:lang w:val="es-ES"/>
        </w:rPr>
        <w:t xml:space="preserve"> implementando para construir el camino </w:t>
      </w:r>
      <w:r w:rsidR="000B145D">
        <w:rPr>
          <w:rFonts w:ascii="Verdana" w:hAnsi="Verdana"/>
          <w:sz w:val="20"/>
          <w:lang w:val="es-ES"/>
        </w:rPr>
        <w:t>que permita el</w:t>
      </w:r>
      <w:r>
        <w:rPr>
          <w:rFonts w:ascii="Verdana" w:hAnsi="Verdana"/>
          <w:sz w:val="20"/>
          <w:lang w:val="es-ES"/>
        </w:rPr>
        <w:t xml:space="preserve"> acceso a las tierras alternativas, al igual que la fecha prevista para garantizar todo lo necesario para que la pueda asentarse en dichas tierras</w:t>
      </w:r>
      <w:r w:rsidR="002704B0">
        <w:rPr>
          <w:rStyle w:val="Refdenotaalpie"/>
          <w:rFonts w:ascii="Verdana" w:hAnsi="Verdana"/>
          <w:sz w:val="20"/>
          <w:lang w:val="es-ES"/>
        </w:rPr>
        <w:footnoteReference w:id="17"/>
      </w:r>
      <w:r>
        <w:rPr>
          <w:rFonts w:ascii="Verdana" w:hAnsi="Verdana"/>
          <w:sz w:val="20"/>
          <w:lang w:val="es-ES"/>
        </w:rPr>
        <w:t>.</w:t>
      </w:r>
      <w:r w:rsidR="007561A6">
        <w:rPr>
          <w:rFonts w:ascii="Verdana" w:hAnsi="Verdana"/>
          <w:sz w:val="20"/>
          <w:lang w:val="es-ES"/>
        </w:rPr>
        <w:t xml:space="preserve"> La Corte destacó que habían transcurrido </w:t>
      </w:r>
      <w:r w:rsidR="009858EC">
        <w:rPr>
          <w:rFonts w:ascii="Verdana" w:hAnsi="Verdana"/>
          <w:sz w:val="20"/>
          <w:lang w:val="es-ES"/>
        </w:rPr>
        <w:t xml:space="preserve">seis </w:t>
      </w:r>
      <w:r w:rsidR="007561A6">
        <w:rPr>
          <w:rFonts w:ascii="Verdana" w:hAnsi="Verdana"/>
          <w:sz w:val="20"/>
          <w:lang w:val="es-ES"/>
        </w:rPr>
        <w:t>años</w:t>
      </w:r>
      <w:r w:rsidR="009858EC">
        <w:rPr>
          <w:rFonts w:ascii="Verdana" w:hAnsi="Verdana"/>
          <w:sz w:val="20"/>
          <w:lang w:val="es-ES"/>
        </w:rPr>
        <w:t xml:space="preserve"> y once meses</w:t>
      </w:r>
      <w:r w:rsidR="007561A6">
        <w:rPr>
          <w:rFonts w:ascii="Verdana" w:hAnsi="Verdana"/>
          <w:sz w:val="20"/>
          <w:lang w:val="es-ES"/>
        </w:rPr>
        <w:t xml:space="preserve"> desde el vencimiento del plazo para el cumplimiento de esta obligación</w:t>
      </w:r>
      <w:r w:rsidR="009858EC">
        <w:rPr>
          <w:rStyle w:val="Refdenotaalpie"/>
          <w:rFonts w:ascii="Verdana" w:hAnsi="Verdana"/>
          <w:sz w:val="20"/>
          <w:lang w:val="es-ES"/>
        </w:rPr>
        <w:footnoteReference w:id="18"/>
      </w:r>
      <w:r w:rsidR="007561A6">
        <w:rPr>
          <w:rFonts w:ascii="Verdana" w:hAnsi="Verdana"/>
          <w:sz w:val="20"/>
          <w:lang w:val="es-ES"/>
        </w:rPr>
        <w:t>.</w:t>
      </w:r>
      <w:bookmarkEnd w:id="7"/>
      <w:r w:rsidR="007561A6">
        <w:rPr>
          <w:rFonts w:ascii="Verdana" w:hAnsi="Verdana"/>
          <w:sz w:val="20"/>
          <w:lang w:val="es-ES"/>
        </w:rPr>
        <w:t xml:space="preserve"> </w:t>
      </w:r>
    </w:p>
    <w:p w:rsidR="006A10A4" w:rsidRPr="001234EB" w:rsidRDefault="006A10A4" w:rsidP="006A10A4">
      <w:pPr>
        <w:ind w:right="4"/>
        <w:jc w:val="both"/>
        <w:rPr>
          <w:rFonts w:ascii="Verdana" w:hAnsi="Verdana"/>
          <w:sz w:val="20"/>
        </w:rPr>
      </w:pPr>
    </w:p>
    <w:p w:rsidR="00676C47" w:rsidRPr="00CD664D" w:rsidRDefault="006E25A0" w:rsidP="001234EB">
      <w:pPr>
        <w:numPr>
          <w:ilvl w:val="0"/>
          <w:numId w:val="4"/>
        </w:numPr>
        <w:ind w:left="0" w:right="4" w:firstLine="0"/>
        <w:jc w:val="both"/>
        <w:rPr>
          <w:rFonts w:ascii="Verdana" w:hAnsi="Verdana"/>
          <w:sz w:val="20"/>
        </w:rPr>
      </w:pPr>
      <w:r w:rsidRPr="00CD664D">
        <w:rPr>
          <w:rFonts w:ascii="Verdana" w:hAnsi="Verdana"/>
          <w:sz w:val="20"/>
        </w:rPr>
        <w:t xml:space="preserve">El Presidente </w:t>
      </w:r>
      <w:r w:rsidR="001B14B2" w:rsidRPr="00CD664D">
        <w:rPr>
          <w:rFonts w:ascii="Verdana" w:hAnsi="Verdana"/>
          <w:sz w:val="20"/>
        </w:rPr>
        <w:t>hace not</w:t>
      </w:r>
      <w:r w:rsidR="00A75A24" w:rsidRPr="00CD664D">
        <w:rPr>
          <w:rFonts w:ascii="Verdana" w:hAnsi="Verdana"/>
          <w:sz w:val="20"/>
        </w:rPr>
        <w:t>ar que, según lo informado</w:t>
      </w:r>
      <w:r w:rsidR="001B14B2" w:rsidRPr="00CD664D">
        <w:rPr>
          <w:rFonts w:ascii="Verdana" w:hAnsi="Verdana"/>
          <w:sz w:val="20"/>
        </w:rPr>
        <w:t xml:space="preserve"> por el Estado</w:t>
      </w:r>
      <w:r w:rsidR="00B903C4" w:rsidRPr="00CD664D">
        <w:rPr>
          <w:rFonts w:ascii="Verdana" w:hAnsi="Verdana"/>
          <w:sz w:val="20"/>
        </w:rPr>
        <w:t xml:space="preserve"> con posterioridad a dicha resolución</w:t>
      </w:r>
      <w:r w:rsidR="001B14B2" w:rsidRPr="00CD664D">
        <w:rPr>
          <w:rFonts w:ascii="Verdana" w:hAnsi="Verdana"/>
          <w:sz w:val="20"/>
        </w:rPr>
        <w:t xml:space="preserve">, </w:t>
      </w:r>
      <w:r w:rsidR="00A75A24" w:rsidRPr="00CD664D">
        <w:rPr>
          <w:rFonts w:ascii="Verdana" w:hAnsi="Verdana"/>
          <w:sz w:val="20"/>
        </w:rPr>
        <w:t>aún no se ha efectuado la titulación de las tierras</w:t>
      </w:r>
      <w:r w:rsidR="00341C2F">
        <w:rPr>
          <w:rFonts w:ascii="Verdana" w:hAnsi="Verdana"/>
          <w:sz w:val="20"/>
        </w:rPr>
        <w:t xml:space="preserve"> alternativas indicadas en el Considerando anterior</w:t>
      </w:r>
      <w:r w:rsidR="00A75A24" w:rsidRPr="00CD664D">
        <w:rPr>
          <w:rFonts w:ascii="Verdana" w:hAnsi="Verdana"/>
          <w:sz w:val="20"/>
        </w:rPr>
        <w:t xml:space="preserve"> a favor de la Comunidad </w:t>
      </w:r>
      <w:proofErr w:type="spellStart"/>
      <w:r w:rsidR="00A75A24" w:rsidRPr="00341C2F">
        <w:rPr>
          <w:rFonts w:ascii="Verdana" w:hAnsi="Verdana"/>
          <w:i/>
          <w:sz w:val="20"/>
        </w:rPr>
        <w:t>Yakye</w:t>
      </w:r>
      <w:proofErr w:type="spellEnd"/>
      <w:r w:rsidR="00A75A24" w:rsidRPr="00341C2F">
        <w:rPr>
          <w:rFonts w:ascii="Verdana" w:hAnsi="Verdana"/>
          <w:i/>
          <w:sz w:val="20"/>
        </w:rPr>
        <w:t xml:space="preserve"> Axa</w:t>
      </w:r>
      <w:r w:rsidR="00A75A24" w:rsidRPr="00CD664D">
        <w:rPr>
          <w:rFonts w:ascii="Verdana" w:hAnsi="Verdana"/>
          <w:sz w:val="20"/>
        </w:rPr>
        <w:t xml:space="preserve">. </w:t>
      </w:r>
      <w:r w:rsidR="00B903C4" w:rsidRPr="00CD664D">
        <w:rPr>
          <w:rFonts w:ascii="Verdana" w:hAnsi="Verdana"/>
          <w:sz w:val="20"/>
        </w:rPr>
        <w:t>Paraguay presentó información dirigida a acreditar la adquisición de las referidas tierras a favor del Instituto Paraguayo del Indígena</w:t>
      </w:r>
      <w:r w:rsidR="006E44FD" w:rsidRPr="00CD664D">
        <w:rPr>
          <w:rStyle w:val="Refdenotaalpie"/>
          <w:rFonts w:ascii="Verdana" w:hAnsi="Verdana"/>
          <w:sz w:val="20"/>
        </w:rPr>
        <w:footnoteReference w:id="19"/>
      </w:r>
      <w:r w:rsidR="00341C2F">
        <w:rPr>
          <w:rFonts w:ascii="Verdana" w:hAnsi="Verdana"/>
          <w:sz w:val="20"/>
        </w:rPr>
        <w:t>.</w:t>
      </w:r>
      <w:r w:rsidR="001B14B2" w:rsidRPr="00CD664D">
        <w:rPr>
          <w:rFonts w:ascii="Verdana" w:hAnsi="Verdana"/>
          <w:sz w:val="20"/>
        </w:rPr>
        <w:t xml:space="preserve"> </w:t>
      </w:r>
      <w:r w:rsidR="00341C2F">
        <w:rPr>
          <w:rFonts w:ascii="Verdana" w:hAnsi="Verdana"/>
          <w:sz w:val="20"/>
        </w:rPr>
        <w:t>C</w:t>
      </w:r>
      <w:r w:rsidR="00B903C4" w:rsidRPr="00CD664D">
        <w:rPr>
          <w:rFonts w:ascii="Verdana" w:hAnsi="Verdana"/>
          <w:sz w:val="20"/>
        </w:rPr>
        <w:t>on respecto a la falta de titulación a favor de la comunidad</w:t>
      </w:r>
      <w:r w:rsidR="006E44FD" w:rsidRPr="00CD664D">
        <w:rPr>
          <w:rFonts w:ascii="Verdana" w:hAnsi="Verdana"/>
          <w:sz w:val="20"/>
        </w:rPr>
        <w:t>,</w:t>
      </w:r>
      <w:r w:rsidR="00B903C4" w:rsidRPr="00CD664D">
        <w:rPr>
          <w:rFonts w:ascii="Verdana" w:hAnsi="Verdana"/>
          <w:sz w:val="20"/>
        </w:rPr>
        <w:t xml:space="preserve"> indicó que </w:t>
      </w:r>
      <w:r w:rsidR="00341C2F">
        <w:rPr>
          <w:rFonts w:ascii="Verdana" w:hAnsi="Verdana"/>
          <w:sz w:val="20"/>
          <w:lang w:val="es-CR"/>
        </w:rPr>
        <w:t>dicho territorio lo habría adquirido</w:t>
      </w:r>
      <w:r w:rsidR="00CD664D" w:rsidRPr="00CD664D">
        <w:rPr>
          <w:rFonts w:ascii="Verdana" w:hAnsi="Verdana"/>
          <w:sz w:val="20"/>
          <w:lang w:val="es-CR"/>
        </w:rPr>
        <w:t xml:space="preserve"> para el cumplimiento de la sentencia del caso </w:t>
      </w:r>
      <w:proofErr w:type="spellStart"/>
      <w:r w:rsidR="00CD664D" w:rsidRPr="00CD664D">
        <w:rPr>
          <w:rFonts w:ascii="Verdana" w:hAnsi="Verdana"/>
          <w:i/>
          <w:sz w:val="20"/>
          <w:lang w:val="es-CR"/>
        </w:rPr>
        <w:t>Yakye</w:t>
      </w:r>
      <w:proofErr w:type="spellEnd"/>
      <w:r w:rsidR="00CD664D" w:rsidRPr="00CD664D">
        <w:rPr>
          <w:rFonts w:ascii="Verdana" w:hAnsi="Verdana"/>
          <w:i/>
          <w:sz w:val="20"/>
          <w:lang w:val="es-CR"/>
        </w:rPr>
        <w:t xml:space="preserve"> Axa</w:t>
      </w:r>
      <w:r w:rsidR="00CD664D" w:rsidRPr="00CD664D">
        <w:rPr>
          <w:rFonts w:ascii="Verdana" w:hAnsi="Verdana"/>
          <w:sz w:val="20"/>
          <w:lang w:val="es-CR"/>
        </w:rPr>
        <w:t xml:space="preserve"> y “del acuerdo de solución amistosa” que habría celebrado con la Comunidad </w:t>
      </w:r>
      <w:proofErr w:type="spellStart"/>
      <w:r w:rsidR="00CD664D" w:rsidRPr="00CD664D">
        <w:rPr>
          <w:rFonts w:ascii="Verdana" w:hAnsi="Verdana"/>
          <w:sz w:val="20"/>
          <w:lang w:val="es-CR"/>
        </w:rPr>
        <w:t>Kelyenmagategma</w:t>
      </w:r>
      <w:proofErr w:type="spellEnd"/>
      <w:r w:rsidR="00CD664D" w:rsidRPr="00CD664D">
        <w:rPr>
          <w:rFonts w:ascii="Verdana" w:hAnsi="Verdana"/>
          <w:sz w:val="20"/>
          <w:lang w:val="es-CR"/>
        </w:rPr>
        <w:t xml:space="preserve">. </w:t>
      </w:r>
      <w:r w:rsidR="00B03505">
        <w:rPr>
          <w:rFonts w:ascii="Verdana" w:hAnsi="Verdana"/>
          <w:sz w:val="20"/>
          <w:lang w:val="es-CR"/>
        </w:rPr>
        <w:t>I</w:t>
      </w:r>
      <w:r w:rsidR="00CD664D" w:rsidRPr="00CD664D">
        <w:rPr>
          <w:rFonts w:ascii="Verdana" w:hAnsi="Verdana"/>
          <w:sz w:val="20"/>
          <w:lang w:val="es-CR"/>
        </w:rPr>
        <w:t>ndicó que</w:t>
      </w:r>
      <w:r w:rsidR="00B03505">
        <w:rPr>
          <w:rFonts w:ascii="Verdana" w:hAnsi="Verdana"/>
          <w:sz w:val="20"/>
          <w:lang w:val="es-CR"/>
        </w:rPr>
        <w:t>, no obstante,</w:t>
      </w:r>
      <w:r w:rsidR="00CD664D" w:rsidRPr="00CD664D">
        <w:rPr>
          <w:rFonts w:ascii="Verdana" w:hAnsi="Verdana"/>
          <w:sz w:val="20"/>
          <w:lang w:val="es-CR"/>
        </w:rPr>
        <w:t xml:space="preserve"> esta última comunidad rechazó el territorio adquirido por el INDI, “por encontrarse fuera de las áreas reivindicadas como sagradas” de dicha comunidad.</w:t>
      </w:r>
      <w:r w:rsidR="00B03505">
        <w:rPr>
          <w:rFonts w:ascii="Verdana" w:hAnsi="Verdana"/>
          <w:sz w:val="20"/>
          <w:lang w:val="es-CR"/>
        </w:rPr>
        <w:t xml:space="preserve"> El Estado afirmó que, por esa razón,</w:t>
      </w:r>
      <w:r w:rsidR="00CD664D" w:rsidRPr="00CD664D">
        <w:rPr>
          <w:rFonts w:ascii="Verdana" w:hAnsi="Verdana"/>
          <w:sz w:val="20"/>
          <w:lang w:val="es-CR"/>
        </w:rPr>
        <w:t xml:space="preserve"> quedaron “interrumpidos los trámites de transferencia a [ambas] Comunidades beneficiarias al haber sobrevenido el rechazo de la fracción teóricamente adquirida para </w:t>
      </w:r>
      <w:proofErr w:type="spellStart"/>
      <w:r w:rsidR="00CD664D" w:rsidRPr="00CD664D">
        <w:rPr>
          <w:rFonts w:ascii="Verdana" w:hAnsi="Verdana"/>
          <w:sz w:val="20"/>
          <w:lang w:val="es-CR"/>
        </w:rPr>
        <w:t>Kelyenmagategma</w:t>
      </w:r>
      <w:proofErr w:type="spellEnd"/>
      <w:r w:rsidR="00CD664D" w:rsidRPr="00CD664D">
        <w:rPr>
          <w:rFonts w:ascii="Verdana" w:hAnsi="Verdana"/>
          <w:sz w:val="20"/>
          <w:lang w:val="es-CR"/>
        </w:rPr>
        <w:t>”</w:t>
      </w:r>
      <w:r w:rsidR="006E44FD" w:rsidRPr="00CD664D">
        <w:rPr>
          <w:rFonts w:ascii="Verdana" w:hAnsi="Verdana"/>
          <w:sz w:val="20"/>
        </w:rPr>
        <w:t xml:space="preserve">. Respecto a estas últimas razones esgrimidas por el Estado, los representantes de las víctimas </w:t>
      </w:r>
      <w:r w:rsidR="00B03505">
        <w:rPr>
          <w:rFonts w:ascii="Verdana" w:hAnsi="Verdana"/>
          <w:sz w:val="20"/>
          <w:lang w:val="es-CR"/>
        </w:rPr>
        <w:t>expresaron</w:t>
      </w:r>
      <w:r w:rsidR="00CD664D" w:rsidRPr="00CD664D">
        <w:rPr>
          <w:rFonts w:ascii="Verdana" w:hAnsi="Verdana"/>
          <w:sz w:val="20"/>
          <w:lang w:val="es-CR"/>
        </w:rPr>
        <w:t xml:space="preserve"> que “de ninguna manera el rechazo de las 1.000 hectáreas de </w:t>
      </w:r>
      <w:proofErr w:type="spellStart"/>
      <w:r w:rsidR="00CD664D" w:rsidRPr="00CD664D">
        <w:rPr>
          <w:rFonts w:ascii="Verdana" w:hAnsi="Verdana"/>
          <w:sz w:val="20"/>
          <w:lang w:val="es-CR"/>
        </w:rPr>
        <w:t>Kelyenmagategma</w:t>
      </w:r>
      <w:proofErr w:type="spellEnd"/>
      <w:r w:rsidR="00CD664D" w:rsidRPr="00CD664D">
        <w:rPr>
          <w:rFonts w:ascii="Verdana" w:hAnsi="Verdana"/>
          <w:sz w:val="20"/>
          <w:lang w:val="es-CR"/>
        </w:rPr>
        <w:t xml:space="preserve"> puede ser utilizado como justificativo suficiente por el Estado para incumplir” con la titulación de las tierras a favor de </w:t>
      </w:r>
      <w:proofErr w:type="spellStart"/>
      <w:r w:rsidR="00CD664D" w:rsidRPr="00341C2F">
        <w:rPr>
          <w:rFonts w:ascii="Verdana" w:hAnsi="Verdana"/>
          <w:i/>
          <w:sz w:val="20"/>
          <w:lang w:val="es-CR"/>
        </w:rPr>
        <w:t>Yakye</w:t>
      </w:r>
      <w:proofErr w:type="spellEnd"/>
      <w:r w:rsidR="00CD664D" w:rsidRPr="00341C2F">
        <w:rPr>
          <w:rFonts w:ascii="Verdana" w:hAnsi="Verdana"/>
          <w:i/>
          <w:sz w:val="20"/>
          <w:lang w:val="es-CR"/>
        </w:rPr>
        <w:t xml:space="preserve"> Axa</w:t>
      </w:r>
      <w:r w:rsidR="001234EB" w:rsidRPr="00CD664D">
        <w:rPr>
          <w:rFonts w:ascii="Verdana" w:hAnsi="Verdana"/>
          <w:sz w:val="20"/>
        </w:rPr>
        <w:t xml:space="preserve">. </w:t>
      </w:r>
    </w:p>
    <w:p w:rsidR="00676C47" w:rsidRDefault="00676C47" w:rsidP="00CD664D">
      <w:pPr>
        <w:pStyle w:val="Prrafodelista"/>
        <w:rPr>
          <w:rFonts w:ascii="Verdana" w:hAnsi="Verdana"/>
          <w:sz w:val="20"/>
        </w:rPr>
      </w:pPr>
    </w:p>
    <w:p w:rsidR="001234EB" w:rsidRPr="00CD664D" w:rsidRDefault="001234EB" w:rsidP="001234EB">
      <w:pPr>
        <w:numPr>
          <w:ilvl w:val="0"/>
          <w:numId w:val="4"/>
        </w:numPr>
        <w:ind w:left="0" w:right="4" w:firstLine="0"/>
        <w:jc w:val="both"/>
        <w:rPr>
          <w:rFonts w:ascii="Verdana" w:hAnsi="Verdana"/>
          <w:sz w:val="20"/>
        </w:rPr>
      </w:pPr>
      <w:r w:rsidRPr="00CD664D">
        <w:rPr>
          <w:rFonts w:ascii="Verdana" w:hAnsi="Verdana"/>
          <w:sz w:val="20"/>
        </w:rPr>
        <w:lastRenderedPageBreak/>
        <w:t xml:space="preserve">Aunado a ello, el Presidente </w:t>
      </w:r>
      <w:r w:rsidR="0049720C" w:rsidRPr="00CD664D">
        <w:rPr>
          <w:rFonts w:ascii="Verdana" w:hAnsi="Verdana"/>
          <w:sz w:val="20"/>
        </w:rPr>
        <w:t>advierte</w:t>
      </w:r>
      <w:r w:rsidR="00E91E91" w:rsidRPr="00CD664D">
        <w:rPr>
          <w:rFonts w:ascii="Verdana" w:hAnsi="Verdana"/>
          <w:sz w:val="20"/>
        </w:rPr>
        <w:t xml:space="preserve">, tal como lo hizo notar la </w:t>
      </w:r>
      <w:r w:rsidR="00E91E91" w:rsidRPr="00CD664D">
        <w:rPr>
          <w:rFonts w:ascii="Verdana" w:hAnsi="Verdana"/>
          <w:i/>
          <w:sz w:val="20"/>
        </w:rPr>
        <w:t>Comisión</w:t>
      </w:r>
      <w:r w:rsidR="00E91E91" w:rsidRPr="00CD664D">
        <w:rPr>
          <w:rFonts w:ascii="Verdana" w:hAnsi="Verdana"/>
          <w:sz w:val="20"/>
        </w:rPr>
        <w:t>,</w:t>
      </w:r>
      <w:r w:rsidRPr="00CD664D">
        <w:rPr>
          <w:rFonts w:ascii="Verdana" w:hAnsi="Verdana"/>
          <w:sz w:val="20"/>
        </w:rPr>
        <w:t xml:space="preserve"> que la situación con relación a la construcción de un camino hacia el territorio que le corresponde a la comunidad </w:t>
      </w:r>
      <w:r w:rsidR="009A5EF1" w:rsidRPr="00CD664D">
        <w:rPr>
          <w:rFonts w:ascii="Verdana" w:hAnsi="Verdana"/>
          <w:sz w:val="20"/>
        </w:rPr>
        <w:t xml:space="preserve">pareciera </w:t>
      </w:r>
      <w:r w:rsidRPr="00CD664D">
        <w:rPr>
          <w:rFonts w:ascii="Verdana" w:hAnsi="Verdana"/>
          <w:sz w:val="20"/>
        </w:rPr>
        <w:t>no ha</w:t>
      </w:r>
      <w:r w:rsidR="009A5EF1" w:rsidRPr="00CD664D">
        <w:rPr>
          <w:rFonts w:ascii="Verdana" w:hAnsi="Verdana"/>
          <w:sz w:val="20"/>
        </w:rPr>
        <w:t>ber</w:t>
      </w:r>
      <w:r w:rsidRPr="00CD664D">
        <w:rPr>
          <w:rFonts w:ascii="Verdana" w:hAnsi="Verdana"/>
          <w:sz w:val="20"/>
        </w:rPr>
        <w:t xml:space="preserve"> avanzado sustancialmente desde la emisión de la Resolución de </w:t>
      </w:r>
      <w:r w:rsidR="00641A3B" w:rsidRPr="00CD664D">
        <w:rPr>
          <w:rFonts w:ascii="Verdana" w:hAnsi="Verdana"/>
          <w:sz w:val="20"/>
        </w:rPr>
        <w:t xml:space="preserve">junio de </w:t>
      </w:r>
      <w:r w:rsidRPr="00CD664D">
        <w:rPr>
          <w:rFonts w:ascii="Verdana" w:hAnsi="Verdana"/>
          <w:sz w:val="20"/>
        </w:rPr>
        <w:t>2015</w:t>
      </w:r>
      <w:r w:rsidRPr="00CD664D">
        <w:rPr>
          <w:rStyle w:val="Refdenotaalpie"/>
          <w:rFonts w:ascii="Verdana" w:hAnsi="Verdana"/>
          <w:sz w:val="20"/>
        </w:rPr>
        <w:footnoteReference w:id="20"/>
      </w:r>
      <w:r w:rsidR="007D3ABF">
        <w:rPr>
          <w:rFonts w:ascii="Verdana" w:hAnsi="Verdana"/>
          <w:sz w:val="20"/>
        </w:rPr>
        <w:t>.</w:t>
      </w:r>
      <w:r w:rsidRPr="00CD664D">
        <w:rPr>
          <w:rFonts w:ascii="Verdana" w:hAnsi="Verdana"/>
          <w:sz w:val="20"/>
        </w:rPr>
        <w:t xml:space="preserve"> </w:t>
      </w:r>
      <w:r w:rsidR="007D3ABF">
        <w:rPr>
          <w:rFonts w:ascii="Verdana" w:hAnsi="Verdana"/>
          <w:sz w:val="20"/>
        </w:rPr>
        <w:t>Además</w:t>
      </w:r>
      <w:r w:rsidRPr="00CD664D">
        <w:rPr>
          <w:rFonts w:ascii="Verdana" w:hAnsi="Verdana"/>
          <w:sz w:val="20"/>
        </w:rPr>
        <w:t xml:space="preserve">, tal como lo hacen notar los </w:t>
      </w:r>
      <w:r w:rsidRPr="00CD664D">
        <w:rPr>
          <w:rFonts w:ascii="Verdana" w:hAnsi="Verdana"/>
          <w:i/>
          <w:sz w:val="20"/>
        </w:rPr>
        <w:t>representantes</w:t>
      </w:r>
      <w:r w:rsidRPr="00CD664D">
        <w:rPr>
          <w:rFonts w:ascii="Verdana" w:hAnsi="Verdana"/>
          <w:sz w:val="20"/>
        </w:rPr>
        <w:t>,</w:t>
      </w:r>
      <w:r w:rsidR="007D3ABF">
        <w:rPr>
          <w:rFonts w:ascii="Verdana" w:hAnsi="Verdana"/>
          <w:sz w:val="20"/>
        </w:rPr>
        <w:t xml:space="preserve"> el Estado</w:t>
      </w:r>
      <w:r w:rsidRPr="00CD664D">
        <w:rPr>
          <w:rFonts w:ascii="Verdana" w:hAnsi="Verdana"/>
          <w:sz w:val="20"/>
        </w:rPr>
        <w:t xml:space="preserve"> no proporcionó una fecha estimada para</w:t>
      </w:r>
      <w:r w:rsidR="00341C2F">
        <w:rPr>
          <w:rFonts w:ascii="Verdana" w:hAnsi="Verdana"/>
          <w:sz w:val="20"/>
        </w:rPr>
        <w:t xml:space="preserve"> la culminación de</w:t>
      </w:r>
      <w:r w:rsidR="007D3ABF">
        <w:rPr>
          <w:rFonts w:ascii="Verdana" w:hAnsi="Verdana"/>
          <w:sz w:val="20"/>
        </w:rPr>
        <w:t xml:space="preserve"> ese</w:t>
      </w:r>
      <w:r w:rsidR="00341C2F">
        <w:rPr>
          <w:rFonts w:ascii="Verdana" w:hAnsi="Verdana"/>
          <w:sz w:val="20"/>
        </w:rPr>
        <w:t xml:space="preserve"> camino que permitiría</w:t>
      </w:r>
      <w:r w:rsidRPr="00CD664D">
        <w:rPr>
          <w:rFonts w:ascii="Verdana" w:hAnsi="Verdana"/>
          <w:sz w:val="20"/>
        </w:rPr>
        <w:t xml:space="preserve"> garantizar el acceso a la comunidad indígena a dicho territorio. </w:t>
      </w:r>
    </w:p>
    <w:p w:rsidR="002C772A" w:rsidRDefault="002C772A" w:rsidP="002C772A">
      <w:pPr>
        <w:pStyle w:val="Prrafodelista"/>
        <w:rPr>
          <w:rFonts w:ascii="Verdana" w:hAnsi="Verdana"/>
          <w:sz w:val="20"/>
        </w:rPr>
      </w:pPr>
    </w:p>
    <w:p w:rsidR="002C772A" w:rsidRPr="001234EB" w:rsidRDefault="002C772A" w:rsidP="00F8478C">
      <w:pPr>
        <w:numPr>
          <w:ilvl w:val="0"/>
          <w:numId w:val="4"/>
        </w:numPr>
        <w:ind w:left="0" w:right="4" w:firstLine="0"/>
        <w:jc w:val="both"/>
        <w:rPr>
          <w:rFonts w:ascii="Verdana" w:hAnsi="Verdana"/>
          <w:sz w:val="20"/>
        </w:rPr>
      </w:pPr>
      <w:bookmarkStart w:id="8" w:name="_Ref456708319"/>
      <w:r>
        <w:rPr>
          <w:rFonts w:ascii="Verdana" w:hAnsi="Verdana"/>
          <w:sz w:val="20"/>
        </w:rPr>
        <w:t xml:space="preserve">Con relación al caso </w:t>
      </w:r>
      <w:proofErr w:type="spellStart"/>
      <w:r>
        <w:rPr>
          <w:rFonts w:ascii="Verdana" w:hAnsi="Verdana"/>
          <w:i/>
          <w:sz w:val="20"/>
        </w:rPr>
        <w:t>Sawhoyamaxa</w:t>
      </w:r>
      <w:proofErr w:type="spellEnd"/>
      <w:r>
        <w:rPr>
          <w:rFonts w:ascii="Verdana" w:hAnsi="Verdana"/>
          <w:i/>
          <w:sz w:val="20"/>
        </w:rPr>
        <w:t xml:space="preserve">, </w:t>
      </w:r>
      <w:r w:rsidR="00D8370D" w:rsidRPr="00D8370D">
        <w:rPr>
          <w:rFonts w:ascii="Verdana" w:hAnsi="Verdana"/>
          <w:sz w:val="20"/>
        </w:rPr>
        <w:t>en la resolución de junio de 2015</w:t>
      </w:r>
      <w:r w:rsidR="00D8370D">
        <w:rPr>
          <w:rFonts w:ascii="Verdana" w:hAnsi="Verdana"/>
          <w:i/>
          <w:sz w:val="20"/>
        </w:rPr>
        <w:t xml:space="preserve"> </w:t>
      </w:r>
      <w:r>
        <w:rPr>
          <w:rFonts w:ascii="Verdana" w:hAnsi="Verdana"/>
          <w:sz w:val="20"/>
        </w:rPr>
        <w:t xml:space="preserve">la Corte requirió </w:t>
      </w:r>
      <w:r>
        <w:rPr>
          <w:rFonts w:ascii="Verdana" w:hAnsi="Verdana"/>
          <w:sz w:val="20"/>
          <w:lang w:val="es-ES"/>
        </w:rPr>
        <w:t>al Estado que presente información actualizada y detallada sobre las acciones específicas que est</w:t>
      </w:r>
      <w:r w:rsidR="0064708D">
        <w:rPr>
          <w:rFonts w:ascii="Verdana" w:hAnsi="Verdana"/>
          <w:sz w:val="20"/>
          <w:lang w:val="es-ES"/>
        </w:rPr>
        <w:t>uviera</w:t>
      </w:r>
      <w:r>
        <w:rPr>
          <w:rFonts w:ascii="Verdana" w:hAnsi="Verdana"/>
          <w:sz w:val="20"/>
          <w:lang w:val="es-ES"/>
        </w:rPr>
        <w:t xml:space="preserve"> implementando y, de ser el caso, las pendientes de implementar para ejecutar la expropiación </w:t>
      </w:r>
      <w:r w:rsidR="009F7615">
        <w:rPr>
          <w:rFonts w:ascii="Verdana" w:hAnsi="Verdana"/>
          <w:sz w:val="20"/>
          <w:lang w:val="es-ES"/>
        </w:rPr>
        <w:t xml:space="preserve">que fue aprobada por ley en mayo de 2014 </w:t>
      </w:r>
      <w:r>
        <w:rPr>
          <w:rFonts w:ascii="Verdana" w:hAnsi="Verdana"/>
          <w:sz w:val="20"/>
          <w:lang w:val="es-ES"/>
        </w:rPr>
        <w:t>y titular las tierras para poder cumplir con su obligación de realizar la entrega física y formal de las tierras tradicionales a favor de dicha comunidad indígena</w:t>
      </w:r>
      <w:r w:rsidR="00D50724">
        <w:rPr>
          <w:rStyle w:val="Refdenotaalpie"/>
          <w:rFonts w:ascii="Verdana" w:hAnsi="Verdana"/>
          <w:sz w:val="20"/>
          <w:lang w:val="es-ES"/>
        </w:rPr>
        <w:footnoteReference w:id="21"/>
      </w:r>
      <w:r>
        <w:rPr>
          <w:rFonts w:ascii="Verdana" w:hAnsi="Verdana"/>
          <w:sz w:val="20"/>
          <w:lang w:val="es-ES"/>
        </w:rPr>
        <w:t xml:space="preserve">. También requirió </w:t>
      </w:r>
      <w:r w:rsidR="003934F4">
        <w:rPr>
          <w:rFonts w:ascii="Verdana" w:hAnsi="Verdana"/>
          <w:sz w:val="20"/>
          <w:lang w:val="es-ES"/>
        </w:rPr>
        <w:t>a</w:t>
      </w:r>
      <w:r>
        <w:rPr>
          <w:rFonts w:ascii="Verdana" w:hAnsi="Verdana"/>
          <w:sz w:val="20"/>
          <w:lang w:val="es-ES"/>
        </w:rPr>
        <w:t xml:space="preserve"> Paraguay </w:t>
      </w:r>
      <w:r w:rsidR="003934F4">
        <w:rPr>
          <w:rFonts w:ascii="Verdana" w:hAnsi="Verdana"/>
          <w:sz w:val="20"/>
          <w:lang w:val="es-ES"/>
        </w:rPr>
        <w:t xml:space="preserve">que </w:t>
      </w:r>
      <w:r>
        <w:rPr>
          <w:rFonts w:ascii="Verdana" w:hAnsi="Verdana"/>
          <w:sz w:val="20"/>
          <w:lang w:val="es-ES"/>
        </w:rPr>
        <w:t>presente información actualizada y detallada sobre las medidas específicas que est</w:t>
      </w:r>
      <w:r w:rsidR="00190426">
        <w:rPr>
          <w:rFonts w:ascii="Verdana" w:hAnsi="Verdana"/>
          <w:sz w:val="20"/>
          <w:lang w:val="es-ES"/>
        </w:rPr>
        <w:t>uviera</w:t>
      </w:r>
      <w:r>
        <w:rPr>
          <w:rFonts w:ascii="Verdana" w:hAnsi="Verdana"/>
          <w:sz w:val="20"/>
          <w:lang w:val="es-ES"/>
        </w:rPr>
        <w:t xml:space="preserve"> implementando para la preservación de las mismas mientras se procede a </w:t>
      </w:r>
      <w:r w:rsidR="0064708D">
        <w:rPr>
          <w:rFonts w:ascii="Verdana" w:hAnsi="Verdana"/>
          <w:sz w:val="20"/>
          <w:lang w:val="es-ES"/>
        </w:rPr>
        <w:t>dicha</w:t>
      </w:r>
      <w:r>
        <w:rPr>
          <w:rFonts w:ascii="Verdana" w:hAnsi="Verdana"/>
          <w:sz w:val="20"/>
          <w:lang w:val="es-ES"/>
        </w:rPr>
        <w:t xml:space="preserve"> entrega</w:t>
      </w:r>
      <w:r w:rsidR="00170C76">
        <w:rPr>
          <w:rStyle w:val="Refdenotaalpie"/>
          <w:rFonts w:ascii="Verdana" w:hAnsi="Verdana"/>
          <w:sz w:val="20"/>
          <w:lang w:val="es-ES"/>
        </w:rPr>
        <w:footnoteReference w:id="22"/>
      </w:r>
      <w:r>
        <w:rPr>
          <w:rFonts w:ascii="Verdana" w:hAnsi="Verdana"/>
          <w:sz w:val="20"/>
          <w:lang w:val="es-ES"/>
        </w:rPr>
        <w:t>.</w:t>
      </w:r>
      <w:bookmarkEnd w:id="8"/>
    </w:p>
    <w:p w:rsidR="001234EB" w:rsidRDefault="001234EB" w:rsidP="001234EB">
      <w:pPr>
        <w:pStyle w:val="Prrafodelista"/>
        <w:rPr>
          <w:rFonts w:ascii="Verdana" w:hAnsi="Verdana"/>
          <w:sz w:val="20"/>
        </w:rPr>
      </w:pPr>
    </w:p>
    <w:p w:rsidR="001234EB" w:rsidRPr="00CD664D" w:rsidRDefault="001234EB" w:rsidP="001234EB">
      <w:pPr>
        <w:numPr>
          <w:ilvl w:val="0"/>
          <w:numId w:val="4"/>
        </w:numPr>
        <w:ind w:left="0" w:right="4" w:firstLine="0"/>
        <w:jc w:val="both"/>
        <w:rPr>
          <w:rFonts w:ascii="Verdana" w:hAnsi="Verdana"/>
          <w:sz w:val="20"/>
        </w:rPr>
      </w:pPr>
      <w:bookmarkStart w:id="9" w:name="_Ref456708427"/>
      <w:r w:rsidRPr="00CD664D">
        <w:rPr>
          <w:rFonts w:ascii="Verdana" w:hAnsi="Verdana"/>
          <w:sz w:val="20"/>
        </w:rPr>
        <w:t xml:space="preserve">El Presidente observa que el Estado informó sobre algunos posibles avances en la ejecución de la expropiación de las tierras que le corresponden a dicha comunidad indígena, los cuales no fueron controvertidos por los representantes. </w:t>
      </w:r>
      <w:r w:rsidR="0064708D" w:rsidRPr="00CD664D">
        <w:rPr>
          <w:rFonts w:ascii="Verdana" w:hAnsi="Verdana"/>
          <w:sz w:val="20"/>
        </w:rPr>
        <w:t>E</w:t>
      </w:r>
      <w:r w:rsidRPr="00CD664D">
        <w:rPr>
          <w:rFonts w:ascii="Verdana" w:hAnsi="Verdana"/>
          <w:sz w:val="20"/>
        </w:rPr>
        <w:t>l Estado indicó que</w:t>
      </w:r>
      <w:r w:rsidR="004711F3" w:rsidRPr="00CD664D">
        <w:rPr>
          <w:rFonts w:ascii="Verdana" w:hAnsi="Verdana"/>
          <w:sz w:val="20"/>
        </w:rPr>
        <w:t>:</w:t>
      </w:r>
      <w:r w:rsidRPr="00CD664D">
        <w:rPr>
          <w:rFonts w:ascii="Verdana" w:hAnsi="Verdana"/>
          <w:sz w:val="20"/>
        </w:rPr>
        <w:t xml:space="preserve"> </w:t>
      </w:r>
      <w:r w:rsidR="004711F3" w:rsidRPr="00CD664D">
        <w:rPr>
          <w:rFonts w:ascii="Verdana" w:hAnsi="Verdana"/>
          <w:sz w:val="20"/>
        </w:rPr>
        <w:t xml:space="preserve">(i) </w:t>
      </w:r>
      <w:r w:rsidRPr="00CD664D">
        <w:rPr>
          <w:rFonts w:ascii="Verdana" w:hAnsi="Verdana"/>
          <w:sz w:val="20"/>
        </w:rPr>
        <w:t xml:space="preserve">se habría rechazado </w:t>
      </w:r>
      <w:r w:rsidR="00BA7894">
        <w:rPr>
          <w:rFonts w:ascii="Verdana" w:hAnsi="Verdana"/>
          <w:sz w:val="20"/>
        </w:rPr>
        <w:t>una</w:t>
      </w:r>
      <w:r w:rsidRPr="00CD664D">
        <w:rPr>
          <w:rFonts w:ascii="Verdana" w:hAnsi="Verdana"/>
          <w:sz w:val="20"/>
        </w:rPr>
        <w:t xml:space="preserve"> segunda acción de inconstitucionalidad </w:t>
      </w:r>
      <w:r w:rsidR="007D3ABF" w:rsidRPr="00CD664D">
        <w:rPr>
          <w:rFonts w:ascii="Verdana" w:hAnsi="Verdana"/>
          <w:sz w:val="20"/>
        </w:rPr>
        <w:t xml:space="preserve">en contra de la ley de expropiación </w:t>
      </w:r>
      <w:r w:rsidRPr="00CD664D">
        <w:rPr>
          <w:rFonts w:ascii="Verdana" w:hAnsi="Verdana"/>
          <w:sz w:val="20"/>
        </w:rPr>
        <w:t>ejercida</w:t>
      </w:r>
      <w:r w:rsidR="008401C5">
        <w:rPr>
          <w:rFonts w:ascii="Verdana" w:hAnsi="Verdana"/>
          <w:sz w:val="20"/>
        </w:rPr>
        <w:t xml:space="preserve"> por las sociedades anónimas expropiadas</w:t>
      </w:r>
      <w:r w:rsidR="00304679" w:rsidRPr="00CD664D">
        <w:rPr>
          <w:rFonts w:ascii="Verdana" w:hAnsi="Verdana"/>
          <w:sz w:val="20"/>
        </w:rPr>
        <w:t xml:space="preserve">; (ii) </w:t>
      </w:r>
      <w:r w:rsidRPr="00CD664D">
        <w:rPr>
          <w:rFonts w:ascii="Verdana" w:hAnsi="Verdana"/>
          <w:sz w:val="20"/>
        </w:rPr>
        <w:t>se ordenó la inscripción preventiva de la ley de expropiación, “</w:t>
      </w:r>
      <w:r w:rsidR="00304679" w:rsidRPr="00CD664D">
        <w:rPr>
          <w:rFonts w:ascii="Verdana" w:hAnsi="Verdana"/>
          <w:sz w:val="20"/>
        </w:rPr>
        <w:t xml:space="preserve">[la] </w:t>
      </w:r>
      <w:r w:rsidRPr="00CD664D">
        <w:rPr>
          <w:rFonts w:ascii="Verdana" w:hAnsi="Verdana"/>
          <w:sz w:val="20"/>
        </w:rPr>
        <w:t>cual ya ha tenido ingreso ante la [Dirección General de los Registros Públicos] para su cumplimiento”</w:t>
      </w:r>
      <w:r w:rsidR="008401C5">
        <w:rPr>
          <w:rFonts w:ascii="Verdana" w:hAnsi="Verdana"/>
          <w:b/>
          <w:sz w:val="20"/>
        </w:rPr>
        <w:t xml:space="preserve">, </w:t>
      </w:r>
      <w:r w:rsidR="00304679" w:rsidRPr="00CD664D">
        <w:rPr>
          <w:rFonts w:ascii="Verdana" w:hAnsi="Verdana"/>
          <w:sz w:val="20"/>
        </w:rPr>
        <w:t>y</w:t>
      </w:r>
      <w:r w:rsidRPr="00CD664D">
        <w:rPr>
          <w:rFonts w:ascii="Verdana" w:hAnsi="Verdana"/>
          <w:sz w:val="20"/>
        </w:rPr>
        <w:t xml:space="preserve"> </w:t>
      </w:r>
      <w:r w:rsidR="00304679" w:rsidRPr="00CD664D">
        <w:rPr>
          <w:rFonts w:ascii="Verdana" w:hAnsi="Verdana"/>
          <w:sz w:val="20"/>
        </w:rPr>
        <w:t xml:space="preserve">(iii) </w:t>
      </w:r>
      <w:r w:rsidR="001F5D6C" w:rsidRPr="00CD664D">
        <w:rPr>
          <w:rFonts w:ascii="Verdana" w:hAnsi="Verdana"/>
          <w:sz w:val="20"/>
        </w:rPr>
        <w:t>se procedió al</w:t>
      </w:r>
      <w:r w:rsidRPr="00CD664D">
        <w:rPr>
          <w:rFonts w:ascii="Verdana" w:hAnsi="Verdana"/>
          <w:sz w:val="20"/>
        </w:rPr>
        <w:t xml:space="preserve"> </w:t>
      </w:r>
      <w:r w:rsidR="001F5D6C" w:rsidRPr="00CD664D">
        <w:rPr>
          <w:rFonts w:ascii="Verdana" w:hAnsi="Verdana"/>
          <w:sz w:val="20"/>
        </w:rPr>
        <w:t>“</w:t>
      </w:r>
      <w:r w:rsidRPr="00CD664D">
        <w:rPr>
          <w:rFonts w:ascii="Verdana" w:hAnsi="Verdana"/>
          <w:sz w:val="20"/>
        </w:rPr>
        <w:t>depósito del monto</w:t>
      </w:r>
      <w:r w:rsidR="008401C5">
        <w:rPr>
          <w:rFonts w:ascii="Verdana" w:hAnsi="Verdana"/>
          <w:sz w:val="20"/>
        </w:rPr>
        <w:t xml:space="preserve"> resultante de la tasación oficial</w:t>
      </w:r>
      <w:r w:rsidRPr="00CD664D">
        <w:rPr>
          <w:rFonts w:ascii="Verdana" w:hAnsi="Verdana"/>
          <w:sz w:val="20"/>
        </w:rPr>
        <w:t>”</w:t>
      </w:r>
      <w:r w:rsidR="001F5D6C" w:rsidRPr="00CD664D">
        <w:rPr>
          <w:rFonts w:ascii="Verdana" w:hAnsi="Verdana"/>
          <w:sz w:val="20"/>
        </w:rPr>
        <w:t xml:space="preserve"> en la cuenta judicial abierta “a nombre del juicio y a la orden del juzgado”</w:t>
      </w:r>
      <w:r w:rsidR="007D3ABF">
        <w:rPr>
          <w:rFonts w:ascii="Verdana" w:hAnsi="Verdana"/>
          <w:sz w:val="20"/>
        </w:rPr>
        <w:t>,</w:t>
      </w:r>
      <w:r w:rsidRPr="00CD664D">
        <w:rPr>
          <w:rFonts w:ascii="Verdana" w:hAnsi="Verdana"/>
          <w:sz w:val="20"/>
        </w:rPr>
        <w:t xml:space="preserve"> ante la falta de voluntad de las </w:t>
      </w:r>
      <w:r w:rsidR="001F5D6C" w:rsidRPr="00CD664D">
        <w:rPr>
          <w:rFonts w:ascii="Verdana" w:hAnsi="Verdana"/>
          <w:sz w:val="20"/>
        </w:rPr>
        <w:t>sociedades anónimas</w:t>
      </w:r>
      <w:r w:rsidRPr="00CD664D">
        <w:rPr>
          <w:rFonts w:ascii="Verdana" w:hAnsi="Verdana"/>
          <w:sz w:val="20"/>
        </w:rPr>
        <w:t xml:space="preserve"> expropiadas de aceptar el pago</w:t>
      </w:r>
      <w:r w:rsidRPr="0088562A">
        <w:rPr>
          <w:rFonts w:ascii="Verdana" w:hAnsi="Verdana"/>
          <w:sz w:val="20"/>
        </w:rPr>
        <w:t>.</w:t>
      </w:r>
      <w:r w:rsidRPr="00CD664D">
        <w:rPr>
          <w:rFonts w:ascii="Verdana" w:hAnsi="Verdana"/>
          <w:b/>
          <w:sz w:val="20"/>
        </w:rPr>
        <w:t xml:space="preserve"> </w:t>
      </w:r>
      <w:r w:rsidRPr="00CD664D">
        <w:rPr>
          <w:rFonts w:ascii="Verdana" w:hAnsi="Verdana"/>
          <w:sz w:val="20"/>
        </w:rPr>
        <w:t>No obstante, no</w:t>
      </w:r>
      <w:r w:rsidR="006E25A0" w:rsidRPr="00CD664D">
        <w:rPr>
          <w:rFonts w:ascii="Verdana" w:hAnsi="Verdana"/>
          <w:sz w:val="20"/>
        </w:rPr>
        <w:t xml:space="preserve"> ha </w:t>
      </w:r>
      <w:r w:rsidR="00C77819" w:rsidRPr="00CD664D">
        <w:rPr>
          <w:rFonts w:ascii="Verdana" w:hAnsi="Verdana"/>
          <w:sz w:val="20"/>
        </w:rPr>
        <w:t xml:space="preserve">sido </w:t>
      </w:r>
      <w:r w:rsidR="00C77819" w:rsidRPr="00CD664D">
        <w:rPr>
          <w:rFonts w:ascii="Verdana" w:hAnsi="Verdana"/>
          <w:sz w:val="20"/>
        </w:rPr>
        <w:lastRenderedPageBreak/>
        <w:t xml:space="preserve">aportada </w:t>
      </w:r>
      <w:r w:rsidR="006E25A0" w:rsidRPr="00CD664D">
        <w:rPr>
          <w:rFonts w:ascii="Verdana" w:hAnsi="Verdana"/>
          <w:sz w:val="20"/>
        </w:rPr>
        <w:t xml:space="preserve">información que permita valorar </w:t>
      </w:r>
      <w:r w:rsidR="0088562A">
        <w:rPr>
          <w:rFonts w:ascii="Verdana" w:hAnsi="Verdana"/>
          <w:sz w:val="20"/>
        </w:rPr>
        <w:t>si</w:t>
      </w:r>
      <w:r w:rsidR="006E25A0" w:rsidRPr="00CD664D">
        <w:rPr>
          <w:rFonts w:ascii="Verdana" w:hAnsi="Verdana"/>
          <w:sz w:val="20"/>
        </w:rPr>
        <w:t xml:space="preserve"> se está </w:t>
      </w:r>
      <w:r w:rsidR="0088562A">
        <w:rPr>
          <w:rFonts w:ascii="Verdana" w:hAnsi="Verdana"/>
          <w:sz w:val="20"/>
        </w:rPr>
        <w:t>haciendo efectiva</w:t>
      </w:r>
      <w:r w:rsidR="006E25A0" w:rsidRPr="00CD664D">
        <w:rPr>
          <w:rFonts w:ascii="Verdana" w:hAnsi="Verdana"/>
          <w:sz w:val="20"/>
        </w:rPr>
        <w:t xml:space="preserve"> la </w:t>
      </w:r>
      <w:r w:rsidRPr="00CD664D">
        <w:rPr>
          <w:rFonts w:ascii="Verdana" w:hAnsi="Verdana"/>
          <w:sz w:val="20"/>
        </w:rPr>
        <w:t xml:space="preserve">expropiación de dichas tierras, ni su titulación a favor de la comunidad indígena. Aunado a lo anterior, el Estado señaló que las </w:t>
      </w:r>
      <w:r w:rsidR="001F5D6C" w:rsidRPr="00CD664D">
        <w:rPr>
          <w:rFonts w:ascii="Verdana" w:hAnsi="Verdana"/>
          <w:sz w:val="20"/>
        </w:rPr>
        <w:t>sociedades anónimas</w:t>
      </w:r>
      <w:r w:rsidRPr="00CD664D">
        <w:rPr>
          <w:rFonts w:ascii="Verdana" w:hAnsi="Verdana"/>
          <w:sz w:val="20"/>
        </w:rPr>
        <w:t xml:space="preserve"> expropiadas presentaron una nueva demanda “por Fijación Judicial de Precio”, que sigue pendiente de decisión. El Presidente</w:t>
      </w:r>
      <w:r w:rsidR="00C77819" w:rsidRPr="00CD664D">
        <w:rPr>
          <w:rFonts w:ascii="Verdana" w:hAnsi="Verdana"/>
          <w:sz w:val="20"/>
        </w:rPr>
        <w:t xml:space="preserve"> destaca</w:t>
      </w:r>
      <w:r w:rsidRPr="00CD664D">
        <w:rPr>
          <w:rFonts w:ascii="Verdana" w:hAnsi="Verdana"/>
          <w:sz w:val="20"/>
        </w:rPr>
        <w:t xml:space="preserve">, además, que el Estado no hizo referencia alguna a medidas específicas dirigidas a la preservación de las tierras mientras se procede a su entrega física y formal. Tampoco se desprende del informe estatal, tal como lo hacen notar los </w:t>
      </w:r>
      <w:r w:rsidRPr="007D3ABF">
        <w:rPr>
          <w:rFonts w:ascii="Verdana" w:hAnsi="Verdana"/>
          <w:i/>
          <w:sz w:val="20"/>
        </w:rPr>
        <w:t>representantes</w:t>
      </w:r>
      <w:r w:rsidRPr="00CD664D">
        <w:rPr>
          <w:rFonts w:ascii="Verdana" w:hAnsi="Verdana"/>
          <w:sz w:val="20"/>
        </w:rPr>
        <w:t>, cuáles serían los pasos pendientes para la efectiva ejecución y titulación de las tierras a favor de la comunidad</w:t>
      </w:r>
      <w:r w:rsidR="00E91E91" w:rsidRPr="00CD664D">
        <w:rPr>
          <w:rStyle w:val="Refdenotaalpie"/>
          <w:rFonts w:ascii="Verdana" w:hAnsi="Verdana"/>
          <w:sz w:val="20"/>
        </w:rPr>
        <w:footnoteReference w:id="23"/>
      </w:r>
      <w:r w:rsidRPr="00CD664D">
        <w:rPr>
          <w:rFonts w:ascii="Verdana" w:hAnsi="Verdana"/>
          <w:sz w:val="20"/>
        </w:rPr>
        <w:t>.</w:t>
      </w:r>
      <w:r w:rsidR="000B145D" w:rsidRPr="00CD664D">
        <w:rPr>
          <w:rFonts w:ascii="Verdana" w:hAnsi="Verdana"/>
          <w:sz w:val="20"/>
        </w:rPr>
        <w:t xml:space="preserve"> Asimismo, los </w:t>
      </w:r>
      <w:r w:rsidR="000B145D" w:rsidRPr="007D3ABF">
        <w:rPr>
          <w:rFonts w:ascii="Verdana" w:hAnsi="Verdana"/>
          <w:i/>
          <w:sz w:val="20"/>
        </w:rPr>
        <w:t>representantes</w:t>
      </w:r>
      <w:r w:rsidR="000B145D" w:rsidRPr="00CD664D">
        <w:rPr>
          <w:rFonts w:ascii="Verdana" w:hAnsi="Verdana"/>
          <w:sz w:val="20"/>
        </w:rPr>
        <w:t xml:space="preserve"> hicieron notar que el Estado no se refirió a una </w:t>
      </w:r>
      <w:r w:rsidR="00E865A0" w:rsidRPr="00CD664D">
        <w:rPr>
          <w:rFonts w:ascii="Verdana" w:hAnsi="Verdana"/>
          <w:sz w:val="20"/>
        </w:rPr>
        <w:t xml:space="preserve">supuesta </w:t>
      </w:r>
      <w:r w:rsidR="000B145D" w:rsidRPr="00CD664D">
        <w:rPr>
          <w:rFonts w:ascii="Verdana" w:hAnsi="Verdana"/>
          <w:sz w:val="20"/>
        </w:rPr>
        <w:t xml:space="preserve">amenaza de muerte realizada por el administrador de la estancia expropiada al líder de la Comunidad Carlos </w:t>
      </w:r>
      <w:proofErr w:type="spellStart"/>
      <w:r w:rsidR="000B145D" w:rsidRPr="00CD664D">
        <w:rPr>
          <w:rFonts w:ascii="Verdana" w:hAnsi="Verdana"/>
          <w:sz w:val="20"/>
        </w:rPr>
        <w:t>Mareco</w:t>
      </w:r>
      <w:proofErr w:type="spellEnd"/>
      <w:r w:rsidR="000B145D" w:rsidRPr="00CD664D">
        <w:rPr>
          <w:rFonts w:ascii="Verdana" w:hAnsi="Verdana"/>
          <w:sz w:val="20"/>
        </w:rPr>
        <w:t xml:space="preserve"> Aponte</w:t>
      </w:r>
      <w:r w:rsidR="000B145D" w:rsidRPr="00CD664D">
        <w:rPr>
          <w:rFonts w:ascii="Verdana" w:hAnsi="Verdana"/>
          <w:sz w:val="20"/>
          <w:lang w:val="es-CR"/>
        </w:rPr>
        <w:t xml:space="preserve">. </w:t>
      </w:r>
      <w:bookmarkEnd w:id="9"/>
    </w:p>
    <w:p w:rsidR="002704B0" w:rsidRDefault="002704B0" w:rsidP="002704B0">
      <w:pPr>
        <w:pStyle w:val="Prrafodelista"/>
        <w:rPr>
          <w:rFonts w:ascii="Verdana" w:hAnsi="Verdana"/>
          <w:sz w:val="20"/>
        </w:rPr>
      </w:pPr>
    </w:p>
    <w:p w:rsidR="002704B0" w:rsidRPr="001234EB" w:rsidRDefault="002704B0" w:rsidP="002704B0">
      <w:pPr>
        <w:numPr>
          <w:ilvl w:val="0"/>
          <w:numId w:val="4"/>
        </w:numPr>
        <w:ind w:left="0" w:right="4" w:firstLine="0"/>
        <w:jc w:val="both"/>
        <w:rPr>
          <w:rFonts w:ascii="Verdana" w:hAnsi="Verdana"/>
          <w:sz w:val="20"/>
        </w:rPr>
      </w:pPr>
      <w:bookmarkStart w:id="10" w:name="_Ref456708327"/>
      <w:r>
        <w:rPr>
          <w:rFonts w:ascii="Verdana" w:hAnsi="Verdana"/>
          <w:sz w:val="20"/>
        </w:rPr>
        <w:t xml:space="preserve">En lo que respecta al caso </w:t>
      </w:r>
      <w:proofErr w:type="spellStart"/>
      <w:r>
        <w:rPr>
          <w:rFonts w:ascii="Verdana" w:hAnsi="Verdana"/>
          <w:i/>
          <w:sz w:val="20"/>
        </w:rPr>
        <w:t>Xákmok</w:t>
      </w:r>
      <w:proofErr w:type="spellEnd"/>
      <w:r>
        <w:rPr>
          <w:rFonts w:ascii="Verdana" w:hAnsi="Verdana"/>
          <w:i/>
          <w:sz w:val="20"/>
        </w:rPr>
        <w:t xml:space="preserve"> </w:t>
      </w:r>
      <w:proofErr w:type="spellStart"/>
      <w:r>
        <w:rPr>
          <w:rFonts w:ascii="Verdana" w:hAnsi="Verdana"/>
          <w:i/>
          <w:sz w:val="20"/>
        </w:rPr>
        <w:t>Kásek</w:t>
      </w:r>
      <w:proofErr w:type="spellEnd"/>
      <w:r>
        <w:rPr>
          <w:rFonts w:ascii="Verdana" w:hAnsi="Verdana"/>
          <w:i/>
          <w:sz w:val="20"/>
        </w:rPr>
        <w:t xml:space="preserve">, </w:t>
      </w:r>
      <w:r w:rsidR="0070766E" w:rsidRPr="0070766E">
        <w:rPr>
          <w:rFonts w:ascii="Verdana" w:hAnsi="Verdana"/>
          <w:sz w:val="20"/>
        </w:rPr>
        <w:t>en la Resolución de junio de 2015</w:t>
      </w:r>
      <w:r w:rsidR="0070766E">
        <w:rPr>
          <w:rFonts w:ascii="Verdana" w:hAnsi="Verdana"/>
          <w:i/>
          <w:sz w:val="20"/>
        </w:rPr>
        <w:t xml:space="preserve"> </w:t>
      </w:r>
      <w:r>
        <w:rPr>
          <w:rFonts w:ascii="Verdana" w:hAnsi="Verdana"/>
          <w:sz w:val="20"/>
        </w:rPr>
        <w:t xml:space="preserve">la Corte </w:t>
      </w:r>
      <w:r w:rsidR="0070766E">
        <w:rPr>
          <w:rFonts w:ascii="Verdana" w:hAnsi="Verdana"/>
          <w:sz w:val="20"/>
        </w:rPr>
        <w:t>requirió al Estado:</w:t>
      </w:r>
      <w:r>
        <w:rPr>
          <w:rFonts w:ascii="Verdana" w:hAnsi="Verdana"/>
          <w:sz w:val="20"/>
        </w:rPr>
        <w:t xml:space="preserve"> (i) p</w:t>
      </w:r>
      <w:r w:rsidRPr="002704B0">
        <w:rPr>
          <w:rFonts w:ascii="Verdana" w:hAnsi="Verdana"/>
          <w:sz w:val="20"/>
        </w:rPr>
        <w:t>resentar información actualizada y detallada sobre las medidas específicas que está implementando para la adquisición y entrega de l</w:t>
      </w:r>
      <w:r>
        <w:rPr>
          <w:rFonts w:ascii="Verdana" w:hAnsi="Verdana"/>
          <w:sz w:val="20"/>
        </w:rPr>
        <w:t>as 10.700 hectáreas de</w:t>
      </w:r>
      <w:r w:rsidRPr="002704B0">
        <w:rPr>
          <w:rFonts w:ascii="Verdana" w:hAnsi="Verdana"/>
          <w:sz w:val="20"/>
        </w:rPr>
        <w:t xml:space="preserve"> territorio</w:t>
      </w:r>
      <w:r>
        <w:rPr>
          <w:rFonts w:ascii="Verdana" w:hAnsi="Verdana"/>
          <w:sz w:val="20"/>
        </w:rPr>
        <w:t xml:space="preserve"> tradicional</w:t>
      </w:r>
      <w:r w:rsidRPr="002704B0">
        <w:rPr>
          <w:rFonts w:ascii="Verdana" w:hAnsi="Verdana"/>
          <w:sz w:val="20"/>
        </w:rPr>
        <w:t xml:space="preserve"> correspondientes a la comunidad</w:t>
      </w:r>
      <w:r w:rsidR="008B6C49">
        <w:rPr>
          <w:rStyle w:val="Refdenotaalpie"/>
          <w:rFonts w:ascii="Verdana" w:hAnsi="Verdana"/>
          <w:sz w:val="20"/>
        </w:rPr>
        <w:footnoteReference w:id="24"/>
      </w:r>
      <w:r w:rsidRPr="002704B0">
        <w:rPr>
          <w:rFonts w:ascii="Verdana" w:hAnsi="Verdana"/>
          <w:sz w:val="20"/>
        </w:rPr>
        <w:t xml:space="preserve">, </w:t>
      </w:r>
      <w:r>
        <w:rPr>
          <w:rFonts w:ascii="Verdana" w:hAnsi="Verdana"/>
          <w:sz w:val="20"/>
        </w:rPr>
        <w:t xml:space="preserve">(ii) </w:t>
      </w:r>
      <w:r>
        <w:rPr>
          <w:rFonts w:ascii="Verdana" w:hAnsi="Verdana"/>
          <w:sz w:val="20"/>
          <w:lang w:val="es-ES"/>
        </w:rPr>
        <w:t>remit</w:t>
      </w:r>
      <w:r w:rsidR="004F7F76">
        <w:rPr>
          <w:rFonts w:ascii="Verdana" w:hAnsi="Verdana"/>
          <w:sz w:val="20"/>
          <w:lang w:val="es-ES"/>
        </w:rPr>
        <w:t>ir</w:t>
      </w:r>
      <w:r>
        <w:rPr>
          <w:rFonts w:ascii="Verdana" w:hAnsi="Verdana"/>
          <w:sz w:val="20"/>
          <w:lang w:val="es-ES"/>
        </w:rPr>
        <w:t xml:space="preserve"> información que permita acreditar que se encuentra velando por que la totalidad del territorio reclamado por la comunidad no se vea menoscabado</w:t>
      </w:r>
      <w:r w:rsidR="008B6C49">
        <w:rPr>
          <w:rStyle w:val="Refdenotaalpie"/>
          <w:rFonts w:ascii="Verdana" w:hAnsi="Verdana"/>
          <w:sz w:val="20"/>
          <w:lang w:val="es-ES"/>
        </w:rPr>
        <w:footnoteReference w:id="25"/>
      </w:r>
      <w:r>
        <w:rPr>
          <w:rFonts w:ascii="Verdana" w:hAnsi="Verdana"/>
          <w:sz w:val="20"/>
          <w:lang w:val="es-ES"/>
        </w:rPr>
        <w:t>, y (iii) remit</w:t>
      </w:r>
      <w:r w:rsidR="004F7F76">
        <w:rPr>
          <w:rFonts w:ascii="Verdana" w:hAnsi="Verdana"/>
          <w:sz w:val="20"/>
          <w:lang w:val="es-ES"/>
        </w:rPr>
        <w:t>ir</w:t>
      </w:r>
      <w:r>
        <w:rPr>
          <w:rFonts w:ascii="Verdana" w:hAnsi="Verdana"/>
          <w:sz w:val="20"/>
          <w:lang w:val="es-ES"/>
        </w:rPr>
        <w:t xml:space="preserve"> información actualizada y detallada sobre las medidas específicas que está implementando para otorgar el título de propiedad  sobre las tierras ubicadas en “25 de Febrero” a favor de la </w:t>
      </w:r>
      <w:r w:rsidR="00566446">
        <w:rPr>
          <w:rFonts w:ascii="Verdana" w:hAnsi="Verdana"/>
          <w:sz w:val="20"/>
          <w:lang w:val="es-ES"/>
        </w:rPr>
        <w:t>c</w:t>
      </w:r>
      <w:r>
        <w:rPr>
          <w:rFonts w:ascii="Verdana" w:hAnsi="Verdana"/>
          <w:sz w:val="20"/>
          <w:lang w:val="es-ES"/>
        </w:rPr>
        <w:t>omunidad</w:t>
      </w:r>
      <w:r>
        <w:rPr>
          <w:rFonts w:ascii="Verdana" w:hAnsi="Verdana"/>
          <w:i/>
          <w:sz w:val="20"/>
          <w:lang w:val="es-ES"/>
        </w:rPr>
        <w:t xml:space="preserve"> </w:t>
      </w:r>
      <w:r>
        <w:rPr>
          <w:rFonts w:ascii="Verdana" w:hAnsi="Verdana"/>
          <w:sz w:val="20"/>
          <w:lang w:val="es-ES"/>
        </w:rPr>
        <w:t>indígena</w:t>
      </w:r>
      <w:r w:rsidR="008B6C49">
        <w:rPr>
          <w:rStyle w:val="Refdenotaalpie"/>
          <w:rFonts w:ascii="Verdana" w:hAnsi="Verdana"/>
          <w:sz w:val="20"/>
          <w:lang w:val="es-ES"/>
        </w:rPr>
        <w:footnoteReference w:id="26"/>
      </w:r>
      <w:r>
        <w:rPr>
          <w:rFonts w:ascii="Verdana" w:hAnsi="Verdana"/>
          <w:sz w:val="20"/>
          <w:lang w:val="es-ES"/>
        </w:rPr>
        <w:t>.</w:t>
      </w:r>
      <w:bookmarkEnd w:id="10"/>
    </w:p>
    <w:p w:rsidR="001234EB" w:rsidRDefault="001234EB" w:rsidP="001234EB">
      <w:pPr>
        <w:pStyle w:val="Prrafodelista"/>
        <w:rPr>
          <w:rFonts w:ascii="Verdana" w:hAnsi="Verdana"/>
          <w:sz w:val="20"/>
        </w:rPr>
      </w:pPr>
    </w:p>
    <w:p w:rsidR="001234EB" w:rsidRPr="001234EB" w:rsidRDefault="001234EB" w:rsidP="001234EB">
      <w:pPr>
        <w:numPr>
          <w:ilvl w:val="0"/>
          <w:numId w:val="4"/>
        </w:numPr>
        <w:ind w:left="0" w:right="4" w:firstLine="0"/>
        <w:jc w:val="both"/>
        <w:rPr>
          <w:rFonts w:ascii="Verdana" w:hAnsi="Verdana"/>
          <w:sz w:val="20"/>
        </w:rPr>
      </w:pPr>
      <w:bookmarkStart w:id="11" w:name="_Ref456708561"/>
      <w:r>
        <w:rPr>
          <w:rFonts w:ascii="Verdana" w:hAnsi="Verdana"/>
          <w:sz w:val="20"/>
        </w:rPr>
        <w:t xml:space="preserve">El </w:t>
      </w:r>
      <w:r w:rsidRPr="006E25A0">
        <w:rPr>
          <w:rFonts w:ascii="Verdana" w:hAnsi="Verdana"/>
          <w:sz w:val="20"/>
        </w:rPr>
        <w:t xml:space="preserve">Presidente observa que el Estado nuevamente hizo referencia al trámite de adquisición de las 7.700 hectáreas </w:t>
      </w:r>
      <w:r w:rsidR="007D3ABF">
        <w:rPr>
          <w:rFonts w:ascii="Verdana" w:hAnsi="Verdana"/>
          <w:sz w:val="20"/>
        </w:rPr>
        <w:t>tituladas a favor de</w:t>
      </w:r>
      <w:r w:rsidRPr="006E25A0">
        <w:rPr>
          <w:rFonts w:ascii="Verdana" w:hAnsi="Verdana"/>
          <w:sz w:val="20"/>
        </w:rPr>
        <w:t xml:space="preserve"> una compañía, e indicó que actualmente “se están realizando las gestiones pertinentes ante el Ministerio de Hacienda a fin de obtener la aprobación de Plan de Caja, el cual consiste en la transferencia de recursos para pago”. No obstante lo anterior, persiste la falta de información del Estado sobre las medidas dirigidas a la adquisición y entrega de las 3.000 hectáreas faltantes del total de las 10.700 hectáreas del territorio tradicional de la comunidad indígena</w:t>
      </w:r>
      <w:r w:rsidR="00E91E91">
        <w:rPr>
          <w:rStyle w:val="Refdenotaalpie"/>
          <w:rFonts w:ascii="Verdana" w:hAnsi="Verdana"/>
          <w:sz w:val="20"/>
        </w:rPr>
        <w:footnoteReference w:id="27"/>
      </w:r>
      <w:r w:rsidRPr="006E25A0">
        <w:rPr>
          <w:rFonts w:ascii="Verdana" w:hAnsi="Verdana"/>
          <w:sz w:val="20"/>
        </w:rPr>
        <w:t xml:space="preserve">. Igualmente, el Presidente observa que el Estado no hizo referencia a las medidas dirigidas a velar porque la totalidad del territorio reclamado por la comunidad no se vea menoscabado. Por otra parte, el Presidente observa que </w:t>
      </w:r>
      <w:r w:rsidR="007F5FB0">
        <w:rPr>
          <w:rFonts w:ascii="Verdana" w:hAnsi="Verdana"/>
          <w:sz w:val="20"/>
        </w:rPr>
        <w:t xml:space="preserve">los representantes de las víctimas </w:t>
      </w:r>
      <w:r w:rsidRPr="006E25A0">
        <w:rPr>
          <w:rFonts w:ascii="Verdana" w:hAnsi="Verdana"/>
          <w:sz w:val="20"/>
        </w:rPr>
        <w:t>no controvirt</w:t>
      </w:r>
      <w:r w:rsidR="007F5FB0">
        <w:rPr>
          <w:rFonts w:ascii="Verdana" w:hAnsi="Verdana"/>
          <w:sz w:val="20"/>
        </w:rPr>
        <w:t>ieron</w:t>
      </w:r>
      <w:r w:rsidR="006E25A0" w:rsidRPr="006E25A0">
        <w:rPr>
          <w:rFonts w:ascii="Verdana" w:hAnsi="Verdana"/>
          <w:sz w:val="20"/>
        </w:rPr>
        <w:t xml:space="preserve"> la información relativa a</w:t>
      </w:r>
      <w:r w:rsidRPr="006E25A0">
        <w:rPr>
          <w:rFonts w:ascii="Verdana" w:hAnsi="Verdana"/>
          <w:sz w:val="20"/>
        </w:rPr>
        <w:t xml:space="preserve"> que el </w:t>
      </w:r>
      <w:r w:rsidRPr="006E25A0">
        <w:rPr>
          <w:rFonts w:ascii="Verdana" w:hAnsi="Verdana"/>
          <w:sz w:val="20"/>
        </w:rPr>
        <w:lastRenderedPageBreak/>
        <w:t xml:space="preserve">Estado tituló a favor de la comunidad </w:t>
      </w:r>
      <w:proofErr w:type="spellStart"/>
      <w:r w:rsidRPr="006E25A0">
        <w:rPr>
          <w:rFonts w:ascii="Verdana" w:hAnsi="Verdana"/>
          <w:i/>
          <w:sz w:val="20"/>
        </w:rPr>
        <w:t>Xákmok</w:t>
      </w:r>
      <w:proofErr w:type="spellEnd"/>
      <w:r>
        <w:rPr>
          <w:rFonts w:ascii="Verdana" w:hAnsi="Verdana"/>
          <w:i/>
          <w:sz w:val="20"/>
        </w:rPr>
        <w:t xml:space="preserve"> </w:t>
      </w:r>
      <w:proofErr w:type="spellStart"/>
      <w:r>
        <w:rPr>
          <w:rFonts w:ascii="Verdana" w:hAnsi="Verdana"/>
          <w:i/>
          <w:sz w:val="20"/>
        </w:rPr>
        <w:t>Kásek</w:t>
      </w:r>
      <w:proofErr w:type="spellEnd"/>
      <w:r>
        <w:rPr>
          <w:rFonts w:ascii="Verdana" w:hAnsi="Verdana"/>
          <w:sz w:val="20"/>
        </w:rPr>
        <w:t xml:space="preserve"> las tierras ubicadas en “25 de Febrero”</w:t>
      </w:r>
      <w:r w:rsidR="007F5FB0" w:rsidRPr="007F5FB0">
        <w:rPr>
          <w:rStyle w:val="Refdenotaalpie"/>
          <w:rFonts w:ascii="Verdana" w:hAnsi="Verdana"/>
          <w:sz w:val="20"/>
        </w:rPr>
        <w:t xml:space="preserve"> </w:t>
      </w:r>
      <w:r w:rsidR="007F5FB0">
        <w:rPr>
          <w:rStyle w:val="Refdenotaalpie"/>
          <w:rFonts w:ascii="Verdana" w:hAnsi="Verdana"/>
          <w:sz w:val="20"/>
        </w:rPr>
        <w:footnoteReference w:id="28"/>
      </w:r>
      <w:r w:rsidR="007F5FB0">
        <w:rPr>
          <w:rFonts w:ascii="Verdana" w:hAnsi="Verdana"/>
          <w:sz w:val="20"/>
        </w:rPr>
        <w:t>.</w:t>
      </w:r>
      <w:r>
        <w:rPr>
          <w:rFonts w:ascii="Verdana" w:hAnsi="Verdana"/>
          <w:sz w:val="20"/>
        </w:rPr>
        <w:t xml:space="preserve"> </w:t>
      </w:r>
      <w:bookmarkEnd w:id="11"/>
    </w:p>
    <w:p w:rsidR="002704B0" w:rsidRDefault="002704B0" w:rsidP="002704B0">
      <w:pPr>
        <w:pStyle w:val="Prrafodelista"/>
        <w:rPr>
          <w:rFonts w:ascii="Verdana" w:hAnsi="Verdana"/>
          <w:sz w:val="20"/>
        </w:rPr>
      </w:pPr>
    </w:p>
    <w:p w:rsidR="002704B0" w:rsidRPr="00FD55B1" w:rsidRDefault="007F5FB0" w:rsidP="002704B0">
      <w:pPr>
        <w:numPr>
          <w:ilvl w:val="0"/>
          <w:numId w:val="4"/>
        </w:numPr>
        <w:ind w:left="0" w:right="4" w:firstLine="0"/>
        <w:jc w:val="both"/>
        <w:rPr>
          <w:rFonts w:ascii="Verdana" w:hAnsi="Verdana"/>
          <w:sz w:val="20"/>
        </w:rPr>
      </w:pPr>
      <w:bookmarkStart w:id="12" w:name="_Ref456708336"/>
      <w:r>
        <w:rPr>
          <w:rFonts w:ascii="Verdana" w:hAnsi="Verdana"/>
          <w:sz w:val="20"/>
        </w:rPr>
        <w:t>E</w:t>
      </w:r>
      <w:r w:rsidR="000B145D">
        <w:rPr>
          <w:rFonts w:ascii="Verdana" w:hAnsi="Verdana"/>
          <w:sz w:val="20"/>
        </w:rPr>
        <w:t xml:space="preserve">n </w:t>
      </w:r>
      <w:r>
        <w:rPr>
          <w:rFonts w:ascii="Verdana" w:hAnsi="Verdana"/>
          <w:sz w:val="20"/>
        </w:rPr>
        <w:t>la referida</w:t>
      </w:r>
      <w:r w:rsidR="000B145D">
        <w:rPr>
          <w:rFonts w:ascii="Verdana" w:hAnsi="Verdana"/>
          <w:sz w:val="20"/>
        </w:rPr>
        <w:t xml:space="preserve"> Resolución de 2015</w:t>
      </w:r>
      <w:r>
        <w:rPr>
          <w:rFonts w:ascii="Verdana" w:hAnsi="Verdana"/>
          <w:sz w:val="20"/>
        </w:rPr>
        <w:t xml:space="preserve">, la Corte también evaluó el cumplimiento de </w:t>
      </w:r>
      <w:r w:rsidR="008B6C49">
        <w:rPr>
          <w:rFonts w:ascii="Verdana" w:hAnsi="Verdana"/>
          <w:sz w:val="20"/>
        </w:rPr>
        <w:t xml:space="preserve">la obligación de crear un fondo para la adquisición de las tierras a favor de las comunidades </w:t>
      </w:r>
      <w:proofErr w:type="spellStart"/>
      <w:r w:rsidR="008B6C49">
        <w:rPr>
          <w:rFonts w:ascii="Verdana" w:hAnsi="Verdana"/>
          <w:i/>
          <w:sz w:val="20"/>
        </w:rPr>
        <w:t>Yakye</w:t>
      </w:r>
      <w:proofErr w:type="spellEnd"/>
      <w:r w:rsidR="008B6C49">
        <w:rPr>
          <w:rFonts w:ascii="Verdana" w:hAnsi="Verdana"/>
          <w:i/>
          <w:sz w:val="20"/>
        </w:rPr>
        <w:t xml:space="preserve"> Axa </w:t>
      </w:r>
      <w:r w:rsidR="008B6C49">
        <w:rPr>
          <w:rFonts w:ascii="Verdana" w:hAnsi="Verdana"/>
          <w:sz w:val="20"/>
        </w:rPr>
        <w:t xml:space="preserve">y </w:t>
      </w:r>
      <w:proofErr w:type="spellStart"/>
      <w:r w:rsidR="008B6C49">
        <w:rPr>
          <w:rFonts w:ascii="Verdana" w:hAnsi="Verdana"/>
          <w:i/>
          <w:sz w:val="20"/>
        </w:rPr>
        <w:t>Sawhoyamaxa</w:t>
      </w:r>
      <w:proofErr w:type="spellEnd"/>
      <w:r w:rsidR="008B6C49">
        <w:rPr>
          <w:rFonts w:ascii="Verdana" w:hAnsi="Verdana"/>
          <w:sz w:val="20"/>
        </w:rPr>
        <w:t xml:space="preserve">. Al respecto, </w:t>
      </w:r>
      <w:r w:rsidR="008B6C49">
        <w:rPr>
          <w:rFonts w:ascii="Verdana" w:hAnsi="Verdana"/>
          <w:bCs/>
          <w:sz w:val="20"/>
          <w:lang w:val="es-CR"/>
        </w:rPr>
        <w:t>valoró positivamente</w:t>
      </w:r>
      <w:r w:rsidR="008B6C49">
        <w:rPr>
          <w:rFonts w:ascii="Verdana" w:hAnsi="Verdana"/>
          <w:b/>
          <w:bCs/>
          <w:sz w:val="20"/>
          <w:lang w:val="es-CR"/>
        </w:rPr>
        <w:t xml:space="preserve"> </w:t>
      </w:r>
      <w:r w:rsidR="008B6C49">
        <w:rPr>
          <w:rFonts w:ascii="Verdana" w:hAnsi="Verdana"/>
          <w:bCs/>
          <w:sz w:val="20"/>
          <w:lang w:val="es-CR"/>
        </w:rPr>
        <w:t>que en el año 2006 el Estado hubiere creado dicho fondo, pero not</w:t>
      </w:r>
      <w:r w:rsidR="00FD55B1">
        <w:rPr>
          <w:rFonts w:ascii="Verdana" w:hAnsi="Verdana"/>
          <w:bCs/>
          <w:sz w:val="20"/>
          <w:lang w:val="es-CR"/>
        </w:rPr>
        <w:t>ó</w:t>
      </w:r>
      <w:r w:rsidR="008B6C49">
        <w:rPr>
          <w:rFonts w:ascii="Verdana" w:hAnsi="Verdana"/>
          <w:bCs/>
          <w:sz w:val="20"/>
          <w:lang w:val="es-CR"/>
        </w:rPr>
        <w:t xml:space="preserve"> con preocupación la sustracción de dinero</w:t>
      </w:r>
      <w:r w:rsidR="00FD55B1">
        <w:rPr>
          <w:rFonts w:ascii="Verdana" w:hAnsi="Verdana"/>
          <w:bCs/>
          <w:sz w:val="20"/>
          <w:lang w:val="es-CR"/>
        </w:rPr>
        <w:t xml:space="preserve"> de</w:t>
      </w:r>
      <w:r w:rsidR="003877EF">
        <w:rPr>
          <w:rFonts w:ascii="Verdana" w:hAnsi="Verdana"/>
          <w:bCs/>
          <w:sz w:val="20"/>
          <w:lang w:val="es-CR"/>
        </w:rPr>
        <w:t>l mismo</w:t>
      </w:r>
      <w:r w:rsidR="00FD55B1">
        <w:rPr>
          <w:rFonts w:ascii="Verdana" w:hAnsi="Verdana"/>
          <w:bCs/>
          <w:sz w:val="20"/>
          <w:lang w:val="es-CR"/>
        </w:rPr>
        <w:t xml:space="preserve"> </w:t>
      </w:r>
      <w:r w:rsidR="003877EF">
        <w:rPr>
          <w:rFonts w:ascii="Verdana" w:hAnsi="Verdana"/>
          <w:bCs/>
          <w:sz w:val="20"/>
          <w:lang w:val="es-CR"/>
        </w:rPr>
        <w:t xml:space="preserve">y </w:t>
      </w:r>
      <w:r w:rsidR="00FD55B1">
        <w:rPr>
          <w:rFonts w:ascii="Verdana" w:hAnsi="Verdana"/>
          <w:bCs/>
          <w:sz w:val="20"/>
          <w:lang w:val="es-CR"/>
        </w:rPr>
        <w:t>que</w:t>
      </w:r>
      <w:r w:rsidR="008B6C49">
        <w:rPr>
          <w:rFonts w:ascii="Verdana" w:hAnsi="Verdana"/>
          <w:bCs/>
          <w:sz w:val="20"/>
          <w:lang w:val="es-CR"/>
        </w:rPr>
        <w:t xml:space="preserve"> podría afectar la adquisición de las tierras correspondientes</w:t>
      </w:r>
      <w:r w:rsidR="00FD55B1">
        <w:rPr>
          <w:rFonts w:ascii="Verdana" w:hAnsi="Verdana"/>
          <w:bCs/>
          <w:sz w:val="20"/>
          <w:lang w:val="es-CR"/>
        </w:rPr>
        <w:t>. Ante ello, la Corte requirió a Paraguay que proporcion</w:t>
      </w:r>
      <w:r w:rsidR="003877EF">
        <w:rPr>
          <w:rFonts w:ascii="Verdana" w:hAnsi="Verdana"/>
          <w:bCs/>
          <w:sz w:val="20"/>
          <w:lang w:val="es-CR"/>
        </w:rPr>
        <w:t>ara</w:t>
      </w:r>
      <w:r w:rsidR="00FD55B1">
        <w:rPr>
          <w:rFonts w:ascii="Verdana" w:hAnsi="Verdana"/>
          <w:bCs/>
          <w:sz w:val="20"/>
          <w:lang w:val="es-CR"/>
        </w:rPr>
        <w:t xml:space="preserve"> información clara y completa sobre si </w:t>
      </w:r>
      <w:r w:rsidR="003877EF">
        <w:rPr>
          <w:rFonts w:ascii="Verdana" w:hAnsi="Verdana"/>
          <w:bCs/>
          <w:sz w:val="20"/>
          <w:lang w:val="es-CR"/>
        </w:rPr>
        <w:t xml:space="preserve">fueron </w:t>
      </w:r>
      <w:r w:rsidR="00FD55B1">
        <w:rPr>
          <w:rFonts w:ascii="Verdana" w:hAnsi="Verdana"/>
          <w:bCs/>
          <w:sz w:val="20"/>
          <w:lang w:val="es-CR"/>
        </w:rPr>
        <w:t xml:space="preserve">restituidos los fondos necesarios para proceder a la adquisición y titulación de las </w:t>
      </w:r>
      <w:r w:rsidR="00FD55B1" w:rsidRPr="006E25A0">
        <w:rPr>
          <w:rFonts w:ascii="Verdana" w:hAnsi="Verdana"/>
          <w:sz w:val="20"/>
          <w:lang w:val="es-CR"/>
        </w:rPr>
        <w:t>tierras</w:t>
      </w:r>
      <w:r w:rsidR="00FD55B1" w:rsidRPr="006E25A0">
        <w:rPr>
          <w:rFonts w:ascii="Verdana" w:hAnsi="Verdana"/>
          <w:bCs/>
          <w:sz w:val="20"/>
          <w:lang w:val="es-CR"/>
        </w:rPr>
        <w:t xml:space="preserve"> correspondientes a la comunidad </w:t>
      </w:r>
      <w:proofErr w:type="spellStart"/>
      <w:r w:rsidR="00FD55B1" w:rsidRPr="006E25A0">
        <w:rPr>
          <w:rFonts w:ascii="Verdana" w:hAnsi="Verdana"/>
          <w:bCs/>
          <w:i/>
          <w:sz w:val="20"/>
          <w:lang w:val="es-CR"/>
        </w:rPr>
        <w:t>Sawhoyamaxa</w:t>
      </w:r>
      <w:proofErr w:type="spellEnd"/>
      <w:r w:rsidR="00FD55B1" w:rsidRPr="006E25A0">
        <w:rPr>
          <w:rFonts w:ascii="Verdana" w:hAnsi="Verdana"/>
          <w:bCs/>
          <w:i/>
          <w:sz w:val="20"/>
          <w:lang w:val="es-CR"/>
        </w:rPr>
        <w:t xml:space="preserve"> </w:t>
      </w:r>
      <w:r w:rsidR="00FD55B1" w:rsidRPr="006E25A0">
        <w:rPr>
          <w:rFonts w:ascii="Verdana" w:hAnsi="Verdana"/>
          <w:bCs/>
          <w:sz w:val="20"/>
          <w:lang w:val="es-CR"/>
        </w:rPr>
        <w:t xml:space="preserve">y, en su caso, la adquisición y titulación de las tierras alternativas de la Comunidad </w:t>
      </w:r>
      <w:proofErr w:type="spellStart"/>
      <w:r w:rsidR="00FD55B1" w:rsidRPr="006E25A0">
        <w:rPr>
          <w:rFonts w:ascii="Verdana" w:hAnsi="Verdana"/>
          <w:bCs/>
          <w:i/>
          <w:sz w:val="20"/>
          <w:lang w:val="es-CR"/>
        </w:rPr>
        <w:t>Yakye</w:t>
      </w:r>
      <w:proofErr w:type="spellEnd"/>
      <w:r w:rsidR="00FD55B1" w:rsidRPr="006E25A0">
        <w:rPr>
          <w:rFonts w:ascii="Verdana" w:hAnsi="Verdana"/>
          <w:bCs/>
          <w:i/>
          <w:sz w:val="20"/>
          <w:lang w:val="es-CR"/>
        </w:rPr>
        <w:t xml:space="preserve"> Axa</w:t>
      </w:r>
      <w:r w:rsidR="00FD55B1" w:rsidRPr="006E25A0">
        <w:rPr>
          <w:rFonts w:ascii="Verdana" w:hAnsi="Verdana"/>
          <w:bCs/>
          <w:sz w:val="20"/>
          <w:lang w:val="es-CR"/>
        </w:rPr>
        <w:t xml:space="preserve">, así como </w:t>
      </w:r>
      <w:r w:rsidR="00482022">
        <w:rPr>
          <w:rFonts w:ascii="Verdana" w:hAnsi="Verdana"/>
          <w:bCs/>
          <w:sz w:val="20"/>
          <w:lang w:val="es-CR"/>
        </w:rPr>
        <w:t xml:space="preserve">para </w:t>
      </w:r>
      <w:r w:rsidR="00FD55B1" w:rsidRPr="006E25A0">
        <w:rPr>
          <w:rFonts w:ascii="Verdana" w:hAnsi="Verdana"/>
          <w:bCs/>
          <w:sz w:val="20"/>
          <w:lang w:val="es-CR"/>
        </w:rPr>
        <w:t xml:space="preserve">la construcción del camino de acceso a </w:t>
      </w:r>
      <w:r w:rsidR="007D3ABF">
        <w:rPr>
          <w:rFonts w:ascii="Verdana" w:hAnsi="Verdana"/>
          <w:bCs/>
          <w:sz w:val="20"/>
          <w:lang w:val="es-CR"/>
        </w:rPr>
        <w:t>estas últimas</w:t>
      </w:r>
      <w:r w:rsidR="005430BE">
        <w:rPr>
          <w:rStyle w:val="Refdenotaalpie"/>
          <w:rFonts w:ascii="Verdana" w:hAnsi="Verdana"/>
          <w:bCs/>
          <w:sz w:val="20"/>
          <w:lang w:val="es-CR"/>
        </w:rPr>
        <w:footnoteReference w:id="29"/>
      </w:r>
      <w:r w:rsidR="00FD55B1" w:rsidRPr="006E25A0">
        <w:rPr>
          <w:rFonts w:ascii="Verdana" w:hAnsi="Verdana"/>
          <w:bCs/>
          <w:sz w:val="20"/>
          <w:lang w:val="es-CR"/>
        </w:rPr>
        <w:t>.</w:t>
      </w:r>
      <w:r w:rsidR="001234EB" w:rsidRPr="006E25A0">
        <w:rPr>
          <w:rFonts w:ascii="Verdana" w:hAnsi="Verdana"/>
          <w:bCs/>
          <w:sz w:val="20"/>
          <w:lang w:val="es-CR"/>
        </w:rPr>
        <w:t xml:space="preserve"> Sobre este punto, </w:t>
      </w:r>
      <w:r w:rsidR="001234EB" w:rsidRPr="006E25A0">
        <w:rPr>
          <w:rFonts w:ascii="Verdana" w:hAnsi="Verdana"/>
          <w:sz w:val="20"/>
        </w:rPr>
        <w:t>el Presidente observa que el Estado informó que</w:t>
      </w:r>
      <w:r w:rsidR="00482022">
        <w:rPr>
          <w:rFonts w:ascii="Verdana" w:hAnsi="Verdana"/>
          <w:sz w:val="20"/>
        </w:rPr>
        <w:t>,</w:t>
      </w:r>
      <w:r w:rsidR="001234EB" w:rsidRPr="006E25A0">
        <w:rPr>
          <w:rFonts w:ascii="Verdana" w:hAnsi="Verdana"/>
          <w:sz w:val="20"/>
        </w:rPr>
        <w:t xml:space="preserve"> “</w:t>
      </w:r>
      <w:r w:rsidR="000B145D" w:rsidRPr="006E25A0">
        <w:rPr>
          <w:rFonts w:ascii="Verdana" w:hAnsi="Verdana"/>
          <w:sz w:val="20"/>
        </w:rPr>
        <w:t xml:space="preserve">a pesar de no haber sido repuesto el dinero sustraído, </w:t>
      </w:r>
      <w:r w:rsidR="001234EB" w:rsidRPr="006E25A0">
        <w:rPr>
          <w:rFonts w:ascii="Verdana" w:hAnsi="Verdana"/>
          <w:sz w:val="20"/>
        </w:rPr>
        <w:t>otros fondos</w:t>
      </w:r>
      <w:r w:rsidR="001234EB">
        <w:rPr>
          <w:rFonts w:ascii="Verdana" w:hAnsi="Verdana"/>
          <w:sz w:val="20"/>
        </w:rPr>
        <w:t xml:space="preserve"> públicos para aseguramiento de tierras ya han sido previstos o asegurados […] o hasta invertidos”, indicando que el monto dispuesto para el caso </w:t>
      </w:r>
      <w:proofErr w:type="spellStart"/>
      <w:r w:rsidR="001234EB">
        <w:rPr>
          <w:rFonts w:ascii="Verdana" w:hAnsi="Verdana"/>
          <w:i/>
          <w:sz w:val="20"/>
        </w:rPr>
        <w:t>Sawhoyamaxa</w:t>
      </w:r>
      <w:proofErr w:type="spellEnd"/>
      <w:r w:rsidR="001234EB">
        <w:rPr>
          <w:rFonts w:ascii="Verdana" w:hAnsi="Verdana"/>
          <w:sz w:val="20"/>
        </w:rPr>
        <w:t xml:space="preserve"> se encontraría consignado en la cuenta judicial creada para el cumplimiento de la expropiación (</w:t>
      </w:r>
      <w:r w:rsidR="001234EB">
        <w:rPr>
          <w:rFonts w:ascii="Verdana" w:hAnsi="Verdana"/>
          <w:i/>
          <w:sz w:val="20"/>
        </w:rPr>
        <w:t>supra</w:t>
      </w:r>
      <w:r w:rsidR="001234EB">
        <w:rPr>
          <w:rFonts w:ascii="Verdana" w:hAnsi="Verdana"/>
          <w:sz w:val="20"/>
        </w:rPr>
        <w:t xml:space="preserve"> Considerando</w:t>
      </w:r>
      <w:r w:rsidR="00BB61E1">
        <w:rPr>
          <w:rFonts w:ascii="Verdana" w:hAnsi="Verdana"/>
          <w:sz w:val="20"/>
        </w:rPr>
        <w:t xml:space="preserve">s </w:t>
      </w:r>
      <w:r w:rsidR="00BB61E1">
        <w:rPr>
          <w:rFonts w:ascii="Verdana" w:hAnsi="Verdana"/>
          <w:sz w:val="20"/>
        </w:rPr>
        <w:fldChar w:fldCharType="begin"/>
      </w:r>
      <w:r w:rsidR="00BB61E1">
        <w:rPr>
          <w:rFonts w:ascii="Verdana" w:hAnsi="Verdana"/>
          <w:sz w:val="20"/>
        </w:rPr>
        <w:instrText xml:space="preserve"> REF _Ref456708319 \r \h </w:instrText>
      </w:r>
      <w:r w:rsidR="00BB61E1">
        <w:rPr>
          <w:rFonts w:ascii="Verdana" w:hAnsi="Verdana"/>
          <w:sz w:val="20"/>
        </w:rPr>
      </w:r>
      <w:r w:rsidR="00BB61E1">
        <w:rPr>
          <w:rFonts w:ascii="Verdana" w:hAnsi="Verdana"/>
          <w:sz w:val="20"/>
        </w:rPr>
        <w:fldChar w:fldCharType="separate"/>
      </w:r>
      <w:r w:rsidR="00717A33">
        <w:rPr>
          <w:rFonts w:ascii="Verdana" w:hAnsi="Verdana"/>
          <w:sz w:val="20"/>
        </w:rPr>
        <w:t>7</w:t>
      </w:r>
      <w:r w:rsidR="00BB61E1">
        <w:rPr>
          <w:rFonts w:ascii="Verdana" w:hAnsi="Verdana"/>
          <w:sz w:val="20"/>
        </w:rPr>
        <w:fldChar w:fldCharType="end"/>
      </w:r>
      <w:r w:rsidR="00BB61E1">
        <w:rPr>
          <w:rFonts w:ascii="Verdana" w:hAnsi="Verdana"/>
          <w:sz w:val="20"/>
        </w:rPr>
        <w:t xml:space="preserve"> y</w:t>
      </w:r>
      <w:r w:rsidR="001234EB">
        <w:rPr>
          <w:rFonts w:ascii="Verdana" w:hAnsi="Verdana"/>
          <w:sz w:val="20"/>
        </w:rPr>
        <w:t xml:space="preserve"> </w:t>
      </w:r>
      <w:r w:rsidR="00BB61E1">
        <w:rPr>
          <w:rFonts w:ascii="Verdana" w:hAnsi="Verdana"/>
          <w:sz w:val="20"/>
        </w:rPr>
        <w:fldChar w:fldCharType="begin"/>
      </w:r>
      <w:r w:rsidR="00BB61E1">
        <w:rPr>
          <w:rFonts w:ascii="Verdana" w:hAnsi="Verdana"/>
          <w:sz w:val="20"/>
        </w:rPr>
        <w:instrText xml:space="preserve"> REF _Ref456708427 \r \h </w:instrText>
      </w:r>
      <w:r w:rsidR="00BB61E1">
        <w:rPr>
          <w:rFonts w:ascii="Verdana" w:hAnsi="Verdana"/>
          <w:sz w:val="20"/>
        </w:rPr>
      </w:r>
      <w:r w:rsidR="00BB61E1">
        <w:rPr>
          <w:rFonts w:ascii="Verdana" w:hAnsi="Verdana"/>
          <w:sz w:val="20"/>
        </w:rPr>
        <w:fldChar w:fldCharType="separate"/>
      </w:r>
      <w:r w:rsidR="00717A33">
        <w:rPr>
          <w:rFonts w:ascii="Verdana" w:hAnsi="Verdana"/>
          <w:sz w:val="20"/>
        </w:rPr>
        <w:t>8</w:t>
      </w:r>
      <w:r w:rsidR="00BB61E1">
        <w:rPr>
          <w:rFonts w:ascii="Verdana" w:hAnsi="Verdana"/>
          <w:sz w:val="20"/>
        </w:rPr>
        <w:fldChar w:fldCharType="end"/>
      </w:r>
      <w:r w:rsidR="001234EB">
        <w:rPr>
          <w:rFonts w:ascii="Verdana" w:hAnsi="Verdana"/>
          <w:sz w:val="20"/>
        </w:rPr>
        <w:t>), y que</w:t>
      </w:r>
      <w:r w:rsidR="000B145D">
        <w:rPr>
          <w:rFonts w:ascii="Verdana" w:hAnsi="Verdana"/>
          <w:sz w:val="20"/>
        </w:rPr>
        <w:t xml:space="preserve"> el monto correspondiente al ca</w:t>
      </w:r>
      <w:r w:rsidR="001234EB">
        <w:rPr>
          <w:rFonts w:ascii="Verdana" w:hAnsi="Verdana"/>
          <w:sz w:val="20"/>
        </w:rPr>
        <w:t>s</w:t>
      </w:r>
      <w:r w:rsidR="000B145D">
        <w:rPr>
          <w:rFonts w:ascii="Verdana" w:hAnsi="Verdana"/>
          <w:sz w:val="20"/>
        </w:rPr>
        <w:t>o</w:t>
      </w:r>
      <w:r w:rsidR="001234EB">
        <w:rPr>
          <w:rFonts w:ascii="Verdana" w:hAnsi="Verdana"/>
          <w:sz w:val="20"/>
        </w:rPr>
        <w:t xml:space="preserve"> </w:t>
      </w:r>
      <w:proofErr w:type="spellStart"/>
      <w:r w:rsidR="001234EB">
        <w:rPr>
          <w:rFonts w:ascii="Verdana" w:hAnsi="Verdana"/>
          <w:i/>
          <w:sz w:val="20"/>
        </w:rPr>
        <w:t>Yakye</w:t>
      </w:r>
      <w:proofErr w:type="spellEnd"/>
      <w:r w:rsidR="001234EB">
        <w:rPr>
          <w:rFonts w:ascii="Verdana" w:hAnsi="Verdana"/>
          <w:i/>
          <w:sz w:val="20"/>
        </w:rPr>
        <w:t xml:space="preserve"> Axa</w:t>
      </w:r>
      <w:r w:rsidR="001234EB">
        <w:rPr>
          <w:rFonts w:ascii="Verdana" w:hAnsi="Verdana"/>
          <w:sz w:val="20"/>
        </w:rPr>
        <w:t xml:space="preserve"> habría sido utilizado para el pago de las tierras ya adquiridas por el Estado</w:t>
      </w:r>
      <w:r w:rsidR="000B145D">
        <w:rPr>
          <w:rFonts w:ascii="Verdana" w:hAnsi="Verdana"/>
          <w:sz w:val="20"/>
        </w:rPr>
        <w:t xml:space="preserve"> (</w:t>
      </w:r>
      <w:r w:rsidR="000B145D">
        <w:rPr>
          <w:rFonts w:ascii="Verdana" w:hAnsi="Verdana"/>
          <w:i/>
          <w:sz w:val="20"/>
        </w:rPr>
        <w:t>supra</w:t>
      </w:r>
      <w:r w:rsidR="000B145D">
        <w:rPr>
          <w:rFonts w:ascii="Verdana" w:hAnsi="Verdana"/>
          <w:sz w:val="20"/>
        </w:rPr>
        <w:t xml:space="preserve"> Considerando</w:t>
      </w:r>
      <w:r w:rsidR="00BB61E1">
        <w:rPr>
          <w:rFonts w:ascii="Verdana" w:hAnsi="Verdana"/>
          <w:sz w:val="20"/>
        </w:rPr>
        <w:t>s</w:t>
      </w:r>
      <w:r w:rsidR="000B145D">
        <w:rPr>
          <w:rFonts w:ascii="Verdana" w:hAnsi="Verdana"/>
          <w:sz w:val="20"/>
        </w:rPr>
        <w:t xml:space="preserve"> </w:t>
      </w:r>
      <w:r w:rsidR="00BB61E1">
        <w:rPr>
          <w:rFonts w:ascii="Verdana" w:hAnsi="Verdana"/>
          <w:sz w:val="20"/>
        </w:rPr>
        <w:fldChar w:fldCharType="begin"/>
      </w:r>
      <w:r w:rsidR="00BB61E1">
        <w:rPr>
          <w:rFonts w:ascii="Verdana" w:hAnsi="Verdana"/>
          <w:sz w:val="20"/>
        </w:rPr>
        <w:instrText xml:space="preserve"> REF _Ref456708045 \r \h </w:instrText>
      </w:r>
      <w:r w:rsidR="00BB61E1">
        <w:rPr>
          <w:rFonts w:ascii="Verdana" w:hAnsi="Verdana"/>
          <w:sz w:val="20"/>
        </w:rPr>
      </w:r>
      <w:r w:rsidR="00BB61E1">
        <w:rPr>
          <w:rFonts w:ascii="Verdana" w:hAnsi="Verdana"/>
          <w:sz w:val="20"/>
        </w:rPr>
        <w:fldChar w:fldCharType="separate"/>
      </w:r>
      <w:r w:rsidR="00717A33">
        <w:rPr>
          <w:rFonts w:ascii="Verdana" w:hAnsi="Verdana"/>
          <w:sz w:val="20"/>
        </w:rPr>
        <w:t>4</w:t>
      </w:r>
      <w:r w:rsidR="00BB61E1">
        <w:rPr>
          <w:rFonts w:ascii="Verdana" w:hAnsi="Verdana"/>
          <w:sz w:val="20"/>
        </w:rPr>
        <w:fldChar w:fldCharType="end"/>
      </w:r>
      <w:r w:rsidR="00BB61E1">
        <w:rPr>
          <w:rFonts w:ascii="Verdana" w:hAnsi="Verdana"/>
          <w:sz w:val="20"/>
        </w:rPr>
        <w:t xml:space="preserve"> y </w:t>
      </w:r>
      <w:r w:rsidR="00BB61E1">
        <w:rPr>
          <w:rFonts w:ascii="Verdana" w:hAnsi="Verdana"/>
          <w:sz w:val="20"/>
        </w:rPr>
        <w:fldChar w:fldCharType="begin"/>
      </w:r>
      <w:r w:rsidR="00BB61E1">
        <w:rPr>
          <w:rFonts w:ascii="Verdana" w:hAnsi="Verdana"/>
          <w:sz w:val="20"/>
        </w:rPr>
        <w:instrText xml:space="preserve"> REF _Ref456708077 \r \h </w:instrText>
      </w:r>
      <w:r w:rsidR="00BB61E1">
        <w:rPr>
          <w:rFonts w:ascii="Verdana" w:hAnsi="Verdana"/>
          <w:sz w:val="20"/>
        </w:rPr>
      </w:r>
      <w:r w:rsidR="00BB61E1">
        <w:rPr>
          <w:rFonts w:ascii="Verdana" w:hAnsi="Verdana"/>
          <w:sz w:val="20"/>
        </w:rPr>
        <w:fldChar w:fldCharType="separate"/>
      </w:r>
      <w:r w:rsidR="00717A33">
        <w:rPr>
          <w:rFonts w:ascii="Verdana" w:hAnsi="Verdana"/>
          <w:sz w:val="20"/>
        </w:rPr>
        <w:t>5</w:t>
      </w:r>
      <w:r w:rsidR="00BB61E1">
        <w:rPr>
          <w:rFonts w:ascii="Verdana" w:hAnsi="Verdana"/>
          <w:sz w:val="20"/>
        </w:rPr>
        <w:fldChar w:fldCharType="end"/>
      </w:r>
      <w:r w:rsidR="000B145D">
        <w:rPr>
          <w:rFonts w:ascii="Verdana" w:hAnsi="Verdana"/>
          <w:sz w:val="20"/>
        </w:rPr>
        <w:t>)</w:t>
      </w:r>
      <w:r w:rsidR="001234EB">
        <w:rPr>
          <w:rStyle w:val="Refdenotaalpie"/>
          <w:rFonts w:ascii="Verdana" w:hAnsi="Verdana"/>
          <w:sz w:val="20"/>
        </w:rPr>
        <w:footnoteReference w:id="30"/>
      </w:r>
      <w:r w:rsidR="001234EB">
        <w:rPr>
          <w:rFonts w:ascii="Verdana" w:hAnsi="Verdana"/>
          <w:sz w:val="20"/>
        </w:rPr>
        <w:t>.</w:t>
      </w:r>
      <w:bookmarkEnd w:id="12"/>
    </w:p>
    <w:p w:rsidR="00FD55B1" w:rsidRDefault="00FD55B1" w:rsidP="00FD55B1">
      <w:pPr>
        <w:pStyle w:val="Prrafodelista"/>
        <w:rPr>
          <w:rFonts w:ascii="Verdana" w:hAnsi="Verdana"/>
          <w:sz w:val="20"/>
        </w:rPr>
      </w:pPr>
    </w:p>
    <w:p w:rsidR="00CD664D" w:rsidRPr="00CD664D" w:rsidRDefault="00FD55B1" w:rsidP="001234EB">
      <w:pPr>
        <w:numPr>
          <w:ilvl w:val="0"/>
          <w:numId w:val="4"/>
        </w:numPr>
        <w:ind w:left="0" w:right="4" w:firstLine="0"/>
        <w:jc w:val="both"/>
        <w:rPr>
          <w:rFonts w:ascii="Verdana" w:hAnsi="Verdana"/>
          <w:sz w:val="20"/>
        </w:rPr>
      </w:pPr>
      <w:bookmarkStart w:id="13" w:name="_Ref456707955"/>
      <w:r>
        <w:rPr>
          <w:rFonts w:ascii="Verdana" w:hAnsi="Verdana"/>
          <w:sz w:val="20"/>
        </w:rPr>
        <w:t>La Corte también reiteró</w:t>
      </w:r>
      <w:r w:rsidR="008D72EA">
        <w:rPr>
          <w:rFonts w:ascii="Verdana" w:hAnsi="Verdana"/>
          <w:sz w:val="20"/>
        </w:rPr>
        <w:t>,</w:t>
      </w:r>
      <w:r>
        <w:rPr>
          <w:rFonts w:ascii="Verdana" w:hAnsi="Verdana"/>
          <w:sz w:val="20"/>
        </w:rPr>
        <w:t xml:space="preserve"> </w:t>
      </w:r>
      <w:r w:rsidR="002D561E">
        <w:rPr>
          <w:rFonts w:ascii="Verdana" w:hAnsi="Verdana"/>
          <w:sz w:val="20"/>
        </w:rPr>
        <w:t>en la Resolución de 2015</w:t>
      </w:r>
      <w:r w:rsidR="008D72EA">
        <w:rPr>
          <w:rFonts w:ascii="Verdana" w:hAnsi="Verdana"/>
          <w:sz w:val="20"/>
        </w:rPr>
        <w:t>,</w:t>
      </w:r>
      <w:r w:rsidR="002D561E">
        <w:rPr>
          <w:rFonts w:ascii="Verdana" w:hAnsi="Verdana"/>
          <w:sz w:val="20"/>
        </w:rPr>
        <w:t xml:space="preserve"> </w:t>
      </w:r>
      <w:r>
        <w:rPr>
          <w:rFonts w:ascii="Verdana" w:hAnsi="Verdana"/>
          <w:sz w:val="20"/>
        </w:rPr>
        <w:t xml:space="preserve">que </w:t>
      </w:r>
      <w:r>
        <w:rPr>
          <w:rFonts w:ascii="Verdana" w:hAnsi="Verdana"/>
          <w:sz w:val="20"/>
          <w:lang w:val="es-ES"/>
        </w:rPr>
        <w:t xml:space="preserve">de conformidad con lo dispuesto en los párrafos 288 a 290 de la Sentencia del caso de la Comunidad </w:t>
      </w:r>
      <w:proofErr w:type="spellStart"/>
      <w:r>
        <w:rPr>
          <w:rFonts w:ascii="Verdana" w:hAnsi="Verdana"/>
          <w:i/>
          <w:sz w:val="20"/>
          <w:lang w:val="es-ES"/>
        </w:rPr>
        <w:t>Xákmok</w:t>
      </w:r>
      <w:proofErr w:type="spellEnd"/>
      <w:r>
        <w:rPr>
          <w:rFonts w:ascii="Verdana" w:hAnsi="Verdana"/>
          <w:i/>
          <w:sz w:val="20"/>
          <w:lang w:val="es-ES"/>
        </w:rPr>
        <w:t xml:space="preserve"> </w:t>
      </w:r>
      <w:proofErr w:type="spellStart"/>
      <w:r>
        <w:rPr>
          <w:rFonts w:ascii="Verdana" w:hAnsi="Verdana"/>
          <w:i/>
          <w:sz w:val="20"/>
          <w:lang w:val="es-ES"/>
        </w:rPr>
        <w:t>Kásek</w:t>
      </w:r>
      <w:proofErr w:type="spellEnd"/>
      <w:r>
        <w:rPr>
          <w:rFonts w:ascii="Verdana" w:hAnsi="Verdana"/>
          <w:i/>
          <w:sz w:val="20"/>
          <w:lang w:val="es-ES"/>
        </w:rPr>
        <w:t>,</w:t>
      </w:r>
      <w:r>
        <w:rPr>
          <w:rFonts w:ascii="Verdana" w:hAnsi="Verdana"/>
          <w:sz w:val="20"/>
          <w:lang w:val="es-ES"/>
        </w:rPr>
        <w:t xml:space="preserve"> el incumplimiento de la </w:t>
      </w:r>
      <w:r>
        <w:rPr>
          <w:rFonts w:ascii="Verdana" w:hAnsi="Verdana"/>
          <w:color w:val="000000"/>
          <w:sz w:val="20"/>
          <w:lang w:val="es-CR"/>
        </w:rPr>
        <w:t xml:space="preserve">entrega de </w:t>
      </w:r>
      <w:r w:rsidRPr="006E25A0">
        <w:rPr>
          <w:rFonts w:ascii="Verdana" w:hAnsi="Verdana"/>
          <w:color w:val="000000"/>
          <w:sz w:val="20"/>
          <w:lang w:val="es-CR"/>
        </w:rPr>
        <w:t xml:space="preserve">las tierras a la comunidad </w:t>
      </w:r>
      <w:r w:rsidRPr="006E25A0">
        <w:rPr>
          <w:rFonts w:ascii="Verdana" w:hAnsi="Verdana"/>
          <w:sz w:val="20"/>
          <w:lang w:val="es-ES"/>
        </w:rPr>
        <w:t>acarrea como consecuencia la obligación del Estado de pagar la cantidad de $10.000,00 (diez mil dólares de los Estados Unidos de América) a favor de la misma “por cada mes de retraso” en el cumplimiento. En esa oportunidad, determinó</w:t>
      </w:r>
      <w:r>
        <w:rPr>
          <w:rFonts w:ascii="Verdana" w:hAnsi="Verdana"/>
          <w:sz w:val="20"/>
          <w:lang w:val="es-ES"/>
        </w:rPr>
        <w:t xml:space="preserve"> que al 23 de junio de 2015 </w:t>
      </w:r>
      <w:r>
        <w:rPr>
          <w:rFonts w:ascii="Verdana" w:hAnsi="Verdana"/>
          <w:sz w:val="20"/>
          <w:lang w:val="es-CR"/>
        </w:rPr>
        <w:t>el Estado ha</w:t>
      </w:r>
      <w:r w:rsidR="000B145D">
        <w:rPr>
          <w:rFonts w:ascii="Verdana" w:hAnsi="Verdana"/>
          <w:sz w:val="20"/>
          <w:lang w:val="es-CR"/>
        </w:rPr>
        <w:t>bía</w:t>
      </w:r>
      <w:r>
        <w:rPr>
          <w:rFonts w:ascii="Verdana" w:hAnsi="Verdana"/>
          <w:sz w:val="20"/>
          <w:lang w:val="es-CR"/>
        </w:rPr>
        <w:t xml:space="preserve"> incurrido en nueve meses de retraso en el cumplimiento</w:t>
      </w:r>
      <w:r w:rsidR="00552FDA">
        <w:rPr>
          <w:rFonts w:ascii="Verdana" w:hAnsi="Verdana"/>
          <w:sz w:val="20"/>
          <w:lang w:val="es-CR"/>
        </w:rPr>
        <w:t>,</w:t>
      </w:r>
      <w:r>
        <w:rPr>
          <w:rFonts w:ascii="Verdana" w:hAnsi="Verdana"/>
          <w:sz w:val="20"/>
          <w:lang w:val="es-CR"/>
        </w:rPr>
        <w:t xml:space="preserve"> por lo cual deb</w:t>
      </w:r>
      <w:r w:rsidR="00552FDA">
        <w:rPr>
          <w:rFonts w:ascii="Verdana" w:hAnsi="Verdana"/>
          <w:sz w:val="20"/>
          <w:lang w:val="es-CR"/>
        </w:rPr>
        <w:t>ía</w:t>
      </w:r>
      <w:r>
        <w:rPr>
          <w:rFonts w:ascii="Verdana" w:hAnsi="Verdana"/>
          <w:sz w:val="20"/>
          <w:lang w:val="es-CR"/>
        </w:rPr>
        <w:t xml:space="preserve"> pagar US$90.000,00 (noventa mil dólares de los Estados Unidos de América) por concepto de indemnización, y que a ello deb</w:t>
      </w:r>
      <w:r w:rsidR="00552FDA">
        <w:rPr>
          <w:rFonts w:ascii="Verdana" w:hAnsi="Verdana"/>
          <w:sz w:val="20"/>
          <w:lang w:val="es-CR"/>
        </w:rPr>
        <w:t>ían</w:t>
      </w:r>
      <w:r>
        <w:rPr>
          <w:rFonts w:ascii="Verdana" w:hAnsi="Verdana"/>
          <w:sz w:val="20"/>
          <w:lang w:val="es-CR"/>
        </w:rPr>
        <w:t xml:space="preserve"> sumarse US$10.000,00 (diez mil dólares de los Estados Unidos de América) por cada mes adicional de retraso en el cumplimiento de dicha obligación. </w:t>
      </w:r>
      <w:r w:rsidR="00CC24A9">
        <w:rPr>
          <w:rFonts w:ascii="Verdana" w:hAnsi="Verdana"/>
          <w:sz w:val="20"/>
          <w:lang w:val="es-CR"/>
        </w:rPr>
        <w:t xml:space="preserve">Por consiguiente, </w:t>
      </w:r>
      <w:r w:rsidR="006E25A0">
        <w:rPr>
          <w:rFonts w:ascii="Verdana" w:hAnsi="Verdana"/>
          <w:sz w:val="20"/>
          <w:lang w:val="es-CR"/>
        </w:rPr>
        <w:t>en aquella resolución</w:t>
      </w:r>
      <w:r>
        <w:rPr>
          <w:rFonts w:ascii="Verdana" w:hAnsi="Verdana"/>
          <w:sz w:val="20"/>
          <w:lang w:val="es-CR"/>
        </w:rPr>
        <w:t xml:space="preserve"> se requirió </w:t>
      </w:r>
      <w:r w:rsidR="00552FDA">
        <w:rPr>
          <w:rFonts w:ascii="Verdana" w:hAnsi="Verdana"/>
          <w:sz w:val="20"/>
          <w:lang w:val="es-CR"/>
        </w:rPr>
        <w:t xml:space="preserve">a Paraguay </w:t>
      </w:r>
      <w:r>
        <w:rPr>
          <w:rFonts w:ascii="Verdana" w:hAnsi="Verdana"/>
          <w:sz w:val="20"/>
          <w:lang w:val="es-CR"/>
        </w:rPr>
        <w:t>acreditar el pago del monto de la indemnización debida</w:t>
      </w:r>
      <w:r w:rsidR="005A76EC">
        <w:rPr>
          <w:rStyle w:val="Refdenotaalpie"/>
          <w:rFonts w:ascii="Verdana" w:hAnsi="Verdana"/>
          <w:sz w:val="20"/>
          <w:lang w:val="es-ES"/>
        </w:rPr>
        <w:footnoteReference w:id="31"/>
      </w:r>
      <w:r>
        <w:rPr>
          <w:rFonts w:ascii="Verdana" w:hAnsi="Verdana"/>
          <w:sz w:val="20"/>
          <w:lang w:val="es-CR"/>
        </w:rPr>
        <w:t>.</w:t>
      </w:r>
      <w:r w:rsidR="001234EB">
        <w:rPr>
          <w:rFonts w:ascii="Verdana" w:hAnsi="Verdana"/>
          <w:sz w:val="20"/>
          <w:lang w:val="es-CR"/>
        </w:rPr>
        <w:t xml:space="preserve"> </w:t>
      </w:r>
      <w:r w:rsidR="000B145D">
        <w:rPr>
          <w:rFonts w:ascii="Verdana" w:hAnsi="Verdana"/>
          <w:sz w:val="20"/>
        </w:rPr>
        <w:t>E</w:t>
      </w:r>
      <w:r w:rsidR="001234EB">
        <w:rPr>
          <w:rFonts w:ascii="Verdana" w:hAnsi="Verdana"/>
          <w:sz w:val="20"/>
        </w:rPr>
        <w:t xml:space="preserve">l Presidente </w:t>
      </w:r>
      <w:r w:rsidR="006E25A0">
        <w:rPr>
          <w:rFonts w:ascii="Verdana" w:hAnsi="Verdana"/>
          <w:sz w:val="20"/>
        </w:rPr>
        <w:t>nota</w:t>
      </w:r>
      <w:r w:rsidR="001234EB">
        <w:rPr>
          <w:rFonts w:ascii="Verdana" w:hAnsi="Verdana"/>
          <w:sz w:val="20"/>
        </w:rPr>
        <w:t xml:space="preserve"> que </w:t>
      </w:r>
      <w:r w:rsidR="002D561E">
        <w:rPr>
          <w:rFonts w:ascii="Verdana" w:hAnsi="Verdana"/>
          <w:sz w:val="20"/>
        </w:rPr>
        <w:t xml:space="preserve">en </w:t>
      </w:r>
      <w:r w:rsidR="00F213E8">
        <w:rPr>
          <w:rFonts w:ascii="Verdana" w:hAnsi="Verdana"/>
          <w:sz w:val="20"/>
        </w:rPr>
        <w:t>su informe presentado</w:t>
      </w:r>
      <w:r w:rsidR="007D3ABF">
        <w:rPr>
          <w:rFonts w:ascii="Verdana" w:hAnsi="Verdana"/>
          <w:sz w:val="20"/>
        </w:rPr>
        <w:t xml:space="preserve"> en diciembre de 2015,</w:t>
      </w:r>
      <w:r w:rsidR="00F213E8">
        <w:rPr>
          <w:rFonts w:ascii="Verdana" w:hAnsi="Verdana"/>
          <w:sz w:val="20"/>
        </w:rPr>
        <w:t xml:space="preserve"> en atención a lo requerido en la</w:t>
      </w:r>
      <w:r w:rsidR="007D3ABF">
        <w:rPr>
          <w:rFonts w:ascii="Verdana" w:hAnsi="Verdana"/>
          <w:sz w:val="20"/>
        </w:rPr>
        <w:t xml:space="preserve"> referida</w:t>
      </w:r>
      <w:r w:rsidR="00F213E8">
        <w:rPr>
          <w:rFonts w:ascii="Verdana" w:hAnsi="Verdana"/>
          <w:sz w:val="20"/>
        </w:rPr>
        <w:t xml:space="preserve"> Resolución de</w:t>
      </w:r>
      <w:r w:rsidR="007D3ABF">
        <w:rPr>
          <w:rFonts w:ascii="Verdana" w:hAnsi="Verdana"/>
          <w:sz w:val="20"/>
        </w:rPr>
        <w:t xml:space="preserve"> junio de</w:t>
      </w:r>
      <w:r w:rsidR="00F213E8">
        <w:rPr>
          <w:rFonts w:ascii="Verdana" w:hAnsi="Verdana"/>
          <w:sz w:val="20"/>
        </w:rPr>
        <w:t xml:space="preserve"> 2015,</w:t>
      </w:r>
      <w:r w:rsidR="002D561E">
        <w:rPr>
          <w:rFonts w:ascii="Verdana" w:hAnsi="Verdana"/>
          <w:sz w:val="20"/>
        </w:rPr>
        <w:t xml:space="preserve"> </w:t>
      </w:r>
      <w:r w:rsidR="001234EB">
        <w:rPr>
          <w:rFonts w:ascii="Verdana" w:hAnsi="Verdana"/>
          <w:sz w:val="20"/>
        </w:rPr>
        <w:t>el Estado no hizo referencia alguna a</w:t>
      </w:r>
      <w:r w:rsidR="000D7117">
        <w:rPr>
          <w:rFonts w:ascii="Verdana" w:hAnsi="Verdana"/>
          <w:sz w:val="20"/>
        </w:rPr>
        <w:t>l cumplimiento de</w:t>
      </w:r>
      <w:r w:rsidR="001234EB">
        <w:rPr>
          <w:rFonts w:ascii="Verdana" w:hAnsi="Verdana"/>
          <w:sz w:val="20"/>
        </w:rPr>
        <w:t xml:space="preserve"> </w:t>
      </w:r>
      <w:r w:rsidR="00CC24A9">
        <w:rPr>
          <w:rFonts w:ascii="Verdana" w:hAnsi="Verdana"/>
          <w:sz w:val="20"/>
        </w:rPr>
        <w:t>esa</w:t>
      </w:r>
      <w:r w:rsidR="001234EB">
        <w:rPr>
          <w:rFonts w:ascii="Verdana" w:hAnsi="Verdana"/>
          <w:sz w:val="20"/>
        </w:rPr>
        <w:t xml:space="preserve"> obligación de </w:t>
      </w:r>
      <w:r w:rsidR="001234EB">
        <w:rPr>
          <w:rFonts w:ascii="Verdana" w:hAnsi="Verdana"/>
          <w:sz w:val="20"/>
          <w:lang w:val="es-CR"/>
        </w:rPr>
        <w:t xml:space="preserve">pagar el monto de la indemnización adeudado a la comunidad </w:t>
      </w:r>
      <w:proofErr w:type="spellStart"/>
      <w:r w:rsidR="001234EB" w:rsidRPr="007D3ABF">
        <w:rPr>
          <w:rFonts w:ascii="Verdana" w:hAnsi="Verdana"/>
          <w:i/>
          <w:sz w:val="20"/>
          <w:lang w:val="es-CR"/>
        </w:rPr>
        <w:t>Xákmok</w:t>
      </w:r>
      <w:proofErr w:type="spellEnd"/>
      <w:r w:rsidR="001234EB" w:rsidRPr="007D3ABF">
        <w:rPr>
          <w:rFonts w:ascii="Verdana" w:hAnsi="Verdana"/>
          <w:i/>
          <w:sz w:val="20"/>
          <w:lang w:val="es-CR"/>
        </w:rPr>
        <w:t xml:space="preserve"> </w:t>
      </w:r>
      <w:proofErr w:type="spellStart"/>
      <w:r w:rsidR="001234EB" w:rsidRPr="007D3ABF">
        <w:rPr>
          <w:rFonts w:ascii="Verdana" w:hAnsi="Verdana"/>
          <w:i/>
          <w:sz w:val="20"/>
          <w:lang w:val="es-CR"/>
        </w:rPr>
        <w:t>Kásek</w:t>
      </w:r>
      <w:proofErr w:type="spellEnd"/>
      <w:r w:rsidR="001234EB">
        <w:rPr>
          <w:rFonts w:ascii="Verdana" w:hAnsi="Verdana"/>
          <w:sz w:val="20"/>
          <w:lang w:val="es-CR"/>
        </w:rPr>
        <w:t xml:space="preserve"> por concepto de indemnización derivada del retraso en el cumplimiento de la Sentencia</w:t>
      </w:r>
      <w:r w:rsidR="000E4DF3">
        <w:rPr>
          <w:rFonts w:ascii="Verdana" w:hAnsi="Verdana"/>
          <w:sz w:val="20"/>
          <w:lang w:val="es-CR"/>
        </w:rPr>
        <w:t>, la cual actualmente consiste en</w:t>
      </w:r>
      <w:r w:rsidR="00E01505">
        <w:rPr>
          <w:rFonts w:ascii="Verdana" w:hAnsi="Verdana"/>
          <w:sz w:val="20"/>
          <w:lang w:val="es-CR"/>
        </w:rPr>
        <w:t xml:space="preserve"> veinti</w:t>
      </w:r>
      <w:r w:rsidR="007D3ABF">
        <w:rPr>
          <w:rFonts w:ascii="Verdana" w:hAnsi="Verdana"/>
          <w:sz w:val="20"/>
          <w:lang w:val="es-CR"/>
        </w:rPr>
        <w:t>trés</w:t>
      </w:r>
      <w:r w:rsidR="000E4DF3">
        <w:rPr>
          <w:rFonts w:ascii="Verdana" w:hAnsi="Verdana"/>
          <w:sz w:val="20"/>
          <w:lang w:val="es-CR"/>
        </w:rPr>
        <w:t xml:space="preserve"> (</w:t>
      </w:r>
      <w:r w:rsidR="00E01505">
        <w:rPr>
          <w:rFonts w:ascii="Verdana" w:hAnsi="Verdana"/>
          <w:sz w:val="20"/>
          <w:lang w:val="es-CR"/>
        </w:rPr>
        <w:t>2</w:t>
      </w:r>
      <w:r w:rsidR="007D3ABF">
        <w:rPr>
          <w:rFonts w:ascii="Verdana" w:hAnsi="Verdana"/>
          <w:sz w:val="20"/>
          <w:lang w:val="es-CR"/>
        </w:rPr>
        <w:t>3</w:t>
      </w:r>
      <w:r w:rsidR="000E4DF3">
        <w:rPr>
          <w:rFonts w:ascii="Verdana" w:hAnsi="Verdana"/>
          <w:sz w:val="20"/>
          <w:lang w:val="es-CR"/>
        </w:rPr>
        <w:t>) meses de incumplimiento</w:t>
      </w:r>
      <w:r w:rsidR="001234EB">
        <w:rPr>
          <w:rFonts w:ascii="Verdana" w:hAnsi="Verdana"/>
          <w:sz w:val="20"/>
          <w:lang w:val="es-CR"/>
        </w:rPr>
        <w:t>.</w:t>
      </w:r>
      <w:bookmarkEnd w:id="13"/>
      <w:r w:rsidR="001234EB">
        <w:rPr>
          <w:rFonts w:ascii="Verdana" w:hAnsi="Verdana"/>
          <w:sz w:val="20"/>
          <w:lang w:val="es-CR"/>
        </w:rPr>
        <w:t xml:space="preserve"> </w:t>
      </w:r>
    </w:p>
    <w:p w:rsidR="00D2787D" w:rsidRDefault="00D2787D" w:rsidP="00CD664D">
      <w:pPr>
        <w:ind w:right="4"/>
        <w:jc w:val="both"/>
        <w:rPr>
          <w:rFonts w:ascii="Verdana" w:hAnsi="Verdana"/>
          <w:sz w:val="20"/>
        </w:rPr>
      </w:pPr>
    </w:p>
    <w:p w:rsidR="00A142CB" w:rsidRPr="00CD664D" w:rsidRDefault="00A142CB" w:rsidP="00CD664D">
      <w:pPr>
        <w:ind w:right="4"/>
        <w:jc w:val="both"/>
        <w:rPr>
          <w:rFonts w:ascii="Verdana" w:hAnsi="Verdana"/>
          <w:sz w:val="20"/>
        </w:rPr>
      </w:pPr>
    </w:p>
    <w:p w:rsidR="001C36B9" w:rsidRPr="006D5834" w:rsidRDefault="001C36B9" w:rsidP="00E01505">
      <w:pPr>
        <w:pStyle w:val="Ttulo1"/>
        <w:numPr>
          <w:ilvl w:val="0"/>
          <w:numId w:val="18"/>
        </w:numPr>
      </w:pPr>
      <w:bookmarkStart w:id="14" w:name="_Toc456959925"/>
      <w:r>
        <w:t>Con relación al cumplimiento de otras medidas de reparación</w:t>
      </w:r>
      <w:bookmarkEnd w:id="14"/>
      <w:r w:rsidR="009A370E">
        <w:t xml:space="preserve"> </w:t>
      </w:r>
    </w:p>
    <w:p w:rsidR="001C36B9" w:rsidRDefault="001C36B9" w:rsidP="001C36B9">
      <w:pPr>
        <w:pStyle w:val="Prrafodelista"/>
        <w:rPr>
          <w:rFonts w:ascii="Verdana" w:hAnsi="Verdana"/>
          <w:b/>
          <w:sz w:val="20"/>
        </w:rPr>
      </w:pPr>
    </w:p>
    <w:p w:rsidR="006A10A4" w:rsidRDefault="006A10A4" w:rsidP="009A370E">
      <w:pPr>
        <w:numPr>
          <w:ilvl w:val="0"/>
          <w:numId w:val="4"/>
        </w:numPr>
        <w:ind w:left="0" w:right="4" w:firstLine="0"/>
        <w:jc w:val="both"/>
        <w:rPr>
          <w:rFonts w:ascii="Verdana" w:hAnsi="Verdana"/>
          <w:sz w:val="20"/>
        </w:rPr>
      </w:pPr>
      <w:bookmarkStart w:id="15" w:name="_Ref456959293"/>
      <w:r>
        <w:rPr>
          <w:rFonts w:ascii="Verdana" w:hAnsi="Verdana"/>
          <w:sz w:val="20"/>
        </w:rPr>
        <w:t>Además de las medidas de reparación valoradas en la Resolución de 2015</w:t>
      </w:r>
      <w:r w:rsidR="00A932FF">
        <w:rPr>
          <w:rFonts w:ascii="Verdana" w:hAnsi="Verdana"/>
          <w:sz w:val="20"/>
        </w:rPr>
        <w:t xml:space="preserve"> y las otras cuatro que el Tribunal valorará en una resolución separada (</w:t>
      </w:r>
      <w:r w:rsidR="00A932FF" w:rsidRPr="00A932FF">
        <w:rPr>
          <w:rFonts w:ascii="Verdana" w:hAnsi="Verdana"/>
          <w:i/>
          <w:sz w:val="20"/>
        </w:rPr>
        <w:t>supra</w:t>
      </w:r>
      <w:r w:rsidR="00A932FF">
        <w:rPr>
          <w:rFonts w:ascii="Verdana" w:hAnsi="Verdana"/>
          <w:sz w:val="20"/>
        </w:rPr>
        <w:t xml:space="preserve"> Considerando 3)</w:t>
      </w:r>
      <w:r>
        <w:rPr>
          <w:rFonts w:ascii="Verdana" w:hAnsi="Verdana"/>
          <w:sz w:val="20"/>
        </w:rPr>
        <w:t xml:space="preserve">, </w:t>
      </w:r>
      <w:r w:rsidR="007E094C">
        <w:rPr>
          <w:rFonts w:ascii="Verdana" w:hAnsi="Verdana"/>
          <w:sz w:val="20"/>
        </w:rPr>
        <w:t xml:space="preserve">en las Sentencias de los tres casos </w:t>
      </w:r>
      <w:r>
        <w:rPr>
          <w:rFonts w:ascii="Verdana" w:hAnsi="Verdana"/>
          <w:sz w:val="20"/>
        </w:rPr>
        <w:t xml:space="preserve">la Corte ordenó </w:t>
      </w:r>
      <w:r w:rsidR="00044A8F">
        <w:rPr>
          <w:rFonts w:ascii="Verdana" w:hAnsi="Verdana"/>
          <w:sz w:val="20"/>
        </w:rPr>
        <w:t xml:space="preserve">las siguientes </w:t>
      </w:r>
      <w:r>
        <w:rPr>
          <w:rFonts w:ascii="Verdana" w:hAnsi="Verdana"/>
          <w:sz w:val="20"/>
        </w:rPr>
        <w:t>reparaci</w:t>
      </w:r>
      <w:r w:rsidR="000E4DF3">
        <w:rPr>
          <w:rFonts w:ascii="Verdana" w:hAnsi="Verdana"/>
          <w:sz w:val="20"/>
        </w:rPr>
        <w:t>ones en beneficio de las comunidades o como garantías de no repetición de las violaciones constatadas en esos casos</w:t>
      </w:r>
      <w:r>
        <w:rPr>
          <w:rFonts w:ascii="Verdana" w:hAnsi="Verdana"/>
          <w:sz w:val="20"/>
        </w:rPr>
        <w:t>:</w:t>
      </w:r>
      <w:bookmarkEnd w:id="15"/>
    </w:p>
    <w:p w:rsidR="006A10A4" w:rsidRDefault="006A10A4" w:rsidP="006A10A4">
      <w:pPr>
        <w:ind w:right="4"/>
        <w:jc w:val="both"/>
        <w:rPr>
          <w:rFonts w:ascii="Verdana" w:hAnsi="Verdana"/>
          <w:sz w:val="20"/>
        </w:rPr>
      </w:pPr>
      <w:r>
        <w:rPr>
          <w:rFonts w:ascii="Verdana" w:hAnsi="Verdana"/>
          <w:sz w:val="20"/>
        </w:rPr>
        <w:t xml:space="preserve"> </w:t>
      </w:r>
    </w:p>
    <w:p w:rsidR="00C663B6" w:rsidRDefault="006A10A4" w:rsidP="00C663B6">
      <w:pPr>
        <w:pStyle w:val="Prrafodelista"/>
        <w:numPr>
          <w:ilvl w:val="0"/>
          <w:numId w:val="20"/>
        </w:numPr>
        <w:ind w:left="567" w:right="4" w:hanging="283"/>
        <w:jc w:val="both"/>
        <w:rPr>
          <w:rFonts w:ascii="Verdana" w:hAnsi="Verdana"/>
          <w:sz w:val="20"/>
        </w:rPr>
      </w:pPr>
      <w:r w:rsidRPr="00CD664D">
        <w:rPr>
          <w:rFonts w:ascii="Verdana" w:hAnsi="Verdana"/>
          <w:sz w:val="20"/>
        </w:rPr>
        <w:t>el suministro de bienes y servicios básicos necesarios para la subsistencia de los miembros de la</w:t>
      </w:r>
      <w:r w:rsidR="00C663B6">
        <w:rPr>
          <w:rFonts w:ascii="Verdana" w:hAnsi="Verdana"/>
          <w:sz w:val="20"/>
        </w:rPr>
        <w:t>s</w:t>
      </w:r>
      <w:r w:rsidRPr="00CD664D">
        <w:rPr>
          <w:rFonts w:ascii="Verdana" w:hAnsi="Verdana"/>
          <w:sz w:val="20"/>
        </w:rPr>
        <w:t xml:space="preserve"> Comunidad</w:t>
      </w:r>
      <w:r w:rsidR="00C663B6">
        <w:rPr>
          <w:rFonts w:ascii="Verdana" w:hAnsi="Verdana"/>
          <w:sz w:val="20"/>
        </w:rPr>
        <w:t>es</w:t>
      </w:r>
      <w:r w:rsidRPr="00CD664D">
        <w:rPr>
          <w:rFonts w:ascii="Verdana" w:hAnsi="Verdana"/>
          <w:sz w:val="20"/>
        </w:rPr>
        <w:t xml:space="preserve"> (</w:t>
      </w:r>
      <w:r w:rsidR="00B716CF" w:rsidRPr="00CD664D">
        <w:rPr>
          <w:rFonts w:ascii="Verdana" w:hAnsi="Verdana"/>
          <w:sz w:val="20"/>
        </w:rPr>
        <w:t xml:space="preserve">Caso </w:t>
      </w:r>
      <w:proofErr w:type="spellStart"/>
      <w:r w:rsidR="00B716CF" w:rsidRPr="00CD664D">
        <w:rPr>
          <w:rFonts w:ascii="Verdana" w:hAnsi="Verdana"/>
          <w:i/>
          <w:sz w:val="20"/>
        </w:rPr>
        <w:t>Yakye</w:t>
      </w:r>
      <w:proofErr w:type="spellEnd"/>
      <w:r w:rsidR="00B716CF" w:rsidRPr="00CD664D">
        <w:rPr>
          <w:rFonts w:ascii="Verdana" w:hAnsi="Verdana"/>
          <w:i/>
          <w:sz w:val="20"/>
        </w:rPr>
        <w:t xml:space="preserve"> Axa</w:t>
      </w:r>
      <w:r w:rsidR="00B716CF" w:rsidRPr="00CD664D">
        <w:rPr>
          <w:rFonts w:ascii="Verdana" w:hAnsi="Verdana"/>
          <w:sz w:val="20"/>
        </w:rPr>
        <w:t xml:space="preserve"> </w:t>
      </w:r>
      <w:r w:rsidRPr="00CD664D">
        <w:rPr>
          <w:rFonts w:ascii="Verdana" w:hAnsi="Verdana"/>
          <w:sz w:val="20"/>
        </w:rPr>
        <w:t xml:space="preserve">punto resolutivo </w:t>
      </w:r>
      <w:r w:rsidR="000B145D" w:rsidRPr="00CD664D">
        <w:rPr>
          <w:rFonts w:ascii="Verdana" w:hAnsi="Verdana"/>
          <w:sz w:val="20"/>
        </w:rPr>
        <w:t>7</w:t>
      </w:r>
      <w:r w:rsidR="00AA3F61">
        <w:rPr>
          <w:rFonts w:ascii="Verdana" w:hAnsi="Verdana"/>
          <w:sz w:val="20"/>
        </w:rPr>
        <w:t xml:space="preserve">, </w:t>
      </w:r>
      <w:r w:rsidR="00B716CF" w:rsidRPr="00CD664D">
        <w:rPr>
          <w:rFonts w:ascii="Verdana" w:hAnsi="Verdana"/>
          <w:sz w:val="20"/>
        </w:rPr>
        <w:t xml:space="preserve">caso </w:t>
      </w:r>
      <w:proofErr w:type="spellStart"/>
      <w:r w:rsidR="00B716CF" w:rsidRPr="00CD664D">
        <w:rPr>
          <w:rFonts w:ascii="Verdana" w:hAnsi="Verdana"/>
          <w:i/>
          <w:sz w:val="20"/>
        </w:rPr>
        <w:t>Sawhoyamaxa</w:t>
      </w:r>
      <w:proofErr w:type="spellEnd"/>
      <w:r w:rsidR="00B716CF" w:rsidRPr="00CD664D">
        <w:rPr>
          <w:rFonts w:ascii="Verdana" w:hAnsi="Verdana"/>
          <w:sz w:val="20"/>
        </w:rPr>
        <w:t xml:space="preserve"> punto resolutivo</w:t>
      </w:r>
      <w:r w:rsidRPr="00CD664D">
        <w:rPr>
          <w:rFonts w:ascii="Verdana" w:hAnsi="Verdana"/>
          <w:sz w:val="20"/>
        </w:rPr>
        <w:t xml:space="preserve"> </w:t>
      </w:r>
      <w:r w:rsidR="000B145D" w:rsidRPr="00CD664D">
        <w:rPr>
          <w:rFonts w:ascii="Verdana" w:hAnsi="Verdana"/>
          <w:sz w:val="20"/>
        </w:rPr>
        <w:t>9</w:t>
      </w:r>
      <w:r w:rsidR="00AA3F61">
        <w:rPr>
          <w:rFonts w:ascii="Verdana" w:hAnsi="Verdana"/>
          <w:sz w:val="20"/>
        </w:rPr>
        <w:t xml:space="preserve">, y caso </w:t>
      </w:r>
      <w:proofErr w:type="spellStart"/>
      <w:r w:rsidR="00AA3F61">
        <w:rPr>
          <w:rFonts w:ascii="Verdana" w:hAnsi="Verdana"/>
          <w:i/>
          <w:sz w:val="20"/>
        </w:rPr>
        <w:t>Xákmok</w:t>
      </w:r>
      <w:proofErr w:type="spellEnd"/>
      <w:r w:rsidR="00AA3F61">
        <w:rPr>
          <w:rFonts w:ascii="Verdana" w:hAnsi="Verdana"/>
          <w:i/>
          <w:sz w:val="20"/>
        </w:rPr>
        <w:t xml:space="preserve"> </w:t>
      </w:r>
      <w:proofErr w:type="spellStart"/>
      <w:r w:rsidR="00AA3F61">
        <w:rPr>
          <w:rFonts w:ascii="Verdana" w:hAnsi="Verdana"/>
          <w:i/>
          <w:sz w:val="20"/>
        </w:rPr>
        <w:t>Kásek</w:t>
      </w:r>
      <w:proofErr w:type="spellEnd"/>
      <w:r w:rsidR="00AA3F61">
        <w:rPr>
          <w:rFonts w:ascii="Verdana" w:hAnsi="Verdana"/>
          <w:i/>
          <w:sz w:val="20"/>
        </w:rPr>
        <w:t xml:space="preserve"> </w:t>
      </w:r>
      <w:r w:rsidR="00AA3F61" w:rsidRPr="00AA3F61">
        <w:rPr>
          <w:rFonts w:ascii="Verdana" w:hAnsi="Verdana"/>
          <w:sz w:val="20"/>
        </w:rPr>
        <w:t>punto resolutivo 19</w:t>
      </w:r>
      <w:r w:rsidRPr="00CD664D">
        <w:rPr>
          <w:rFonts w:ascii="Verdana" w:hAnsi="Verdana"/>
          <w:sz w:val="20"/>
        </w:rPr>
        <w:t>)</w:t>
      </w:r>
      <w:r w:rsidR="0011730F">
        <w:rPr>
          <w:rFonts w:ascii="Verdana" w:hAnsi="Verdana"/>
          <w:sz w:val="20"/>
        </w:rPr>
        <w:t>;</w:t>
      </w:r>
    </w:p>
    <w:p w:rsidR="00C663B6" w:rsidRDefault="00C663B6" w:rsidP="00C663B6">
      <w:pPr>
        <w:pStyle w:val="Prrafodelista"/>
        <w:numPr>
          <w:ilvl w:val="0"/>
          <w:numId w:val="20"/>
        </w:numPr>
        <w:ind w:left="567" w:right="4" w:hanging="283"/>
        <w:jc w:val="both"/>
        <w:rPr>
          <w:rFonts w:ascii="Verdana" w:hAnsi="Verdana"/>
          <w:sz w:val="20"/>
        </w:rPr>
      </w:pPr>
      <w:r w:rsidRPr="00681C2A">
        <w:rPr>
          <w:rFonts w:ascii="Verdana" w:hAnsi="Verdana"/>
          <w:sz w:val="20"/>
        </w:rPr>
        <w:t xml:space="preserve">la elaboración de un estudio por especialistas dirigido a orientar la prestación adecuada y periódica de bienes y servicios básicos en el caso </w:t>
      </w:r>
      <w:proofErr w:type="spellStart"/>
      <w:r w:rsidRPr="00681C2A">
        <w:rPr>
          <w:rFonts w:ascii="Verdana" w:hAnsi="Verdana"/>
          <w:i/>
          <w:sz w:val="20"/>
        </w:rPr>
        <w:t>Xákmok</w:t>
      </w:r>
      <w:proofErr w:type="spellEnd"/>
      <w:r w:rsidRPr="00681C2A">
        <w:rPr>
          <w:rFonts w:ascii="Verdana" w:hAnsi="Verdana"/>
          <w:i/>
          <w:sz w:val="20"/>
        </w:rPr>
        <w:t xml:space="preserve"> </w:t>
      </w:r>
      <w:proofErr w:type="spellStart"/>
      <w:r w:rsidRPr="00681C2A">
        <w:rPr>
          <w:rFonts w:ascii="Verdana" w:hAnsi="Verdana"/>
          <w:i/>
          <w:sz w:val="20"/>
        </w:rPr>
        <w:t>Kásek</w:t>
      </w:r>
      <w:proofErr w:type="spellEnd"/>
      <w:r w:rsidRPr="00681C2A">
        <w:rPr>
          <w:rFonts w:ascii="Verdana" w:hAnsi="Verdana"/>
          <w:sz w:val="20"/>
        </w:rPr>
        <w:t>, (punto resolutivo 20)</w:t>
      </w:r>
      <w:r>
        <w:rPr>
          <w:rFonts w:ascii="Verdana" w:hAnsi="Verdana"/>
          <w:sz w:val="20"/>
        </w:rPr>
        <w:t>;</w:t>
      </w:r>
    </w:p>
    <w:p w:rsidR="006A10A4" w:rsidRPr="00C663B6" w:rsidRDefault="00C663B6" w:rsidP="00C663B6">
      <w:pPr>
        <w:pStyle w:val="Prrafodelista"/>
        <w:numPr>
          <w:ilvl w:val="0"/>
          <w:numId w:val="20"/>
        </w:numPr>
        <w:ind w:left="567" w:right="4" w:hanging="283"/>
        <w:jc w:val="both"/>
        <w:rPr>
          <w:rFonts w:ascii="Verdana" w:hAnsi="Verdana"/>
          <w:sz w:val="20"/>
        </w:rPr>
      </w:pPr>
      <w:r w:rsidRPr="00681C2A">
        <w:rPr>
          <w:rFonts w:ascii="Verdana" w:hAnsi="Verdana"/>
          <w:sz w:val="20"/>
        </w:rPr>
        <w:t xml:space="preserve">el establecimiento de un puesto de salud permanente y de un sistema de comunicación en la zona de “25 de febrero” en el caso </w:t>
      </w:r>
      <w:proofErr w:type="spellStart"/>
      <w:r w:rsidRPr="00681C2A">
        <w:rPr>
          <w:rFonts w:ascii="Verdana" w:hAnsi="Verdana"/>
          <w:i/>
          <w:sz w:val="20"/>
        </w:rPr>
        <w:t>Xákmok</w:t>
      </w:r>
      <w:proofErr w:type="spellEnd"/>
      <w:r w:rsidRPr="00681C2A">
        <w:rPr>
          <w:rFonts w:ascii="Verdana" w:hAnsi="Verdana"/>
          <w:i/>
          <w:sz w:val="20"/>
        </w:rPr>
        <w:t xml:space="preserve"> </w:t>
      </w:r>
      <w:proofErr w:type="spellStart"/>
      <w:r w:rsidRPr="00681C2A">
        <w:rPr>
          <w:rFonts w:ascii="Verdana" w:hAnsi="Verdana"/>
          <w:i/>
          <w:sz w:val="20"/>
        </w:rPr>
        <w:t>Kásek</w:t>
      </w:r>
      <w:proofErr w:type="spellEnd"/>
      <w:r w:rsidRPr="00681C2A">
        <w:rPr>
          <w:rFonts w:ascii="Verdana" w:hAnsi="Verdana"/>
          <w:i/>
          <w:sz w:val="20"/>
        </w:rPr>
        <w:t xml:space="preserve">, </w:t>
      </w:r>
      <w:r w:rsidRPr="00681C2A">
        <w:rPr>
          <w:rFonts w:ascii="Verdana" w:hAnsi="Verdana"/>
          <w:sz w:val="20"/>
        </w:rPr>
        <w:t>que será posteriormente trasladado a su lugar de asentamiento definitivo (punto</w:t>
      </w:r>
      <w:r>
        <w:rPr>
          <w:rFonts w:ascii="Verdana" w:hAnsi="Verdana"/>
          <w:sz w:val="20"/>
        </w:rPr>
        <w:t>s</w:t>
      </w:r>
      <w:r w:rsidRPr="00681C2A">
        <w:rPr>
          <w:rFonts w:ascii="Verdana" w:hAnsi="Verdana"/>
          <w:sz w:val="20"/>
        </w:rPr>
        <w:t xml:space="preserve"> resolutivo</w:t>
      </w:r>
      <w:r>
        <w:rPr>
          <w:rFonts w:ascii="Verdana" w:hAnsi="Verdana"/>
          <w:sz w:val="20"/>
        </w:rPr>
        <w:t>s</w:t>
      </w:r>
      <w:r w:rsidRPr="00681C2A">
        <w:rPr>
          <w:rFonts w:ascii="Verdana" w:hAnsi="Verdana"/>
          <w:sz w:val="20"/>
        </w:rPr>
        <w:t xml:space="preserve"> 21</w:t>
      </w:r>
      <w:r>
        <w:rPr>
          <w:rFonts w:ascii="Verdana" w:hAnsi="Verdana"/>
          <w:sz w:val="20"/>
        </w:rPr>
        <w:t>, 22 y 23</w:t>
      </w:r>
      <w:r w:rsidRPr="00681C2A">
        <w:rPr>
          <w:rFonts w:ascii="Verdana" w:hAnsi="Verdana"/>
          <w:sz w:val="20"/>
        </w:rPr>
        <w:t>)</w:t>
      </w:r>
      <w:r>
        <w:rPr>
          <w:rFonts w:ascii="Verdana" w:hAnsi="Verdana"/>
          <w:sz w:val="20"/>
        </w:rPr>
        <w:t>;</w:t>
      </w:r>
    </w:p>
    <w:p w:rsidR="00F213E8" w:rsidRPr="00D2787D" w:rsidRDefault="006A10A4" w:rsidP="00D2787D">
      <w:pPr>
        <w:pStyle w:val="Prrafodelista"/>
        <w:numPr>
          <w:ilvl w:val="0"/>
          <w:numId w:val="20"/>
        </w:numPr>
        <w:ind w:left="567" w:right="4" w:hanging="283"/>
        <w:jc w:val="both"/>
        <w:rPr>
          <w:rFonts w:ascii="Verdana" w:hAnsi="Verdana"/>
          <w:i/>
          <w:sz w:val="20"/>
        </w:rPr>
      </w:pPr>
      <w:r>
        <w:rPr>
          <w:rFonts w:ascii="Verdana" w:hAnsi="Verdana"/>
          <w:sz w:val="20"/>
        </w:rPr>
        <w:t>la implementación de un programa y un f</w:t>
      </w:r>
      <w:r w:rsidR="00B716CF">
        <w:rPr>
          <w:rFonts w:ascii="Verdana" w:hAnsi="Verdana"/>
          <w:sz w:val="20"/>
        </w:rPr>
        <w:t xml:space="preserve">ondo de desarrollo comunitario </w:t>
      </w:r>
      <w:r w:rsidR="000B145D">
        <w:rPr>
          <w:rFonts w:ascii="Verdana" w:hAnsi="Verdana"/>
          <w:sz w:val="20"/>
        </w:rPr>
        <w:t>(</w:t>
      </w:r>
      <w:r w:rsidR="00B716CF">
        <w:rPr>
          <w:rFonts w:ascii="Verdana" w:hAnsi="Verdana"/>
          <w:sz w:val="20"/>
        </w:rPr>
        <w:t xml:space="preserve">caso </w:t>
      </w:r>
      <w:proofErr w:type="spellStart"/>
      <w:r w:rsidR="00B716CF">
        <w:rPr>
          <w:rFonts w:ascii="Verdana" w:hAnsi="Verdana"/>
          <w:i/>
          <w:sz w:val="20"/>
        </w:rPr>
        <w:t>Yakye</w:t>
      </w:r>
      <w:proofErr w:type="spellEnd"/>
      <w:r w:rsidR="00B716CF">
        <w:rPr>
          <w:rFonts w:ascii="Verdana" w:hAnsi="Verdana"/>
          <w:i/>
          <w:sz w:val="20"/>
        </w:rPr>
        <w:t xml:space="preserve"> </w:t>
      </w:r>
      <w:r w:rsidR="00B716CF" w:rsidRPr="00B716CF">
        <w:rPr>
          <w:rFonts w:ascii="Verdana" w:hAnsi="Verdana"/>
          <w:sz w:val="20"/>
        </w:rPr>
        <w:t>Axa</w:t>
      </w:r>
      <w:r w:rsidR="00B716CF">
        <w:rPr>
          <w:rFonts w:ascii="Verdana" w:hAnsi="Verdana"/>
          <w:sz w:val="20"/>
        </w:rPr>
        <w:t xml:space="preserve"> </w:t>
      </w:r>
      <w:r w:rsidR="000B145D" w:rsidRPr="00B716CF">
        <w:rPr>
          <w:rFonts w:ascii="Verdana" w:hAnsi="Verdana"/>
          <w:sz w:val="20"/>
        </w:rPr>
        <w:t>puntos</w:t>
      </w:r>
      <w:r w:rsidR="000B145D">
        <w:rPr>
          <w:rFonts w:ascii="Verdana" w:hAnsi="Verdana"/>
          <w:sz w:val="20"/>
        </w:rPr>
        <w:t xml:space="preserve"> resolutivos 9,</w:t>
      </w:r>
      <w:r w:rsidR="00B716CF">
        <w:rPr>
          <w:rFonts w:ascii="Verdana" w:hAnsi="Verdana"/>
          <w:sz w:val="20"/>
        </w:rPr>
        <w:t xml:space="preserve"> caso </w:t>
      </w:r>
      <w:proofErr w:type="spellStart"/>
      <w:r w:rsidR="00B716CF">
        <w:rPr>
          <w:rFonts w:ascii="Verdana" w:hAnsi="Verdana"/>
          <w:i/>
          <w:sz w:val="20"/>
        </w:rPr>
        <w:t>Sawhoyamaxa</w:t>
      </w:r>
      <w:proofErr w:type="spellEnd"/>
      <w:r w:rsidR="00B716CF">
        <w:rPr>
          <w:rFonts w:ascii="Verdana" w:hAnsi="Verdana"/>
          <w:i/>
          <w:sz w:val="20"/>
        </w:rPr>
        <w:t xml:space="preserve"> </w:t>
      </w:r>
      <w:r w:rsidR="00B716CF">
        <w:rPr>
          <w:rFonts w:ascii="Verdana" w:hAnsi="Verdana"/>
          <w:sz w:val="20"/>
        </w:rPr>
        <w:t>punto resolutivo</w:t>
      </w:r>
      <w:r w:rsidR="000B145D">
        <w:rPr>
          <w:rFonts w:ascii="Verdana" w:hAnsi="Verdana"/>
          <w:sz w:val="20"/>
        </w:rPr>
        <w:t xml:space="preserve"> 7</w:t>
      </w:r>
      <w:r w:rsidR="00B716CF">
        <w:rPr>
          <w:rFonts w:ascii="Verdana" w:hAnsi="Verdana"/>
          <w:sz w:val="20"/>
        </w:rPr>
        <w:t>,</w:t>
      </w:r>
      <w:r w:rsidR="000B145D">
        <w:rPr>
          <w:rFonts w:ascii="Verdana" w:hAnsi="Verdana"/>
          <w:sz w:val="20"/>
        </w:rPr>
        <w:t xml:space="preserve"> y</w:t>
      </w:r>
      <w:r w:rsidR="00B716CF">
        <w:rPr>
          <w:rFonts w:ascii="Verdana" w:hAnsi="Verdana"/>
          <w:sz w:val="20"/>
        </w:rPr>
        <w:t xml:space="preserve"> caso </w:t>
      </w:r>
      <w:proofErr w:type="spellStart"/>
      <w:r w:rsidR="00B716CF">
        <w:rPr>
          <w:rFonts w:ascii="Verdana" w:hAnsi="Verdana"/>
          <w:i/>
          <w:sz w:val="20"/>
        </w:rPr>
        <w:t>Xákmok</w:t>
      </w:r>
      <w:proofErr w:type="spellEnd"/>
      <w:r w:rsidR="00B716CF">
        <w:rPr>
          <w:rFonts w:ascii="Verdana" w:hAnsi="Verdana"/>
          <w:i/>
          <w:sz w:val="20"/>
        </w:rPr>
        <w:t xml:space="preserve"> </w:t>
      </w:r>
      <w:proofErr w:type="spellStart"/>
      <w:r w:rsidR="00B716CF">
        <w:rPr>
          <w:rFonts w:ascii="Verdana" w:hAnsi="Verdana"/>
          <w:i/>
          <w:sz w:val="20"/>
        </w:rPr>
        <w:t>Kásek</w:t>
      </w:r>
      <w:proofErr w:type="spellEnd"/>
      <w:r w:rsidR="00B716CF">
        <w:rPr>
          <w:rFonts w:ascii="Verdana" w:hAnsi="Verdana"/>
          <w:i/>
          <w:sz w:val="20"/>
        </w:rPr>
        <w:t xml:space="preserve"> </w:t>
      </w:r>
      <w:r w:rsidR="00B716CF">
        <w:rPr>
          <w:rFonts w:ascii="Verdana" w:hAnsi="Verdana"/>
          <w:sz w:val="20"/>
        </w:rPr>
        <w:t>punto resolutivo</w:t>
      </w:r>
      <w:r w:rsidR="00B716CF">
        <w:rPr>
          <w:rFonts w:ascii="Verdana" w:hAnsi="Verdana"/>
          <w:i/>
          <w:sz w:val="20"/>
        </w:rPr>
        <w:t xml:space="preserve"> </w:t>
      </w:r>
      <w:r w:rsidR="000B145D">
        <w:rPr>
          <w:rFonts w:ascii="Verdana" w:hAnsi="Verdana"/>
          <w:sz w:val="20"/>
        </w:rPr>
        <w:t>28)</w:t>
      </w:r>
      <w:r>
        <w:rPr>
          <w:rFonts w:ascii="Verdana" w:hAnsi="Verdana"/>
          <w:i/>
          <w:sz w:val="20"/>
        </w:rPr>
        <w:t xml:space="preserve">; </w:t>
      </w:r>
    </w:p>
    <w:p w:rsidR="00F213E8" w:rsidRPr="007D2674" w:rsidRDefault="00F213E8" w:rsidP="00F722FB">
      <w:pPr>
        <w:pStyle w:val="Prrafodelista"/>
        <w:numPr>
          <w:ilvl w:val="0"/>
          <w:numId w:val="20"/>
        </w:numPr>
        <w:ind w:left="567" w:right="4" w:hanging="283"/>
        <w:jc w:val="both"/>
        <w:rPr>
          <w:rFonts w:ascii="Verdana" w:hAnsi="Verdana"/>
          <w:sz w:val="20"/>
        </w:rPr>
      </w:pPr>
      <w:r w:rsidRPr="007D2674">
        <w:rPr>
          <w:rFonts w:ascii="Verdana" w:hAnsi="Verdana"/>
          <w:sz w:val="20"/>
        </w:rPr>
        <w:t>la adopción de medidas legislativas, administrativas y de cualquier otro carácter para crear un sistema eficaz de reclamación de tierras ancestrales o tradicionales de los pueblos indígenas (</w:t>
      </w:r>
      <w:r w:rsidR="007D2674" w:rsidRPr="007D2674">
        <w:rPr>
          <w:rFonts w:ascii="Verdana" w:hAnsi="Verdana"/>
          <w:sz w:val="20"/>
        </w:rPr>
        <w:t xml:space="preserve">caso </w:t>
      </w:r>
      <w:proofErr w:type="spellStart"/>
      <w:r w:rsidR="007D2674" w:rsidRPr="007D2674">
        <w:rPr>
          <w:rFonts w:ascii="Verdana" w:hAnsi="Verdana"/>
          <w:i/>
          <w:sz w:val="20"/>
        </w:rPr>
        <w:t>Yakye</w:t>
      </w:r>
      <w:proofErr w:type="spellEnd"/>
      <w:r w:rsidR="007D2674" w:rsidRPr="007D2674">
        <w:rPr>
          <w:rFonts w:ascii="Verdana" w:hAnsi="Verdana"/>
          <w:i/>
          <w:sz w:val="20"/>
        </w:rPr>
        <w:t xml:space="preserve"> Axa</w:t>
      </w:r>
      <w:r w:rsidR="007D2674" w:rsidRPr="007D2674">
        <w:rPr>
          <w:rFonts w:ascii="Verdana" w:hAnsi="Verdana"/>
          <w:sz w:val="20"/>
        </w:rPr>
        <w:t xml:space="preserve"> punto resolutivo 10; </w:t>
      </w:r>
      <w:r w:rsidR="000241A6" w:rsidRPr="007D2674">
        <w:rPr>
          <w:rFonts w:ascii="Verdana" w:hAnsi="Verdana"/>
          <w:sz w:val="20"/>
        </w:rPr>
        <w:t xml:space="preserve">caso </w:t>
      </w:r>
      <w:proofErr w:type="spellStart"/>
      <w:r w:rsidR="000241A6" w:rsidRPr="007D2674">
        <w:rPr>
          <w:rFonts w:ascii="Verdana" w:hAnsi="Verdana"/>
          <w:i/>
          <w:sz w:val="20"/>
        </w:rPr>
        <w:t>Sawhoyamaxa</w:t>
      </w:r>
      <w:proofErr w:type="spellEnd"/>
      <w:r w:rsidR="000241A6" w:rsidRPr="007D2674">
        <w:rPr>
          <w:rFonts w:ascii="Verdana" w:hAnsi="Verdana"/>
          <w:i/>
          <w:sz w:val="20"/>
        </w:rPr>
        <w:t xml:space="preserve"> </w:t>
      </w:r>
      <w:r w:rsidR="000241A6" w:rsidRPr="007D2674">
        <w:rPr>
          <w:rFonts w:ascii="Verdana" w:hAnsi="Verdana"/>
          <w:sz w:val="20"/>
        </w:rPr>
        <w:t xml:space="preserve">punto resolutivo 12 y </w:t>
      </w:r>
      <w:r w:rsidR="00B716CF" w:rsidRPr="007D2674">
        <w:rPr>
          <w:rFonts w:ascii="Verdana" w:hAnsi="Verdana"/>
          <w:sz w:val="20"/>
        </w:rPr>
        <w:t xml:space="preserve">caso </w:t>
      </w:r>
      <w:proofErr w:type="spellStart"/>
      <w:r w:rsidR="00B716CF" w:rsidRPr="007D2674">
        <w:rPr>
          <w:rFonts w:ascii="Verdana" w:hAnsi="Verdana"/>
          <w:i/>
          <w:sz w:val="20"/>
        </w:rPr>
        <w:t>Xákmok</w:t>
      </w:r>
      <w:proofErr w:type="spellEnd"/>
      <w:r w:rsidR="00B716CF" w:rsidRPr="007D2674">
        <w:rPr>
          <w:rFonts w:ascii="Verdana" w:hAnsi="Verdana"/>
          <w:i/>
          <w:sz w:val="20"/>
        </w:rPr>
        <w:t xml:space="preserve"> </w:t>
      </w:r>
      <w:proofErr w:type="spellStart"/>
      <w:r w:rsidR="00B716CF" w:rsidRPr="007D2674">
        <w:rPr>
          <w:rFonts w:ascii="Verdana" w:hAnsi="Verdana"/>
          <w:i/>
          <w:sz w:val="20"/>
        </w:rPr>
        <w:t>Kásek</w:t>
      </w:r>
      <w:proofErr w:type="spellEnd"/>
      <w:r w:rsidR="00B716CF" w:rsidRPr="007D2674">
        <w:rPr>
          <w:rFonts w:ascii="Verdana" w:hAnsi="Verdana"/>
          <w:i/>
          <w:sz w:val="20"/>
        </w:rPr>
        <w:t xml:space="preserve"> </w:t>
      </w:r>
      <w:r w:rsidRPr="007D2674">
        <w:rPr>
          <w:rFonts w:ascii="Verdana" w:hAnsi="Verdana"/>
          <w:sz w:val="20"/>
        </w:rPr>
        <w:t>punto resolutivo 25)</w:t>
      </w:r>
      <w:r w:rsidR="000241A6" w:rsidRPr="007D2674">
        <w:rPr>
          <w:rFonts w:ascii="Verdana" w:hAnsi="Verdana"/>
          <w:sz w:val="20"/>
        </w:rPr>
        <w:t>;</w:t>
      </w:r>
    </w:p>
    <w:p w:rsidR="00F213E8" w:rsidRPr="000241A6" w:rsidRDefault="00F213E8" w:rsidP="00F722FB">
      <w:pPr>
        <w:pStyle w:val="Prrafodelista"/>
        <w:numPr>
          <w:ilvl w:val="0"/>
          <w:numId w:val="20"/>
        </w:numPr>
        <w:ind w:left="567" w:right="4" w:hanging="283"/>
        <w:jc w:val="both"/>
        <w:rPr>
          <w:rFonts w:ascii="Verdana" w:hAnsi="Verdana"/>
          <w:sz w:val="20"/>
        </w:rPr>
      </w:pPr>
      <w:r>
        <w:rPr>
          <w:rFonts w:ascii="Verdana" w:hAnsi="Verdana"/>
          <w:sz w:val="20"/>
        </w:rPr>
        <w:t xml:space="preserve">la adopción de medidas necesarias para que el Decreto que declaró como área silvestre protegida </w:t>
      </w:r>
      <w:r w:rsidR="00CD664D">
        <w:rPr>
          <w:rFonts w:ascii="Verdana" w:hAnsi="Verdana"/>
          <w:sz w:val="20"/>
        </w:rPr>
        <w:t>l</w:t>
      </w:r>
      <w:r>
        <w:rPr>
          <w:rFonts w:ascii="Verdana" w:hAnsi="Verdana"/>
          <w:sz w:val="20"/>
        </w:rPr>
        <w:t xml:space="preserve">a parte del territorio de la comunidad </w:t>
      </w:r>
      <w:proofErr w:type="spellStart"/>
      <w:r w:rsidRPr="006A10A4">
        <w:rPr>
          <w:rFonts w:ascii="Verdana" w:hAnsi="Verdana"/>
          <w:i/>
          <w:sz w:val="20"/>
        </w:rPr>
        <w:t>Xákmok</w:t>
      </w:r>
      <w:proofErr w:type="spellEnd"/>
      <w:r w:rsidRPr="006A10A4">
        <w:rPr>
          <w:rFonts w:ascii="Verdana" w:hAnsi="Verdana"/>
          <w:i/>
          <w:sz w:val="20"/>
        </w:rPr>
        <w:t xml:space="preserve"> </w:t>
      </w:r>
      <w:proofErr w:type="spellStart"/>
      <w:r w:rsidRPr="006A10A4">
        <w:rPr>
          <w:rFonts w:ascii="Verdana" w:hAnsi="Verdana"/>
          <w:i/>
          <w:sz w:val="20"/>
        </w:rPr>
        <w:t>K</w:t>
      </w:r>
      <w:r>
        <w:rPr>
          <w:rFonts w:ascii="Verdana" w:hAnsi="Verdana"/>
          <w:i/>
          <w:sz w:val="20"/>
        </w:rPr>
        <w:t>ásek</w:t>
      </w:r>
      <w:proofErr w:type="spellEnd"/>
      <w:r>
        <w:rPr>
          <w:rFonts w:ascii="Verdana" w:hAnsi="Verdana"/>
          <w:i/>
          <w:sz w:val="20"/>
        </w:rPr>
        <w:t xml:space="preserve"> </w:t>
      </w:r>
      <w:r>
        <w:rPr>
          <w:rFonts w:ascii="Verdana" w:hAnsi="Verdana"/>
          <w:sz w:val="20"/>
        </w:rPr>
        <w:t xml:space="preserve">no sea un obstáculo para la devolución de las tierras tradicionales </w:t>
      </w:r>
      <w:r w:rsidRPr="00906C70">
        <w:rPr>
          <w:rFonts w:ascii="Verdana" w:hAnsi="Verdana"/>
          <w:sz w:val="20"/>
        </w:rPr>
        <w:t xml:space="preserve">(punto resolutivo </w:t>
      </w:r>
      <w:r>
        <w:rPr>
          <w:rFonts w:ascii="Verdana" w:hAnsi="Verdana"/>
          <w:sz w:val="20"/>
        </w:rPr>
        <w:t>26</w:t>
      </w:r>
      <w:r w:rsidRPr="003E7C27">
        <w:rPr>
          <w:rFonts w:ascii="Verdana" w:hAnsi="Verdana"/>
          <w:sz w:val="20"/>
        </w:rPr>
        <w:t>)</w:t>
      </w:r>
      <w:r w:rsidR="000241A6">
        <w:rPr>
          <w:rFonts w:ascii="Verdana" w:hAnsi="Verdana"/>
          <w:i/>
          <w:sz w:val="20"/>
        </w:rPr>
        <w:t>,</w:t>
      </w:r>
      <w:r w:rsidR="00C663B6">
        <w:rPr>
          <w:rFonts w:ascii="Verdana" w:hAnsi="Verdana"/>
          <w:i/>
          <w:sz w:val="20"/>
        </w:rPr>
        <w:t xml:space="preserve"> </w:t>
      </w:r>
      <w:r w:rsidR="00C663B6" w:rsidRPr="00C663B6">
        <w:rPr>
          <w:rFonts w:ascii="Verdana" w:hAnsi="Verdana"/>
          <w:sz w:val="20"/>
        </w:rPr>
        <w:t>y</w:t>
      </w:r>
    </w:p>
    <w:p w:rsidR="00681C2A" w:rsidRPr="00CD664D" w:rsidRDefault="006A10A4" w:rsidP="00681C2A">
      <w:pPr>
        <w:pStyle w:val="Prrafodelista"/>
        <w:numPr>
          <w:ilvl w:val="0"/>
          <w:numId w:val="20"/>
        </w:numPr>
        <w:ind w:left="567" w:right="4" w:hanging="283"/>
        <w:jc w:val="both"/>
        <w:rPr>
          <w:rFonts w:ascii="Verdana" w:hAnsi="Verdana"/>
          <w:sz w:val="20"/>
        </w:rPr>
      </w:pPr>
      <w:r w:rsidRPr="00CD664D">
        <w:rPr>
          <w:rFonts w:ascii="Verdana" w:hAnsi="Verdana"/>
          <w:sz w:val="20"/>
        </w:rPr>
        <w:t xml:space="preserve">la realización de un programa </w:t>
      </w:r>
      <w:r w:rsidR="00F213E8" w:rsidRPr="00CD664D">
        <w:rPr>
          <w:rFonts w:ascii="Verdana" w:hAnsi="Verdana"/>
          <w:sz w:val="20"/>
        </w:rPr>
        <w:t xml:space="preserve">para que los miembros de las comunidades puedan registrarse y obtener sus documentos de identificación </w:t>
      </w:r>
      <w:r w:rsidR="000B145D" w:rsidRPr="00CD664D">
        <w:rPr>
          <w:rFonts w:ascii="Verdana" w:hAnsi="Verdana"/>
          <w:sz w:val="20"/>
        </w:rPr>
        <w:t>(</w:t>
      </w:r>
      <w:r w:rsidR="00B716CF" w:rsidRPr="00CD664D">
        <w:rPr>
          <w:rFonts w:ascii="Verdana" w:hAnsi="Verdana"/>
          <w:sz w:val="20"/>
        </w:rPr>
        <w:t xml:space="preserve">caso </w:t>
      </w:r>
      <w:proofErr w:type="spellStart"/>
      <w:r w:rsidR="00B716CF" w:rsidRPr="00CD664D">
        <w:rPr>
          <w:rFonts w:ascii="Verdana" w:hAnsi="Verdana"/>
          <w:i/>
          <w:sz w:val="20"/>
        </w:rPr>
        <w:t>Sawhoyamaxa</w:t>
      </w:r>
      <w:proofErr w:type="spellEnd"/>
      <w:r w:rsidR="00B716CF" w:rsidRPr="00CD664D">
        <w:rPr>
          <w:rFonts w:ascii="Verdana" w:hAnsi="Verdana"/>
          <w:i/>
          <w:sz w:val="20"/>
        </w:rPr>
        <w:t xml:space="preserve"> </w:t>
      </w:r>
      <w:r w:rsidR="000B145D" w:rsidRPr="00CD664D">
        <w:rPr>
          <w:rFonts w:ascii="Verdana" w:hAnsi="Verdana"/>
          <w:sz w:val="20"/>
        </w:rPr>
        <w:t>punto</w:t>
      </w:r>
      <w:r w:rsidR="00B716CF" w:rsidRPr="00CD664D">
        <w:rPr>
          <w:rFonts w:ascii="Verdana" w:hAnsi="Verdana"/>
          <w:sz w:val="20"/>
        </w:rPr>
        <w:t xml:space="preserve"> resolutivo </w:t>
      </w:r>
      <w:r w:rsidR="000B145D" w:rsidRPr="00CD664D">
        <w:rPr>
          <w:rFonts w:ascii="Verdana" w:hAnsi="Verdana"/>
          <w:sz w:val="20"/>
        </w:rPr>
        <w:t>11 y</w:t>
      </w:r>
      <w:r w:rsidR="00B716CF" w:rsidRPr="00CD664D">
        <w:rPr>
          <w:rFonts w:ascii="Verdana" w:hAnsi="Verdana"/>
          <w:sz w:val="20"/>
        </w:rPr>
        <w:t xml:space="preserve"> caso </w:t>
      </w:r>
      <w:proofErr w:type="spellStart"/>
      <w:r w:rsidR="00B716CF" w:rsidRPr="00CD664D">
        <w:rPr>
          <w:rFonts w:ascii="Verdana" w:hAnsi="Verdana"/>
          <w:i/>
          <w:sz w:val="20"/>
        </w:rPr>
        <w:t>Xákmok</w:t>
      </w:r>
      <w:proofErr w:type="spellEnd"/>
      <w:r w:rsidR="00B716CF" w:rsidRPr="00CD664D">
        <w:rPr>
          <w:rFonts w:ascii="Verdana" w:hAnsi="Verdana"/>
          <w:i/>
          <w:sz w:val="20"/>
        </w:rPr>
        <w:t xml:space="preserve"> </w:t>
      </w:r>
      <w:proofErr w:type="spellStart"/>
      <w:r w:rsidR="00B716CF" w:rsidRPr="00CD664D">
        <w:rPr>
          <w:rFonts w:ascii="Verdana" w:hAnsi="Verdana"/>
          <w:i/>
          <w:sz w:val="20"/>
        </w:rPr>
        <w:t>Kásek</w:t>
      </w:r>
      <w:proofErr w:type="spellEnd"/>
      <w:r w:rsidR="00B716CF" w:rsidRPr="00CD664D">
        <w:rPr>
          <w:rFonts w:ascii="Verdana" w:hAnsi="Verdana"/>
          <w:i/>
          <w:sz w:val="20"/>
        </w:rPr>
        <w:t xml:space="preserve"> </w:t>
      </w:r>
      <w:r w:rsidR="00B716CF" w:rsidRPr="00CD664D">
        <w:rPr>
          <w:rFonts w:ascii="Verdana" w:hAnsi="Verdana"/>
          <w:sz w:val="20"/>
        </w:rPr>
        <w:t>punto resolutivo 24</w:t>
      </w:r>
      <w:r w:rsidR="000B145D" w:rsidRPr="00CD664D">
        <w:rPr>
          <w:rFonts w:ascii="Verdana" w:hAnsi="Verdana"/>
          <w:sz w:val="20"/>
        </w:rPr>
        <w:t>)</w:t>
      </w:r>
      <w:r w:rsidR="0011730F">
        <w:rPr>
          <w:rFonts w:ascii="Verdana" w:hAnsi="Verdana"/>
          <w:sz w:val="20"/>
        </w:rPr>
        <w:t>.</w:t>
      </w:r>
    </w:p>
    <w:p w:rsidR="007C2403" w:rsidRDefault="007C2403" w:rsidP="007C2403">
      <w:pPr>
        <w:pStyle w:val="Prrafodelista"/>
        <w:rPr>
          <w:rFonts w:ascii="Verdana" w:hAnsi="Verdana"/>
          <w:sz w:val="20"/>
        </w:rPr>
      </w:pPr>
    </w:p>
    <w:p w:rsidR="006A10A4" w:rsidRPr="00E01505" w:rsidRDefault="006A10A4" w:rsidP="006A10A4">
      <w:pPr>
        <w:numPr>
          <w:ilvl w:val="0"/>
          <w:numId w:val="4"/>
        </w:numPr>
        <w:ind w:left="0" w:right="4" w:firstLine="0"/>
        <w:jc w:val="both"/>
        <w:rPr>
          <w:rFonts w:ascii="Verdana" w:hAnsi="Verdana"/>
          <w:sz w:val="20"/>
        </w:rPr>
      </w:pPr>
      <w:r w:rsidRPr="00E01505">
        <w:rPr>
          <w:rFonts w:ascii="Verdana" w:hAnsi="Verdana"/>
          <w:sz w:val="20"/>
        </w:rPr>
        <w:t>Sobre la totalidad de l</w:t>
      </w:r>
      <w:r w:rsidR="00681C2A" w:rsidRPr="00E01505">
        <w:rPr>
          <w:rFonts w:ascii="Verdana" w:hAnsi="Verdana"/>
          <w:sz w:val="20"/>
        </w:rPr>
        <w:t>as</w:t>
      </w:r>
      <w:r w:rsidR="00CD664D" w:rsidRPr="00E01505">
        <w:rPr>
          <w:rFonts w:ascii="Verdana" w:hAnsi="Verdana"/>
          <w:sz w:val="20"/>
        </w:rPr>
        <w:t xml:space="preserve"> </w:t>
      </w:r>
      <w:r w:rsidR="00681C2A" w:rsidRPr="00E01505">
        <w:rPr>
          <w:rFonts w:ascii="Verdana" w:hAnsi="Verdana"/>
          <w:sz w:val="20"/>
        </w:rPr>
        <w:t>reparaciones</w:t>
      </w:r>
      <w:r w:rsidRPr="00E01505">
        <w:rPr>
          <w:rFonts w:ascii="Verdana" w:hAnsi="Verdana"/>
          <w:sz w:val="20"/>
        </w:rPr>
        <w:t xml:space="preserve"> señalad</w:t>
      </w:r>
      <w:r w:rsidR="00681C2A" w:rsidRPr="00E01505">
        <w:rPr>
          <w:rFonts w:ascii="Verdana" w:hAnsi="Verdana"/>
          <w:sz w:val="20"/>
        </w:rPr>
        <w:t>a</w:t>
      </w:r>
      <w:r w:rsidRPr="00E01505">
        <w:rPr>
          <w:rFonts w:ascii="Verdana" w:hAnsi="Verdana"/>
          <w:sz w:val="20"/>
        </w:rPr>
        <w:t>s</w:t>
      </w:r>
      <w:r w:rsidR="00753653">
        <w:rPr>
          <w:rFonts w:ascii="Verdana" w:hAnsi="Verdana"/>
          <w:sz w:val="20"/>
        </w:rPr>
        <w:t xml:space="preserve"> en el Considerando anterior</w:t>
      </w:r>
      <w:r w:rsidRPr="00E01505">
        <w:rPr>
          <w:rFonts w:ascii="Verdana" w:hAnsi="Verdana"/>
          <w:sz w:val="20"/>
        </w:rPr>
        <w:t xml:space="preserve">, </w:t>
      </w:r>
      <w:r w:rsidR="00931AE0" w:rsidRPr="00E01505">
        <w:rPr>
          <w:rFonts w:ascii="Verdana" w:hAnsi="Verdana"/>
          <w:sz w:val="20"/>
        </w:rPr>
        <w:t xml:space="preserve">en su informe de diciembre de 2015 </w:t>
      </w:r>
      <w:r w:rsidRPr="00E01505">
        <w:rPr>
          <w:rFonts w:ascii="Verdana" w:hAnsi="Verdana"/>
          <w:sz w:val="20"/>
        </w:rPr>
        <w:t>el Estado únicamente se refirió a</w:t>
      </w:r>
      <w:r w:rsidR="00E01505" w:rsidRPr="00E01505">
        <w:rPr>
          <w:rFonts w:ascii="Verdana" w:hAnsi="Verdana"/>
          <w:sz w:val="20"/>
        </w:rPr>
        <w:t xml:space="preserve"> </w:t>
      </w:r>
      <w:r w:rsidRPr="00E01505">
        <w:rPr>
          <w:rFonts w:ascii="Verdana" w:hAnsi="Verdana"/>
          <w:sz w:val="20"/>
        </w:rPr>
        <w:t>l</w:t>
      </w:r>
      <w:r w:rsidR="00E01505" w:rsidRPr="00E01505">
        <w:rPr>
          <w:rFonts w:ascii="Verdana" w:hAnsi="Verdana"/>
          <w:sz w:val="20"/>
        </w:rPr>
        <w:t>os</w:t>
      </w:r>
      <w:r w:rsidRPr="00E01505">
        <w:rPr>
          <w:rFonts w:ascii="Verdana" w:hAnsi="Verdana"/>
          <w:sz w:val="20"/>
        </w:rPr>
        <w:t xml:space="preserve"> fondo</w:t>
      </w:r>
      <w:r w:rsidR="00E01505" w:rsidRPr="00E01505">
        <w:rPr>
          <w:rFonts w:ascii="Verdana" w:hAnsi="Verdana"/>
          <w:sz w:val="20"/>
        </w:rPr>
        <w:t>s</w:t>
      </w:r>
      <w:r w:rsidRPr="00E01505">
        <w:rPr>
          <w:rFonts w:ascii="Verdana" w:hAnsi="Verdana"/>
          <w:sz w:val="20"/>
        </w:rPr>
        <w:t xml:space="preserve"> de desarrollo comunitario (</w:t>
      </w:r>
      <w:r w:rsidRPr="00E01505">
        <w:rPr>
          <w:rFonts w:ascii="Verdana" w:hAnsi="Verdana"/>
          <w:i/>
          <w:sz w:val="20"/>
        </w:rPr>
        <w:t>infra</w:t>
      </w:r>
      <w:r w:rsidRPr="00E01505">
        <w:rPr>
          <w:rFonts w:ascii="Verdana" w:hAnsi="Verdana"/>
          <w:sz w:val="20"/>
        </w:rPr>
        <w:t xml:space="preserve"> Considerando </w:t>
      </w:r>
      <w:r w:rsidR="00BB61E1" w:rsidRPr="00E01505">
        <w:rPr>
          <w:rFonts w:ascii="Verdana" w:hAnsi="Verdana"/>
          <w:sz w:val="20"/>
        </w:rPr>
        <w:fldChar w:fldCharType="begin"/>
      </w:r>
      <w:r w:rsidR="00BB61E1" w:rsidRPr="00E01505">
        <w:rPr>
          <w:rFonts w:ascii="Verdana" w:hAnsi="Verdana"/>
          <w:sz w:val="20"/>
        </w:rPr>
        <w:instrText xml:space="preserve"> REF _Ref456708511 \r \h </w:instrText>
      </w:r>
      <w:r w:rsidR="00E01505">
        <w:rPr>
          <w:rFonts w:ascii="Verdana" w:hAnsi="Verdana"/>
          <w:sz w:val="20"/>
        </w:rPr>
        <w:instrText xml:space="preserve"> \* MERGEFORMAT </w:instrText>
      </w:r>
      <w:r w:rsidR="00BB61E1" w:rsidRPr="00E01505">
        <w:rPr>
          <w:rFonts w:ascii="Verdana" w:hAnsi="Verdana"/>
          <w:sz w:val="20"/>
        </w:rPr>
      </w:r>
      <w:r w:rsidR="00BB61E1" w:rsidRPr="00E01505">
        <w:rPr>
          <w:rFonts w:ascii="Verdana" w:hAnsi="Verdana"/>
          <w:sz w:val="20"/>
        </w:rPr>
        <w:fldChar w:fldCharType="separate"/>
      </w:r>
      <w:r w:rsidR="00717A33">
        <w:rPr>
          <w:rFonts w:ascii="Verdana" w:hAnsi="Verdana"/>
          <w:sz w:val="20"/>
        </w:rPr>
        <w:t>15</w:t>
      </w:r>
      <w:r w:rsidR="00BB61E1" w:rsidRPr="00E01505">
        <w:rPr>
          <w:rFonts w:ascii="Verdana" w:hAnsi="Verdana"/>
          <w:sz w:val="20"/>
        </w:rPr>
        <w:fldChar w:fldCharType="end"/>
      </w:r>
      <w:r w:rsidRPr="00E01505">
        <w:rPr>
          <w:rFonts w:ascii="Verdana" w:hAnsi="Verdana"/>
          <w:sz w:val="20"/>
        </w:rPr>
        <w:t>) y al deber de suministro de bienes y servicios básicos necesarios para la subsistencia de los miembros de la</w:t>
      </w:r>
      <w:r w:rsidR="00E01505" w:rsidRPr="00E01505">
        <w:rPr>
          <w:rFonts w:ascii="Verdana" w:hAnsi="Verdana"/>
          <w:sz w:val="20"/>
        </w:rPr>
        <w:t>s</w:t>
      </w:r>
      <w:r w:rsidRPr="00E01505">
        <w:rPr>
          <w:rFonts w:ascii="Verdana" w:hAnsi="Verdana"/>
          <w:sz w:val="20"/>
        </w:rPr>
        <w:t xml:space="preserve"> Comunidad</w:t>
      </w:r>
      <w:r w:rsidR="00E01505" w:rsidRPr="00E01505">
        <w:rPr>
          <w:rFonts w:ascii="Verdana" w:hAnsi="Verdana"/>
          <w:sz w:val="20"/>
        </w:rPr>
        <w:t>es</w:t>
      </w:r>
      <w:r w:rsidRPr="00E01505">
        <w:rPr>
          <w:rFonts w:ascii="Verdana" w:hAnsi="Verdana"/>
          <w:sz w:val="20"/>
        </w:rPr>
        <w:t xml:space="preserve"> (</w:t>
      </w:r>
      <w:r w:rsidRPr="00E01505">
        <w:rPr>
          <w:rFonts w:ascii="Verdana" w:hAnsi="Verdana"/>
          <w:i/>
          <w:sz w:val="20"/>
        </w:rPr>
        <w:t>infra</w:t>
      </w:r>
      <w:r w:rsidRPr="00E01505">
        <w:rPr>
          <w:rFonts w:ascii="Verdana" w:hAnsi="Verdana"/>
          <w:sz w:val="20"/>
        </w:rPr>
        <w:t xml:space="preserve"> Considerando </w:t>
      </w:r>
      <w:r w:rsidR="00BB61E1" w:rsidRPr="00E01505">
        <w:rPr>
          <w:rFonts w:ascii="Verdana" w:hAnsi="Verdana"/>
          <w:sz w:val="20"/>
        </w:rPr>
        <w:fldChar w:fldCharType="begin"/>
      </w:r>
      <w:r w:rsidR="00BB61E1" w:rsidRPr="00E01505">
        <w:rPr>
          <w:rFonts w:ascii="Verdana" w:hAnsi="Verdana"/>
          <w:sz w:val="20"/>
        </w:rPr>
        <w:instrText xml:space="preserve"> REF _Ref456708521 \r \h </w:instrText>
      </w:r>
      <w:r w:rsidR="00E01505">
        <w:rPr>
          <w:rFonts w:ascii="Verdana" w:hAnsi="Verdana"/>
          <w:sz w:val="20"/>
        </w:rPr>
        <w:instrText xml:space="preserve"> \* MERGEFORMAT </w:instrText>
      </w:r>
      <w:r w:rsidR="00BB61E1" w:rsidRPr="00E01505">
        <w:rPr>
          <w:rFonts w:ascii="Verdana" w:hAnsi="Verdana"/>
          <w:sz w:val="20"/>
        </w:rPr>
      </w:r>
      <w:r w:rsidR="00BB61E1" w:rsidRPr="00E01505">
        <w:rPr>
          <w:rFonts w:ascii="Verdana" w:hAnsi="Verdana"/>
          <w:sz w:val="20"/>
        </w:rPr>
        <w:fldChar w:fldCharType="separate"/>
      </w:r>
      <w:r w:rsidR="00717A33">
        <w:rPr>
          <w:rFonts w:ascii="Verdana" w:hAnsi="Verdana"/>
          <w:sz w:val="20"/>
        </w:rPr>
        <w:t>16</w:t>
      </w:r>
      <w:r w:rsidR="00BB61E1" w:rsidRPr="00E01505">
        <w:rPr>
          <w:rFonts w:ascii="Verdana" w:hAnsi="Verdana"/>
          <w:sz w:val="20"/>
        </w:rPr>
        <w:fldChar w:fldCharType="end"/>
      </w:r>
      <w:r w:rsidRPr="00E01505">
        <w:rPr>
          <w:rFonts w:ascii="Verdana" w:hAnsi="Verdana"/>
          <w:sz w:val="20"/>
        </w:rPr>
        <w:t>)</w:t>
      </w:r>
      <w:r w:rsidR="00EA3763" w:rsidRPr="00E01505">
        <w:rPr>
          <w:rStyle w:val="Refdenotaalpie"/>
          <w:rFonts w:ascii="Verdana" w:hAnsi="Verdana"/>
          <w:sz w:val="20"/>
        </w:rPr>
        <w:footnoteReference w:id="32"/>
      </w:r>
      <w:r w:rsidRPr="00E01505">
        <w:rPr>
          <w:rFonts w:ascii="Verdana" w:hAnsi="Verdana"/>
          <w:sz w:val="20"/>
        </w:rPr>
        <w:t>.</w:t>
      </w:r>
      <w:r w:rsidR="00EA3763" w:rsidRPr="00E01505">
        <w:rPr>
          <w:rFonts w:ascii="Verdana" w:hAnsi="Verdana"/>
          <w:sz w:val="20"/>
        </w:rPr>
        <w:t xml:space="preserve"> </w:t>
      </w:r>
      <w:r w:rsidR="00CD664D" w:rsidRPr="00E01505">
        <w:rPr>
          <w:rFonts w:ascii="Verdana" w:hAnsi="Verdana"/>
          <w:sz w:val="20"/>
        </w:rPr>
        <w:t xml:space="preserve">En sus observaciones, la </w:t>
      </w:r>
      <w:r w:rsidR="00CD664D" w:rsidRPr="005B643D">
        <w:rPr>
          <w:rFonts w:ascii="Verdana" w:hAnsi="Verdana"/>
          <w:i/>
          <w:sz w:val="20"/>
        </w:rPr>
        <w:t>Comisión</w:t>
      </w:r>
      <w:r w:rsidR="00CD664D" w:rsidRPr="00E01505">
        <w:rPr>
          <w:rFonts w:ascii="Verdana" w:hAnsi="Verdana"/>
          <w:sz w:val="20"/>
        </w:rPr>
        <w:t xml:space="preserve"> </w:t>
      </w:r>
      <w:r w:rsidR="005B643D">
        <w:rPr>
          <w:rFonts w:ascii="Verdana" w:hAnsi="Verdana"/>
          <w:sz w:val="20"/>
        </w:rPr>
        <w:t>indicó la necesidad de</w:t>
      </w:r>
      <w:r w:rsidR="00CD664D" w:rsidRPr="00E01505">
        <w:rPr>
          <w:rFonts w:ascii="Verdana" w:hAnsi="Verdana"/>
          <w:sz w:val="20"/>
        </w:rPr>
        <w:t xml:space="preserve"> que el Estado “presente información detallada, con el respectivo sustento documental, sobre las demás medidas de reparación de los casos de referencia, incluyendo cada una de las observaciones de los representantes en sus anteriores comunicaciones”.</w:t>
      </w:r>
    </w:p>
    <w:p w:rsidR="006A10A4" w:rsidRDefault="006A10A4" w:rsidP="006A10A4">
      <w:pPr>
        <w:ind w:right="4"/>
        <w:jc w:val="both"/>
        <w:rPr>
          <w:rFonts w:ascii="Verdana" w:hAnsi="Verdana"/>
          <w:sz w:val="20"/>
        </w:rPr>
      </w:pPr>
    </w:p>
    <w:p w:rsidR="006A10A4" w:rsidRDefault="00C51D20" w:rsidP="006A10A4">
      <w:pPr>
        <w:numPr>
          <w:ilvl w:val="0"/>
          <w:numId w:val="4"/>
        </w:numPr>
        <w:ind w:left="0" w:right="4" w:firstLine="0"/>
        <w:jc w:val="both"/>
        <w:rPr>
          <w:rFonts w:ascii="Verdana" w:hAnsi="Verdana"/>
          <w:sz w:val="20"/>
        </w:rPr>
      </w:pPr>
      <w:bookmarkStart w:id="16" w:name="_Ref456708511"/>
      <w:r>
        <w:rPr>
          <w:rFonts w:ascii="Verdana" w:hAnsi="Verdana"/>
          <w:sz w:val="20"/>
        </w:rPr>
        <w:t xml:space="preserve">En </w:t>
      </w:r>
      <w:r w:rsidR="006A10A4" w:rsidRPr="006E25A0">
        <w:rPr>
          <w:rFonts w:ascii="Verdana" w:hAnsi="Verdana"/>
          <w:sz w:val="20"/>
        </w:rPr>
        <w:t xml:space="preserve">relación </w:t>
      </w:r>
      <w:r>
        <w:rPr>
          <w:rFonts w:ascii="Verdana" w:hAnsi="Verdana"/>
          <w:sz w:val="20"/>
        </w:rPr>
        <w:t xml:space="preserve">con </w:t>
      </w:r>
      <w:r w:rsidR="005B643D">
        <w:rPr>
          <w:rFonts w:ascii="Verdana" w:hAnsi="Verdana"/>
          <w:sz w:val="20"/>
        </w:rPr>
        <w:t>los</w:t>
      </w:r>
      <w:r w:rsidR="006A10A4" w:rsidRPr="006E25A0">
        <w:rPr>
          <w:rFonts w:ascii="Verdana" w:hAnsi="Verdana"/>
          <w:sz w:val="20"/>
        </w:rPr>
        <w:t xml:space="preserve"> fondo</w:t>
      </w:r>
      <w:r w:rsidR="005B643D">
        <w:rPr>
          <w:rFonts w:ascii="Verdana" w:hAnsi="Verdana"/>
          <w:sz w:val="20"/>
        </w:rPr>
        <w:t>s</w:t>
      </w:r>
      <w:r w:rsidR="006A10A4" w:rsidRPr="006E25A0">
        <w:rPr>
          <w:rFonts w:ascii="Verdana" w:hAnsi="Verdana"/>
          <w:sz w:val="20"/>
        </w:rPr>
        <w:t xml:space="preserve"> de desarrollo comunitario, el Estado se limitó a informar que “el Instituto Paraguayo del Indígena ha incluido en su anteproyecto de Presupuesto para el ejercicio [2016], la solicitud de los montos</w:t>
      </w:r>
      <w:r w:rsidR="006A10A4">
        <w:rPr>
          <w:rFonts w:ascii="Verdana" w:hAnsi="Verdana"/>
          <w:sz w:val="20"/>
        </w:rPr>
        <w:t xml:space="preserve"> necesarios para cubrir los compromisos asumidos en todos los casos con Sentencia de la Corte”. Dicho proyecto se encontraría “en estudio ante el Poder Legislativo”. Además, señaló que dicho Instituto “ha venido destinando fondos de sus presupuestos […] para ejecutar </w:t>
      </w:r>
      <w:r w:rsidR="006A10A4">
        <w:rPr>
          <w:rFonts w:ascii="Verdana" w:hAnsi="Verdana"/>
          <w:sz w:val="20"/>
        </w:rPr>
        <w:lastRenderedPageBreak/>
        <w:t xml:space="preserve">proyectos de desarrollo comunitario”. </w:t>
      </w:r>
      <w:r w:rsidR="00681C2A">
        <w:rPr>
          <w:rFonts w:ascii="Verdana" w:hAnsi="Verdana"/>
          <w:sz w:val="20"/>
        </w:rPr>
        <w:t>E</w:t>
      </w:r>
      <w:r w:rsidR="006A10A4">
        <w:rPr>
          <w:rFonts w:ascii="Verdana" w:hAnsi="Verdana"/>
          <w:sz w:val="20"/>
        </w:rPr>
        <w:t>l Estado no presentó soportes probatorios sobre las afirmaciones indicadas, ni tampoco especificó cómo se han implementado dichos proyectos de desarrollo comunitario, por lo que no se cuenta con información suficiente actualizada para realizar una valoración sobre dicha medida.</w:t>
      </w:r>
      <w:bookmarkEnd w:id="16"/>
    </w:p>
    <w:p w:rsidR="006A10A4" w:rsidRDefault="006A10A4" w:rsidP="006A10A4">
      <w:pPr>
        <w:pStyle w:val="Prrafodelista"/>
        <w:rPr>
          <w:rFonts w:ascii="Verdana" w:hAnsi="Verdana"/>
          <w:sz w:val="20"/>
        </w:rPr>
      </w:pPr>
    </w:p>
    <w:p w:rsidR="006A10A4" w:rsidRPr="005B643D" w:rsidRDefault="00C51D20" w:rsidP="008D72EA">
      <w:pPr>
        <w:numPr>
          <w:ilvl w:val="0"/>
          <w:numId w:val="4"/>
        </w:numPr>
        <w:ind w:left="0" w:right="4" w:firstLine="0"/>
        <w:jc w:val="both"/>
        <w:rPr>
          <w:rFonts w:ascii="Verdana" w:hAnsi="Verdana"/>
          <w:sz w:val="20"/>
        </w:rPr>
      </w:pPr>
      <w:bookmarkStart w:id="17" w:name="_Ref456708521"/>
      <w:bookmarkStart w:id="18" w:name="_Ref460872546"/>
      <w:r w:rsidRPr="005B643D">
        <w:rPr>
          <w:rFonts w:ascii="Verdana" w:hAnsi="Verdana"/>
          <w:sz w:val="20"/>
        </w:rPr>
        <w:t xml:space="preserve">Respecto al </w:t>
      </w:r>
      <w:r w:rsidR="006A10A4" w:rsidRPr="005B643D">
        <w:rPr>
          <w:rFonts w:ascii="Verdana" w:hAnsi="Verdana"/>
          <w:sz w:val="20"/>
        </w:rPr>
        <w:t>suministro de bienes y servicios básicos necesarios para la subsistencia de los miembros de la</w:t>
      </w:r>
      <w:r w:rsidR="009532FB" w:rsidRPr="005B643D">
        <w:rPr>
          <w:rFonts w:ascii="Verdana" w:hAnsi="Verdana"/>
          <w:sz w:val="20"/>
        </w:rPr>
        <w:t>s</w:t>
      </w:r>
      <w:r w:rsidR="006A10A4" w:rsidRPr="005B643D">
        <w:rPr>
          <w:rFonts w:ascii="Verdana" w:hAnsi="Verdana"/>
          <w:sz w:val="20"/>
        </w:rPr>
        <w:t xml:space="preserve"> comunidad</w:t>
      </w:r>
      <w:r w:rsidR="009532FB" w:rsidRPr="005B643D">
        <w:rPr>
          <w:rFonts w:ascii="Verdana" w:hAnsi="Verdana"/>
          <w:sz w:val="20"/>
        </w:rPr>
        <w:t>es</w:t>
      </w:r>
      <w:r w:rsidR="006A10A4" w:rsidRPr="005B643D">
        <w:rPr>
          <w:rFonts w:ascii="Verdana" w:hAnsi="Verdana"/>
          <w:sz w:val="20"/>
        </w:rPr>
        <w:t>,</w:t>
      </w:r>
      <w:r w:rsidR="00F213E8" w:rsidRPr="005B643D">
        <w:rPr>
          <w:rFonts w:ascii="Verdana" w:hAnsi="Verdana"/>
          <w:sz w:val="20"/>
        </w:rPr>
        <w:t xml:space="preserve"> en el referido informe de 2015,</w:t>
      </w:r>
      <w:r w:rsidR="006A10A4" w:rsidRPr="005B643D">
        <w:rPr>
          <w:rFonts w:ascii="Verdana" w:hAnsi="Verdana"/>
          <w:sz w:val="20"/>
        </w:rPr>
        <w:t xml:space="preserve"> </w:t>
      </w:r>
      <w:r w:rsidR="006E25A0" w:rsidRPr="005B643D">
        <w:rPr>
          <w:rFonts w:ascii="Verdana" w:hAnsi="Verdana"/>
          <w:sz w:val="20"/>
        </w:rPr>
        <w:t>el Estado</w:t>
      </w:r>
      <w:r w:rsidR="006A10A4" w:rsidRPr="005B643D">
        <w:rPr>
          <w:rFonts w:ascii="Verdana" w:hAnsi="Verdana"/>
          <w:sz w:val="20"/>
        </w:rPr>
        <w:t xml:space="preserve"> </w:t>
      </w:r>
      <w:r w:rsidR="00F213E8" w:rsidRPr="005B643D">
        <w:rPr>
          <w:rFonts w:ascii="Verdana" w:hAnsi="Verdana"/>
          <w:sz w:val="20"/>
        </w:rPr>
        <w:t>se refirió</w:t>
      </w:r>
      <w:r w:rsidR="006A10A4" w:rsidRPr="005B643D">
        <w:rPr>
          <w:rFonts w:ascii="Verdana" w:hAnsi="Verdana"/>
          <w:sz w:val="20"/>
        </w:rPr>
        <w:t xml:space="preserve"> </w:t>
      </w:r>
      <w:r w:rsidR="00F213E8" w:rsidRPr="005B643D">
        <w:rPr>
          <w:rFonts w:ascii="Verdana" w:hAnsi="Verdana"/>
          <w:sz w:val="20"/>
        </w:rPr>
        <w:t>a</w:t>
      </w:r>
      <w:r w:rsidRPr="005B643D">
        <w:rPr>
          <w:rFonts w:ascii="Verdana" w:hAnsi="Verdana"/>
          <w:sz w:val="20"/>
        </w:rPr>
        <w:t>:</w:t>
      </w:r>
      <w:r w:rsidR="006A10A4" w:rsidRPr="005B643D">
        <w:rPr>
          <w:rFonts w:ascii="Verdana" w:hAnsi="Verdana"/>
          <w:sz w:val="20"/>
        </w:rPr>
        <w:t xml:space="preserve"> un censo que habría realizado a cada una de las comunidades</w:t>
      </w:r>
      <w:r w:rsidRPr="005B643D">
        <w:rPr>
          <w:rFonts w:ascii="Verdana" w:hAnsi="Verdana"/>
          <w:sz w:val="20"/>
        </w:rPr>
        <w:t>;</w:t>
      </w:r>
      <w:r w:rsidR="006A10A4" w:rsidRPr="005B643D">
        <w:rPr>
          <w:rFonts w:ascii="Verdana" w:hAnsi="Verdana"/>
          <w:sz w:val="20"/>
        </w:rPr>
        <w:t xml:space="preserve"> la implementación de un proyecto de asistencia humanitaria denominado “</w:t>
      </w:r>
      <w:r w:rsidR="00354002" w:rsidRPr="005B643D">
        <w:rPr>
          <w:rFonts w:ascii="Verdana" w:hAnsi="Verdana"/>
          <w:sz w:val="20"/>
        </w:rPr>
        <w:t>P</w:t>
      </w:r>
      <w:r w:rsidR="006A10A4" w:rsidRPr="005B643D">
        <w:rPr>
          <w:rFonts w:ascii="Verdana" w:hAnsi="Verdana"/>
          <w:sz w:val="20"/>
        </w:rPr>
        <w:t>royecto Esfera”, dirigido a buscar “abastecimiento de agua y saneamiento, nutrición</w:t>
      </w:r>
      <w:r w:rsidR="001B1AE0" w:rsidRPr="005B643D">
        <w:rPr>
          <w:rFonts w:ascii="Verdana" w:hAnsi="Verdana"/>
          <w:sz w:val="20"/>
        </w:rPr>
        <w:t xml:space="preserve"> y</w:t>
      </w:r>
      <w:r w:rsidR="006A10A4" w:rsidRPr="005B643D">
        <w:rPr>
          <w:rFonts w:ascii="Verdana" w:hAnsi="Verdana"/>
          <w:sz w:val="20"/>
        </w:rPr>
        <w:t xml:space="preserve"> ayuda alimentaria, refugios, asentamientos</w:t>
      </w:r>
      <w:r w:rsidR="001B1AE0" w:rsidRPr="005B643D">
        <w:rPr>
          <w:rFonts w:ascii="Verdana" w:hAnsi="Verdana"/>
          <w:sz w:val="20"/>
        </w:rPr>
        <w:t>[,]</w:t>
      </w:r>
      <w:r w:rsidR="006A10A4" w:rsidRPr="005B643D">
        <w:rPr>
          <w:rFonts w:ascii="Verdana" w:hAnsi="Verdana"/>
          <w:sz w:val="20"/>
        </w:rPr>
        <w:t xml:space="preserve"> planificación de emplazamientos y servicios de salud”, la provisión de un “kit estándar de alimentos”</w:t>
      </w:r>
      <w:r w:rsidR="000B145D" w:rsidRPr="005B643D">
        <w:rPr>
          <w:rStyle w:val="Refdenotaalpie"/>
          <w:rFonts w:ascii="Verdana" w:hAnsi="Verdana"/>
          <w:sz w:val="20"/>
        </w:rPr>
        <w:footnoteReference w:id="33"/>
      </w:r>
      <w:r w:rsidR="006A10A4" w:rsidRPr="005B643D">
        <w:rPr>
          <w:rFonts w:ascii="Verdana" w:hAnsi="Verdana"/>
          <w:sz w:val="20"/>
        </w:rPr>
        <w:t xml:space="preserve"> a cada familia; la implementación de algunas medidas dirigidas a garantizar la salud de los integrantes de la comunidad indígena</w:t>
      </w:r>
      <w:r w:rsidR="006A10A4" w:rsidRPr="005B643D">
        <w:rPr>
          <w:rStyle w:val="Refdenotaalpie"/>
          <w:rFonts w:ascii="Verdana" w:hAnsi="Verdana"/>
          <w:sz w:val="20"/>
        </w:rPr>
        <w:footnoteReference w:id="34"/>
      </w:r>
      <w:r w:rsidR="006A10A4" w:rsidRPr="005B643D">
        <w:rPr>
          <w:rFonts w:ascii="Verdana" w:hAnsi="Verdana"/>
          <w:sz w:val="20"/>
        </w:rPr>
        <w:t>, y otras medidas relacionadas al acceso a la educación de la comunidad</w:t>
      </w:r>
      <w:r w:rsidR="006A10A4" w:rsidRPr="005B643D">
        <w:rPr>
          <w:rStyle w:val="Refdenotaalpie"/>
          <w:rFonts w:ascii="Verdana" w:hAnsi="Verdana"/>
          <w:sz w:val="20"/>
        </w:rPr>
        <w:footnoteReference w:id="35"/>
      </w:r>
      <w:r w:rsidR="006A10A4" w:rsidRPr="005B643D">
        <w:rPr>
          <w:rFonts w:ascii="Verdana" w:hAnsi="Verdana"/>
          <w:sz w:val="20"/>
        </w:rPr>
        <w:t>.</w:t>
      </w:r>
      <w:r w:rsidR="00CA088B" w:rsidRPr="005B643D">
        <w:rPr>
          <w:rFonts w:ascii="Verdana" w:hAnsi="Verdana"/>
          <w:sz w:val="20"/>
        </w:rPr>
        <w:t xml:space="preserve"> </w:t>
      </w:r>
      <w:r w:rsidR="004E6D6D" w:rsidRPr="005B643D">
        <w:rPr>
          <w:rFonts w:ascii="Verdana" w:hAnsi="Verdana"/>
          <w:sz w:val="20"/>
        </w:rPr>
        <w:t>El Presidente observa que la información proporcionada no se encuentra fundamentada en acervo probatorio alguno.  Además, l</w:t>
      </w:r>
      <w:r w:rsidR="00CA088B" w:rsidRPr="005B643D">
        <w:rPr>
          <w:rFonts w:ascii="Verdana" w:hAnsi="Verdana"/>
          <w:sz w:val="20"/>
        </w:rPr>
        <w:t xml:space="preserve">os </w:t>
      </w:r>
      <w:r w:rsidR="00CA088B" w:rsidRPr="005B643D">
        <w:rPr>
          <w:rFonts w:ascii="Verdana" w:hAnsi="Verdana"/>
          <w:i/>
          <w:sz w:val="20"/>
        </w:rPr>
        <w:t>representantes</w:t>
      </w:r>
      <w:r w:rsidR="004E6D6D" w:rsidRPr="005B643D">
        <w:rPr>
          <w:rFonts w:ascii="Verdana" w:hAnsi="Verdana"/>
          <w:sz w:val="20"/>
        </w:rPr>
        <w:t xml:space="preserve"> señalaron</w:t>
      </w:r>
      <w:r w:rsidR="000E4DF3" w:rsidRPr="005B643D">
        <w:rPr>
          <w:rFonts w:ascii="Verdana" w:hAnsi="Verdana"/>
          <w:sz w:val="20"/>
        </w:rPr>
        <w:t xml:space="preserve"> que</w:t>
      </w:r>
      <w:r w:rsidR="004E6D6D" w:rsidRPr="005B643D">
        <w:rPr>
          <w:rFonts w:ascii="Verdana" w:hAnsi="Verdana"/>
          <w:sz w:val="20"/>
        </w:rPr>
        <w:t xml:space="preserve">, </w:t>
      </w:r>
      <w:r w:rsidR="00CD664D" w:rsidRPr="005B643D">
        <w:rPr>
          <w:rFonts w:ascii="Verdana" w:hAnsi="Verdana"/>
          <w:sz w:val="20"/>
        </w:rPr>
        <w:t>c</w:t>
      </w:r>
      <w:r w:rsidR="004E6D6D" w:rsidRPr="005B643D">
        <w:rPr>
          <w:rFonts w:ascii="Verdana" w:hAnsi="Verdana"/>
          <w:sz w:val="20"/>
        </w:rPr>
        <w:t>on relación a la asistencia médica, existen dificultades en los traslados hacia los centros asistenciales y que la atención recibida es deficiente</w:t>
      </w:r>
      <w:r w:rsidR="00CD664D" w:rsidRPr="005B643D">
        <w:rPr>
          <w:rStyle w:val="Refdenotaalpie"/>
          <w:rFonts w:ascii="Verdana" w:hAnsi="Verdana"/>
          <w:sz w:val="20"/>
        </w:rPr>
        <w:footnoteReference w:id="36"/>
      </w:r>
      <w:r w:rsidR="004E6D6D" w:rsidRPr="005B643D">
        <w:rPr>
          <w:rFonts w:ascii="Verdana" w:hAnsi="Verdana"/>
          <w:sz w:val="20"/>
        </w:rPr>
        <w:t>.</w:t>
      </w:r>
      <w:r w:rsidR="006A10A4" w:rsidRPr="005B643D">
        <w:rPr>
          <w:rFonts w:ascii="Verdana" w:hAnsi="Verdana"/>
          <w:sz w:val="20"/>
        </w:rPr>
        <w:t xml:space="preserve"> </w:t>
      </w:r>
      <w:r w:rsidR="000E4DF3" w:rsidRPr="005B643D">
        <w:rPr>
          <w:rFonts w:ascii="Verdana" w:hAnsi="Verdana"/>
          <w:sz w:val="20"/>
        </w:rPr>
        <w:t>C</w:t>
      </w:r>
      <w:r w:rsidR="004E6D6D" w:rsidRPr="005B643D">
        <w:rPr>
          <w:rFonts w:ascii="Verdana" w:hAnsi="Verdana"/>
          <w:sz w:val="20"/>
        </w:rPr>
        <w:t>on relación a las medidas rela</w:t>
      </w:r>
      <w:r w:rsidR="000E4DF3" w:rsidRPr="005B643D">
        <w:rPr>
          <w:rFonts w:ascii="Verdana" w:hAnsi="Verdana"/>
          <w:sz w:val="20"/>
        </w:rPr>
        <w:t>tivas</w:t>
      </w:r>
      <w:r w:rsidR="004E6D6D" w:rsidRPr="005B643D">
        <w:rPr>
          <w:rFonts w:ascii="Verdana" w:hAnsi="Verdana"/>
          <w:sz w:val="20"/>
        </w:rPr>
        <w:t xml:space="preserve"> al acceso a la educación, los representantes de las víctimas indica</w:t>
      </w:r>
      <w:r w:rsidR="009532FB" w:rsidRPr="005B643D">
        <w:rPr>
          <w:rFonts w:ascii="Verdana" w:hAnsi="Verdana"/>
          <w:sz w:val="20"/>
        </w:rPr>
        <w:t>ron</w:t>
      </w:r>
      <w:r w:rsidR="004E6D6D" w:rsidRPr="005B643D">
        <w:rPr>
          <w:rFonts w:ascii="Verdana" w:hAnsi="Verdana"/>
          <w:sz w:val="20"/>
        </w:rPr>
        <w:t xml:space="preserve"> que “[n]</w:t>
      </w:r>
      <w:proofErr w:type="spellStart"/>
      <w:r w:rsidR="004E6D6D" w:rsidRPr="005B643D">
        <w:rPr>
          <w:rFonts w:ascii="Verdana" w:hAnsi="Verdana"/>
          <w:sz w:val="20"/>
        </w:rPr>
        <w:t>inguna</w:t>
      </w:r>
      <w:proofErr w:type="spellEnd"/>
      <w:r w:rsidR="004E6D6D" w:rsidRPr="005B643D">
        <w:rPr>
          <w:rFonts w:ascii="Verdana" w:hAnsi="Verdana"/>
          <w:sz w:val="20"/>
        </w:rPr>
        <w:t xml:space="preserve"> de las comunidades […] manifiesta conocer o tener alguna idea de lo que el Estado planteó en el informe”.</w:t>
      </w:r>
      <w:bookmarkEnd w:id="17"/>
      <w:r w:rsidR="004E6D6D" w:rsidRPr="005B643D">
        <w:rPr>
          <w:rFonts w:ascii="Verdana" w:hAnsi="Verdana"/>
          <w:sz w:val="20"/>
        </w:rPr>
        <w:t xml:space="preserve"> </w:t>
      </w:r>
      <w:r w:rsidR="00CD664D" w:rsidRPr="005B643D">
        <w:rPr>
          <w:rFonts w:ascii="Verdana" w:hAnsi="Verdana"/>
          <w:sz w:val="20"/>
        </w:rPr>
        <w:t xml:space="preserve">Con relación a lo informado en cuanto a la provisión de alimentos de los integrantes de las comunidades, los </w:t>
      </w:r>
      <w:r w:rsidR="00CD664D" w:rsidRPr="005B643D">
        <w:rPr>
          <w:rFonts w:ascii="Verdana" w:hAnsi="Verdana"/>
          <w:i/>
          <w:sz w:val="20"/>
        </w:rPr>
        <w:t>representantes</w:t>
      </w:r>
      <w:r w:rsidR="00CD664D" w:rsidRPr="005B643D">
        <w:rPr>
          <w:rFonts w:ascii="Verdana" w:hAnsi="Verdana"/>
          <w:sz w:val="20"/>
        </w:rPr>
        <w:t xml:space="preserve"> afirmaron que</w:t>
      </w:r>
      <w:r w:rsidR="005B643D" w:rsidRPr="005B643D">
        <w:rPr>
          <w:rFonts w:ascii="Verdana" w:hAnsi="Verdana"/>
          <w:sz w:val="20"/>
        </w:rPr>
        <w:t xml:space="preserve"> las tres comunidades indicaron que la entrega de los kits, que debería ser mensual, “es irregular y […] el contenido de los kits no alcanza un mes de duración para el consumo de cada familia”.  Asimismo, sostuvieron que </w:t>
      </w:r>
      <w:r w:rsidR="00CD664D" w:rsidRPr="005B643D">
        <w:rPr>
          <w:rFonts w:ascii="Verdana" w:hAnsi="Verdana"/>
          <w:sz w:val="20"/>
        </w:rPr>
        <w:t xml:space="preserve">“[e]l Estado no puede pretender seguir abordando el derecho a la alimentación desde la urgencia” ya que “desconoce que estas comunidades se encuentran privadas de posibilidades de proveerse de medios de subsistencia al no contar con tierras tituladas y bajo </w:t>
      </w:r>
      <w:r w:rsidR="00CD664D" w:rsidRPr="005B643D">
        <w:rPr>
          <w:rFonts w:ascii="Verdana" w:hAnsi="Verdana"/>
          <w:sz w:val="20"/>
        </w:rPr>
        <w:lastRenderedPageBreak/>
        <w:t>constantes amenazas a la vida si incursionan más allá de los límites físicos que todavía tienen por la mora del Estado en el cumplimiento de sus obligaciones de restitución territorial”.</w:t>
      </w:r>
      <w:bookmarkEnd w:id="18"/>
    </w:p>
    <w:p w:rsidR="008F1212" w:rsidRPr="006A10A4" w:rsidRDefault="008F1212" w:rsidP="006A10A4">
      <w:pPr>
        <w:rPr>
          <w:rFonts w:ascii="Verdana" w:hAnsi="Verdana"/>
          <w:sz w:val="20"/>
        </w:rPr>
      </w:pPr>
    </w:p>
    <w:p w:rsidR="001C36B9" w:rsidRDefault="00B312D6" w:rsidP="00E01505">
      <w:pPr>
        <w:pStyle w:val="Ttulo1"/>
        <w:numPr>
          <w:ilvl w:val="0"/>
          <w:numId w:val="18"/>
        </w:numPr>
      </w:pPr>
      <w:bookmarkStart w:id="19" w:name="_Toc456959926"/>
      <w:r>
        <w:t>Coordinación con Paraguay sobre posible visita (</w:t>
      </w:r>
      <w:r w:rsidR="006E25A0">
        <w:t>punto resolutivo séptimo de la Resolución de 2015</w:t>
      </w:r>
      <w:r>
        <w:t>)</w:t>
      </w:r>
      <w:bookmarkEnd w:id="19"/>
    </w:p>
    <w:p w:rsidR="008F1212" w:rsidRDefault="008F1212" w:rsidP="007C2403">
      <w:pPr>
        <w:pStyle w:val="Prrafodelista"/>
        <w:rPr>
          <w:rFonts w:ascii="Verdana" w:hAnsi="Verdana"/>
          <w:sz w:val="20"/>
        </w:rPr>
      </w:pPr>
    </w:p>
    <w:p w:rsidR="005756DD" w:rsidRPr="00E01505" w:rsidRDefault="007C2403" w:rsidP="00FD55B1">
      <w:pPr>
        <w:numPr>
          <w:ilvl w:val="0"/>
          <w:numId w:val="4"/>
        </w:numPr>
        <w:ind w:left="0" w:right="4" w:firstLine="0"/>
        <w:jc w:val="both"/>
        <w:rPr>
          <w:rFonts w:ascii="Verdana" w:hAnsi="Verdana"/>
          <w:sz w:val="20"/>
        </w:rPr>
      </w:pPr>
      <w:bookmarkStart w:id="20" w:name="_Ref456943009"/>
      <w:r w:rsidRPr="00E01505">
        <w:rPr>
          <w:rFonts w:ascii="Verdana" w:hAnsi="Verdana"/>
          <w:sz w:val="20"/>
        </w:rPr>
        <w:t>Teniendo en cuenta lo anterior, el Presidente</w:t>
      </w:r>
      <w:r w:rsidR="007D4E29" w:rsidRPr="00E01505">
        <w:rPr>
          <w:rFonts w:ascii="Verdana" w:hAnsi="Verdana"/>
          <w:sz w:val="20"/>
        </w:rPr>
        <w:t xml:space="preserve"> observa que</w:t>
      </w:r>
      <w:r w:rsidRPr="00E01505">
        <w:rPr>
          <w:rFonts w:ascii="Verdana" w:hAnsi="Verdana"/>
          <w:sz w:val="20"/>
        </w:rPr>
        <w:t xml:space="preserve"> </w:t>
      </w:r>
      <w:r w:rsidR="007D4E29" w:rsidRPr="00E01505">
        <w:rPr>
          <w:rFonts w:ascii="Verdana" w:hAnsi="Verdana"/>
          <w:sz w:val="20"/>
        </w:rPr>
        <w:t>pareciera que no existen</w:t>
      </w:r>
      <w:r w:rsidR="006A10A4" w:rsidRPr="00E01505">
        <w:rPr>
          <w:rFonts w:ascii="Verdana" w:hAnsi="Verdana"/>
          <w:sz w:val="20"/>
        </w:rPr>
        <w:t xml:space="preserve"> avances</w:t>
      </w:r>
      <w:r w:rsidR="007D4E29" w:rsidRPr="00E01505">
        <w:rPr>
          <w:rFonts w:ascii="Verdana" w:hAnsi="Verdana"/>
          <w:sz w:val="20"/>
        </w:rPr>
        <w:t xml:space="preserve"> sustanciales</w:t>
      </w:r>
      <w:r w:rsidR="00D2787D" w:rsidRPr="00E01505">
        <w:rPr>
          <w:rFonts w:ascii="Verdana" w:hAnsi="Verdana"/>
          <w:sz w:val="20"/>
        </w:rPr>
        <w:t xml:space="preserve"> dirigidos al cumplimiento de</w:t>
      </w:r>
      <w:r w:rsidR="007D4E29" w:rsidRPr="00E01505">
        <w:rPr>
          <w:rFonts w:ascii="Verdana" w:hAnsi="Verdana"/>
          <w:sz w:val="20"/>
        </w:rPr>
        <w:t xml:space="preserve"> las</w:t>
      </w:r>
      <w:r w:rsidR="006A10A4" w:rsidRPr="00E01505">
        <w:rPr>
          <w:rFonts w:ascii="Verdana" w:hAnsi="Verdana"/>
          <w:sz w:val="20"/>
        </w:rPr>
        <w:t xml:space="preserve"> reparaciones ordenadas en los tres casos</w:t>
      </w:r>
      <w:r w:rsidR="00D2787D" w:rsidRPr="00E01505">
        <w:rPr>
          <w:rFonts w:ascii="Verdana" w:hAnsi="Verdana"/>
          <w:sz w:val="20"/>
        </w:rPr>
        <w:t>, relacionadas con la identificación, entrega y titulación de las tierras tradicionales de las comunidades</w:t>
      </w:r>
      <w:r w:rsidR="007D4E29" w:rsidRPr="00E01505">
        <w:rPr>
          <w:rFonts w:ascii="Verdana" w:hAnsi="Verdana"/>
          <w:sz w:val="20"/>
        </w:rPr>
        <w:t xml:space="preserve">, con excepción de la correspondiente a la titulación de las tierras ubicadas en “25 de febrero” a favor de la comunidad </w:t>
      </w:r>
      <w:proofErr w:type="spellStart"/>
      <w:r w:rsidR="007D4E29" w:rsidRPr="00E01505">
        <w:rPr>
          <w:rFonts w:ascii="Verdana" w:hAnsi="Verdana"/>
          <w:i/>
          <w:sz w:val="20"/>
        </w:rPr>
        <w:t>Xákmok</w:t>
      </w:r>
      <w:proofErr w:type="spellEnd"/>
      <w:r w:rsidR="007D4E29" w:rsidRPr="00E01505">
        <w:rPr>
          <w:rFonts w:ascii="Verdana" w:hAnsi="Verdana"/>
          <w:i/>
          <w:sz w:val="20"/>
        </w:rPr>
        <w:t xml:space="preserve"> </w:t>
      </w:r>
      <w:proofErr w:type="spellStart"/>
      <w:r w:rsidR="007D4E29" w:rsidRPr="00E01505">
        <w:rPr>
          <w:rFonts w:ascii="Verdana" w:hAnsi="Verdana"/>
          <w:i/>
          <w:sz w:val="20"/>
        </w:rPr>
        <w:t>Kásek</w:t>
      </w:r>
      <w:proofErr w:type="spellEnd"/>
      <w:r w:rsidR="007D4E29" w:rsidRPr="00E01505">
        <w:rPr>
          <w:rFonts w:ascii="Verdana" w:hAnsi="Verdana"/>
          <w:sz w:val="20"/>
        </w:rPr>
        <w:t xml:space="preserve"> (</w:t>
      </w:r>
      <w:r w:rsidR="007D4E29" w:rsidRPr="00E01505">
        <w:rPr>
          <w:rFonts w:ascii="Verdana" w:hAnsi="Verdana"/>
          <w:i/>
          <w:sz w:val="20"/>
        </w:rPr>
        <w:t xml:space="preserve">supra </w:t>
      </w:r>
      <w:r w:rsidR="007D4E29" w:rsidRPr="00E01505">
        <w:rPr>
          <w:rFonts w:ascii="Verdana" w:hAnsi="Verdana"/>
          <w:sz w:val="20"/>
        </w:rPr>
        <w:t xml:space="preserve">Considerando </w:t>
      </w:r>
      <w:r w:rsidR="00BB61E1" w:rsidRPr="00E01505">
        <w:rPr>
          <w:rFonts w:ascii="Verdana" w:hAnsi="Verdana"/>
          <w:sz w:val="20"/>
        </w:rPr>
        <w:fldChar w:fldCharType="begin"/>
      </w:r>
      <w:r w:rsidR="00BB61E1" w:rsidRPr="00E01505">
        <w:rPr>
          <w:rFonts w:ascii="Verdana" w:hAnsi="Verdana"/>
          <w:sz w:val="20"/>
        </w:rPr>
        <w:instrText xml:space="preserve"> REF _Ref456708561 \r \h </w:instrText>
      </w:r>
      <w:r w:rsidR="00CD664D" w:rsidRPr="00E01505">
        <w:rPr>
          <w:rFonts w:ascii="Verdana" w:hAnsi="Verdana"/>
          <w:sz w:val="20"/>
        </w:rPr>
        <w:instrText xml:space="preserve"> \* MERGEFORMAT </w:instrText>
      </w:r>
      <w:r w:rsidR="00BB61E1" w:rsidRPr="00E01505">
        <w:rPr>
          <w:rFonts w:ascii="Verdana" w:hAnsi="Verdana"/>
          <w:sz w:val="20"/>
        </w:rPr>
      </w:r>
      <w:r w:rsidR="00BB61E1" w:rsidRPr="00E01505">
        <w:rPr>
          <w:rFonts w:ascii="Verdana" w:hAnsi="Verdana"/>
          <w:sz w:val="20"/>
        </w:rPr>
        <w:fldChar w:fldCharType="separate"/>
      </w:r>
      <w:r w:rsidR="00717A33">
        <w:rPr>
          <w:rFonts w:ascii="Verdana" w:hAnsi="Verdana"/>
          <w:sz w:val="20"/>
        </w:rPr>
        <w:t>10</w:t>
      </w:r>
      <w:r w:rsidR="00BB61E1" w:rsidRPr="00E01505">
        <w:rPr>
          <w:rFonts w:ascii="Verdana" w:hAnsi="Verdana"/>
          <w:sz w:val="20"/>
        </w:rPr>
        <w:fldChar w:fldCharType="end"/>
      </w:r>
      <w:r w:rsidR="007D4E29" w:rsidRPr="00E01505">
        <w:rPr>
          <w:rFonts w:ascii="Verdana" w:hAnsi="Verdana"/>
          <w:sz w:val="20"/>
        </w:rPr>
        <w:t>)</w:t>
      </w:r>
      <w:r w:rsidRPr="00E01505">
        <w:rPr>
          <w:rFonts w:ascii="Verdana" w:hAnsi="Verdana"/>
          <w:sz w:val="20"/>
        </w:rPr>
        <w:t>. Al contrario, de la información proporcionada por las partes pareciera desprenderse que la situación se mantiene sustancialmente igual a la constatada por la Corte en su Resolución de junio de 2015.</w:t>
      </w:r>
      <w:bookmarkEnd w:id="20"/>
      <w:r w:rsidR="005756DD" w:rsidRPr="00E01505">
        <w:rPr>
          <w:rFonts w:ascii="Verdana" w:hAnsi="Verdana"/>
          <w:sz w:val="20"/>
        </w:rPr>
        <w:t xml:space="preserve"> </w:t>
      </w:r>
      <w:r w:rsidRPr="00E01505">
        <w:rPr>
          <w:rFonts w:ascii="Verdana" w:hAnsi="Verdana"/>
          <w:sz w:val="20"/>
        </w:rPr>
        <w:t xml:space="preserve"> </w:t>
      </w:r>
    </w:p>
    <w:p w:rsidR="005756DD" w:rsidRDefault="005756DD" w:rsidP="005756DD">
      <w:pPr>
        <w:ind w:right="4"/>
        <w:jc w:val="both"/>
        <w:rPr>
          <w:rFonts w:ascii="Verdana" w:hAnsi="Verdana"/>
          <w:sz w:val="20"/>
        </w:rPr>
      </w:pPr>
    </w:p>
    <w:p w:rsidR="006A10A4" w:rsidRDefault="00EB3955" w:rsidP="006A10A4">
      <w:pPr>
        <w:numPr>
          <w:ilvl w:val="0"/>
          <w:numId w:val="4"/>
        </w:numPr>
        <w:ind w:left="0" w:right="4" w:firstLine="0"/>
        <w:jc w:val="both"/>
        <w:rPr>
          <w:rFonts w:ascii="Times New Roman" w:hAnsi="Times New Roman"/>
          <w:szCs w:val="24"/>
          <w:lang w:val="es-CR" w:eastAsia="es-CR"/>
        </w:rPr>
      </w:pPr>
      <w:bookmarkStart w:id="21" w:name="_Ref456707911"/>
      <w:r>
        <w:rPr>
          <w:rFonts w:ascii="Verdana" w:hAnsi="Verdana"/>
          <w:sz w:val="20"/>
        </w:rPr>
        <w:t>De la información aportada por las partes, esta Presidencia considera particularmente grave que han transcurrido</w:t>
      </w:r>
      <w:r w:rsidR="007D4E29">
        <w:rPr>
          <w:rFonts w:ascii="Verdana" w:hAnsi="Verdana"/>
          <w:sz w:val="20"/>
        </w:rPr>
        <w:t xml:space="preserve"> más de ocho</w:t>
      </w:r>
      <w:r w:rsidR="00D2787D">
        <w:rPr>
          <w:rFonts w:ascii="Verdana" w:hAnsi="Verdana"/>
          <w:sz w:val="20"/>
        </w:rPr>
        <w:t xml:space="preserve"> años en el caso </w:t>
      </w:r>
      <w:proofErr w:type="spellStart"/>
      <w:r w:rsidR="00D2787D">
        <w:rPr>
          <w:rFonts w:ascii="Verdana" w:hAnsi="Verdana"/>
          <w:i/>
          <w:sz w:val="20"/>
        </w:rPr>
        <w:t>Yakye</w:t>
      </w:r>
      <w:proofErr w:type="spellEnd"/>
      <w:r w:rsidR="00D2787D">
        <w:rPr>
          <w:rFonts w:ascii="Verdana" w:hAnsi="Verdana"/>
          <w:i/>
          <w:sz w:val="20"/>
        </w:rPr>
        <w:t xml:space="preserve"> Axa</w:t>
      </w:r>
      <w:r>
        <w:rPr>
          <w:rFonts w:ascii="Verdana" w:hAnsi="Verdana"/>
          <w:sz w:val="20"/>
        </w:rPr>
        <w:t>,</w:t>
      </w:r>
      <w:r w:rsidR="007D4E29">
        <w:rPr>
          <w:rFonts w:ascii="Verdana" w:hAnsi="Verdana"/>
          <w:sz w:val="20"/>
        </w:rPr>
        <w:t xml:space="preserve"> </w:t>
      </w:r>
      <w:r w:rsidR="00D2787D">
        <w:rPr>
          <w:rFonts w:ascii="Verdana" w:hAnsi="Verdana"/>
          <w:sz w:val="20"/>
        </w:rPr>
        <w:t xml:space="preserve"> más de </w:t>
      </w:r>
      <w:r w:rsidR="007D4E29">
        <w:rPr>
          <w:rFonts w:ascii="Verdana" w:hAnsi="Verdana"/>
          <w:sz w:val="20"/>
        </w:rPr>
        <w:t>siete</w:t>
      </w:r>
      <w:r w:rsidR="00D2787D">
        <w:rPr>
          <w:rFonts w:ascii="Verdana" w:hAnsi="Verdana"/>
          <w:sz w:val="20"/>
        </w:rPr>
        <w:t xml:space="preserve"> años en el caso </w:t>
      </w:r>
      <w:proofErr w:type="spellStart"/>
      <w:r w:rsidR="00D2787D">
        <w:rPr>
          <w:rFonts w:ascii="Verdana" w:hAnsi="Verdana"/>
          <w:i/>
          <w:sz w:val="20"/>
        </w:rPr>
        <w:t>Sawhoyamaxa</w:t>
      </w:r>
      <w:proofErr w:type="spellEnd"/>
      <w:r>
        <w:rPr>
          <w:rFonts w:ascii="Verdana" w:hAnsi="Verdana"/>
          <w:sz w:val="20"/>
        </w:rPr>
        <w:t xml:space="preserve"> y </w:t>
      </w:r>
      <w:r w:rsidR="00781A18">
        <w:rPr>
          <w:rFonts w:ascii="Verdana" w:hAnsi="Verdana"/>
          <w:sz w:val="20"/>
        </w:rPr>
        <w:t>más de un año y</w:t>
      </w:r>
      <w:r>
        <w:rPr>
          <w:rFonts w:ascii="Verdana" w:hAnsi="Verdana"/>
          <w:sz w:val="20"/>
        </w:rPr>
        <w:t xml:space="preserve"> </w:t>
      </w:r>
      <w:r w:rsidR="00781A18">
        <w:rPr>
          <w:rFonts w:ascii="Verdana" w:hAnsi="Verdana"/>
          <w:sz w:val="20"/>
        </w:rPr>
        <w:t>once</w:t>
      </w:r>
      <w:r w:rsidR="00D2787D">
        <w:rPr>
          <w:rFonts w:ascii="Verdana" w:hAnsi="Verdana"/>
          <w:sz w:val="20"/>
        </w:rPr>
        <w:t xml:space="preserve"> </w:t>
      </w:r>
      <w:r w:rsidR="00781A18">
        <w:rPr>
          <w:rFonts w:ascii="Verdana" w:hAnsi="Verdana"/>
          <w:sz w:val="20"/>
        </w:rPr>
        <w:t>meses</w:t>
      </w:r>
      <w:r w:rsidR="00D2787D">
        <w:rPr>
          <w:rFonts w:ascii="Verdana" w:hAnsi="Verdana"/>
          <w:sz w:val="20"/>
        </w:rPr>
        <w:t xml:space="preserve"> en el caso </w:t>
      </w:r>
      <w:proofErr w:type="spellStart"/>
      <w:r w:rsidR="00D2787D">
        <w:rPr>
          <w:rFonts w:ascii="Verdana" w:hAnsi="Verdana"/>
          <w:i/>
          <w:sz w:val="20"/>
        </w:rPr>
        <w:t>Xákmok</w:t>
      </w:r>
      <w:proofErr w:type="spellEnd"/>
      <w:r w:rsidR="00D2787D">
        <w:rPr>
          <w:rFonts w:ascii="Verdana" w:hAnsi="Verdana"/>
          <w:i/>
          <w:sz w:val="20"/>
        </w:rPr>
        <w:t xml:space="preserve"> </w:t>
      </w:r>
      <w:proofErr w:type="spellStart"/>
      <w:r w:rsidR="00D2787D">
        <w:rPr>
          <w:rFonts w:ascii="Verdana" w:hAnsi="Verdana"/>
          <w:i/>
          <w:sz w:val="20"/>
        </w:rPr>
        <w:t>Kásek</w:t>
      </w:r>
      <w:proofErr w:type="spellEnd"/>
      <w:r>
        <w:rPr>
          <w:rFonts w:ascii="Verdana" w:hAnsi="Verdana"/>
          <w:sz w:val="20"/>
        </w:rPr>
        <w:t>,</w:t>
      </w:r>
      <w:r w:rsidR="00D2787D">
        <w:rPr>
          <w:rFonts w:ascii="Verdana" w:hAnsi="Verdana"/>
          <w:sz w:val="20"/>
        </w:rPr>
        <w:t xml:space="preserve"> desde que se vencieron los plazos para el cumplimiento de las medidas relacionadas a la identificación, entrega y titulación de las tierras tradicionales de las comunidades,</w:t>
      </w:r>
      <w:r>
        <w:rPr>
          <w:rFonts w:ascii="Verdana" w:hAnsi="Verdana"/>
          <w:sz w:val="20"/>
        </w:rPr>
        <w:t xml:space="preserve"> sin que a la fecha se haya garantizado el derecho de propiedad de esas comunidades de la forma ordenada por la Corte Interamericana. Al respecto, </w:t>
      </w:r>
      <w:r w:rsidRPr="007D2674">
        <w:rPr>
          <w:rFonts w:ascii="Verdana" w:hAnsi="Verdana"/>
          <w:sz w:val="20"/>
        </w:rPr>
        <w:t xml:space="preserve">resulta </w:t>
      </w:r>
      <w:r w:rsidR="006A10A4" w:rsidRPr="007D2674">
        <w:rPr>
          <w:rFonts w:ascii="Verdana" w:hAnsi="Verdana"/>
          <w:sz w:val="20"/>
        </w:rPr>
        <w:t xml:space="preserve">relevante reiterar, tal como se indicó en la Resolución de </w:t>
      </w:r>
      <w:r w:rsidRPr="007D2674">
        <w:rPr>
          <w:rFonts w:ascii="Verdana" w:hAnsi="Verdana"/>
          <w:sz w:val="20"/>
        </w:rPr>
        <w:t xml:space="preserve">la Corte de junio de </w:t>
      </w:r>
      <w:r w:rsidR="006A10A4" w:rsidRPr="007D2674">
        <w:rPr>
          <w:rFonts w:ascii="Verdana" w:hAnsi="Verdana"/>
          <w:sz w:val="20"/>
        </w:rPr>
        <w:t>2015</w:t>
      </w:r>
      <w:r w:rsidR="005B643D" w:rsidRPr="007D2674">
        <w:rPr>
          <w:rStyle w:val="Refdenotaalpie"/>
          <w:rFonts w:ascii="Verdana" w:hAnsi="Verdana"/>
          <w:sz w:val="20"/>
        </w:rPr>
        <w:footnoteReference w:id="37"/>
      </w:r>
      <w:r w:rsidR="006A10A4" w:rsidRPr="007D2674">
        <w:rPr>
          <w:rFonts w:ascii="Verdana" w:hAnsi="Verdana"/>
          <w:sz w:val="20"/>
        </w:rPr>
        <w:t>,</w:t>
      </w:r>
      <w:r w:rsidR="006A10A4" w:rsidRPr="005756DD">
        <w:rPr>
          <w:rFonts w:ascii="Verdana" w:hAnsi="Verdana"/>
          <w:sz w:val="20"/>
        </w:rPr>
        <w:t xml:space="preserve"> que el referido retraso en el cumplimiento de las Sentencias </w:t>
      </w:r>
      <w:r w:rsidR="006A10A4" w:rsidRPr="005756DD">
        <w:rPr>
          <w:rFonts w:ascii="Verdana" w:hAnsi="Verdana"/>
          <w:sz w:val="20"/>
          <w:lang w:val="es-ES"/>
        </w:rPr>
        <w:t xml:space="preserve">es </w:t>
      </w:r>
      <w:r w:rsidR="006A10A4" w:rsidRPr="005756DD">
        <w:rPr>
          <w:rFonts w:ascii="Verdana" w:hAnsi="Verdana"/>
          <w:sz w:val="20"/>
          <w:lang w:val="es-CR"/>
        </w:rPr>
        <w:t>especialmente</w:t>
      </w:r>
      <w:r w:rsidR="006A10A4" w:rsidRPr="005756DD">
        <w:rPr>
          <w:rFonts w:ascii="Verdana" w:hAnsi="Verdana"/>
          <w:sz w:val="20"/>
          <w:lang w:val="es-ES"/>
        </w:rPr>
        <w:t xml:space="preserve"> preocupante teniendo en cuenta las manifestaciones efectuadas por los líderes de las comunidades indígenas en la audiencia celebrada en mayo de 2014</w:t>
      </w:r>
      <w:r w:rsidR="006A10A4">
        <w:rPr>
          <w:rStyle w:val="Refdenotaalpie"/>
          <w:rFonts w:ascii="Verdana" w:hAnsi="Verdana"/>
          <w:sz w:val="20"/>
          <w:lang w:val="es-ES"/>
        </w:rPr>
        <w:footnoteReference w:id="38"/>
      </w:r>
      <w:r w:rsidR="006A10A4" w:rsidRPr="005756DD">
        <w:rPr>
          <w:rFonts w:ascii="Verdana" w:hAnsi="Verdana"/>
          <w:sz w:val="20"/>
          <w:lang w:val="es-ES"/>
        </w:rPr>
        <w:t xml:space="preserve"> y </w:t>
      </w:r>
      <w:r w:rsidR="00E42BD9">
        <w:rPr>
          <w:rFonts w:ascii="Verdana" w:hAnsi="Verdana"/>
          <w:sz w:val="20"/>
          <w:lang w:val="es-ES"/>
        </w:rPr>
        <w:t>tomando en consideración</w:t>
      </w:r>
      <w:r w:rsidR="006A10A4" w:rsidRPr="005756DD">
        <w:rPr>
          <w:rFonts w:ascii="Verdana" w:hAnsi="Verdana"/>
          <w:sz w:val="20"/>
          <w:lang w:val="es-ES"/>
        </w:rPr>
        <w:t xml:space="preserve"> las demás afectaciones que se producen en los miembros de las comunidades indígenas como consecuencia de la falta de garantía de su derecho a la propiedad comunal debido a </w:t>
      </w:r>
      <w:r w:rsidR="006A10A4" w:rsidRPr="005756DD">
        <w:rPr>
          <w:rFonts w:ascii="Verdana" w:hAnsi="Verdana"/>
          <w:sz w:val="20"/>
          <w:lang w:val="es-EC"/>
        </w:rPr>
        <w:t>la estrecha relación que los indígenas mantienen con sus tierras y recursos naturales</w:t>
      </w:r>
      <w:r w:rsidR="006A10A4">
        <w:rPr>
          <w:rStyle w:val="Refdenotaalpie"/>
          <w:rFonts w:ascii="Verdana" w:hAnsi="Verdana"/>
          <w:sz w:val="20"/>
          <w:lang w:val="es-EC"/>
        </w:rPr>
        <w:footnoteReference w:id="39"/>
      </w:r>
      <w:r w:rsidR="006A10A4" w:rsidRPr="005756DD">
        <w:rPr>
          <w:rFonts w:ascii="Verdana" w:hAnsi="Verdana"/>
          <w:sz w:val="20"/>
          <w:lang w:val="es-EC"/>
        </w:rPr>
        <w:t>.</w:t>
      </w:r>
      <w:bookmarkEnd w:id="21"/>
      <w:r w:rsidR="006A10A4" w:rsidRPr="005756DD">
        <w:rPr>
          <w:rFonts w:ascii="Times New Roman" w:hAnsi="Times New Roman"/>
          <w:szCs w:val="24"/>
          <w:lang w:val="es-CR" w:eastAsia="es-CR"/>
        </w:rPr>
        <w:t xml:space="preserve"> </w:t>
      </w:r>
    </w:p>
    <w:p w:rsidR="006A10A4" w:rsidRDefault="006A10A4" w:rsidP="006A10A4">
      <w:pPr>
        <w:ind w:right="4"/>
        <w:jc w:val="both"/>
        <w:rPr>
          <w:rFonts w:ascii="Verdana" w:hAnsi="Verdana"/>
          <w:sz w:val="20"/>
        </w:rPr>
      </w:pPr>
    </w:p>
    <w:p w:rsidR="005756DD" w:rsidRDefault="008D3E10" w:rsidP="005756DD">
      <w:pPr>
        <w:numPr>
          <w:ilvl w:val="0"/>
          <w:numId w:val="4"/>
        </w:numPr>
        <w:ind w:left="0" w:right="4" w:firstLine="0"/>
        <w:jc w:val="both"/>
        <w:rPr>
          <w:rFonts w:ascii="Verdana" w:hAnsi="Verdana"/>
          <w:sz w:val="20"/>
        </w:rPr>
      </w:pPr>
      <w:bookmarkStart w:id="22" w:name="_Ref456959258"/>
      <w:r w:rsidRPr="00C21752">
        <w:rPr>
          <w:rFonts w:ascii="Verdana" w:hAnsi="Verdana"/>
          <w:sz w:val="20"/>
        </w:rPr>
        <w:t xml:space="preserve">Ante tal panorama de </w:t>
      </w:r>
      <w:r w:rsidR="00781A18">
        <w:rPr>
          <w:rFonts w:ascii="Verdana" w:hAnsi="Verdana"/>
          <w:sz w:val="20"/>
        </w:rPr>
        <w:t xml:space="preserve">posible </w:t>
      </w:r>
      <w:r w:rsidRPr="00C21752">
        <w:rPr>
          <w:rFonts w:ascii="Verdana" w:hAnsi="Verdana"/>
          <w:sz w:val="20"/>
        </w:rPr>
        <w:t>incumplimiento</w:t>
      </w:r>
      <w:r w:rsidR="00AC6A7D" w:rsidRPr="00C21752">
        <w:rPr>
          <w:rFonts w:ascii="Verdana" w:hAnsi="Verdana"/>
          <w:sz w:val="20"/>
        </w:rPr>
        <w:t xml:space="preserve"> </w:t>
      </w:r>
      <w:r w:rsidR="005756DD" w:rsidRPr="00C21752">
        <w:rPr>
          <w:rFonts w:ascii="Verdana" w:hAnsi="Verdana"/>
          <w:sz w:val="20"/>
        </w:rPr>
        <w:t xml:space="preserve">y </w:t>
      </w:r>
      <w:r w:rsidR="005756DD" w:rsidRPr="00C21752">
        <w:rPr>
          <w:rFonts w:ascii="Verdana" w:hAnsi="Verdana"/>
          <w:sz w:val="20"/>
          <w:lang w:val="es-ES"/>
        </w:rPr>
        <w:t xml:space="preserve">la necesidad de </w:t>
      </w:r>
      <w:r w:rsidR="00681EB2">
        <w:rPr>
          <w:rFonts w:ascii="Verdana" w:hAnsi="Verdana"/>
          <w:sz w:val="20"/>
          <w:lang w:val="es-ES"/>
        </w:rPr>
        <w:t xml:space="preserve">recibir </w:t>
      </w:r>
      <w:r w:rsidR="003C40FD" w:rsidRPr="00C21752">
        <w:rPr>
          <w:rFonts w:ascii="Verdana" w:hAnsi="Verdana"/>
          <w:sz w:val="20"/>
          <w:lang w:val="es-ES"/>
        </w:rPr>
        <w:t xml:space="preserve">información de forma directa </w:t>
      </w:r>
      <w:r w:rsidR="005756DD" w:rsidRPr="00C21752">
        <w:rPr>
          <w:rFonts w:ascii="Verdana" w:hAnsi="Verdana"/>
          <w:sz w:val="20"/>
          <w:lang w:val="es-ES"/>
        </w:rPr>
        <w:t xml:space="preserve">sobre el grado de cumplimiento de las reparaciones </w:t>
      </w:r>
      <w:r w:rsidR="00D2787D">
        <w:rPr>
          <w:rFonts w:ascii="Verdana" w:hAnsi="Verdana"/>
          <w:sz w:val="20"/>
          <w:lang w:val="es-ES"/>
        </w:rPr>
        <w:t>indicadas en la presente Resolución</w:t>
      </w:r>
      <w:r w:rsidR="005756DD" w:rsidRPr="00C21752">
        <w:rPr>
          <w:rFonts w:ascii="Verdana" w:hAnsi="Verdana"/>
          <w:sz w:val="20"/>
          <w:lang w:val="es-ES"/>
        </w:rPr>
        <w:t xml:space="preserve"> (</w:t>
      </w:r>
      <w:r w:rsidR="005756DD" w:rsidRPr="00C21752">
        <w:rPr>
          <w:rFonts w:ascii="Verdana" w:hAnsi="Verdana"/>
          <w:i/>
          <w:sz w:val="20"/>
          <w:lang w:val="es-ES"/>
        </w:rPr>
        <w:t>supra</w:t>
      </w:r>
      <w:r w:rsidR="005756DD" w:rsidRPr="00C21752">
        <w:rPr>
          <w:rFonts w:ascii="Verdana" w:hAnsi="Verdana"/>
          <w:sz w:val="20"/>
          <w:lang w:val="es-ES"/>
        </w:rPr>
        <w:t xml:space="preserve"> Considerando</w:t>
      </w:r>
      <w:r w:rsidR="00BB61E1">
        <w:rPr>
          <w:rFonts w:ascii="Verdana" w:hAnsi="Verdana"/>
          <w:sz w:val="20"/>
          <w:lang w:val="es-ES"/>
        </w:rPr>
        <w:t>s</w:t>
      </w:r>
      <w:r w:rsidR="005756DD" w:rsidRPr="00C21752">
        <w:rPr>
          <w:rFonts w:ascii="Verdana" w:hAnsi="Verdana"/>
          <w:sz w:val="20"/>
          <w:lang w:val="es-ES"/>
        </w:rPr>
        <w:t xml:space="preserve"> </w:t>
      </w:r>
      <w:r w:rsidR="00BB61E1">
        <w:rPr>
          <w:rFonts w:ascii="Verdana" w:hAnsi="Verdana"/>
          <w:sz w:val="20"/>
          <w:lang w:val="es-ES"/>
        </w:rPr>
        <w:fldChar w:fldCharType="begin"/>
      </w:r>
      <w:r w:rsidR="00BB61E1">
        <w:rPr>
          <w:rFonts w:ascii="Verdana" w:hAnsi="Verdana"/>
          <w:sz w:val="20"/>
          <w:lang w:val="es-ES"/>
        </w:rPr>
        <w:instrText xml:space="preserve"> REF _Ref456707808 \r \h </w:instrText>
      </w:r>
      <w:r w:rsidR="00BB61E1">
        <w:rPr>
          <w:rFonts w:ascii="Verdana" w:hAnsi="Verdana"/>
          <w:sz w:val="20"/>
          <w:lang w:val="es-ES"/>
        </w:rPr>
      </w:r>
      <w:r w:rsidR="00BB61E1">
        <w:rPr>
          <w:rFonts w:ascii="Verdana" w:hAnsi="Verdana"/>
          <w:sz w:val="20"/>
          <w:lang w:val="es-ES"/>
        </w:rPr>
        <w:fldChar w:fldCharType="separate"/>
      </w:r>
      <w:r w:rsidR="00717A33">
        <w:rPr>
          <w:rFonts w:ascii="Verdana" w:hAnsi="Verdana"/>
          <w:sz w:val="20"/>
          <w:lang w:val="es-ES"/>
        </w:rPr>
        <w:t>1</w:t>
      </w:r>
      <w:r w:rsidR="00BB61E1">
        <w:rPr>
          <w:rFonts w:ascii="Verdana" w:hAnsi="Verdana"/>
          <w:sz w:val="20"/>
          <w:lang w:val="es-ES"/>
        </w:rPr>
        <w:fldChar w:fldCharType="end"/>
      </w:r>
      <w:r w:rsidR="006C1A66">
        <w:rPr>
          <w:rFonts w:ascii="Verdana" w:hAnsi="Verdana"/>
          <w:sz w:val="20"/>
          <w:lang w:val="es-ES"/>
        </w:rPr>
        <w:t xml:space="preserve"> y </w:t>
      </w:r>
      <w:r w:rsidR="00E01505">
        <w:rPr>
          <w:rFonts w:ascii="Verdana" w:hAnsi="Verdana"/>
          <w:sz w:val="20"/>
          <w:lang w:val="es-ES"/>
        </w:rPr>
        <w:fldChar w:fldCharType="begin"/>
      </w:r>
      <w:r w:rsidR="00E01505">
        <w:rPr>
          <w:rFonts w:ascii="Verdana" w:hAnsi="Verdana"/>
          <w:sz w:val="20"/>
          <w:lang w:val="es-ES"/>
        </w:rPr>
        <w:instrText xml:space="preserve"> REF _Ref456707949 \r \h </w:instrText>
      </w:r>
      <w:r w:rsidR="00E01505">
        <w:rPr>
          <w:rFonts w:ascii="Verdana" w:hAnsi="Verdana"/>
          <w:sz w:val="20"/>
          <w:lang w:val="es-ES"/>
        </w:rPr>
      </w:r>
      <w:r w:rsidR="00E01505">
        <w:rPr>
          <w:rFonts w:ascii="Verdana" w:hAnsi="Verdana"/>
          <w:sz w:val="20"/>
          <w:lang w:val="es-ES"/>
        </w:rPr>
        <w:fldChar w:fldCharType="separate"/>
      </w:r>
      <w:r w:rsidR="00717A33">
        <w:rPr>
          <w:rFonts w:ascii="Verdana" w:hAnsi="Verdana"/>
          <w:sz w:val="20"/>
          <w:lang w:val="es-ES"/>
        </w:rPr>
        <w:t>4</w:t>
      </w:r>
      <w:r w:rsidR="00E01505">
        <w:rPr>
          <w:rFonts w:ascii="Verdana" w:hAnsi="Verdana"/>
          <w:sz w:val="20"/>
          <w:lang w:val="es-ES"/>
        </w:rPr>
        <w:fldChar w:fldCharType="end"/>
      </w:r>
      <w:r w:rsidR="006C1A66">
        <w:rPr>
          <w:rFonts w:ascii="Verdana" w:hAnsi="Verdana"/>
          <w:sz w:val="20"/>
          <w:lang w:val="es-ES"/>
        </w:rPr>
        <w:t xml:space="preserve"> a</w:t>
      </w:r>
      <w:r w:rsidR="00781A18">
        <w:rPr>
          <w:rFonts w:ascii="Verdana" w:hAnsi="Verdana"/>
          <w:sz w:val="20"/>
          <w:lang w:val="es-ES"/>
        </w:rPr>
        <w:t xml:space="preserve"> </w:t>
      </w:r>
      <w:r w:rsidR="00781A18">
        <w:rPr>
          <w:rFonts w:ascii="Verdana" w:hAnsi="Verdana"/>
          <w:sz w:val="20"/>
          <w:lang w:val="es-ES"/>
        </w:rPr>
        <w:fldChar w:fldCharType="begin"/>
      </w:r>
      <w:r w:rsidR="00781A18">
        <w:rPr>
          <w:rFonts w:ascii="Verdana" w:hAnsi="Verdana"/>
          <w:sz w:val="20"/>
          <w:lang w:val="es-ES"/>
        </w:rPr>
        <w:instrText xml:space="preserve"> REF _Ref460872546 \r \h </w:instrText>
      </w:r>
      <w:r w:rsidR="00781A18">
        <w:rPr>
          <w:rFonts w:ascii="Verdana" w:hAnsi="Verdana"/>
          <w:sz w:val="20"/>
          <w:lang w:val="es-ES"/>
        </w:rPr>
      </w:r>
      <w:r w:rsidR="00781A18">
        <w:rPr>
          <w:rFonts w:ascii="Verdana" w:hAnsi="Verdana"/>
          <w:sz w:val="20"/>
          <w:lang w:val="es-ES"/>
        </w:rPr>
        <w:fldChar w:fldCharType="separate"/>
      </w:r>
      <w:r w:rsidR="00717A33">
        <w:rPr>
          <w:rFonts w:ascii="Verdana" w:hAnsi="Verdana"/>
          <w:sz w:val="20"/>
          <w:lang w:val="es-ES"/>
        </w:rPr>
        <w:t>16</w:t>
      </w:r>
      <w:r w:rsidR="00781A18">
        <w:rPr>
          <w:rFonts w:ascii="Verdana" w:hAnsi="Verdana"/>
          <w:sz w:val="20"/>
          <w:lang w:val="es-ES"/>
        </w:rPr>
        <w:fldChar w:fldCharType="end"/>
      </w:r>
      <w:r w:rsidR="005756DD" w:rsidRPr="00C21752">
        <w:rPr>
          <w:rFonts w:ascii="Verdana" w:hAnsi="Verdana"/>
          <w:sz w:val="20"/>
          <w:lang w:val="es-ES"/>
        </w:rPr>
        <w:t>),</w:t>
      </w:r>
      <w:r w:rsidR="005756DD" w:rsidRPr="00C21752">
        <w:rPr>
          <w:rFonts w:ascii="Verdana" w:hAnsi="Verdana"/>
          <w:sz w:val="20"/>
        </w:rPr>
        <w:t xml:space="preserve"> el Presidente de la Corte considera </w:t>
      </w:r>
      <w:r w:rsidR="00AC6A7D" w:rsidRPr="00C21752">
        <w:rPr>
          <w:rFonts w:ascii="Verdana" w:hAnsi="Verdana"/>
          <w:sz w:val="20"/>
        </w:rPr>
        <w:t>necesario</w:t>
      </w:r>
      <w:r w:rsidR="005756DD" w:rsidRPr="00C21752">
        <w:rPr>
          <w:rFonts w:ascii="Verdana" w:hAnsi="Verdana"/>
          <w:sz w:val="20"/>
        </w:rPr>
        <w:t xml:space="preserve"> disponer, con base en el artículo 69 del Reglamento de la Corte y el punto resolutivo séptimo de la Resolución de 2015</w:t>
      </w:r>
      <w:r w:rsidR="00CF129C" w:rsidRPr="00C21752">
        <w:rPr>
          <w:rFonts w:ascii="Verdana" w:hAnsi="Verdana"/>
          <w:sz w:val="20"/>
        </w:rPr>
        <w:t xml:space="preserve"> (</w:t>
      </w:r>
      <w:r w:rsidR="00CF129C" w:rsidRPr="00C21752">
        <w:rPr>
          <w:rFonts w:ascii="Verdana" w:hAnsi="Verdana"/>
          <w:i/>
          <w:sz w:val="20"/>
        </w:rPr>
        <w:t>supra</w:t>
      </w:r>
      <w:r w:rsidR="00CF129C" w:rsidRPr="00C21752">
        <w:rPr>
          <w:rFonts w:ascii="Verdana" w:hAnsi="Verdana"/>
          <w:sz w:val="20"/>
        </w:rPr>
        <w:t xml:space="preserve"> Considerando </w:t>
      </w:r>
      <w:r w:rsidR="00BB61E1">
        <w:rPr>
          <w:rFonts w:ascii="Verdana" w:hAnsi="Verdana"/>
          <w:sz w:val="20"/>
        </w:rPr>
        <w:fldChar w:fldCharType="begin"/>
      </w:r>
      <w:r w:rsidR="00BB61E1">
        <w:rPr>
          <w:rFonts w:ascii="Verdana" w:hAnsi="Verdana"/>
          <w:sz w:val="20"/>
        </w:rPr>
        <w:instrText xml:space="preserve"> REF _Ref456707808 \r \h </w:instrText>
      </w:r>
      <w:r w:rsidR="00BB61E1">
        <w:rPr>
          <w:rFonts w:ascii="Verdana" w:hAnsi="Verdana"/>
          <w:sz w:val="20"/>
        </w:rPr>
      </w:r>
      <w:r w:rsidR="00BB61E1">
        <w:rPr>
          <w:rFonts w:ascii="Verdana" w:hAnsi="Verdana"/>
          <w:sz w:val="20"/>
        </w:rPr>
        <w:fldChar w:fldCharType="separate"/>
      </w:r>
      <w:r w:rsidR="00717A33">
        <w:rPr>
          <w:rFonts w:ascii="Verdana" w:hAnsi="Verdana"/>
          <w:sz w:val="20"/>
        </w:rPr>
        <w:t>1</w:t>
      </w:r>
      <w:r w:rsidR="00BB61E1">
        <w:rPr>
          <w:rFonts w:ascii="Verdana" w:hAnsi="Verdana"/>
          <w:sz w:val="20"/>
        </w:rPr>
        <w:fldChar w:fldCharType="end"/>
      </w:r>
      <w:r w:rsidR="00CF129C" w:rsidRPr="00C21752">
        <w:rPr>
          <w:rFonts w:ascii="Verdana" w:hAnsi="Verdana"/>
          <w:sz w:val="20"/>
        </w:rPr>
        <w:t>)</w:t>
      </w:r>
      <w:r w:rsidR="005756DD" w:rsidRPr="00C21752">
        <w:rPr>
          <w:rFonts w:ascii="Verdana" w:hAnsi="Verdana"/>
          <w:sz w:val="20"/>
        </w:rPr>
        <w:t>, que</w:t>
      </w:r>
      <w:r w:rsidR="00AC6A7D" w:rsidRPr="00C21752">
        <w:rPr>
          <w:rFonts w:ascii="Verdana" w:hAnsi="Verdana"/>
          <w:sz w:val="20"/>
        </w:rPr>
        <w:t xml:space="preserve"> el Secretario del Tribunal </w:t>
      </w:r>
      <w:r w:rsidR="005756DD" w:rsidRPr="00C21752">
        <w:rPr>
          <w:rFonts w:ascii="Verdana" w:hAnsi="Verdana"/>
          <w:sz w:val="20"/>
        </w:rPr>
        <w:t xml:space="preserve">inicie las gestiones dirigidas a coordinar con Paraguay la </w:t>
      </w:r>
      <w:r w:rsidR="00AC6A7D" w:rsidRPr="00C21752">
        <w:rPr>
          <w:rFonts w:ascii="Verdana" w:hAnsi="Verdana"/>
          <w:sz w:val="20"/>
        </w:rPr>
        <w:t xml:space="preserve">posibilidad de </w:t>
      </w:r>
      <w:r w:rsidR="005756DD" w:rsidRPr="00C21752">
        <w:rPr>
          <w:rFonts w:ascii="Verdana" w:hAnsi="Verdana"/>
          <w:sz w:val="20"/>
        </w:rPr>
        <w:t>realiza</w:t>
      </w:r>
      <w:r w:rsidR="00AC6A7D" w:rsidRPr="00C21752">
        <w:rPr>
          <w:rFonts w:ascii="Verdana" w:hAnsi="Verdana"/>
          <w:sz w:val="20"/>
        </w:rPr>
        <w:t>r</w:t>
      </w:r>
      <w:r w:rsidR="005756DD" w:rsidRPr="00C21752">
        <w:rPr>
          <w:rFonts w:ascii="Verdana" w:hAnsi="Verdana"/>
          <w:sz w:val="20"/>
        </w:rPr>
        <w:t xml:space="preserve"> una </w:t>
      </w:r>
      <w:r w:rsidR="00860364">
        <w:rPr>
          <w:rFonts w:ascii="Verdana" w:hAnsi="Verdana"/>
          <w:sz w:val="20"/>
        </w:rPr>
        <w:t xml:space="preserve">visita </w:t>
      </w:r>
      <w:r w:rsidR="005756DD" w:rsidRPr="00C21752">
        <w:rPr>
          <w:rFonts w:ascii="Verdana" w:hAnsi="Verdana"/>
          <w:sz w:val="20"/>
        </w:rPr>
        <w:t xml:space="preserve">a dicho país </w:t>
      </w:r>
      <w:r w:rsidR="000B145D" w:rsidRPr="00C21752">
        <w:rPr>
          <w:rFonts w:ascii="Verdana" w:hAnsi="Verdana"/>
          <w:sz w:val="20"/>
        </w:rPr>
        <w:t>con el fin de</w:t>
      </w:r>
      <w:r w:rsidR="005756DD" w:rsidRPr="00C21752">
        <w:rPr>
          <w:rFonts w:ascii="Verdana" w:hAnsi="Verdana"/>
          <w:sz w:val="20"/>
        </w:rPr>
        <w:t xml:space="preserve"> </w:t>
      </w:r>
      <w:r w:rsidR="005756DD" w:rsidRPr="00C21752">
        <w:rPr>
          <w:rFonts w:ascii="Verdana" w:hAnsi="Verdana"/>
          <w:sz w:val="20"/>
          <w:lang w:val="es-CR"/>
        </w:rPr>
        <w:t xml:space="preserve">obtener información relevante </w:t>
      </w:r>
      <w:r w:rsidR="004A5B24">
        <w:rPr>
          <w:rFonts w:ascii="Verdana" w:hAnsi="Verdana"/>
          <w:sz w:val="20"/>
          <w:lang w:val="es-CR"/>
        </w:rPr>
        <w:t xml:space="preserve">y precisa </w:t>
      </w:r>
      <w:r w:rsidR="005756DD" w:rsidRPr="00C21752">
        <w:rPr>
          <w:rFonts w:ascii="Verdana" w:hAnsi="Verdana"/>
          <w:sz w:val="20"/>
          <w:lang w:val="es-CR"/>
        </w:rPr>
        <w:t>para supervisar el cumplimiento de la</w:t>
      </w:r>
      <w:r w:rsidR="000B145D" w:rsidRPr="00C21752">
        <w:rPr>
          <w:rFonts w:ascii="Verdana" w:hAnsi="Verdana"/>
          <w:sz w:val="20"/>
          <w:lang w:val="es-CR"/>
        </w:rPr>
        <w:t xml:space="preserve">s medidas de reparación </w:t>
      </w:r>
      <w:r w:rsidR="005B643D">
        <w:rPr>
          <w:rFonts w:ascii="Verdana" w:hAnsi="Verdana"/>
          <w:sz w:val="20"/>
          <w:lang w:val="es-CR"/>
        </w:rPr>
        <w:t>pendientes</w:t>
      </w:r>
      <w:r w:rsidR="006442D1">
        <w:rPr>
          <w:rFonts w:ascii="Verdana" w:hAnsi="Verdana"/>
          <w:sz w:val="20"/>
          <w:lang w:val="es-CR"/>
        </w:rPr>
        <w:t>, particularmente las relativas a garantizar el derecho de propiedad comunal</w:t>
      </w:r>
      <w:r w:rsidR="005756DD" w:rsidRPr="00C21752">
        <w:rPr>
          <w:rFonts w:ascii="Verdana" w:hAnsi="Verdana"/>
          <w:sz w:val="20"/>
          <w:lang w:val="es-CR"/>
        </w:rPr>
        <w:t xml:space="preserve">. </w:t>
      </w:r>
      <w:r w:rsidR="00AC6A7D" w:rsidRPr="00C21752">
        <w:rPr>
          <w:rFonts w:ascii="Verdana" w:hAnsi="Verdana"/>
          <w:sz w:val="20"/>
          <w:lang w:val="es-CR"/>
        </w:rPr>
        <w:t>De concretarse tal conse</w:t>
      </w:r>
      <w:r w:rsidR="00C21752" w:rsidRPr="00C21752">
        <w:rPr>
          <w:rFonts w:ascii="Verdana" w:hAnsi="Verdana"/>
          <w:sz w:val="20"/>
          <w:lang w:val="es-CR"/>
        </w:rPr>
        <w:t>n</w:t>
      </w:r>
      <w:r w:rsidR="00AC6A7D" w:rsidRPr="00C21752">
        <w:rPr>
          <w:rFonts w:ascii="Verdana" w:hAnsi="Verdana"/>
          <w:sz w:val="20"/>
          <w:lang w:val="es-CR"/>
        </w:rPr>
        <w:t xml:space="preserve">timiento y coordinación con el Estado, </w:t>
      </w:r>
      <w:r w:rsidR="005756DD" w:rsidRPr="00C21752">
        <w:rPr>
          <w:rFonts w:ascii="Verdana" w:hAnsi="Verdana"/>
          <w:sz w:val="20"/>
        </w:rPr>
        <w:t xml:space="preserve">el Presidente </w:t>
      </w:r>
      <w:r w:rsidR="00681EB2">
        <w:rPr>
          <w:rFonts w:ascii="Verdana" w:hAnsi="Verdana"/>
          <w:sz w:val="20"/>
        </w:rPr>
        <w:t xml:space="preserve">podrá </w:t>
      </w:r>
      <w:r w:rsidR="00FE074B">
        <w:rPr>
          <w:rFonts w:ascii="Verdana" w:hAnsi="Verdana"/>
          <w:sz w:val="20"/>
        </w:rPr>
        <w:t>practicar</w:t>
      </w:r>
      <w:r w:rsidR="00681EB2">
        <w:rPr>
          <w:rFonts w:ascii="Verdana" w:hAnsi="Verdana"/>
          <w:sz w:val="20"/>
        </w:rPr>
        <w:t xml:space="preserve"> </w:t>
      </w:r>
      <w:r w:rsidR="00681EB2" w:rsidRPr="00C21752">
        <w:rPr>
          <w:rFonts w:ascii="Verdana" w:hAnsi="Verdana"/>
          <w:sz w:val="20"/>
        </w:rPr>
        <w:t>tal diligencia en materia de supervisión de cumplimiento de Sentencias</w:t>
      </w:r>
      <w:r w:rsidR="00681EB2">
        <w:rPr>
          <w:rFonts w:ascii="Verdana" w:hAnsi="Verdana"/>
          <w:sz w:val="20"/>
        </w:rPr>
        <w:t xml:space="preserve"> o </w:t>
      </w:r>
      <w:r w:rsidR="005756DD" w:rsidRPr="00C21752">
        <w:rPr>
          <w:rFonts w:ascii="Verdana" w:hAnsi="Verdana"/>
          <w:sz w:val="20"/>
        </w:rPr>
        <w:t xml:space="preserve">delegar a uno o más jueces de la Corte o funcionarios de la Secretaría para que </w:t>
      </w:r>
      <w:r w:rsidR="00681EB2">
        <w:rPr>
          <w:rFonts w:ascii="Verdana" w:hAnsi="Verdana"/>
          <w:sz w:val="20"/>
        </w:rPr>
        <w:t xml:space="preserve">la </w:t>
      </w:r>
      <w:r w:rsidR="00AC6A7D" w:rsidRPr="00C21752">
        <w:rPr>
          <w:rFonts w:ascii="Verdana" w:hAnsi="Verdana"/>
          <w:sz w:val="20"/>
        </w:rPr>
        <w:t>efectúen.</w:t>
      </w:r>
      <w:bookmarkEnd w:id="22"/>
      <w:r w:rsidR="00AC6A7D" w:rsidRPr="00C21752">
        <w:rPr>
          <w:rFonts w:ascii="Verdana" w:hAnsi="Verdana"/>
          <w:sz w:val="20"/>
        </w:rPr>
        <w:t xml:space="preserve"> </w:t>
      </w:r>
    </w:p>
    <w:p w:rsidR="00C21752" w:rsidRDefault="00C21752" w:rsidP="00C21752">
      <w:pPr>
        <w:ind w:right="4"/>
        <w:jc w:val="both"/>
        <w:rPr>
          <w:rFonts w:ascii="Verdana" w:hAnsi="Verdana"/>
          <w:sz w:val="20"/>
        </w:rPr>
      </w:pPr>
    </w:p>
    <w:p w:rsidR="005756DD" w:rsidRDefault="005756DD" w:rsidP="00FD55B1">
      <w:pPr>
        <w:numPr>
          <w:ilvl w:val="0"/>
          <w:numId w:val="4"/>
        </w:numPr>
        <w:ind w:left="0" w:right="4" w:firstLine="0"/>
        <w:jc w:val="both"/>
        <w:rPr>
          <w:rFonts w:ascii="Verdana" w:hAnsi="Verdana"/>
          <w:sz w:val="20"/>
        </w:rPr>
      </w:pPr>
      <w:r>
        <w:rPr>
          <w:rFonts w:ascii="Verdana" w:hAnsi="Verdana"/>
          <w:sz w:val="20"/>
        </w:rPr>
        <w:t>Sobre este punto, el Presidente</w:t>
      </w:r>
      <w:r w:rsidR="008B25E2">
        <w:rPr>
          <w:rFonts w:ascii="Verdana" w:hAnsi="Verdana"/>
          <w:sz w:val="20"/>
        </w:rPr>
        <w:t xml:space="preserve"> </w:t>
      </w:r>
      <w:r>
        <w:rPr>
          <w:rFonts w:ascii="Verdana" w:hAnsi="Verdana"/>
          <w:sz w:val="20"/>
        </w:rPr>
        <w:t xml:space="preserve">tomará las decisiones que correspondan, de conformidad con las normas previstas en el Reglamento del Tribunal. </w:t>
      </w:r>
    </w:p>
    <w:p w:rsidR="008F1212" w:rsidRDefault="008F1212" w:rsidP="005756DD">
      <w:pPr>
        <w:ind w:right="4"/>
        <w:jc w:val="both"/>
        <w:rPr>
          <w:rFonts w:ascii="Verdana" w:hAnsi="Verdana"/>
          <w:sz w:val="20"/>
        </w:rPr>
      </w:pPr>
    </w:p>
    <w:p w:rsidR="004F6579" w:rsidRDefault="004F6579" w:rsidP="005756DD">
      <w:pPr>
        <w:ind w:right="4"/>
        <w:jc w:val="both"/>
        <w:rPr>
          <w:rFonts w:ascii="Verdana" w:hAnsi="Verdana"/>
          <w:sz w:val="20"/>
        </w:rPr>
      </w:pPr>
    </w:p>
    <w:p w:rsidR="005756DD" w:rsidRDefault="005756DD" w:rsidP="005756DD">
      <w:pPr>
        <w:tabs>
          <w:tab w:val="left" w:pos="567"/>
          <w:tab w:val="left" w:pos="680"/>
        </w:tabs>
        <w:jc w:val="both"/>
        <w:rPr>
          <w:rFonts w:ascii="Verdana" w:hAnsi="Verdana"/>
          <w:b/>
          <w:spacing w:val="-4"/>
          <w:sz w:val="20"/>
          <w:lang w:val="es-MX"/>
        </w:rPr>
      </w:pPr>
      <w:r>
        <w:rPr>
          <w:rFonts w:ascii="Verdana" w:hAnsi="Verdana"/>
          <w:b/>
          <w:spacing w:val="-4"/>
          <w:sz w:val="20"/>
          <w:lang w:val="es-MX"/>
        </w:rPr>
        <w:t>POR TANTO:</w:t>
      </w:r>
    </w:p>
    <w:p w:rsidR="008F1212" w:rsidRDefault="008F1212" w:rsidP="005756DD">
      <w:pPr>
        <w:tabs>
          <w:tab w:val="left" w:pos="567"/>
          <w:tab w:val="left" w:pos="680"/>
        </w:tabs>
        <w:jc w:val="both"/>
        <w:rPr>
          <w:rFonts w:ascii="Verdana" w:hAnsi="Verdana"/>
          <w:b/>
          <w:spacing w:val="-4"/>
          <w:sz w:val="20"/>
          <w:lang w:val="es-MX"/>
        </w:rPr>
      </w:pPr>
    </w:p>
    <w:p w:rsidR="005756DD" w:rsidRDefault="005756DD" w:rsidP="005756DD">
      <w:pPr>
        <w:tabs>
          <w:tab w:val="left" w:pos="567"/>
        </w:tabs>
        <w:ind w:right="22"/>
        <w:jc w:val="both"/>
        <w:rPr>
          <w:rFonts w:ascii="Verdana" w:hAnsi="Verdana"/>
          <w:b/>
          <w:spacing w:val="-4"/>
          <w:sz w:val="20"/>
          <w:lang w:val="es-MX"/>
        </w:rPr>
      </w:pPr>
      <w:r>
        <w:rPr>
          <w:rFonts w:ascii="Verdana" w:hAnsi="Verdana"/>
          <w:b/>
          <w:spacing w:val="-4"/>
          <w:sz w:val="20"/>
          <w:lang w:val="es-MX"/>
        </w:rPr>
        <w:t>EL PRESIDENTE DE LA CORTE INTERAMERICANA DE DERECHOS HUMANOS,</w:t>
      </w:r>
    </w:p>
    <w:p w:rsidR="008F1212" w:rsidRDefault="008F1212" w:rsidP="005756DD">
      <w:pPr>
        <w:ind w:right="4"/>
        <w:jc w:val="both"/>
        <w:rPr>
          <w:rFonts w:ascii="Verdana" w:hAnsi="Verdana"/>
          <w:sz w:val="20"/>
          <w:lang w:val="es-MX"/>
        </w:rPr>
      </w:pPr>
    </w:p>
    <w:p w:rsidR="005756DD" w:rsidRDefault="005756DD" w:rsidP="005756DD">
      <w:pPr>
        <w:ind w:right="4"/>
        <w:jc w:val="both"/>
        <w:rPr>
          <w:rFonts w:ascii="Verdana" w:hAnsi="Verdana"/>
          <w:sz w:val="20"/>
          <w:lang w:val="es-MX"/>
        </w:rPr>
      </w:pPr>
      <w:r>
        <w:rPr>
          <w:rFonts w:ascii="Verdana" w:hAnsi="Verdana"/>
          <w:sz w:val="20"/>
          <w:lang w:val="es-MX"/>
        </w:rPr>
        <w:t xml:space="preserve">En </w:t>
      </w:r>
      <w:r w:rsidR="00CD664D">
        <w:rPr>
          <w:rFonts w:ascii="Verdana" w:hAnsi="Verdana"/>
          <w:sz w:val="20"/>
          <w:lang w:val="es-MX"/>
        </w:rPr>
        <w:t xml:space="preserve">el </w:t>
      </w:r>
      <w:r>
        <w:rPr>
          <w:rFonts w:ascii="Verdana" w:hAnsi="Verdana"/>
          <w:sz w:val="20"/>
          <w:lang w:val="es-MX"/>
        </w:rPr>
        <w:t>uso de las atribuciones que le confiere el</w:t>
      </w:r>
      <w:r w:rsidR="00CD664D">
        <w:rPr>
          <w:rFonts w:ascii="Verdana" w:hAnsi="Verdana"/>
          <w:sz w:val="20"/>
          <w:lang w:val="es-MX"/>
        </w:rPr>
        <w:t xml:space="preserve"> artículo 68.1 de la Convención Americana, y los</w:t>
      </w:r>
      <w:r>
        <w:rPr>
          <w:rFonts w:ascii="Verdana" w:hAnsi="Verdana"/>
          <w:sz w:val="20"/>
          <w:lang w:val="es-MX"/>
        </w:rPr>
        <w:t xml:space="preserve"> artículo</w:t>
      </w:r>
      <w:r w:rsidR="00B723B1">
        <w:rPr>
          <w:rFonts w:ascii="Verdana" w:hAnsi="Verdana"/>
          <w:sz w:val="20"/>
          <w:lang w:val="es-MX"/>
        </w:rPr>
        <w:t>s</w:t>
      </w:r>
      <w:r w:rsidR="00CD664D">
        <w:rPr>
          <w:rFonts w:ascii="Verdana" w:hAnsi="Verdana"/>
          <w:sz w:val="20"/>
          <w:lang w:val="es-MX"/>
        </w:rPr>
        <w:t xml:space="preserve"> 15.1 y</w:t>
      </w:r>
      <w:r>
        <w:rPr>
          <w:rFonts w:ascii="Verdana" w:hAnsi="Verdana"/>
          <w:sz w:val="20"/>
          <w:lang w:val="es-MX"/>
        </w:rPr>
        <w:t xml:space="preserve"> 69</w:t>
      </w:r>
      <w:r w:rsidR="0087325E">
        <w:rPr>
          <w:rFonts w:ascii="Verdana" w:hAnsi="Verdana"/>
          <w:sz w:val="20"/>
          <w:lang w:val="es-MX"/>
        </w:rPr>
        <w:t xml:space="preserve"> del Reglamento de la Corte Interamericana,</w:t>
      </w:r>
    </w:p>
    <w:p w:rsidR="008F1212" w:rsidRDefault="008F1212" w:rsidP="005756DD">
      <w:pPr>
        <w:ind w:right="4"/>
        <w:jc w:val="both"/>
        <w:rPr>
          <w:rFonts w:ascii="Verdana" w:hAnsi="Verdana"/>
          <w:sz w:val="20"/>
          <w:lang w:val="es-MX"/>
        </w:rPr>
      </w:pPr>
    </w:p>
    <w:p w:rsidR="0087325E" w:rsidRDefault="0087325E" w:rsidP="0087325E">
      <w:pPr>
        <w:tabs>
          <w:tab w:val="left" w:pos="567"/>
          <w:tab w:val="left" w:pos="680"/>
          <w:tab w:val="left" w:pos="10080"/>
        </w:tabs>
        <w:jc w:val="both"/>
        <w:rPr>
          <w:rFonts w:ascii="Verdana" w:hAnsi="Verdana"/>
          <w:b/>
          <w:spacing w:val="-4"/>
          <w:sz w:val="20"/>
          <w:lang w:val="es-MX"/>
        </w:rPr>
      </w:pPr>
      <w:r>
        <w:rPr>
          <w:rFonts w:ascii="Verdana" w:hAnsi="Verdana"/>
          <w:b/>
          <w:spacing w:val="-4"/>
          <w:sz w:val="20"/>
          <w:lang w:val="es-MX"/>
        </w:rPr>
        <w:t>RESUELVE:</w:t>
      </w:r>
    </w:p>
    <w:p w:rsidR="0087325E" w:rsidRDefault="0087325E" w:rsidP="005756DD">
      <w:pPr>
        <w:ind w:right="4"/>
        <w:jc w:val="both"/>
        <w:rPr>
          <w:rFonts w:ascii="Verdana" w:hAnsi="Verdana"/>
          <w:sz w:val="20"/>
          <w:lang w:val="es-MX"/>
        </w:rPr>
      </w:pPr>
    </w:p>
    <w:p w:rsidR="0087325E" w:rsidRPr="0087325E" w:rsidRDefault="00C21752" w:rsidP="00C21752">
      <w:pPr>
        <w:numPr>
          <w:ilvl w:val="0"/>
          <w:numId w:val="10"/>
        </w:numPr>
        <w:ind w:left="0" w:right="4" w:firstLine="0"/>
        <w:jc w:val="both"/>
        <w:rPr>
          <w:rFonts w:ascii="Verdana" w:hAnsi="Verdana"/>
          <w:sz w:val="20"/>
          <w:lang w:val="es-MX"/>
        </w:rPr>
      </w:pPr>
      <w:r>
        <w:rPr>
          <w:rFonts w:ascii="Verdana" w:hAnsi="Verdana"/>
          <w:sz w:val="20"/>
          <w:lang w:val="es-MX"/>
        </w:rPr>
        <w:t>D</w:t>
      </w:r>
      <w:r w:rsidRPr="00C21752">
        <w:rPr>
          <w:rFonts w:ascii="Verdana" w:hAnsi="Verdana"/>
          <w:sz w:val="20"/>
          <w:lang w:val="es-MX"/>
        </w:rPr>
        <w:t>isponer, con base en el artículo 69 del Reglamento de la Corte y el punto resolutivo séptimo de la Resolución de</w:t>
      </w:r>
      <w:r w:rsidR="005B643D">
        <w:rPr>
          <w:rFonts w:ascii="Verdana" w:hAnsi="Verdana"/>
          <w:sz w:val="20"/>
          <w:lang w:val="es-MX"/>
        </w:rPr>
        <w:t xml:space="preserve"> la Corte de</w:t>
      </w:r>
      <w:r w:rsidRPr="00C21752">
        <w:rPr>
          <w:rFonts w:ascii="Verdana" w:hAnsi="Verdana"/>
          <w:sz w:val="20"/>
          <w:lang w:val="es-MX"/>
        </w:rPr>
        <w:t xml:space="preserve"> 2015, que el Secretario del Tribunal inicie las gestiones dirigidas a coordinar con Paraguay la posibilidad de realizar una </w:t>
      </w:r>
      <w:r w:rsidR="00466732">
        <w:rPr>
          <w:rFonts w:ascii="Verdana" w:hAnsi="Verdana"/>
          <w:sz w:val="20"/>
          <w:lang w:val="es-MX"/>
        </w:rPr>
        <w:t xml:space="preserve">visita </w:t>
      </w:r>
      <w:r w:rsidRPr="00C21752">
        <w:rPr>
          <w:rFonts w:ascii="Verdana" w:hAnsi="Verdana"/>
          <w:sz w:val="20"/>
          <w:lang w:val="es-MX"/>
        </w:rPr>
        <w:t xml:space="preserve">a dicho país con el fin de obtener información relevante </w:t>
      </w:r>
      <w:r w:rsidR="00466732">
        <w:rPr>
          <w:rFonts w:ascii="Verdana" w:hAnsi="Verdana"/>
          <w:sz w:val="20"/>
          <w:lang w:val="es-MX"/>
        </w:rPr>
        <w:t xml:space="preserve">y precisa </w:t>
      </w:r>
      <w:r w:rsidRPr="00C21752">
        <w:rPr>
          <w:rFonts w:ascii="Verdana" w:hAnsi="Verdana"/>
          <w:sz w:val="20"/>
          <w:lang w:val="es-MX"/>
        </w:rPr>
        <w:t xml:space="preserve">para supervisar el cumplimiento de las medidas de reparación </w:t>
      </w:r>
      <w:r w:rsidR="005B643D">
        <w:rPr>
          <w:rFonts w:ascii="Verdana" w:hAnsi="Verdana"/>
          <w:sz w:val="20"/>
          <w:lang w:val="es-MX"/>
        </w:rPr>
        <w:t>pendientes ordenadas en</w:t>
      </w:r>
      <w:r w:rsidRPr="00C21752">
        <w:rPr>
          <w:rFonts w:ascii="Verdana" w:hAnsi="Verdana"/>
          <w:sz w:val="20"/>
          <w:lang w:val="es-MX"/>
        </w:rPr>
        <w:t xml:space="preserve"> las Sentencias</w:t>
      </w:r>
      <w:r w:rsidR="006231F7">
        <w:rPr>
          <w:rFonts w:ascii="Verdana" w:hAnsi="Verdana"/>
          <w:sz w:val="20"/>
          <w:lang w:val="es-CR"/>
        </w:rPr>
        <w:t xml:space="preserve"> de los casos</w:t>
      </w:r>
      <w:r w:rsidR="005B643D">
        <w:rPr>
          <w:rFonts w:ascii="Verdana" w:hAnsi="Verdana"/>
          <w:sz w:val="20"/>
          <w:lang w:val="es-CR"/>
        </w:rPr>
        <w:t xml:space="preserve"> de las comunidades indígenas</w:t>
      </w:r>
      <w:r w:rsidR="006231F7">
        <w:rPr>
          <w:rFonts w:ascii="Verdana" w:hAnsi="Verdana"/>
          <w:sz w:val="20"/>
          <w:lang w:val="es-CR"/>
        </w:rPr>
        <w:t xml:space="preserve"> </w:t>
      </w:r>
      <w:proofErr w:type="spellStart"/>
      <w:r>
        <w:rPr>
          <w:rFonts w:ascii="Verdana" w:hAnsi="Verdana"/>
          <w:i/>
          <w:sz w:val="20"/>
          <w:lang w:val="es-CR"/>
        </w:rPr>
        <w:t>Yakye</w:t>
      </w:r>
      <w:proofErr w:type="spellEnd"/>
      <w:r>
        <w:rPr>
          <w:rFonts w:ascii="Verdana" w:hAnsi="Verdana"/>
          <w:i/>
          <w:sz w:val="20"/>
          <w:lang w:val="es-CR"/>
        </w:rPr>
        <w:t xml:space="preserve"> Axa, </w:t>
      </w:r>
      <w:proofErr w:type="spellStart"/>
      <w:r>
        <w:rPr>
          <w:rFonts w:ascii="Verdana" w:hAnsi="Verdana"/>
          <w:i/>
          <w:sz w:val="20"/>
          <w:lang w:val="es-CR"/>
        </w:rPr>
        <w:t>Sawhoyamaxa</w:t>
      </w:r>
      <w:proofErr w:type="spellEnd"/>
      <w:r>
        <w:rPr>
          <w:rFonts w:ascii="Verdana" w:hAnsi="Verdana"/>
          <w:sz w:val="20"/>
          <w:lang w:val="es-CR"/>
        </w:rPr>
        <w:t xml:space="preserve"> y </w:t>
      </w:r>
      <w:proofErr w:type="spellStart"/>
      <w:r>
        <w:rPr>
          <w:rFonts w:ascii="Verdana" w:hAnsi="Verdana"/>
          <w:i/>
          <w:sz w:val="20"/>
          <w:lang w:val="es-CR"/>
        </w:rPr>
        <w:t>Xákmok</w:t>
      </w:r>
      <w:proofErr w:type="spellEnd"/>
      <w:r>
        <w:rPr>
          <w:rFonts w:ascii="Verdana" w:hAnsi="Verdana"/>
          <w:i/>
          <w:sz w:val="20"/>
          <w:lang w:val="es-CR"/>
        </w:rPr>
        <w:t xml:space="preserve"> </w:t>
      </w:r>
      <w:proofErr w:type="spellStart"/>
      <w:r>
        <w:rPr>
          <w:rFonts w:ascii="Verdana" w:hAnsi="Verdana"/>
          <w:i/>
          <w:sz w:val="20"/>
          <w:lang w:val="es-CR"/>
        </w:rPr>
        <w:t>Kásek</w:t>
      </w:r>
      <w:proofErr w:type="spellEnd"/>
      <w:r w:rsidR="006442D1">
        <w:rPr>
          <w:rFonts w:ascii="Verdana" w:hAnsi="Verdana"/>
          <w:i/>
          <w:sz w:val="20"/>
          <w:lang w:val="es-CR"/>
        </w:rPr>
        <w:t xml:space="preserve">, </w:t>
      </w:r>
      <w:r w:rsidR="006442D1">
        <w:rPr>
          <w:rFonts w:ascii="Verdana" w:hAnsi="Verdana"/>
          <w:sz w:val="20"/>
          <w:lang w:val="es-CR"/>
        </w:rPr>
        <w:t>particularmente las relativas a garantizar el derecho de propiedad comunal</w:t>
      </w:r>
      <w:r w:rsidR="00B1540B">
        <w:rPr>
          <w:rFonts w:ascii="Verdana" w:hAnsi="Verdana"/>
          <w:sz w:val="20"/>
          <w:lang w:val="es-CR"/>
        </w:rPr>
        <w:t xml:space="preserve">, de conformidad con lo indicado en el Considerando </w:t>
      </w:r>
      <w:r w:rsidR="00E01505">
        <w:rPr>
          <w:rFonts w:ascii="Verdana" w:hAnsi="Verdana"/>
          <w:sz w:val="20"/>
          <w:lang w:val="es-CR"/>
        </w:rPr>
        <w:fldChar w:fldCharType="begin"/>
      </w:r>
      <w:r w:rsidR="00E01505">
        <w:rPr>
          <w:rFonts w:ascii="Verdana" w:hAnsi="Verdana"/>
          <w:sz w:val="20"/>
          <w:lang w:val="es-CR"/>
        </w:rPr>
        <w:instrText xml:space="preserve"> REF _Ref456959258 \r \h </w:instrText>
      </w:r>
      <w:r w:rsidR="00E01505">
        <w:rPr>
          <w:rFonts w:ascii="Verdana" w:hAnsi="Verdana"/>
          <w:sz w:val="20"/>
          <w:lang w:val="es-CR"/>
        </w:rPr>
      </w:r>
      <w:r w:rsidR="00E01505">
        <w:rPr>
          <w:rFonts w:ascii="Verdana" w:hAnsi="Verdana"/>
          <w:sz w:val="20"/>
          <w:lang w:val="es-CR"/>
        </w:rPr>
        <w:fldChar w:fldCharType="separate"/>
      </w:r>
      <w:r w:rsidR="00717A33">
        <w:rPr>
          <w:rFonts w:ascii="Verdana" w:hAnsi="Verdana"/>
          <w:sz w:val="20"/>
          <w:lang w:val="es-CR"/>
        </w:rPr>
        <w:t>19</w:t>
      </w:r>
      <w:r w:rsidR="00E01505">
        <w:rPr>
          <w:rFonts w:ascii="Verdana" w:hAnsi="Verdana"/>
          <w:sz w:val="20"/>
          <w:lang w:val="es-CR"/>
        </w:rPr>
        <w:fldChar w:fldCharType="end"/>
      </w:r>
      <w:r w:rsidR="00E01505">
        <w:rPr>
          <w:rFonts w:ascii="Verdana" w:hAnsi="Verdana"/>
          <w:sz w:val="20"/>
          <w:lang w:val="es-CR"/>
        </w:rPr>
        <w:t xml:space="preserve"> </w:t>
      </w:r>
      <w:r w:rsidR="00B1540B">
        <w:rPr>
          <w:rFonts w:ascii="Verdana" w:hAnsi="Verdana"/>
          <w:sz w:val="20"/>
          <w:lang w:val="es-CR"/>
        </w:rPr>
        <w:t>de la presente Resolución</w:t>
      </w:r>
      <w:r w:rsidR="0087325E">
        <w:rPr>
          <w:rFonts w:ascii="Verdana" w:hAnsi="Verdana"/>
          <w:sz w:val="20"/>
          <w:lang w:val="es-CR"/>
        </w:rPr>
        <w:t xml:space="preserve">. </w:t>
      </w:r>
    </w:p>
    <w:p w:rsidR="0087325E" w:rsidRPr="0087325E" w:rsidRDefault="0087325E" w:rsidP="0087325E">
      <w:pPr>
        <w:ind w:right="4"/>
        <w:jc w:val="both"/>
        <w:rPr>
          <w:rFonts w:ascii="Verdana" w:hAnsi="Verdana"/>
          <w:sz w:val="20"/>
          <w:lang w:val="es-MX"/>
        </w:rPr>
      </w:pPr>
    </w:p>
    <w:p w:rsidR="0087325E" w:rsidRDefault="0087325E" w:rsidP="0087325E">
      <w:pPr>
        <w:numPr>
          <w:ilvl w:val="0"/>
          <w:numId w:val="10"/>
        </w:numPr>
        <w:ind w:left="0" w:right="4" w:firstLine="0"/>
        <w:jc w:val="both"/>
        <w:rPr>
          <w:rFonts w:ascii="Verdana" w:hAnsi="Verdana"/>
          <w:sz w:val="20"/>
          <w:lang w:val="es-MX"/>
        </w:rPr>
      </w:pPr>
      <w:r>
        <w:rPr>
          <w:rFonts w:ascii="Verdana" w:hAnsi="Verdana"/>
          <w:sz w:val="20"/>
          <w:lang w:val="es-MX"/>
        </w:rPr>
        <w:t>Disponer que la Secretaría notifique la presente Resolución al Estado, a los representantes de las víctimas</w:t>
      </w:r>
      <w:r w:rsidR="006231F7">
        <w:rPr>
          <w:rFonts w:ascii="Verdana" w:hAnsi="Verdana"/>
          <w:sz w:val="20"/>
          <w:lang w:val="es-MX"/>
        </w:rPr>
        <w:t xml:space="preserve"> y a la Comisión Interamericana de Derechos Humanos</w:t>
      </w:r>
      <w:r>
        <w:rPr>
          <w:rFonts w:ascii="Verdana" w:hAnsi="Verdana"/>
          <w:sz w:val="20"/>
          <w:lang w:val="es-MX"/>
        </w:rPr>
        <w:t>.</w:t>
      </w:r>
    </w:p>
    <w:p w:rsidR="003377DD" w:rsidRDefault="003377DD" w:rsidP="003377DD">
      <w:pPr>
        <w:pStyle w:val="Prrafodelista"/>
        <w:rPr>
          <w:rFonts w:ascii="Verdana" w:hAnsi="Verdana"/>
          <w:sz w:val="20"/>
          <w:lang w:val="es-MX"/>
        </w:rPr>
      </w:pPr>
    </w:p>
    <w:p w:rsidR="003377DD" w:rsidRDefault="003377DD" w:rsidP="003377DD">
      <w:pPr>
        <w:ind w:right="4"/>
        <w:jc w:val="both"/>
        <w:rPr>
          <w:rFonts w:ascii="Verdana" w:hAnsi="Verdana"/>
          <w:sz w:val="20"/>
          <w:lang w:val="es-MX"/>
        </w:rPr>
      </w:pPr>
    </w:p>
    <w:p w:rsidR="003377DD" w:rsidRDefault="003377DD" w:rsidP="003377DD">
      <w:pPr>
        <w:ind w:right="4"/>
        <w:jc w:val="both"/>
        <w:rPr>
          <w:rFonts w:ascii="Verdana" w:hAnsi="Verdana"/>
          <w:sz w:val="20"/>
          <w:lang w:val="es-MX"/>
        </w:rPr>
      </w:pPr>
      <w:bookmarkStart w:id="23" w:name="_GoBack"/>
      <w:bookmarkEnd w:id="23"/>
    </w:p>
    <w:p w:rsidR="00823EDD" w:rsidRPr="00823EDD" w:rsidRDefault="00823EDD" w:rsidP="00823EDD">
      <w:pPr>
        <w:keepNext/>
        <w:jc w:val="both"/>
        <w:outlineLvl w:val="0"/>
        <w:rPr>
          <w:rFonts w:ascii="Verdana" w:hAnsi="Verdana"/>
          <w:sz w:val="20"/>
          <w:lang w:val="es-CR"/>
        </w:rPr>
      </w:pPr>
      <w:r w:rsidRPr="00823EDD">
        <w:rPr>
          <w:rFonts w:ascii="Verdana" w:hAnsi="Verdana"/>
          <w:sz w:val="20"/>
          <w:lang w:val="es-ES"/>
        </w:rPr>
        <w:t xml:space="preserve">Resolución del Presidente de la Corte Interamericana de Derechos Humanos. </w:t>
      </w:r>
      <w:r w:rsidRPr="00823EDD">
        <w:rPr>
          <w:rFonts w:ascii="Verdana" w:hAnsi="Verdana"/>
          <w:sz w:val="20"/>
          <w:lang w:val="es-CR"/>
        </w:rPr>
        <w:t xml:space="preserve">Casos de las Comunidades Indígenas </w:t>
      </w:r>
      <w:proofErr w:type="spellStart"/>
      <w:r w:rsidRPr="00823EDD">
        <w:rPr>
          <w:rFonts w:ascii="Verdana" w:hAnsi="Verdana"/>
          <w:sz w:val="20"/>
          <w:lang w:val="es-CR"/>
        </w:rPr>
        <w:t>Yakye</w:t>
      </w:r>
      <w:proofErr w:type="spellEnd"/>
      <w:r w:rsidRPr="00823EDD">
        <w:rPr>
          <w:rFonts w:ascii="Verdana" w:hAnsi="Verdana"/>
          <w:sz w:val="20"/>
          <w:lang w:val="es-CR"/>
        </w:rPr>
        <w:t xml:space="preserve"> Axa, </w:t>
      </w:r>
      <w:proofErr w:type="spellStart"/>
      <w:r w:rsidRPr="00823EDD">
        <w:rPr>
          <w:rFonts w:ascii="Verdana" w:hAnsi="Verdana"/>
          <w:sz w:val="20"/>
          <w:lang w:val="es-CR"/>
        </w:rPr>
        <w:t>Sawhoyamaxa</w:t>
      </w:r>
      <w:proofErr w:type="spellEnd"/>
      <w:r w:rsidRPr="00823EDD">
        <w:rPr>
          <w:rFonts w:ascii="Verdana" w:hAnsi="Verdana"/>
          <w:sz w:val="20"/>
          <w:lang w:val="es-CR"/>
        </w:rPr>
        <w:t xml:space="preserve"> y </w:t>
      </w:r>
      <w:proofErr w:type="spellStart"/>
      <w:r w:rsidRPr="00823EDD">
        <w:rPr>
          <w:rFonts w:ascii="Verdana" w:hAnsi="Verdana"/>
          <w:sz w:val="20"/>
          <w:lang w:val="es-CR"/>
        </w:rPr>
        <w:t>Xákmok</w:t>
      </w:r>
      <w:proofErr w:type="spellEnd"/>
      <w:r w:rsidRPr="00823EDD">
        <w:rPr>
          <w:rFonts w:ascii="Verdana" w:hAnsi="Verdana"/>
          <w:sz w:val="20"/>
          <w:lang w:val="es-CR"/>
        </w:rPr>
        <w:t xml:space="preserve"> </w:t>
      </w:r>
      <w:proofErr w:type="spellStart"/>
      <w:r w:rsidRPr="00823EDD">
        <w:rPr>
          <w:rFonts w:ascii="Verdana" w:hAnsi="Verdana"/>
          <w:sz w:val="20"/>
          <w:lang w:val="es-CR"/>
        </w:rPr>
        <w:t>Kásek</w:t>
      </w:r>
      <w:proofErr w:type="spellEnd"/>
      <w:r w:rsidRPr="00823EDD">
        <w:rPr>
          <w:rFonts w:ascii="Verdana" w:hAnsi="Verdana"/>
          <w:sz w:val="20"/>
          <w:lang w:val="es-CR"/>
        </w:rPr>
        <w:t xml:space="preserve"> Vs. Paraguay. Supervisión de cumplimiento de sentencia.</w:t>
      </w:r>
    </w:p>
    <w:p w:rsidR="00823EDD" w:rsidRPr="00823EDD" w:rsidRDefault="00823EDD" w:rsidP="00823EDD">
      <w:pPr>
        <w:spacing w:before="120"/>
        <w:ind w:right="4"/>
        <w:rPr>
          <w:rFonts w:ascii="Verdana" w:hAnsi="Verdana" w:cs="Verdana"/>
          <w:b/>
          <w:bCs/>
          <w:i/>
          <w:sz w:val="20"/>
          <w:lang w:val="es-ES"/>
        </w:rPr>
      </w:pPr>
    </w:p>
    <w:p w:rsidR="00823EDD" w:rsidRPr="00823EDD" w:rsidRDefault="00823EDD" w:rsidP="00823EDD">
      <w:pPr>
        <w:tabs>
          <w:tab w:val="left" w:pos="567"/>
        </w:tabs>
        <w:jc w:val="center"/>
        <w:rPr>
          <w:rFonts w:ascii="Verdana" w:hAnsi="Verdana"/>
          <w:b/>
          <w:spacing w:val="-4"/>
          <w:sz w:val="20"/>
          <w:lang w:val="es-CR"/>
        </w:rPr>
      </w:pPr>
    </w:p>
    <w:p w:rsidR="00823EDD" w:rsidRPr="00823EDD" w:rsidRDefault="00823EDD" w:rsidP="00823EDD">
      <w:pPr>
        <w:jc w:val="center"/>
        <w:rPr>
          <w:rFonts w:ascii="Verdana" w:hAnsi="Verdana"/>
          <w:sz w:val="20"/>
          <w:lang w:val="es-CR"/>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ind w:left="5040" w:firstLine="720"/>
        <w:jc w:val="center"/>
        <w:rPr>
          <w:rFonts w:ascii="Verdana" w:hAnsi="Verdana"/>
          <w:sz w:val="20"/>
          <w:lang w:val="es-ES"/>
        </w:rPr>
      </w:pPr>
      <w:r w:rsidRPr="00823EDD">
        <w:rPr>
          <w:rFonts w:ascii="Verdana" w:hAnsi="Verdana"/>
          <w:sz w:val="20"/>
          <w:lang w:val="es-ES"/>
        </w:rPr>
        <w:t>Roberto F. Caldas</w:t>
      </w:r>
    </w:p>
    <w:p w:rsidR="00823EDD" w:rsidRPr="00823EDD" w:rsidRDefault="00823EDD" w:rsidP="00823EDD">
      <w:pPr>
        <w:ind w:left="5040" w:firstLine="720"/>
        <w:jc w:val="center"/>
        <w:rPr>
          <w:rFonts w:ascii="Verdana" w:hAnsi="Verdana"/>
          <w:sz w:val="20"/>
          <w:lang w:val="es-ES"/>
        </w:rPr>
      </w:pPr>
      <w:r w:rsidRPr="00823EDD">
        <w:rPr>
          <w:rFonts w:ascii="Verdana" w:hAnsi="Verdana"/>
          <w:sz w:val="20"/>
          <w:lang w:val="es-ES"/>
        </w:rPr>
        <w:t xml:space="preserve">Presidente </w:t>
      </w: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r w:rsidRPr="00823EDD">
        <w:rPr>
          <w:rFonts w:ascii="Verdana" w:hAnsi="Verdana"/>
          <w:sz w:val="20"/>
          <w:lang w:val="es-ES"/>
        </w:rPr>
        <w:t>Pablo Saavedra Alessandri</w:t>
      </w:r>
    </w:p>
    <w:p w:rsidR="00823EDD" w:rsidRPr="00823EDD" w:rsidRDefault="00823EDD" w:rsidP="00823EDD">
      <w:pPr>
        <w:rPr>
          <w:rFonts w:ascii="Verdana" w:hAnsi="Verdana"/>
          <w:sz w:val="20"/>
          <w:lang w:val="es-ES"/>
        </w:rPr>
      </w:pPr>
      <w:r w:rsidRPr="00823EDD">
        <w:rPr>
          <w:rFonts w:ascii="Verdana" w:hAnsi="Verdana"/>
          <w:sz w:val="20"/>
          <w:lang w:val="es-ES"/>
        </w:rPr>
        <w:t xml:space="preserve">          Secretario </w:t>
      </w: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CR"/>
        </w:rPr>
      </w:pPr>
      <w:r w:rsidRPr="00823EDD">
        <w:rPr>
          <w:rFonts w:ascii="Verdana" w:hAnsi="Verdana"/>
          <w:sz w:val="20"/>
          <w:lang w:val="es-CR"/>
        </w:rPr>
        <w:tab/>
      </w:r>
    </w:p>
    <w:p w:rsidR="00823EDD" w:rsidRPr="00823EDD" w:rsidRDefault="00823EDD" w:rsidP="00823EDD">
      <w:pPr>
        <w:rPr>
          <w:rFonts w:ascii="Verdana" w:hAnsi="Verdana"/>
          <w:sz w:val="20"/>
          <w:lang w:val="es-CR"/>
        </w:rPr>
      </w:pPr>
    </w:p>
    <w:p w:rsidR="00823EDD" w:rsidRPr="00823EDD" w:rsidRDefault="00823EDD" w:rsidP="00823EDD">
      <w:pPr>
        <w:rPr>
          <w:rFonts w:ascii="Verdana" w:hAnsi="Verdana"/>
          <w:sz w:val="20"/>
          <w:lang w:val="es-CR"/>
        </w:rPr>
      </w:pPr>
    </w:p>
    <w:p w:rsidR="00823EDD" w:rsidRPr="00823EDD" w:rsidRDefault="00823EDD" w:rsidP="00823EDD">
      <w:pPr>
        <w:rPr>
          <w:rFonts w:ascii="Verdana" w:hAnsi="Verdana"/>
          <w:sz w:val="20"/>
          <w:lang w:val="es-CR"/>
        </w:rPr>
      </w:pPr>
    </w:p>
    <w:p w:rsidR="00823EDD" w:rsidRPr="00823EDD" w:rsidRDefault="00823EDD" w:rsidP="00823EDD">
      <w:pPr>
        <w:rPr>
          <w:rFonts w:ascii="Verdana" w:hAnsi="Verdana"/>
          <w:sz w:val="20"/>
          <w:lang w:val="es-CR"/>
        </w:rPr>
      </w:pPr>
    </w:p>
    <w:p w:rsidR="00823EDD" w:rsidRPr="00823EDD" w:rsidRDefault="00823EDD" w:rsidP="00823EDD">
      <w:pPr>
        <w:rPr>
          <w:rFonts w:ascii="Verdana" w:hAnsi="Verdana"/>
          <w:sz w:val="20"/>
          <w:lang w:val="es-CR"/>
        </w:rPr>
      </w:pPr>
    </w:p>
    <w:p w:rsidR="00823EDD" w:rsidRPr="00823EDD" w:rsidRDefault="00823EDD" w:rsidP="00823EDD">
      <w:pPr>
        <w:rPr>
          <w:rFonts w:ascii="Verdana" w:hAnsi="Verdana"/>
          <w:sz w:val="20"/>
          <w:lang w:val="es-CR"/>
        </w:rPr>
      </w:pPr>
      <w:r w:rsidRPr="00823EDD">
        <w:rPr>
          <w:rFonts w:ascii="Verdana" w:hAnsi="Verdana"/>
          <w:sz w:val="20"/>
          <w:lang w:val="es-CR"/>
        </w:rPr>
        <w:t>Comuníquese y ejecútese,</w:t>
      </w:r>
    </w:p>
    <w:p w:rsidR="00823EDD" w:rsidRPr="00823EDD" w:rsidRDefault="00823EDD" w:rsidP="00823EDD">
      <w:pPr>
        <w:jc w:val="center"/>
        <w:rPr>
          <w:rFonts w:ascii="Verdana" w:hAnsi="Verdana"/>
          <w:sz w:val="20"/>
          <w:lang w:val="es-CR"/>
        </w:rPr>
      </w:pPr>
    </w:p>
    <w:p w:rsidR="00823EDD" w:rsidRPr="00823EDD" w:rsidRDefault="00823EDD" w:rsidP="00823EDD">
      <w:pPr>
        <w:jc w:val="center"/>
        <w:rPr>
          <w:rFonts w:ascii="Verdana" w:hAnsi="Verdana"/>
          <w:sz w:val="20"/>
          <w:lang w:val="es-CR"/>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jc w:val="center"/>
        <w:rPr>
          <w:rFonts w:ascii="Verdana" w:hAnsi="Verdana"/>
          <w:sz w:val="20"/>
          <w:lang w:val="es-ES"/>
        </w:rPr>
      </w:pPr>
    </w:p>
    <w:p w:rsidR="00823EDD" w:rsidRPr="00823EDD" w:rsidRDefault="00823EDD" w:rsidP="00823EDD">
      <w:pPr>
        <w:ind w:left="5040" w:firstLine="720"/>
        <w:jc w:val="center"/>
        <w:rPr>
          <w:rFonts w:ascii="Verdana" w:hAnsi="Verdana"/>
          <w:sz w:val="20"/>
          <w:lang w:val="es-ES"/>
        </w:rPr>
      </w:pPr>
      <w:r w:rsidRPr="00823EDD">
        <w:rPr>
          <w:rFonts w:ascii="Verdana" w:hAnsi="Verdana"/>
          <w:sz w:val="20"/>
          <w:lang w:val="es-ES"/>
        </w:rPr>
        <w:t>Roberto F. Caldas</w:t>
      </w:r>
    </w:p>
    <w:p w:rsidR="00823EDD" w:rsidRPr="00823EDD" w:rsidRDefault="00823EDD" w:rsidP="00823EDD">
      <w:pPr>
        <w:ind w:left="5040" w:firstLine="720"/>
        <w:jc w:val="center"/>
        <w:rPr>
          <w:rFonts w:ascii="Verdana" w:hAnsi="Verdana"/>
          <w:sz w:val="20"/>
          <w:lang w:val="es-ES"/>
        </w:rPr>
      </w:pPr>
      <w:r w:rsidRPr="00823EDD">
        <w:rPr>
          <w:rFonts w:ascii="Verdana" w:hAnsi="Verdana"/>
          <w:sz w:val="20"/>
          <w:lang w:val="es-ES"/>
        </w:rPr>
        <w:t xml:space="preserve">Presidente </w:t>
      </w: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p>
    <w:p w:rsidR="00823EDD" w:rsidRPr="00823EDD" w:rsidRDefault="00823EDD" w:rsidP="00823EDD">
      <w:pPr>
        <w:rPr>
          <w:rFonts w:ascii="Verdana" w:hAnsi="Verdana"/>
          <w:sz w:val="20"/>
          <w:lang w:val="es-ES"/>
        </w:rPr>
      </w:pPr>
      <w:r w:rsidRPr="00823EDD">
        <w:rPr>
          <w:rFonts w:ascii="Verdana" w:hAnsi="Verdana"/>
          <w:sz w:val="20"/>
          <w:lang w:val="es-ES"/>
        </w:rPr>
        <w:t>Pablo Saavedra Alessandri</w:t>
      </w:r>
    </w:p>
    <w:p w:rsidR="00823EDD" w:rsidRPr="00823EDD" w:rsidRDefault="00823EDD" w:rsidP="00823EDD">
      <w:pPr>
        <w:rPr>
          <w:rFonts w:ascii="Verdana" w:hAnsi="Verdana"/>
          <w:sz w:val="20"/>
          <w:lang w:val="es-ES"/>
        </w:rPr>
      </w:pPr>
      <w:r w:rsidRPr="00823EDD">
        <w:rPr>
          <w:rFonts w:ascii="Verdana" w:hAnsi="Verdana"/>
          <w:sz w:val="20"/>
          <w:lang w:val="es-ES"/>
        </w:rPr>
        <w:t xml:space="preserve">          Secretario </w:t>
      </w:r>
    </w:p>
    <w:p w:rsidR="00823EDD" w:rsidRPr="00823EDD" w:rsidRDefault="00823EDD" w:rsidP="00823EDD">
      <w:pPr>
        <w:rPr>
          <w:rFonts w:ascii="Times" w:hAnsi="Times"/>
          <w:lang w:val="en-US"/>
        </w:rPr>
      </w:pPr>
    </w:p>
    <w:p w:rsidR="003377DD" w:rsidRPr="005756DD" w:rsidRDefault="003377DD" w:rsidP="003377DD">
      <w:pPr>
        <w:ind w:right="4"/>
        <w:jc w:val="both"/>
        <w:rPr>
          <w:rFonts w:ascii="Verdana" w:hAnsi="Verdana"/>
          <w:sz w:val="20"/>
          <w:lang w:val="es-MX"/>
        </w:rPr>
      </w:pPr>
    </w:p>
    <w:sectPr w:rsidR="003377DD" w:rsidRPr="005756DD" w:rsidSect="003377DD">
      <w:headerReference w:type="default" r:id="rId8"/>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324" w:rsidRDefault="000F6324" w:rsidP="00AB60F5">
      <w:r>
        <w:separator/>
      </w:r>
    </w:p>
  </w:endnote>
  <w:endnote w:type="continuationSeparator" w:id="0">
    <w:p w:rsidR="000F6324" w:rsidRDefault="000F6324" w:rsidP="00AB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94C" w:rsidRDefault="00FA194C">
    <w:pPr>
      <w:pStyle w:val="Piedepgina"/>
      <w:jc w:val="center"/>
    </w:pPr>
    <w:r>
      <w:fldChar w:fldCharType="begin"/>
    </w:r>
    <w:r>
      <w:instrText xml:space="preserve"> PAGE   \* MERGEFORMAT </w:instrText>
    </w:r>
    <w:r>
      <w:fldChar w:fldCharType="separate"/>
    </w:r>
    <w:r w:rsidR="00717A33">
      <w:rPr>
        <w:noProof/>
      </w:rPr>
      <w:t>3</w:t>
    </w:r>
    <w:r>
      <w:rPr>
        <w:noProof/>
      </w:rPr>
      <w:fldChar w:fldCharType="end"/>
    </w:r>
  </w:p>
  <w:p w:rsidR="00FA194C" w:rsidRDefault="00FA19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324" w:rsidRDefault="000F6324" w:rsidP="00AB60F5">
      <w:r>
        <w:separator/>
      </w:r>
    </w:p>
  </w:footnote>
  <w:footnote w:type="continuationSeparator" w:id="0">
    <w:p w:rsidR="000F6324" w:rsidRDefault="000F6324" w:rsidP="00AB60F5">
      <w:r>
        <w:continuationSeparator/>
      </w:r>
    </w:p>
  </w:footnote>
  <w:footnote w:id="1">
    <w:p w:rsidR="00FA194C" w:rsidRPr="00AB60F5" w:rsidRDefault="00FA194C" w:rsidP="00AB60F5">
      <w:pPr>
        <w:pStyle w:val="Textonotapie"/>
        <w:ind w:right="4"/>
        <w:jc w:val="both"/>
        <w:rPr>
          <w:rFonts w:ascii="Verdana" w:hAnsi="Verdana"/>
          <w:sz w:val="16"/>
          <w:szCs w:val="16"/>
        </w:rPr>
      </w:pPr>
      <w:r w:rsidRPr="00AB60F5">
        <w:rPr>
          <w:rStyle w:val="Refdenotaalpie"/>
          <w:rFonts w:ascii="Verdana" w:hAnsi="Verdana"/>
          <w:sz w:val="16"/>
          <w:szCs w:val="16"/>
        </w:rPr>
        <w:footnoteRef/>
      </w:r>
      <w:r w:rsidRPr="00AB60F5">
        <w:rPr>
          <w:rFonts w:ascii="Verdana" w:hAnsi="Verdana"/>
          <w:sz w:val="16"/>
          <w:szCs w:val="16"/>
        </w:rPr>
        <w:t xml:space="preserve"> </w:t>
      </w:r>
      <w:r w:rsidRPr="00AB60F5">
        <w:rPr>
          <w:rFonts w:ascii="Verdana" w:hAnsi="Verdana"/>
          <w:sz w:val="16"/>
          <w:szCs w:val="16"/>
        </w:rPr>
        <w:tab/>
      </w:r>
      <w:r w:rsidRPr="00AB60F5">
        <w:rPr>
          <w:rFonts w:ascii="Verdana" w:hAnsi="Verdana"/>
          <w:i/>
          <w:sz w:val="16"/>
          <w:szCs w:val="16"/>
        </w:rPr>
        <w:t xml:space="preserve">Cfr. </w:t>
      </w:r>
      <w:r w:rsidRPr="00AB60F5">
        <w:rPr>
          <w:rStyle w:val="Textoennegrita"/>
          <w:rFonts w:ascii="Verdana" w:hAnsi="Verdana"/>
          <w:b w:val="0"/>
          <w:i/>
          <w:color w:val="000000"/>
          <w:sz w:val="16"/>
          <w:szCs w:val="16"/>
          <w:shd w:val="clear" w:color="auto" w:fill="FFFFFF"/>
        </w:rPr>
        <w:t xml:space="preserve">Caso Comunidad Indígena </w:t>
      </w:r>
      <w:proofErr w:type="spellStart"/>
      <w:r w:rsidRPr="00AB60F5">
        <w:rPr>
          <w:rStyle w:val="Textoennegrita"/>
          <w:rFonts w:ascii="Verdana" w:hAnsi="Verdana"/>
          <w:b w:val="0"/>
          <w:i/>
          <w:color w:val="000000"/>
          <w:sz w:val="16"/>
          <w:szCs w:val="16"/>
          <w:shd w:val="clear" w:color="auto" w:fill="FFFFFF"/>
        </w:rPr>
        <w:t>Yakye</w:t>
      </w:r>
      <w:proofErr w:type="spellEnd"/>
      <w:r w:rsidRPr="00AB60F5">
        <w:rPr>
          <w:rStyle w:val="Textoennegrita"/>
          <w:rFonts w:ascii="Verdana" w:hAnsi="Verdana"/>
          <w:b w:val="0"/>
          <w:i/>
          <w:color w:val="000000"/>
          <w:sz w:val="16"/>
          <w:szCs w:val="16"/>
          <w:shd w:val="clear" w:color="auto" w:fill="FFFFFF"/>
        </w:rPr>
        <w:t xml:space="preserve"> Axa Vs. Paraguay.</w:t>
      </w:r>
      <w:r w:rsidRPr="00AB60F5">
        <w:rPr>
          <w:rStyle w:val="Textoennegrita"/>
          <w:rFonts w:ascii="Verdana" w:hAnsi="Verdana"/>
          <w:b w:val="0"/>
          <w:color w:val="000000"/>
          <w:sz w:val="16"/>
          <w:szCs w:val="16"/>
          <w:shd w:val="clear" w:color="auto" w:fill="FFFFFF"/>
        </w:rPr>
        <w:t xml:space="preserve"> </w:t>
      </w:r>
      <w:r w:rsidRPr="00AB60F5">
        <w:rPr>
          <w:rStyle w:val="Textoennegrita"/>
          <w:rFonts w:ascii="Verdana" w:hAnsi="Verdana"/>
          <w:b w:val="0"/>
          <w:i/>
          <w:color w:val="000000"/>
          <w:sz w:val="16"/>
          <w:szCs w:val="16"/>
          <w:shd w:val="clear" w:color="auto" w:fill="FFFFFF"/>
        </w:rPr>
        <w:t>Fondo, Reparaciones y Costas.</w:t>
      </w:r>
      <w:r w:rsidRPr="00AB60F5">
        <w:rPr>
          <w:rStyle w:val="Textoennegrita"/>
          <w:rFonts w:ascii="Verdana" w:hAnsi="Verdana"/>
          <w:b w:val="0"/>
          <w:color w:val="000000"/>
          <w:sz w:val="16"/>
          <w:szCs w:val="16"/>
          <w:shd w:val="clear" w:color="auto" w:fill="FFFFFF"/>
        </w:rPr>
        <w:t xml:space="preserve"> Sentencia de 17 de junio de 2005. Serie C No. 125.</w:t>
      </w:r>
      <w:r w:rsidRPr="00AB60F5">
        <w:rPr>
          <w:rStyle w:val="Textoennegrita"/>
          <w:rFonts w:ascii="Verdana" w:hAnsi="Verdana"/>
          <w:color w:val="000000"/>
          <w:sz w:val="16"/>
          <w:szCs w:val="16"/>
          <w:shd w:val="clear" w:color="auto" w:fill="FFFFFF"/>
        </w:rPr>
        <w:t xml:space="preserve"> </w:t>
      </w:r>
      <w:r w:rsidRPr="00AB60F5">
        <w:rPr>
          <w:rStyle w:val="Textoennegrita"/>
          <w:rFonts w:ascii="Verdana" w:hAnsi="Verdana"/>
          <w:b w:val="0"/>
          <w:color w:val="000000"/>
          <w:sz w:val="16"/>
          <w:szCs w:val="16"/>
          <w:shd w:val="clear" w:color="auto" w:fill="FFFFFF"/>
        </w:rPr>
        <w:t xml:space="preserve">El </w:t>
      </w:r>
      <w:r w:rsidRPr="00AB60F5">
        <w:rPr>
          <w:rFonts w:ascii="Verdana" w:hAnsi="Verdana"/>
          <w:sz w:val="16"/>
          <w:szCs w:val="16"/>
        </w:rPr>
        <w:t xml:space="preserve">texto íntegro de la </w:t>
      </w:r>
      <w:r w:rsidRPr="002C4657">
        <w:rPr>
          <w:rFonts w:ascii="Verdana" w:hAnsi="Verdana"/>
          <w:sz w:val="16"/>
          <w:szCs w:val="16"/>
        </w:rPr>
        <w:t>Sentencia se encuentra disponible en</w:t>
      </w:r>
      <w:r w:rsidRPr="002C4657">
        <w:rPr>
          <w:rStyle w:val="Textoennegrita"/>
          <w:rFonts w:ascii="Verdana" w:hAnsi="Verdana"/>
          <w:b w:val="0"/>
          <w:color w:val="000000"/>
          <w:sz w:val="16"/>
          <w:szCs w:val="16"/>
          <w:shd w:val="clear" w:color="auto" w:fill="FFFFFF"/>
        </w:rPr>
        <w:t xml:space="preserve">: </w:t>
      </w:r>
      <w:hyperlink r:id="rId1" w:history="1">
        <w:r w:rsidRPr="002C4657">
          <w:rPr>
            <w:rStyle w:val="Hipervnculo"/>
            <w:rFonts w:ascii="Verdana" w:hAnsi="Verdana"/>
            <w:sz w:val="16"/>
            <w:szCs w:val="16"/>
          </w:rPr>
          <w:t>http://www.corteidh.or.cr/docs/casos/articulos/seriec_125_esp.pdf</w:t>
        </w:r>
      </w:hyperlink>
      <w:r w:rsidRPr="002C4657">
        <w:rPr>
          <w:rFonts w:ascii="Verdana" w:hAnsi="Verdana"/>
          <w:sz w:val="16"/>
          <w:szCs w:val="16"/>
        </w:rPr>
        <w:t xml:space="preserve">.  </w:t>
      </w:r>
      <w:r w:rsidRPr="002C4657">
        <w:rPr>
          <w:rStyle w:val="Textoennegrita"/>
          <w:rFonts w:ascii="Verdana" w:hAnsi="Verdana"/>
          <w:b w:val="0"/>
          <w:color w:val="000000"/>
          <w:sz w:val="16"/>
          <w:szCs w:val="16"/>
          <w:shd w:val="clear" w:color="auto" w:fill="FFFFFF"/>
          <w:lang w:val="es-CO"/>
        </w:rPr>
        <w:t xml:space="preserve">La </w:t>
      </w:r>
      <w:r w:rsidRPr="002C4657">
        <w:rPr>
          <w:rStyle w:val="Textoennegrita"/>
          <w:rFonts w:ascii="Verdana" w:hAnsi="Verdana"/>
          <w:b w:val="0"/>
          <w:color w:val="000000"/>
          <w:sz w:val="16"/>
          <w:szCs w:val="16"/>
          <w:shd w:val="clear" w:color="auto" w:fill="FFFFFF"/>
        </w:rPr>
        <w:t>Sentencia</w:t>
      </w:r>
      <w:r w:rsidRPr="002C4657">
        <w:rPr>
          <w:rStyle w:val="Textoennegrita"/>
          <w:rFonts w:ascii="Verdana" w:hAnsi="Verdana"/>
          <w:b w:val="0"/>
          <w:color w:val="000000"/>
          <w:sz w:val="16"/>
          <w:szCs w:val="16"/>
          <w:shd w:val="clear" w:color="auto" w:fill="FFFFFF"/>
          <w:lang w:val="es-CO"/>
        </w:rPr>
        <w:t xml:space="preserve"> fue notificada el 13 de julio de 2005.</w:t>
      </w:r>
    </w:p>
  </w:footnote>
  <w:footnote w:id="2">
    <w:p w:rsidR="00FA194C" w:rsidRPr="00AB60F5" w:rsidRDefault="00FA194C" w:rsidP="00AB60F5">
      <w:pPr>
        <w:pStyle w:val="Textonotapie"/>
        <w:ind w:right="4"/>
        <w:jc w:val="both"/>
        <w:rPr>
          <w:rFonts w:ascii="Verdana" w:hAnsi="Verdana"/>
          <w:sz w:val="16"/>
          <w:szCs w:val="16"/>
        </w:rPr>
      </w:pPr>
      <w:r w:rsidRPr="00AB60F5">
        <w:rPr>
          <w:rStyle w:val="Refdenotaalpie"/>
          <w:rFonts w:ascii="Verdana" w:hAnsi="Verdana"/>
          <w:sz w:val="16"/>
          <w:szCs w:val="16"/>
        </w:rPr>
        <w:footnoteRef/>
      </w:r>
      <w:r w:rsidRPr="00AB60F5">
        <w:rPr>
          <w:rFonts w:ascii="Verdana" w:hAnsi="Verdana"/>
          <w:sz w:val="16"/>
          <w:szCs w:val="16"/>
        </w:rPr>
        <w:t xml:space="preserve"> </w:t>
      </w:r>
      <w:r w:rsidRPr="00AB60F5">
        <w:rPr>
          <w:rFonts w:ascii="Verdana" w:hAnsi="Verdana"/>
          <w:sz w:val="16"/>
          <w:szCs w:val="16"/>
        </w:rPr>
        <w:tab/>
      </w:r>
      <w:r w:rsidRPr="00AB60F5">
        <w:rPr>
          <w:rFonts w:ascii="Verdana" w:hAnsi="Verdana"/>
          <w:i/>
          <w:sz w:val="16"/>
          <w:szCs w:val="16"/>
        </w:rPr>
        <w:t xml:space="preserve">Cfr. </w:t>
      </w:r>
      <w:r w:rsidRPr="00AB60F5">
        <w:rPr>
          <w:rStyle w:val="Textoennegrita"/>
          <w:rFonts w:ascii="Verdana" w:hAnsi="Verdana"/>
          <w:b w:val="0"/>
          <w:i/>
          <w:color w:val="000000"/>
          <w:sz w:val="16"/>
          <w:szCs w:val="16"/>
          <w:shd w:val="clear" w:color="auto" w:fill="FFFFFF"/>
        </w:rPr>
        <w:t xml:space="preserve">Caso Comunidad Indígena </w:t>
      </w:r>
      <w:proofErr w:type="spellStart"/>
      <w:r w:rsidRPr="00AB60F5">
        <w:rPr>
          <w:rStyle w:val="Textoennegrita"/>
          <w:rFonts w:ascii="Verdana" w:hAnsi="Verdana"/>
          <w:b w:val="0"/>
          <w:i/>
          <w:color w:val="000000"/>
          <w:sz w:val="16"/>
          <w:szCs w:val="16"/>
          <w:shd w:val="clear" w:color="auto" w:fill="FFFFFF"/>
        </w:rPr>
        <w:t>Sawhoyamaxa</w:t>
      </w:r>
      <w:proofErr w:type="spellEnd"/>
      <w:r w:rsidRPr="00AB60F5">
        <w:rPr>
          <w:rStyle w:val="Textoennegrita"/>
          <w:rFonts w:ascii="Verdana" w:hAnsi="Verdana"/>
          <w:b w:val="0"/>
          <w:i/>
          <w:color w:val="000000"/>
          <w:sz w:val="16"/>
          <w:szCs w:val="16"/>
          <w:shd w:val="clear" w:color="auto" w:fill="FFFFFF"/>
        </w:rPr>
        <w:t xml:space="preserve"> Vs. Paraguay. Fondo, Reparaciones y Costas</w:t>
      </w:r>
      <w:r w:rsidRPr="00AB60F5">
        <w:rPr>
          <w:rStyle w:val="Textoennegrita"/>
          <w:rFonts w:ascii="Verdana" w:hAnsi="Verdana"/>
          <w:b w:val="0"/>
          <w:color w:val="000000"/>
          <w:sz w:val="16"/>
          <w:szCs w:val="16"/>
          <w:shd w:val="clear" w:color="auto" w:fill="FFFFFF"/>
        </w:rPr>
        <w:t>. Sentencia de 29 de marzo de 2006. Serie C No. 146.</w:t>
      </w:r>
      <w:r w:rsidRPr="00AB60F5">
        <w:rPr>
          <w:rStyle w:val="Textoennegrita"/>
          <w:rFonts w:ascii="Verdana" w:hAnsi="Verdana"/>
          <w:color w:val="000000"/>
          <w:sz w:val="16"/>
          <w:szCs w:val="16"/>
          <w:shd w:val="clear" w:color="auto" w:fill="FFFFFF"/>
        </w:rPr>
        <w:t xml:space="preserve"> </w:t>
      </w:r>
      <w:r w:rsidRPr="00AB60F5">
        <w:rPr>
          <w:rFonts w:ascii="Verdana" w:hAnsi="Verdana"/>
          <w:sz w:val="16"/>
          <w:szCs w:val="16"/>
        </w:rPr>
        <w:t xml:space="preserve">El texto íntegro de </w:t>
      </w:r>
      <w:r w:rsidRPr="002C4657">
        <w:rPr>
          <w:rFonts w:ascii="Verdana" w:hAnsi="Verdana"/>
          <w:sz w:val="16"/>
          <w:szCs w:val="16"/>
        </w:rPr>
        <w:t>la Sentencia se encuentra disponible en</w:t>
      </w:r>
      <w:r w:rsidRPr="002C4657">
        <w:rPr>
          <w:rStyle w:val="Textoennegrita"/>
          <w:rFonts w:ascii="Verdana" w:hAnsi="Verdana"/>
          <w:b w:val="0"/>
          <w:color w:val="000000"/>
          <w:sz w:val="16"/>
          <w:szCs w:val="16"/>
          <w:shd w:val="clear" w:color="auto" w:fill="FFFFFF"/>
        </w:rPr>
        <w:t xml:space="preserve">: </w:t>
      </w:r>
      <w:hyperlink r:id="rId2" w:history="1">
        <w:r w:rsidRPr="002C4657">
          <w:rPr>
            <w:rStyle w:val="Hipervnculo"/>
            <w:rFonts w:ascii="Verdana" w:hAnsi="Verdana"/>
            <w:sz w:val="16"/>
            <w:szCs w:val="16"/>
            <w:shd w:val="clear" w:color="auto" w:fill="FFFFFF"/>
          </w:rPr>
          <w:t>http://www.corteidh.or.cr/docs/casos/articulos/seriec_146_esp2.pdf</w:t>
        </w:r>
      </w:hyperlink>
      <w:r w:rsidRPr="002C4657">
        <w:rPr>
          <w:rFonts w:ascii="Verdana" w:hAnsi="Verdana"/>
          <w:sz w:val="16"/>
          <w:szCs w:val="16"/>
        </w:rPr>
        <w:t xml:space="preserve">. </w:t>
      </w:r>
      <w:r w:rsidRPr="002C4657">
        <w:rPr>
          <w:rStyle w:val="Textoennegrita"/>
          <w:rFonts w:ascii="Verdana" w:hAnsi="Verdana"/>
          <w:b w:val="0"/>
          <w:color w:val="000000"/>
          <w:sz w:val="16"/>
          <w:szCs w:val="16"/>
          <w:shd w:val="clear" w:color="auto" w:fill="FFFFFF"/>
          <w:lang w:val="es-CO"/>
        </w:rPr>
        <w:t xml:space="preserve">La </w:t>
      </w:r>
      <w:r w:rsidRPr="002C4657">
        <w:rPr>
          <w:rStyle w:val="Textoennegrita"/>
          <w:rFonts w:ascii="Verdana" w:hAnsi="Verdana"/>
          <w:b w:val="0"/>
          <w:color w:val="000000"/>
          <w:sz w:val="16"/>
          <w:szCs w:val="16"/>
          <w:shd w:val="clear" w:color="auto" w:fill="FFFFFF"/>
        </w:rPr>
        <w:t>Sentencia</w:t>
      </w:r>
      <w:r w:rsidRPr="002C4657">
        <w:rPr>
          <w:rStyle w:val="Textoennegrita"/>
          <w:rFonts w:ascii="Verdana" w:hAnsi="Verdana"/>
          <w:b w:val="0"/>
          <w:color w:val="000000"/>
          <w:sz w:val="16"/>
          <w:szCs w:val="16"/>
          <w:shd w:val="clear" w:color="auto" w:fill="FFFFFF"/>
          <w:lang w:val="es-CO"/>
        </w:rPr>
        <w:t xml:space="preserve"> fue notificada el 19 de mayo de 2006.</w:t>
      </w:r>
      <w:r w:rsidRPr="00AB60F5">
        <w:rPr>
          <w:rStyle w:val="Textoennegrita"/>
          <w:rFonts w:ascii="Verdana" w:hAnsi="Verdana"/>
          <w:b w:val="0"/>
          <w:color w:val="000000"/>
          <w:sz w:val="16"/>
          <w:szCs w:val="16"/>
          <w:shd w:val="clear" w:color="auto" w:fill="FFFFFF"/>
        </w:rPr>
        <w:t xml:space="preserve">   </w:t>
      </w:r>
    </w:p>
  </w:footnote>
  <w:footnote w:id="3">
    <w:p w:rsidR="00FA194C" w:rsidRDefault="00FA194C" w:rsidP="00AB60F5">
      <w:pPr>
        <w:pStyle w:val="Textonotapie"/>
        <w:ind w:right="4"/>
        <w:jc w:val="both"/>
        <w:rPr>
          <w:rFonts w:ascii="Verdana" w:hAnsi="Verdana"/>
          <w:sz w:val="16"/>
          <w:szCs w:val="16"/>
        </w:rPr>
      </w:pPr>
      <w:r w:rsidRPr="00AB60F5">
        <w:rPr>
          <w:rStyle w:val="Refdenotaalpie"/>
          <w:rFonts w:ascii="Verdana" w:hAnsi="Verdana"/>
          <w:sz w:val="16"/>
          <w:szCs w:val="16"/>
        </w:rPr>
        <w:footnoteRef/>
      </w:r>
      <w:r w:rsidRPr="00AB60F5">
        <w:rPr>
          <w:rFonts w:ascii="Verdana" w:hAnsi="Verdana"/>
          <w:sz w:val="16"/>
          <w:szCs w:val="16"/>
        </w:rPr>
        <w:t xml:space="preserve"> </w:t>
      </w:r>
      <w:r w:rsidRPr="00AB60F5">
        <w:rPr>
          <w:rFonts w:ascii="Verdana" w:hAnsi="Verdana"/>
          <w:sz w:val="16"/>
          <w:szCs w:val="16"/>
        </w:rPr>
        <w:tab/>
      </w:r>
      <w:r w:rsidRPr="00AB60F5">
        <w:rPr>
          <w:rFonts w:ascii="Verdana" w:hAnsi="Verdana"/>
          <w:i/>
          <w:sz w:val="16"/>
          <w:szCs w:val="16"/>
        </w:rPr>
        <w:t xml:space="preserve">Cfr. </w:t>
      </w:r>
      <w:r w:rsidRPr="00AB60F5">
        <w:rPr>
          <w:rStyle w:val="Textoennegrita"/>
          <w:rFonts w:ascii="Verdana" w:hAnsi="Verdana"/>
          <w:b w:val="0"/>
          <w:i/>
          <w:color w:val="000000"/>
          <w:sz w:val="16"/>
          <w:szCs w:val="16"/>
          <w:shd w:val="clear" w:color="auto" w:fill="FFFFFF"/>
        </w:rPr>
        <w:t xml:space="preserve">Caso Comunidad Indígena </w:t>
      </w:r>
      <w:proofErr w:type="spellStart"/>
      <w:r w:rsidRPr="00AB60F5">
        <w:rPr>
          <w:rStyle w:val="Textoennegrita"/>
          <w:rFonts w:ascii="Verdana" w:hAnsi="Verdana"/>
          <w:b w:val="0"/>
          <w:i/>
          <w:color w:val="000000"/>
          <w:sz w:val="16"/>
          <w:szCs w:val="16"/>
          <w:shd w:val="clear" w:color="auto" w:fill="FFFFFF"/>
        </w:rPr>
        <w:t>Xákmok</w:t>
      </w:r>
      <w:proofErr w:type="spellEnd"/>
      <w:r w:rsidRPr="00AB60F5">
        <w:rPr>
          <w:rStyle w:val="Textoennegrita"/>
          <w:rFonts w:ascii="Verdana" w:hAnsi="Verdana"/>
          <w:b w:val="0"/>
          <w:i/>
          <w:color w:val="000000"/>
          <w:sz w:val="16"/>
          <w:szCs w:val="16"/>
          <w:shd w:val="clear" w:color="auto" w:fill="FFFFFF"/>
        </w:rPr>
        <w:t xml:space="preserve"> </w:t>
      </w:r>
      <w:proofErr w:type="spellStart"/>
      <w:r w:rsidRPr="00AB60F5">
        <w:rPr>
          <w:rStyle w:val="Textoennegrita"/>
          <w:rFonts w:ascii="Verdana" w:hAnsi="Verdana"/>
          <w:b w:val="0"/>
          <w:i/>
          <w:color w:val="000000"/>
          <w:sz w:val="16"/>
          <w:szCs w:val="16"/>
          <w:shd w:val="clear" w:color="auto" w:fill="FFFFFF"/>
        </w:rPr>
        <w:t>Kásek</w:t>
      </w:r>
      <w:proofErr w:type="spellEnd"/>
      <w:r w:rsidRPr="00AB60F5">
        <w:rPr>
          <w:rStyle w:val="Textoennegrita"/>
          <w:rFonts w:ascii="Verdana" w:hAnsi="Verdana"/>
          <w:b w:val="0"/>
          <w:i/>
          <w:color w:val="000000"/>
          <w:sz w:val="16"/>
          <w:szCs w:val="16"/>
          <w:shd w:val="clear" w:color="auto" w:fill="FFFFFF"/>
        </w:rPr>
        <w:t>. Vs. Paraguay.</w:t>
      </w:r>
      <w:r w:rsidRPr="00AB60F5">
        <w:rPr>
          <w:rStyle w:val="Textoennegrita"/>
          <w:rFonts w:ascii="Verdana" w:hAnsi="Verdana"/>
          <w:b w:val="0"/>
          <w:color w:val="000000"/>
          <w:sz w:val="16"/>
          <w:szCs w:val="16"/>
          <w:shd w:val="clear" w:color="auto" w:fill="FFFFFF"/>
        </w:rPr>
        <w:t xml:space="preserve"> </w:t>
      </w:r>
      <w:r w:rsidRPr="00AB60F5">
        <w:rPr>
          <w:rStyle w:val="Textoennegrita"/>
          <w:rFonts w:ascii="Verdana" w:hAnsi="Verdana"/>
          <w:b w:val="0"/>
          <w:i/>
          <w:color w:val="000000"/>
          <w:sz w:val="16"/>
          <w:szCs w:val="16"/>
          <w:shd w:val="clear" w:color="auto" w:fill="FFFFFF"/>
        </w:rPr>
        <w:t>Fondo, Reparaciones y Costas.</w:t>
      </w:r>
      <w:r w:rsidRPr="00AB60F5">
        <w:rPr>
          <w:rStyle w:val="Textoennegrita"/>
          <w:rFonts w:ascii="Verdana" w:hAnsi="Verdana"/>
          <w:b w:val="0"/>
          <w:color w:val="000000"/>
          <w:sz w:val="16"/>
          <w:szCs w:val="16"/>
          <w:shd w:val="clear" w:color="auto" w:fill="FFFFFF"/>
        </w:rPr>
        <w:t xml:space="preserve"> Sentencia de 24 de agosto de 2010 Serie C No. 214. </w:t>
      </w:r>
      <w:r w:rsidRPr="00AB60F5">
        <w:rPr>
          <w:rFonts w:ascii="Verdana" w:hAnsi="Verdana"/>
          <w:sz w:val="16"/>
          <w:szCs w:val="16"/>
        </w:rPr>
        <w:t xml:space="preserve">El texto íntegro de la </w:t>
      </w:r>
      <w:r w:rsidRPr="002C4657">
        <w:rPr>
          <w:rFonts w:ascii="Verdana" w:hAnsi="Verdana"/>
          <w:sz w:val="16"/>
          <w:szCs w:val="16"/>
        </w:rPr>
        <w:t>Sentencia se encuentra disponible en</w:t>
      </w:r>
      <w:r w:rsidRPr="002C4657">
        <w:rPr>
          <w:rStyle w:val="Textoennegrita"/>
          <w:rFonts w:ascii="Verdana" w:hAnsi="Verdana"/>
          <w:b w:val="0"/>
          <w:color w:val="000000"/>
          <w:sz w:val="16"/>
          <w:szCs w:val="16"/>
          <w:shd w:val="clear" w:color="auto" w:fill="FFFFFF"/>
        </w:rPr>
        <w:t>:</w:t>
      </w:r>
      <w:r w:rsidRPr="002C4657">
        <w:rPr>
          <w:rFonts w:ascii="Verdana" w:hAnsi="Verdana"/>
          <w:sz w:val="16"/>
          <w:szCs w:val="16"/>
        </w:rPr>
        <w:t xml:space="preserve"> </w:t>
      </w:r>
      <w:hyperlink r:id="rId3" w:history="1">
        <w:r w:rsidRPr="002C4657">
          <w:rPr>
            <w:rStyle w:val="Hipervnculo"/>
            <w:rFonts w:ascii="Verdana" w:hAnsi="Verdana"/>
            <w:sz w:val="16"/>
            <w:szCs w:val="16"/>
            <w:shd w:val="clear" w:color="auto" w:fill="FFFFFF"/>
          </w:rPr>
          <w:t>http://www.corteidh.or.cr/docs/casos/articulos/seriec_214_esp.pdf</w:t>
        </w:r>
      </w:hyperlink>
      <w:r w:rsidRPr="002C4657">
        <w:rPr>
          <w:rFonts w:ascii="Verdana" w:hAnsi="Verdana"/>
          <w:sz w:val="16"/>
          <w:szCs w:val="16"/>
        </w:rPr>
        <w:t xml:space="preserve">. </w:t>
      </w:r>
      <w:r w:rsidRPr="002C4657">
        <w:rPr>
          <w:rStyle w:val="Textoennegrita"/>
          <w:rFonts w:ascii="Verdana" w:hAnsi="Verdana"/>
          <w:b w:val="0"/>
          <w:color w:val="000000"/>
          <w:sz w:val="16"/>
          <w:szCs w:val="16"/>
          <w:shd w:val="clear" w:color="auto" w:fill="FFFFFF"/>
          <w:lang w:val="es-CO"/>
        </w:rPr>
        <w:t xml:space="preserve">La </w:t>
      </w:r>
      <w:r w:rsidRPr="002C4657">
        <w:rPr>
          <w:rStyle w:val="Textoennegrita"/>
          <w:rFonts w:ascii="Verdana" w:hAnsi="Verdana"/>
          <w:b w:val="0"/>
          <w:color w:val="000000"/>
          <w:sz w:val="16"/>
          <w:szCs w:val="16"/>
          <w:shd w:val="clear" w:color="auto" w:fill="FFFFFF"/>
        </w:rPr>
        <w:t>Sentencia</w:t>
      </w:r>
      <w:r w:rsidRPr="002C4657">
        <w:rPr>
          <w:rStyle w:val="Textoennegrita"/>
          <w:rFonts w:ascii="Verdana" w:hAnsi="Verdana"/>
          <w:b w:val="0"/>
          <w:color w:val="000000"/>
          <w:sz w:val="16"/>
          <w:szCs w:val="16"/>
          <w:shd w:val="clear" w:color="auto" w:fill="FFFFFF"/>
          <w:lang w:val="es-CO"/>
        </w:rPr>
        <w:t xml:space="preserve"> fue notificada el 23 de septiembre de 2010.</w:t>
      </w:r>
      <w:r>
        <w:rPr>
          <w:rStyle w:val="Textoennegrita"/>
          <w:rFonts w:ascii="Verdana" w:hAnsi="Verdana"/>
          <w:b w:val="0"/>
          <w:color w:val="000000"/>
          <w:sz w:val="16"/>
          <w:szCs w:val="16"/>
          <w:shd w:val="clear" w:color="auto" w:fill="FFFFFF"/>
        </w:rPr>
        <w:t xml:space="preserve"> </w:t>
      </w:r>
    </w:p>
  </w:footnote>
  <w:footnote w:id="4">
    <w:p w:rsidR="00FA194C" w:rsidRDefault="00FA194C" w:rsidP="00AB60F5">
      <w:pPr>
        <w:pStyle w:val="Textonotapie"/>
        <w:ind w:right="4"/>
        <w:jc w:val="both"/>
        <w:rPr>
          <w:rFonts w:ascii="Verdana" w:hAnsi="Verdana" w:cs="Times New Roman"/>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cs="Arial"/>
          <w:sz w:val="16"/>
          <w:szCs w:val="16"/>
        </w:rPr>
        <w:t>E</w:t>
      </w:r>
      <w:r>
        <w:rPr>
          <w:rFonts w:ascii="Verdana" w:hAnsi="Verdana" w:cs="Arial"/>
          <w:sz w:val="16"/>
          <w:szCs w:val="16"/>
          <w:lang w:val="es-CR"/>
        </w:rPr>
        <w:t xml:space="preserve">n la que se pronunció sobre el sentido y alcance de lo dispuesto en los puntos resolutivos de la Sentencia referidos a la identificación, entrega y titulación de las tierras tradicionales. </w:t>
      </w:r>
      <w:r>
        <w:rPr>
          <w:rFonts w:ascii="Verdana" w:hAnsi="Verdana" w:cs="Arial"/>
          <w:i/>
          <w:sz w:val="16"/>
          <w:szCs w:val="16"/>
          <w:lang w:val="es-CR"/>
        </w:rPr>
        <w:t>Cfr.</w:t>
      </w:r>
      <w:r>
        <w:rPr>
          <w:rFonts w:ascii="Verdana" w:hAnsi="Verdana" w:cs="Arial"/>
          <w:sz w:val="16"/>
          <w:szCs w:val="16"/>
          <w:lang w:val="es-CR"/>
        </w:rPr>
        <w:t xml:space="preserve"> </w:t>
      </w:r>
      <w:r>
        <w:rPr>
          <w:rFonts w:ascii="Verdana" w:hAnsi="Verdana" w:cs="Arial"/>
          <w:i/>
          <w:sz w:val="16"/>
          <w:szCs w:val="16"/>
          <w:lang w:val="es-CR"/>
        </w:rPr>
        <w:t xml:space="preserve">Caso Comunidad Indígena </w:t>
      </w:r>
      <w:proofErr w:type="spellStart"/>
      <w:r>
        <w:rPr>
          <w:rFonts w:ascii="Verdana" w:hAnsi="Verdana" w:cs="Arial"/>
          <w:i/>
          <w:sz w:val="16"/>
          <w:szCs w:val="16"/>
          <w:lang w:val="es-CR"/>
        </w:rPr>
        <w:t>Yakye</w:t>
      </w:r>
      <w:proofErr w:type="spellEnd"/>
      <w:r>
        <w:rPr>
          <w:rFonts w:ascii="Verdana" w:hAnsi="Verdana" w:cs="Arial"/>
          <w:i/>
          <w:sz w:val="16"/>
          <w:szCs w:val="16"/>
          <w:lang w:val="es-CR"/>
        </w:rPr>
        <w:t xml:space="preserve"> Axa Vs. Paraguay</w:t>
      </w:r>
      <w:r>
        <w:rPr>
          <w:rFonts w:ascii="Verdana" w:hAnsi="Verdana" w:cs="Arial"/>
          <w:sz w:val="16"/>
          <w:szCs w:val="16"/>
          <w:lang w:val="es-CR"/>
        </w:rPr>
        <w:t xml:space="preserve">. Interpretación de la Sentencia de Fondo, Reparaciones y Costas. Sentencia de 6 de febrero de 2006. Serie C No. 142. El texto íntegro de dicha decisión se encuentra disponible en: </w:t>
      </w:r>
      <w:hyperlink r:id="rId4" w:history="1">
        <w:r>
          <w:rPr>
            <w:rStyle w:val="Hipervnculo"/>
            <w:rFonts w:ascii="Verdana" w:hAnsi="Verdana" w:cs="Arial"/>
            <w:sz w:val="16"/>
            <w:szCs w:val="16"/>
            <w:lang w:val="es-CR"/>
          </w:rPr>
          <w:t>http://www.corteidh.or.cr/docs/casos/articulos/seriec_142_esp.pdf</w:t>
        </w:r>
      </w:hyperlink>
      <w:r>
        <w:rPr>
          <w:rFonts w:ascii="Verdana" w:hAnsi="Verdana" w:cs="Arial"/>
          <w:sz w:val="16"/>
          <w:szCs w:val="16"/>
          <w:lang w:val="es-CR"/>
        </w:rPr>
        <w:t xml:space="preserve"> </w:t>
      </w:r>
    </w:p>
  </w:footnote>
  <w:footnote w:id="5">
    <w:p w:rsidR="00FA194C" w:rsidRPr="009965E0" w:rsidRDefault="00FA194C">
      <w:pPr>
        <w:pStyle w:val="Textonotapie"/>
        <w:rPr>
          <w:rFonts w:ascii="Verdana" w:hAnsi="Verdana"/>
          <w:sz w:val="16"/>
          <w:szCs w:val="16"/>
        </w:rPr>
      </w:pPr>
      <w:r w:rsidRPr="009965E0">
        <w:rPr>
          <w:rStyle w:val="Refdenotaalpie"/>
          <w:rFonts w:ascii="Verdana" w:hAnsi="Verdana"/>
          <w:sz w:val="16"/>
          <w:szCs w:val="16"/>
        </w:rPr>
        <w:footnoteRef/>
      </w:r>
      <w:r w:rsidRPr="009965E0">
        <w:rPr>
          <w:rFonts w:ascii="Verdana" w:hAnsi="Verdana"/>
          <w:sz w:val="16"/>
          <w:szCs w:val="16"/>
        </w:rPr>
        <w:t xml:space="preserve"> </w:t>
      </w:r>
      <w:r w:rsidRPr="009965E0">
        <w:rPr>
          <w:rFonts w:ascii="Verdana" w:hAnsi="Verdana"/>
          <w:sz w:val="16"/>
          <w:szCs w:val="16"/>
        </w:rPr>
        <w:tab/>
      </w:r>
      <w:r>
        <w:rPr>
          <w:rFonts w:ascii="Verdana" w:hAnsi="Verdana"/>
          <w:i/>
          <w:sz w:val="16"/>
          <w:szCs w:val="16"/>
        </w:rPr>
        <w:t xml:space="preserve">Cfr. </w:t>
      </w:r>
      <w:r w:rsidRPr="002C4657">
        <w:rPr>
          <w:rFonts w:ascii="Verdana" w:hAnsi="Verdana"/>
          <w:i/>
          <w:sz w:val="16"/>
          <w:szCs w:val="16"/>
        </w:rPr>
        <w:t xml:space="preserve">Casos de las Comunidades Indígenas </w:t>
      </w:r>
      <w:proofErr w:type="spellStart"/>
      <w:r w:rsidRPr="002C4657">
        <w:rPr>
          <w:rFonts w:ascii="Verdana" w:hAnsi="Verdana"/>
          <w:i/>
          <w:sz w:val="16"/>
          <w:szCs w:val="16"/>
        </w:rPr>
        <w:t>Yakye</w:t>
      </w:r>
      <w:proofErr w:type="spellEnd"/>
      <w:r w:rsidRPr="002C4657">
        <w:rPr>
          <w:rFonts w:ascii="Verdana" w:hAnsi="Verdana"/>
          <w:i/>
          <w:sz w:val="16"/>
          <w:szCs w:val="16"/>
        </w:rPr>
        <w:t xml:space="preserve"> Axa, </w:t>
      </w:r>
      <w:proofErr w:type="spellStart"/>
      <w:r w:rsidRPr="002C4657">
        <w:rPr>
          <w:rFonts w:ascii="Verdana" w:hAnsi="Verdana"/>
          <w:i/>
          <w:sz w:val="16"/>
          <w:szCs w:val="16"/>
        </w:rPr>
        <w:t>Sawhoyamaxa</w:t>
      </w:r>
      <w:proofErr w:type="spellEnd"/>
      <w:r w:rsidRPr="002C4657">
        <w:rPr>
          <w:rFonts w:ascii="Verdana" w:hAnsi="Verdana"/>
          <w:i/>
          <w:sz w:val="16"/>
          <w:szCs w:val="16"/>
        </w:rPr>
        <w:t xml:space="preserve"> y </w:t>
      </w:r>
      <w:proofErr w:type="spellStart"/>
      <w:r w:rsidRPr="002C4657">
        <w:rPr>
          <w:rFonts w:ascii="Verdana" w:hAnsi="Verdana"/>
          <w:i/>
          <w:sz w:val="16"/>
          <w:szCs w:val="16"/>
        </w:rPr>
        <w:t>Xákmok</w:t>
      </w:r>
      <w:proofErr w:type="spellEnd"/>
      <w:r w:rsidRPr="002C4657">
        <w:rPr>
          <w:rFonts w:ascii="Verdana" w:hAnsi="Verdana"/>
          <w:i/>
          <w:sz w:val="16"/>
          <w:szCs w:val="16"/>
        </w:rPr>
        <w:t xml:space="preserve"> </w:t>
      </w:r>
      <w:proofErr w:type="spellStart"/>
      <w:r w:rsidRPr="002C4657">
        <w:rPr>
          <w:rFonts w:ascii="Verdana" w:hAnsi="Verdana"/>
          <w:i/>
          <w:sz w:val="16"/>
          <w:szCs w:val="16"/>
        </w:rPr>
        <w:t>Kásek</w:t>
      </w:r>
      <w:proofErr w:type="spellEnd"/>
      <w:r w:rsidRPr="002C4657">
        <w:rPr>
          <w:rFonts w:ascii="Verdana" w:hAnsi="Verdana"/>
          <w:i/>
          <w:sz w:val="16"/>
          <w:szCs w:val="16"/>
        </w:rPr>
        <w:t xml:space="preserve"> Vs. Paraguay.</w:t>
      </w:r>
      <w:r w:rsidRPr="002C4657">
        <w:rPr>
          <w:rFonts w:ascii="Verdana" w:hAnsi="Verdana"/>
          <w:sz w:val="16"/>
          <w:szCs w:val="16"/>
        </w:rPr>
        <w:t xml:space="preserve"> Supervisión de Cumplimiento de Sentencia. Resolución de la Corte Interamericana de Derec</w:t>
      </w:r>
      <w:r>
        <w:rPr>
          <w:rFonts w:ascii="Verdana" w:hAnsi="Verdana"/>
          <w:sz w:val="16"/>
          <w:szCs w:val="16"/>
        </w:rPr>
        <w:t xml:space="preserve">hos Humanos de 24 junio de 2015, disponible en: </w:t>
      </w:r>
      <w:hyperlink r:id="rId5" w:history="1">
        <w:r w:rsidRPr="002430F7">
          <w:rPr>
            <w:rStyle w:val="Hipervnculo"/>
            <w:rFonts w:ascii="Verdana" w:hAnsi="Verdana"/>
            <w:sz w:val="16"/>
            <w:szCs w:val="16"/>
          </w:rPr>
          <w:t>http://www.corteidh.or.cr/docs/supervisiones/yakie_24_06_15.pdf</w:t>
        </w:r>
      </w:hyperlink>
      <w:r>
        <w:rPr>
          <w:rFonts w:ascii="Verdana" w:hAnsi="Verdana"/>
          <w:sz w:val="16"/>
          <w:szCs w:val="16"/>
        </w:rPr>
        <w:t xml:space="preserve"> .</w:t>
      </w:r>
    </w:p>
  </w:footnote>
  <w:footnote w:id="6">
    <w:p w:rsidR="00FA194C" w:rsidRPr="002F459D" w:rsidRDefault="00FA194C" w:rsidP="00FC52BE">
      <w:pPr>
        <w:pStyle w:val="Textonotapie"/>
        <w:ind w:right="4"/>
        <w:jc w:val="both"/>
        <w:rPr>
          <w:rFonts w:ascii="Verdana" w:hAnsi="Verdana"/>
          <w:sz w:val="16"/>
          <w:szCs w:val="16"/>
          <w:lang w:val="es-CR"/>
        </w:rPr>
      </w:pPr>
      <w:r w:rsidRPr="002F459D">
        <w:rPr>
          <w:rStyle w:val="Refdenotaalpie"/>
          <w:rFonts w:ascii="Verdana" w:hAnsi="Verdana"/>
          <w:sz w:val="16"/>
          <w:szCs w:val="16"/>
        </w:rPr>
        <w:footnoteRef/>
      </w:r>
      <w:r w:rsidRPr="002F459D">
        <w:rPr>
          <w:rFonts w:ascii="Verdana" w:hAnsi="Verdana"/>
          <w:sz w:val="16"/>
          <w:szCs w:val="16"/>
        </w:rPr>
        <w:t xml:space="preserve"> </w:t>
      </w:r>
      <w:r w:rsidRPr="002F459D">
        <w:rPr>
          <w:rFonts w:ascii="Verdana" w:hAnsi="Verdana"/>
          <w:sz w:val="16"/>
          <w:szCs w:val="16"/>
        </w:rPr>
        <w:tab/>
      </w:r>
      <w:r>
        <w:rPr>
          <w:rFonts w:ascii="Verdana" w:hAnsi="Verdana"/>
          <w:sz w:val="16"/>
          <w:szCs w:val="16"/>
        </w:rPr>
        <w:t xml:space="preserve">La </w:t>
      </w:r>
      <w:r w:rsidRPr="002F459D">
        <w:rPr>
          <w:rFonts w:ascii="Verdana" w:hAnsi="Verdana"/>
          <w:sz w:val="16"/>
          <w:szCs w:val="16"/>
          <w:lang w:val="es-CR"/>
        </w:rPr>
        <w:t xml:space="preserve">Organización </w:t>
      </w:r>
      <w:proofErr w:type="spellStart"/>
      <w:r w:rsidRPr="002F459D">
        <w:rPr>
          <w:rFonts w:ascii="Verdana" w:hAnsi="Verdana"/>
          <w:sz w:val="16"/>
          <w:szCs w:val="16"/>
          <w:lang w:val="es-CR"/>
        </w:rPr>
        <w:t>TierraViva</w:t>
      </w:r>
      <w:proofErr w:type="spellEnd"/>
      <w:r w:rsidRPr="002F459D">
        <w:rPr>
          <w:rFonts w:ascii="Verdana" w:hAnsi="Verdana"/>
          <w:sz w:val="16"/>
          <w:szCs w:val="16"/>
          <w:lang w:val="es-CR"/>
        </w:rPr>
        <w:t xml:space="preserve"> y el Centro por la Justicia y el Derecho Internacional (CEJIL)</w:t>
      </w:r>
      <w:r>
        <w:rPr>
          <w:rFonts w:ascii="Verdana" w:hAnsi="Verdana"/>
          <w:sz w:val="16"/>
          <w:szCs w:val="16"/>
          <w:lang w:val="es-CR"/>
        </w:rPr>
        <w:t xml:space="preserve"> representan a las víctimas en los tres casos</w:t>
      </w:r>
      <w:r w:rsidRPr="002F459D">
        <w:rPr>
          <w:rFonts w:ascii="Verdana" w:hAnsi="Verdana"/>
          <w:sz w:val="16"/>
          <w:szCs w:val="16"/>
          <w:lang w:val="es-CR"/>
        </w:rPr>
        <w:t>.</w:t>
      </w:r>
    </w:p>
  </w:footnote>
  <w:footnote w:id="7">
    <w:p w:rsidR="00FA194C" w:rsidRDefault="00FA194C" w:rsidP="00F8478C">
      <w:pPr>
        <w:pStyle w:val="Textonotapie"/>
        <w:ind w:right="4"/>
        <w:jc w:val="both"/>
        <w:rPr>
          <w:rFonts w:ascii="Verdana" w:hAnsi="Verdana" w:cs="Times New Roman"/>
          <w:sz w:val="16"/>
          <w:szCs w:val="16"/>
          <w:lang w:eastAsia="x-none"/>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8">
    <w:p w:rsidR="00316A20" w:rsidRPr="009965E0" w:rsidRDefault="00316A20" w:rsidP="00316A20">
      <w:pPr>
        <w:pStyle w:val="Textonotapie"/>
        <w:jc w:val="both"/>
        <w:rPr>
          <w:rFonts w:ascii="Verdana" w:hAnsi="Verdana"/>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t xml:space="preserve">En dicha Resolución la Corte constató que el Estado cumplió con su obligación de “remover los obstáculos formales para la titulación de las 1.500 hectáreas en ‘25 de Febrero’ a favor de la comunidad </w:t>
      </w:r>
      <w:proofErr w:type="spellStart"/>
      <w:r w:rsidRPr="00CD664D">
        <w:rPr>
          <w:rFonts w:ascii="Verdana" w:hAnsi="Verdana"/>
          <w:i/>
          <w:sz w:val="16"/>
          <w:szCs w:val="16"/>
        </w:rPr>
        <w:t>Xákmok</w:t>
      </w:r>
      <w:proofErr w:type="spellEnd"/>
      <w:r w:rsidRPr="00CD664D">
        <w:rPr>
          <w:rFonts w:ascii="Verdana" w:hAnsi="Verdana"/>
          <w:i/>
          <w:sz w:val="16"/>
          <w:szCs w:val="16"/>
        </w:rPr>
        <w:t xml:space="preserve"> </w:t>
      </w:r>
      <w:proofErr w:type="spellStart"/>
      <w:r w:rsidRPr="00CD664D">
        <w:rPr>
          <w:rFonts w:ascii="Verdana" w:hAnsi="Verdana"/>
          <w:i/>
          <w:sz w:val="16"/>
          <w:szCs w:val="16"/>
        </w:rPr>
        <w:t>Kásek</w:t>
      </w:r>
      <w:proofErr w:type="spellEnd"/>
      <w:r w:rsidRPr="00CD664D">
        <w:rPr>
          <w:rFonts w:ascii="Verdana" w:hAnsi="Verdana"/>
          <w:sz w:val="16"/>
          <w:szCs w:val="16"/>
        </w:rPr>
        <w:t>”, dispuesta en el punto resolutivo 14 de la Sentencia correspondiente a dicho caso.</w:t>
      </w:r>
      <w:r w:rsidRPr="009965E0">
        <w:rPr>
          <w:rFonts w:ascii="Verdana" w:hAnsi="Verdana"/>
          <w:sz w:val="16"/>
          <w:szCs w:val="16"/>
        </w:rPr>
        <w:t xml:space="preserve"> </w:t>
      </w:r>
    </w:p>
  </w:footnote>
  <w:footnote w:id="9">
    <w:p w:rsidR="00FA194C" w:rsidRPr="00E45843" w:rsidRDefault="00FA194C" w:rsidP="00E45843">
      <w:pPr>
        <w:pStyle w:val="Textonotapie"/>
        <w:jc w:val="both"/>
        <w:rPr>
          <w:rFonts w:ascii="Verdana" w:hAnsi="Verdana"/>
          <w:sz w:val="16"/>
          <w:szCs w:val="16"/>
        </w:rPr>
      </w:pPr>
      <w:r w:rsidRPr="00E45843">
        <w:rPr>
          <w:rStyle w:val="Refdenotaalpie"/>
          <w:rFonts w:ascii="Verdana" w:hAnsi="Verdana"/>
          <w:sz w:val="16"/>
          <w:szCs w:val="16"/>
        </w:rPr>
        <w:footnoteRef/>
      </w:r>
      <w:r w:rsidRPr="00E45843">
        <w:rPr>
          <w:rFonts w:ascii="Verdana" w:hAnsi="Verdana"/>
          <w:sz w:val="16"/>
          <w:szCs w:val="16"/>
        </w:rPr>
        <w:t xml:space="preserve"> </w:t>
      </w:r>
      <w:r w:rsidRPr="00E45843">
        <w:rPr>
          <w:rFonts w:ascii="Verdana" w:hAnsi="Verdana"/>
          <w:sz w:val="16"/>
          <w:szCs w:val="16"/>
        </w:rPr>
        <w:tab/>
      </w:r>
      <w:r>
        <w:rPr>
          <w:rFonts w:ascii="Verdana" w:hAnsi="Verdana"/>
          <w:sz w:val="16"/>
          <w:szCs w:val="16"/>
        </w:rPr>
        <w:t>R</w:t>
      </w:r>
      <w:r w:rsidRPr="00E45843">
        <w:rPr>
          <w:rFonts w:ascii="Verdana" w:hAnsi="Verdana"/>
          <w:sz w:val="16"/>
          <w:szCs w:val="16"/>
        </w:rPr>
        <w:t>equirió a Paraguay que aporte la información solicitada en los Considerandos 16, 27, 36, 38, 40, 45, 49</w:t>
      </w:r>
      <w:r w:rsidR="00752486">
        <w:rPr>
          <w:rFonts w:ascii="Verdana" w:hAnsi="Verdana"/>
          <w:sz w:val="16"/>
          <w:szCs w:val="16"/>
        </w:rPr>
        <w:t xml:space="preserve"> y</w:t>
      </w:r>
      <w:r w:rsidRPr="00E45843">
        <w:rPr>
          <w:rFonts w:ascii="Verdana" w:hAnsi="Verdana"/>
          <w:sz w:val="16"/>
          <w:szCs w:val="16"/>
        </w:rPr>
        <w:t xml:space="preserve"> 50 de la referida Resolución (</w:t>
      </w:r>
      <w:r w:rsidRPr="00E45843">
        <w:rPr>
          <w:rFonts w:ascii="Verdana" w:hAnsi="Verdana"/>
          <w:i/>
          <w:sz w:val="16"/>
          <w:szCs w:val="16"/>
        </w:rPr>
        <w:t>infra</w:t>
      </w:r>
      <w:r w:rsidRPr="00E45843">
        <w:rPr>
          <w:rFonts w:ascii="Verdana" w:hAnsi="Verdana"/>
          <w:sz w:val="16"/>
          <w:szCs w:val="16"/>
        </w:rPr>
        <w:t xml:space="preserve"> Considerandos </w:t>
      </w:r>
      <w:r w:rsidR="00BB61E1">
        <w:rPr>
          <w:rFonts w:ascii="Verdana" w:hAnsi="Verdana"/>
          <w:sz w:val="16"/>
          <w:szCs w:val="16"/>
        </w:rPr>
        <w:fldChar w:fldCharType="begin"/>
      </w:r>
      <w:r w:rsidR="00BB61E1">
        <w:rPr>
          <w:rFonts w:ascii="Verdana" w:hAnsi="Verdana"/>
          <w:sz w:val="16"/>
          <w:szCs w:val="16"/>
        </w:rPr>
        <w:instrText xml:space="preserve"> REF _Ref456707949 \r \h </w:instrText>
      </w:r>
      <w:r w:rsidR="00BB61E1">
        <w:rPr>
          <w:rFonts w:ascii="Verdana" w:hAnsi="Verdana"/>
          <w:sz w:val="16"/>
          <w:szCs w:val="16"/>
        </w:rPr>
      </w:r>
      <w:r w:rsidR="00BB61E1">
        <w:rPr>
          <w:rFonts w:ascii="Verdana" w:hAnsi="Verdana"/>
          <w:sz w:val="16"/>
          <w:szCs w:val="16"/>
        </w:rPr>
        <w:fldChar w:fldCharType="separate"/>
      </w:r>
      <w:r w:rsidR="00717A33">
        <w:rPr>
          <w:rFonts w:ascii="Verdana" w:hAnsi="Verdana"/>
          <w:sz w:val="16"/>
          <w:szCs w:val="16"/>
        </w:rPr>
        <w:t>4</w:t>
      </w:r>
      <w:r w:rsidR="00BB61E1">
        <w:rPr>
          <w:rFonts w:ascii="Verdana" w:hAnsi="Verdana"/>
          <w:sz w:val="16"/>
          <w:szCs w:val="16"/>
        </w:rPr>
        <w:fldChar w:fldCharType="end"/>
      </w:r>
      <w:r w:rsidR="00BB61E1">
        <w:rPr>
          <w:rFonts w:ascii="Verdana" w:hAnsi="Verdana"/>
          <w:sz w:val="16"/>
          <w:szCs w:val="16"/>
        </w:rPr>
        <w:t xml:space="preserve">, </w:t>
      </w:r>
      <w:r w:rsidR="00BB61E1">
        <w:rPr>
          <w:rFonts w:ascii="Verdana" w:hAnsi="Verdana"/>
          <w:sz w:val="16"/>
          <w:szCs w:val="16"/>
        </w:rPr>
        <w:fldChar w:fldCharType="begin"/>
      </w:r>
      <w:r w:rsidR="00BB61E1">
        <w:rPr>
          <w:rFonts w:ascii="Verdana" w:hAnsi="Verdana"/>
          <w:sz w:val="16"/>
          <w:szCs w:val="16"/>
        </w:rPr>
        <w:instrText xml:space="preserve"> REF _Ref456708319 \r \h </w:instrText>
      </w:r>
      <w:r w:rsidR="00BB61E1">
        <w:rPr>
          <w:rFonts w:ascii="Verdana" w:hAnsi="Verdana"/>
          <w:sz w:val="16"/>
          <w:szCs w:val="16"/>
        </w:rPr>
      </w:r>
      <w:r w:rsidR="00BB61E1">
        <w:rPr>
          <w:rFonts w:ascii="Verdana" w:hAnsi="Verdana"/>
          <w:sz w:val="16"/>
          <w:szCs w:val="16"/>
        </w:rPr>
        <w:fldChar w:fldCharType="separate"/>
      </w:r>
      <w:r w:rsidR="00717A33">
        <w:rPr>
          <w:rFonts w:ascii="Verdana" w:hAnsi="Verdana"/>
          <w:sz w:val="16"/>
          <w:szCs w:val="16"/>
        </w:rPr>
        <w:t>7</w:t>
      </w:r>
      <w:r w:rsidR="00BB61E1">
        <w:rPr>
          <w:rFonts w:ascii="Verdana" w:hAnsi="Verdana"/>
          <w:sz w:val="16"/>
          <w:szCs w:val="16"/>
        </w:rPr>
        <w:fldChar w:fldCharType="end"/>
      </w:r>
      <w:r w:rsidR="00BB61E1">
        <w:rPr>
          <w:rFonts w:ascii="Verdana" w:hAnsi="Verdana"/>
          <w:sz w:val="16"/>
          <w:szCs w:val="16"/>
        </w:rPr>
        <w:t xml:space="preserve">, </w:t>
      </w:r>
      <w:r w:rsidR="00BB61E1">
        <w:rPr>
          <w:rFonts w:ascii="Verdana" w:hAnsi="Verdana"/>
          <w:sz w:val="16"/>
          <w:szCs w:val="16"/>
        </w:rPr>
        <w:fldChar w:fldCharType="begin"/>
      </w:r>
      <w:r w:rsidR="00BB61E1">
        <w:rPr>
          <w:rFonts w:ascii="Verdana" w:hAnsi="Verdana"/>
          <w:sz w:val="16"/>
          <w:szCs w:val="16"/>
        </w:rPr>
        <w:instrText xml:space="preserve"> REF _Ref456708327 \r \h </w:instrText>
      </w:r>
      <w:r w:rsidR="00BB61E1">
        <w:rPr>
          <w:rFonts w:ascii="Verdana" w:hAnsi="Verdana"/>
          <w:sz w:val="16"/>
          <w:szCs w:val="16"/>
        </w:rPr>
      </w:r>
      <w:r w:rsidR="00BB61E1">
        <w:rPr>
          <w:rFonts w:ascii="Verdana" w:hAnsi="Verdana"/>
          <w:sz w:val="16"/>
          <w:szCs w:val="16"/>
        </w:rPr>
        <w:fldChar w:fldCharType="separate"/>
      </w:r>
      <w:r w:rsidR="00717A33">
        <w:rPr>
          <w:rFonts w:ascii="Verdana" w:hAnsi="Verdana"/>
          <w:sz w:val="16"/>
          <w:szCs w:val="16"/>
        </w:rPr>
        <w:t>9</w:t>
      </w:r>
      <w:r w:rsidR="00BB61E1">
        <w:rPr>
          <w:rFonts w:ascii="Verdana" w:hAnsi="Verdana"/>
          <w:sz w:val="16"/>
          <w:szCs w:val="16"/>
        </w:rPr>
        <w:fldChar w:fldCharType="end"/>
      </w:r>
      <w:r w:rsidR="00BB61E1">
        <w:rPr>
          <w:rFonts w:ascii="Verdana" w:hAnsi="Verdana"/>
          <w:sz w:val="16"/>
          <w:szCs w:val="16"/>
        </w:rPr>
        <w:t xml:space="preserve">, </w:t>
      </w:r>
      <w:r w:rsidR="00BB61E1">
        <w:rPr>
          <w:rFonts w:ascii="Verdana" w:hAnsi="Verdana"/>
          <w:sz w:val="16"/>
          <w:szCs w:val="16"/>
        </w:rPr>
        <w:fldChar w:fldCharType="begin"/>
      </w:r>
      <w:r w:rsidR="00BB61E1">
        <w:rPr>
          <w:rFonts w:ascii="Verdana" w:hAnsi="Verdana"/>
          <w:sz w:val="16"/>
          <w:szCs w:val="16"/>
        </w:rPr>
        <w:instrText xml:space="preserve"> REF _Ref456708336 \r \h </w:instrText>
      </w:r>
      <w:r w:rsidR="00BB61E1">
        <w:rPr>
          <w:rFonts w:ascii="Verdana" w:hAnsi="Verdana"/>
          <w:sz w:val="16"/>
          <w:szCs w:val="16"/>
        </w:rPr>
      </w:r>
      <w:r w:rsidR="00BB61E1">
        <w:rPr>
          <w:rFonts w:ascii="Verdana" w:hAnsi="Verdana"/>
          <w:sz w:val="16"/>
          <w:szCs w:val="16"/>
        </w:rPr>
        <w:fldChar w:fldCharType="separate"/>
      </w:r>
      <w:r w:rsidR="00717A33">
        <w:rPr>
          <w:rFonts w:ascii="Verdana" w:hAnsi="Verdana"/>
          <w:sz w:val="16"/>
          <w:szCs w:val="16"/>
        </w:rPr>
        <w:t>11</w:t>
      </w:r>
      <w:r w:rsidR="00BB61E1">
        <w:rPr>
          <w:rFonts w:ascii="Verdana" w:hAnsi="Verdana"/>
          <w:sz w:val="16"/>
          <w:szCs w:val="16"/>
        </w:rPr>
        <w:fldChar w:fldCharType="end"/>
      </w:r>
      <w:r w:rsidRPr="00E45843">
        <w:rPr>
          <w:rFonts w:ascii="Verdana" w:hAnsi="Verdana"/>
          <w:sz w:val="16"/>
          <w:szCs w:val="16"/>
        </w:rPr>
        <w:t xml:space="preserve"> y </w:t>
      </w:r>
      <w:r w:rsidR="00BB61E1">
        <w:rPr>
          <w:rFonts w:ascii="Verdana" w:hAnsi="Verdana"/>
          <w:sz w:val="16"/>
          <w:szCs w:val="16"/>
        </w:rPr>
        <w:fldChar w:fldCharType="begin"/>
      </w:r>
      <w:r w:rsidR="00BB61E1">
        <w:rPr>
          <w:rFonts w:ascii="Verdana" w:hAnsi="Verdana"/>
          <w:sz w:val="16"/>
          <w:szCs w:val="16"/>
        </w:rPr>
        <w:instrText xml:space="preserve"> REF _Ref456707955 \r \h </w:instrText>
      </w:r>
      <w:r w:rsidR="00BB61E1">
        <w:rPr>
          <w:rFonts w:ascii="Verdana" w:hAnsi="Verdana"/>
          <w:sz w:val="16"/>
          <w:szCs w:val="16"/>
        </w:rPr>
      </w:r>
      <w:r w:rsidR="00BB61E1">
        <w:rPr>
          <w:rFonts w:ascii="Verdana" w:hAnsi="Verdana"/>
          <w:sz w:val="16"/>
          <w:szCs w:val="16"/>
        </w:rPr>
        <w:fldChar w:fldCharType="separate"/>
      </w:r>
      <w:r w:rsidR="00717A33">
        <w:rPr>
          <w:rFonts w:ascii="Verdana" w:hAnsi="Verdana"/>
          <w:sz w:val="16"/>
          <w:szCs w:val="16"/>
        </w:rPr>
        <w:t>12</w:t>
      </w:r>
      <w:r w:rsidR="00BB61E1">
        <w:rPr>
          <w:rFonts w:ascii="Verdana" w:hAnsi="Verdana"/>
          <w:sz w:val="16"/>
          <w:szCs w:val="16"/>
        </w:rPr>
        <w:fldChar w:fldCharType="end"/>
      </w:r>
      <w:r w:rsidRPr="00E45843">
        <w:rPr>
          <w:rFonts w:ascii="Verdana" w:hAnsi="Verdana"/>
          <w:sz w:val="16"/>
          <w:szCs w:val="16"/>
        </w:rPr>
        <w:t>)</w:t>
      </w:r>
      <w:r>
        <w:rPr>
          <w:rFonts w:ascii="Verdana" w:hAnsi="Verdana"/>
          <w:sz w:val="16"/>
          <w:szCs w:val="16"/>
        </w:rPr>
        <w:t>.</w:t>
      </w:r>
    </w:p>
  </w:footnote>
  <w:footnote w:id="10">
    <w:p w:rsidR="00FA194C" w:rsidRPr="00FA680A" w:rsidRDefault="00FA194C" w:rsidP="00F8478C">
      <w:pPr>
        <w:pStyle w:val="Textonotapie"/>
        <w:jc w:val="both"/>
        <w:rPr>
          <w:rFonts w:ascii="Verdana" w:hAnsi="Verdana"/>
          <w:i/>
          <w:sz w:val="16"/>
          <w:szCs w:val="16"/>
        </w:rPr>
      </w:pPr>
      <w:r>
        <w:rPr>
          <w:rStyle w:val="Refdenotaalpie"/>
          <w:rFonts w:ascii="Verdana" w:hAnsi="Verdana"/>
          <w:sz w:val="16"/>
          <w:szCs w:val="16"/>
        </w:rPr>
        <w:footnoteRef/>
      </w:r>
      <w:r>
        <w:rPr>
          <w:rFonts w:ascii="Verdana" w:hAnsi="Verdana"/>
          <w:b/>
          <w:sz w:val="16"/>
          <w:szCs w:val="16"/>
        </w:rPr>
        <w:t xml:space="preserve"> </w:t>
      </w:r>
      <w:r>
        <w:rPr>
          <w:rFonts w:ascii="Verdana" w:hAnsi="Verdana"/>
          <w:b/>
          <w:sz w:val="16"/>
          <w:szCs w:val="16"/>
        </w:rPr>
        <w:tab/>
      </w:r>
      <w:r>
        <w:rPr>
          <w:rFonts w:ascii="Verdana" w:hAnsi="Verdana"/>
          <w:i/>
          <w:sz w:val="16"/>
          <w:szCs w:val="16"/>
        </w:rPr>
        <w:t xml:space="preserve">Cfr. Caso </w:t>
      </w:r>
      <w:proofErr w:type="spellStart"/>
      <w:r>
        <w:rPr>
          <w:rFonts w:ascii="Verdana" w:hAnsi="Verdana"/>
          <w:i/>
          <w:sz w:val="16"/>
          <w:szCs w:val="16"/>
        </w:rPr>
        <w:t>Ivcher</w:t>
      </w:r>
      <w:proofErr w:type="spellEnd"/>
      <w:r>
        <w:rPr>
          <w:rFonts w:ascii="Verdana" w:hAnsi="Verdana"/>
          <w:i/>
          <w:sz w:val="16"/>
          <w:szCs w:val="16"/>
        </w:rPr>
        <w:t xml:space="preserve"> </w:t>
      </w:r>
      <w:proofErr w:type="spellStart"/>
      <w:r>
        <w:rPr>
          <w:rFonts w:ascii="Verdana" w:hAnsi="Verdana"/>
          <w:i/>
          <w:sz w:val="16"/>
          <w:szCs w:val="16"/>
        </w:rPr>
        <w:t>Bronstein</w:t>
      </w:r>
      <w:proofErr w:type="spellEnd"/>
      <w:r>
        <w:rPr>
          <w:rFonts w:ascii="Verdana" w:hAnsi="Verdana"/>
          <w:i/>
          <w:sz w:val="16"/>
          <w:szCs w:val="16"/>
        </w:rPr>
        <w:t xml:space="preserve"> Vs. Perú. Competencia.</w:t>
      </w:r>
      <w:r>
        <w:rPr>
          <w:rFonts w:ascii="Verdana" w:hAnsi="Verdana"/>
          <w:sz w:val="16"/>
          <w:szCs w:val="16"/>
        </w:rPr>
        <w:t xml:space="preserve"> Sentencia de la Corte Interamericana de Derechos Humanos de 24 de septiembre de 1999. Serie C No. 54, párr. 37, y </w:t>
      </w:r>
      <w:r w:rsidR="00FD6205" w:rsidRPr="00FD6205">
        <w:rPr>
          <w:rStyle w:val="Textoennegrita"/>
          <w:rFonts w:ascii="Verdana" w:hAnsi="Verdana"/>
          <w:b w:val="0"/>
          <w:i/>
          <w:color w:val="000000"/>
          <w:sz w:val="16"/>
          <w:szCs w:val="16"/>
          <w:lang w:val="es-CR"/>
        </w:rPr>
        <w:t>Caso 19 Comerciantes Vs. Colombia. Supervisión de Cumplimiento de Sentencia.</w:t>
      </w:r>
      <w:r w:rsidR="00FD6205" w:rsidRPr="00FD6205">
        <w:rPr>
          <w:rStyle w:val="Textoennegrita"/>
          <w:rFonts w:ascii="Verdana" w:hAnsi="Verdana"/>
          <w:b w:val="0"/>
          <w:color w:val="000000"/>
          <w:sz w:val="16"/>
          <w:szCs w:val="16"/>
          <w:lang w:val="es-CR"/>
        </w:rPr>
        <w:t xml:space="preserve"> Resolución de la Corte Interamericana de Derechos Humanos de 23 de junio de 2016, Considerandos 2 y 3.</w:t>
      </w:r>
    </w:p>
  </w:footnote>
  <w:footnote w:id="11">
    <w:p w:rsidR="005611E4" w:rsidRPr="00E01505" w:rsidRDefault="005611E4">
      <w:pPr>
        <w:pStyle w:val="Textonotapie"/>
        <w:rPr>
          <w:rFonts w:ascii="Verdana" w:hAnsi="Verdana"/>
          <w:sz w:val="16"/>
          <w:szCs w:val="16"/>
        </w:rPr>
      </w:pPr>
      <w:r w:rsidRPr="00E01505">
        <w:rPr>
          <w:rStyle w:val="Refdenotaalpie"/>
          <w:rFonts w:ascii="Verdana" w:hAnsi="Verdana"/>
          <w:sz w:val="16"/>
          <w:szCs w:val="16"/>
        </w:rPr>
        <w:footnoteRef/>
      </w:r>
      <w:r w:rsidRPr="00E01505">
        <w:rPr>
          <w:rFonts w:ascii="Verdana" w:hAnsi="Verdana"/>
          <w:sz w:val="16"/>
          <w:szCs w:val="16"/>
        </w:rPr>
        <w:t xml:space="preserve"> </w:t>
      </w:r>
      <w:r w:rsidRPr="00E01505">
        <w:rPr>
          <w:rFonts w:ascii="Verdana" w:hAnsi="Verdana"/>
          <w:sz w:val="16"/>
          <w:szCs w:val="16"/>
        </w:rPr>
        <w:tab/>
      </w:r>
      <w:r w:rsidR="00E01505">
        <w:rPr>
          <w:rFonts w:ascii="Verdana" w:hAnsi="Verdana"/>
          <w:sz w:val="16"/>
          <w:szCs w:val="16"/>
        </w:rPr>
        <w:t>C</w:t>
      </w:r>
      <w:r w:rsidR="00E01505" w:rsidRPr="00E01505">
        <w:rPr>
          <w:rFonts w:ascii="Verdana" w:hAnsi="Verdana"/>
          <w:sz w:val="16"/>
          <w:szCs w:val="16"/>
        </w:rPr>
        <w:t xml:space="preserve">aso </w:t>
      </w:r>
      <w:proofErr w:type="spellStart"/>
      <w:r w:rsidR="00E01505" w:rsidRPr="00E01505">
        <w:rPr>
          <w:rFonts w:ascii="Verdana" w:hAnsi="Verdana"/>
          <w:i/>
          <w:sz w:val="16"/>
          <w:szCs w:val="16"/>
        </w:rPr>
        <w:t>Yakye</w:t>
      </w:r>
      <w:proofErr w:type="spellEnd"/>
      <w:r w:rsidR="00E01505" w:rsidRPr="00E01505">
        <w:rPr>
          <w:rFonts w:ascii="Verdana" w:hAnsi="Verdana"/>
          <w:i/>
          <w:sz w:val="16"/>
          <w:szCs w:val="16"/>
        </w:rPr>
        <w:t xml:space="preserve"> Axa</w:t>
      </w:r>
      <w:r w:rsidR="00E01505" w:rsidRPr="00E01505">
        <w:rPr>
          <w:rFonts w:ascii="Verdana" w:hAnsi="Verdana"/>
          <w:sz w:val="16"/>
          <w:szCs w:val="16"/>
        </w:rPr>
        <w:t xml:space="preserve"> </w:t>
      </w:r>
      <w:r w:rsidR="00833F6F">
        <w:rPr>
          <w:rFonts w:ascii="Verdana" w:hAnsi="Verdana"/>
          <w:sz w:val="16"/>
          <w:szCs w:val="16"/>
        </w:rPr>
        <w:t>(</w:t>
      </w:r>
      <w:r w:rsidR="00E01505" w:rsidRPr="00E01505">
        <w:rPr>
          <w:rFonts w:ascii="Verdana" w:hAnsi="Verdana"/>
          <w:sz w:val="16"/>
          <w:szCs w:val="16"/>
        </w:rPr>
        <w:t>punto resolutivo 13</w:t>
      </w:r>
      <w:r w:rsidR="00833F6F">
        <w:rPr>
          <w:rFonts w:ascii="Verdana" w:hAnsi="Verdana"/>
          <w:sz w:val="16"/>
          <w:szCs w:val="16"/>
        </w:rPr>
        <w:t>)</w:t>
      </w:r>
      <w:r w:rsidR="00E01505" w:rsidRPr="00E01505">
        <w:rPr>
          <w:rFonts w:ascii="Verdana" w:hAnsi="Verdana"/>
          <w:sz w:val="16"/>
          <w:szCs w:val="16"/>
        </w:rPr>
        <w:t xml:space="preserve">, caso </w:t>
      </w:r>
      <w:proofErr w:type="spellStart"/>
      <w:r w:rsidR="00E01505" w:rsidRPr="00E01505">
        <w:rPr>
          <w:rFonts w:ascii="Verdana" w:hAnsi="Verdana"/>
          <w:i/>
          <w:sz w:val="16"/>
          <w:szCs w:val="16"/>
        </w:rPr>
        <w:t>Sawhoyamaxa</w:t>
      </w:r>
      <w:proofErr w:type="spellEnd"/>
      <w:r w:rsidR="00E01505" w:rsidRPr="00E01505">
        <w:rPr>
          <w:rFonts w:ascii="Verdana" w:hAnsi="Verdana"/>
          <w:sz w:val="16"/>
          <w:szCs w:val="16"/>
        </w:rPr>
        <w:t xml:space="preserve"> </w:t>
      </w:r>
      <w:r w:rsidR="00833F6F">
        <w:rPr>
          <w:rFonts w:ascii="Verdana" w:hAnsi="Verdana"/>
          <w:sz w:val="16"/>
          <w:szCs w:val="16"/>
        </w:rPr>
        <w:t>(</w:t>
      </w:r>
      <w:r w:rsidR="00E01505" w:rsidRPr="00E01505">
        <w:rPr>
          <w:rFonts w:ascii="Verdana" w:hAnsi="Verdana"/>
          <w:sz w:val="16"/>
          <w:szCs w:val="16"/>
        </w:rPr>
        <w:t>punto resolutivo 8</w:t>
      </w:r>
      <w:r w:rsidR="00833F6F">
        <w:rPr>
          <w:rFonts w:ascii="Verdana" w:hAnsi="Verdana"/>
          <w:sz w:val="16"/>
          <w:szCs w:val="16"/>
        </w:rPr>
        <w:t>)</w:t>
      </w:r>
      <w:r w:rsidR="00E01505" w:rsidRPr="00E01505">
        <w:rPr>
          <w:rFonts w:ascii="Verdana" w:hAnsi="Verdana"/>
          <w:sz w:val="16"/>
          <w:szCs w:val="16"/>
        </w:rPr>
        <w:t xml:space="preserve">, y caso </w:t>
      </w:r>
      <w:proofErr w:type="spellStart"/>
      <w:r w:rsidR="00E01505" w:rsidRPr="00E01505">
        <w:rPr>
          <w:rFonts w:ascii="Verdana" w:hAnsi="Verdana"/>
          <w:i/>
          <w:sz w:val="16"/>
          <w:szCs w:val="16"/>
        </w:rPr>
        <w:t>Xákmok</w:t>
      </w:r>
      <w:proofErr w:type="spellEnd"/>
      <w:r w:rsidR="00E01505" w:rsidRPr="00E01505">
        <w:rPr>
          <w:rFonts w:ascii="Verdana" w:hAnsi="Verdana"/>
          <w:i/>
          <w:sz w:val="16"/>
          <w:szCs w:val="16"/>
        </w:rPr>
        <w:t xml:space="preserve"> </w:t>
      </w:r>
      <w:proofErr w:type="spellStart"/>
      <w:r w:rsidR="00E01505" w:rsidRPr="00E01505">
        <w:rPr>
          <w:rFonts w:ascii="Verdana" w:hAnsi="Verdana"/>
          <w:i/>
          <w:sz w:val="16"/>
          <w:szCs w:val="16"/>
        </w:rPr>
        <w:t>Kásek</w:t>
      </w:r>
      <w:proofErr w:type="spellEnd"/>
      <w:r w:rsidR="00E01505" w:rsidRPr="00E01505">
        <w:rPr>
          <w:rFonts w:ascii="Verdana" w:hAnsi="Verdana"/>
          <w:i/>
          <w:sz w:val="16"/>
          <w:szCs w:val="16"/>
        </w:rPr>
        <w:t xml:space="preserve"> </w:t>
      </w:r>
      <w:r w:rsidR="00833F6F" w:rsidRPr="00833F6F">
        <w:rPr>
          <w:rFonts w:ascii="Verdana" w:hAnsi="Verdana"/>
          <w:sz w:val="16"/>
          <w:szCs w:val="16"/>
        </w:rPr>
        <w:t>(</w:t>
      </w:r>
      <w:r w:rsidR="00E01505" w:rsidRPr="00E01505">
        <w:rPr>
          <w:rFonts w:ascii="Verdana" w:hAnsi="Verdana"/>
          <w:sz w:val="16"/>
          <w:szCs w:val="16"/>
        </w:rPr>
        <w:t>punto resolutivo 27</w:t>
      </w:r>
      <w:r w:rsidR="00833F6F">
        <w:rPr>
          <w:rFonts w:ascii="Verdana" w:hAnsi="Verdana"/>
          <w:sz w:val="16"/>
          <w:szCs w:val="16"/>
        </w:rPr>
        <w:t>)</w:t>
      </w:r>
      <w:r w:rsidRPr="00E01505">
        <w:rPr>
          <w:rFonts w:ascii="Verdana" w:hAnsi="Verdana"/>
          <w:sz w:val="16"/>
          <w:szCs w:val="16"/>
        </w:rPr>
        <w:t>.</w:t>
      </w:r>
    </w:p>
  </w:footnote>
  <w:footnote w:id="12">
    <w:p w:rsidR="005611E4" w:rsidRPr="005611E4" w:rsidRDefault="005611E4">
      <w:pPr>
        <w:pStyle w:val="Textonotapie"/>
        <w:rPr>
          <w:rFonts w:ascii="Verdana" w:hAnsi="Verdana"/>
          <w:sz w:val="16"/>
          <w:szCs w:val="16"/>
        </w:rPr>
      </w:pPr>
      <w:r w:rsidRPr="005611E4">
        <w:rPr>
          <w:rStyle w:val="Refdenotaalpie"/>
          <w:rFonts w:ascii="Verdana" w:hAnsi="Verdana"/>
          <w:sz w:val="16"/>
          <w:szCs w:val="16"/>
        </w:rPr>
        <w:footnoteRef/>
      </w:r>
      <w:r w:rsidRPr="005611E4">
        <w:rPr>
          <w:rFonts w:ascii="Verdana" w:hAnsi="Verdana"/>
          <w:sz w:val="16"/>
          <w:szCs w:val="16"/>
        </w:rPr>
        <w:t xml:space="preserve"> </w:t>
      </w:r>
      <w:r w:rsidRPr="005611E4">
        <w:rPr>
          <w:rFonts w:ascii="Verdana" w:hAnsi="Verdana"/>
          <w:sz w:val="16"/>
          <w:szCs w:val="16"/>
        </w:rPr>
        <w:tab/>
      </w:r>
      <w:r>
        <w:rPr>
          <w:rFonts w:ascii="Verdana" w:hAnsi="Verdana"/>
          <w:sz w:val="16"/>
          <w:szCs w:val="16"/>
        </w:rPr>
        <w:t>C</w:t>
      </w:r>
      <w:r w:rsidRPr="005611E4">
        <w:rPr>
          <w:rFonts w:ascii="Verdana" w:hAnsi="Verdana"/>
          <w:sz w:val="16"/>
          <w:szCs w:val="16"/>
        </w:rPr>
        <w:t xml:space="preserve">aso </w:t>
      </w:r>
      <w:proofErr w:type="spellStart"/>
      <w:r w:rsidRPr="00833F6F">
        <w:rPr>
          <w:rFonts w:ascii="Verdana" w:hAnsi="Verdana"/>
          <w:i/>
          <w:sz w:val="16"/>
          <w:szCs w:val="16"/>
        </w:rPr>
        <w:t>Yakye</w:t>
      </w:r>
      <w:proofErr w:type="spellEnd"/>
      <w:r w:rsidRPr="00833F6F">
        <w:rPr>
          <w:rFonts w:ascii="Verdana" w:hAnsi="Verdana"/>
          <w:i/>
          <w:sz w:val="16"/>
          <w:szCs w:val="16"/>
        </w:rPr>
        <w:t xml:space="preserve"> Axa</w:t>
      </w:r>
      <w:r w:rsidRPr="005611E4">
        <w:rPr>
          <w:rFonts w:ascii="Verdana" w:hAnsi="Verdana"/>
          <w:sz w:val="16"/>
          <w:szCs w:val="16"/>
        </w:rPr>
        <w:t xml:space="preserve"> </w:t>
      </w:r>
      <w:r w:rsidR="00833F6F">
        <w:rPr>
          <w:rFonts w:ascii="Verdana" w:hAnsi="Verdana"/>
          <w:sz w:val="16"/>
          <w:szCs w:val="16"/>
        </w:rPr>
        <w:t>(</w:t>
      </w:r>
      <w:r w:rsidRPr="005611E4">
        <w:rPr>
          <w:rFonts w:ascii="Verdana" w:hAnsi="Verdana"/>
          <w:sz w:val="16"/>
          <w:szCs w:val="16"/>
        </w:rPr>
        <w:t>punto resolutivo 12</w:t>
      </w:r>
      <w:r w:rsidR="00833F6F">
        <w:rPr>
          <w:rFonts w:ascii="Verdana" w:hAnsi="Verdana"/>
          <w:sz w:val="16"/>
          <w:szCs w:val="16"/>
        </w:rPr>
        <w:t>)</w:t>
      </w:r>
      <w:r w:rsidRPr="005611E4">
        <w:rPr>
          <w:rFonts w:ascii="Verdana" w:hAnsi="Verdana"/>
          <w:sz w:val="16"/>
          <w:szCs w:val="16"/>
        </w:rPr>
        <w:t xml:space="preserve">, caso </w:t>
      </w:r>
      <w:proofErr w:type="spellStart"/>
      <w:r w:rsidRPr="00833F6F">
        <w:rPr>
          <w:rFonts w:ascii="Verdana" w:hAnsi="Verdana"/>
          <w:i/>
          <w:sz w:val="16"/>
          <w:szCs w:val="16"/>
        </w:rPr>
        <w:t>Sawhoyamaxa</w:t>
      </w:r>
      <w:proofErr w:type="spellEnd"/>
      <w:r w:rsidRPr="005611E4">
        <w:rPr>
          <w:rFonts w:ascii="Verdana" w:hAnsi="Verdana"/>
          <w:sz w:val="16"/>
          <w:szCs w:val="16"/>
        </w:rPr>
        <w:t xml:space="preserve"> </w:t>
      </w:r>
      <w:r w:rsidR="00833F6F">
        <w:rPr>
          <w:rFonts w:ascii="Verdana" w:hAnsi="Verdana"/>
          <w:sz w:val="16"/>
          <w:szCs w:val="16"/>
        </w:rPr>
        <w:t>(</w:t>
      </w:r>
      <w:r w:rsidRPr="005611E4">
        <w:rPr>
          <w:rFonts w:ascii="Verdana" w:hAnsi="Verdana"/>
          <w:sz w:val="16"/>
          <w:szCs w:val="16"/>
        </w:rPr>
        <w:t>punto resolutivo 13</w:t>
      </w:r>
      <w:r w:rsidR="00833F6F">
        <w:rPr>
          <w:rFonts w:ascii="Verdana" w:hAnsi="Verdana"/>
          <w:sz w:val="16"/>
          <w:szCs w:val="16"/>
        </w:rPr>
        <w:t>)</w:t>
      </w:r>
      <w:r w:rsidRPr="005611E4">
        <w:rPr>
          <w:rFonts w:ascii="Verdana" w:hAnsi="Verdana"/>
          <w:sz w:val="16"/>
          <w:szCs w:val="16"/>
        </w:rPr>
        <w:t xml:space="preserve">, y caso </w:t>
      </w:r>
      <w:proofErr w:type="spellStart"/>
      <w:r w:rsidRPr="00833F6F">
        <w:rPr>
          <w:rFonts w:ascii="Verdana" w:hAnsi="Verdana"/>
          <w:i/>
          <w:sz w:val="16"/>
          <w:szCs w:val="16"/>
        </w:rPr>
        <w:t>Xákmok</w:t>
      </w:r>
      <w:proofErr w:type="spellEnd"/>
      <w:r w:rsidRPr="00833F6F">
        <w:rPr>
          <w:rFonts w:ascii="Verdana" w:hAnsi="Verdana"/>
          <w:i/>
          <w:sz w:val="16"/>
          <w:szCs w:val="16"/>
        </w:rPr>
        <w:t xml:space="preserve"> </w:t>
      </w:r>
      <w:proofErr w:type="spellStart"/>
      <w:r w:rsidRPr="00833F6F">
        <w:rPr>
          <w:rFonts w:ascii="Verdana" w:hAnsi="Verdana"/>
          <w:i/>
          <w:sz w:val="16"/>
          <w:szCs w:val="16"/>
        </w:rPr>
        <w:t>Kásek</w:t>
      </w:r>
      <w:proofErr w:type="spellEnd"/>
      <w:r w:rsidRPr="005611E4">
        <w:rPr>
          <w:rFonts w:ascii="Verdana" w:hAnsi="Verdana"/>
          <w:sz w:val="16"/>
          <w:szCs w:val="16"/>
        </w:rPr>
        <w:t xml:space="preserve"> </w:t>
      </w:r>
      <w:r w:rsidR="00833F6F">
        <w:rPr>
          <w:rFonts w:ascii="Verdana" w:hAnsi="Verdana"/>
          <w:sz w:val="16"/>
          <w:szCs w:val="16"/>
        </w:rPr>
        <w:t>(</w:t>
      </w:r>
      <w:r w:rsidRPr="005611E4">
        <w:rPr>
          <w:rFonts w:ascii="Verdana" w:hAnsi="Verdana"/>
          <w:sz w:val="16"/>
          <w:szCs w:val="16"/>
        </w:rPr>
        <w:t>punto resolutivo 17).</w:t>
      </w:r>
    </w:p>
  </w:footnote>
  <w:footnote w:id="13">
    <w:p w:rsidR="00C40F64" w:rsidRPr="00E01505" w:rsidRDefault="00C40F64">
      <w:pPr>
        <w:pStyle w:val="Textonotapie"/>
        <w:rPr>
          <w:rFonts w:ascii="Verdana" w:hAnsi="Verdana"/>
          <w:sz w:val="16"/>
          <w:szCs w:val="16"/>
        </w:rPr>
      </w:pPr>
      <w:r w:rsidRPr="00E01505">
        <w:rPr>
          <w:rStyle w:val="Refdenotaalpie"/>
          <w:rFonts w:ascii="Verdana" w:hAnsi="Verdana"/>
          <w:sz w:val="16"/>
          <w:szCs w:val="16"/>
        </w:rPr>
        <w:footnoteRef/>
      </w:r>
      <w:r w:rsidRPr="00E01505">
        <w:rPr>
          <w:rFonts w:ascii="Verdana" w:hAnsi="Verdana"/>
          <w:sz w:val="16"/>
          <w:szCs w:val="16"/>
        </w:rPr>
        <w:t xml:space="preserve"> </w:t>
      </w:r>
      <w:r w:rsidRPr="00E01505">
        <w:rPr>
          <w:rFonts w:ascii="Verdana" w:hAnsi="Verdana"/>
          <w:sz w:val="16"/>
          <w:szCs w:val="16"/>
        </w:rPr>
        <w:tab/>
      </w:r>
      <w:r w:rsidR="00833F6F">
        <w:rPr>
          <w:rFonts w:ascii="Verdana" w:hAnsi="Verdana"/>
          <w:sz w:val="16"/>
          <w:szCs w:val="16"/>
        </w:rPr>
        <w:t>C</w:t>
      </w:r>
      <w:r w:rsidRPr="00E01505">
        <w:rPr>
          <w:rFonts w:ascii="Verdana" w:hAnsi="Verdana"/>
          <w:sz w:val="16"/>
          <w:szCs w:val="16"/>
        </w:rPr>
        <w:t xml:space="preserve">aso </w:t>
      </w:r>
      <w:proofErr w:type="spellStart"/>
      <w:r w:rsidRPr="00833F6F">
        <w:rPr>
          <w:rFonts w:ascii="Verdana" w:hAnsi="Verdana"/>
          <w:i/>
          <w:sz w:val="16"/>
          <w:szCs w:val="16"/>
        </w:rPr>
        <w:t>Xákmok</w:t>
      </w:r>
      <w:proofErr w:type="spellEnd"/>
      <w:r w:rsidRPr="00833F6F">
        <w:rPr>
          <w:rFonts w:ascii="Verdana" w:hAnsi="Verdana"/>
          <w:i/>
          <w:sz w:val="16"/>
          <w:szCs w:val="16"/>
        </w:rPr>
        <w:t xml:space="preserve"> </w:t>
      </w:r>
      <w:proofErr w:type="spellStart"/>
      <w:r w:rsidRPr="00833F6F">
        <w:rPr>
          <w:rFonts w:ascii="Verdana" w:hAnsi="Verdana"/>
          <w:i/>
          <w:sz w:val="16"/>
          <w:szCs w:val="16"/>
        </w:rPr>
        <w:t>Kásek</w:t>
      </w:r>
      <w:proofErr w:type="spellEnd"/>
      <w:r w:rsidRPr="00E01505">
        <w:rPr>
          <w:rFonts w:ascii="Verdana" w:hAnsi="Verdana"/>
          <w:sz w:val="16"/>
          <w:szCs w:val="16"/>
        </w:rPr>
        <w:t xml:space="preserve"> (punto resolutivo 16).</w:t>
      </w:r>
    </w:p>
  </w:footnote>
  <w:footnote w:id="14">
    <w:p w:rsidR="00FA194C" w:rsidRPr="006E2AA6" w:rsidRDefault="00FA194C" w:rsidP="006E2AA6">
      <w:pPr>
        <w:pStyle w:val="Textonotapie"/>
        <w:jc w:val="both"/>
        <w:rPr>
          <w:rFonts w:ascii="Verdana" w:hAnsi="Verdana"/>
          <w:i/>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r>
      <w:r w:rsidR="008C7C9B" w:rsidRPr="00CD664D">
        <w:rPr>
          <w:rFonts w:ascii="Verdana" w:hAnsi="Verdana"/>
          <w:sz w:val="16"/>
          <w:szCs w:val="16"/>
        </w:rPr>
        <w:t>En dicha resolución, l</w:t>
      </w:r>
      <w:r w:rsidRPr="00CD664D">
        <w:rPr>
          <w:rFonts w:ascii="Verdana" w:hAnsi="Verdana"/>
          <w:sz w:val="16"/>
          <w:szCs w:val="16"/>
        </w:rPr>
        <w:t>a Corte  consideró que “garantizar un camino que permita a la comunidad acceder a las tierras alternativas consensuadas es parte fundamental del cumplimiento de la obligación de entregarles esas tierras, tanto porque era una condición de aceptación por parte de la comunidad como porque sin el mismo se contravendría con entregar tierras que cumplan con las condiciones que garanticen el movimiento y desarrollo adecuado de la comunidad</w:t>
      </w:r>
      <w:r w:rsidR="00753653">
        <w:rPr>
          <w:rFonts w:ascii="Verdana" w:hAnsi="Verdana"/>
          <w:sz w:val="16"/>
          <w:szCs w:val="16"/>
        </w:rPr>
        <w:t>”</w:t>
      </w:r>
      <w:r w:rsidRPr="00CD664D">
        <w:rPr>
          <w:rFonts w:ascii="Verdana" w:hAnsi="Verdana"/>
          <w:sz w:val="16"/>
          <w:szCs w:val="16"/>
        </w:rPr>
        <w:t xml:space="preserve">. </w:t>
      </w:r>
      <w:r w:rsidRPr="00CD664D">
        <w:rPr>
          <w:rFonts w:ascii="Verdana" w:hAnsi="Verdana"/>
          <w:i/>
          <w:sz w:val="16"/>
          <w:szCs w:val="16"/>
        </w:rPr>
        <w:t xml:space="preserve">Cfr. Casos de las Comunidades Indígenas </w:t>
      </w:r>
      <w:proofErr w:type="spellStart"/>
      <w:r w:rsidRPr="00CD664D">
        <w:rPr>
          <w:rFonts w:ascii="Verdana" w:hAnsi="Verdana"/>
          <w:i/>
          <w:sz w:val="16"/>
          <w:szCs w:val="16"/>
        </w:rPr>
        <w:t>Yakye</w:t>
      </w:r>
      <w:proofErr w:type="spellEnd"/>
      <w:r w:rsidRPr="00CD664D">
        <w:rPr>
          <w:rFonts w:ascii="Verdana" w:hAnsi="Verdana"/>
          <w:i/>
          <w:sz w:val="16"/>
          <w:szCs w:val="16"/>
        </w:rPr>
        <w:t xml:space="preserve"> Axa, </w:t>
      </w:r>
      <w:proofErr w:type="spellStart"/>
      <w:r w:rsidRPr="00CD664D">
        <w:rPr>
          <w:rFonts w:ascii="Verdana" w:hAnsi="Verdana"/>
          <w:i/>
          <w:sz w:val="16"/>
          <w:szCs w:val="16"/>
        </w:rPr>
        <w:t>Sawhoyamaxa</w:t>
      </w:r>
      <w:proofErr w:type="spellEnd"/>
      <w:r w:rsidRPr="00CD664D">
        <w:rPr>
          <w:rFonts w:ascii="Verdana" w:hAnsi="Verdana"/>
          <w:i/>
          <w:sz w:val="16"/>
          <w:szCs w:val="16"/>
        </w:rPr>
        <w:t xml:space="preserve"> y </w:t>
      </w:r>
      <w:proofErr w:type="spellStart"/>
      <w:r w:rsidRPr="00CD664D">
        <w:rPr>
          <w:rFonts w:ascii="Verdana" w:hAnsi="Verdana"/>
          <w:i/>
          <w:sz w:val="16"/>
          <w:szCs w:val="16"/>
        </w:rPr>
        <w:t>Xákmok</w:t>
      </w:r>
      <w:proofErr w:type="spellEnd"/>
      <w:r w:rsidRPr="00CD664D">
        <w:rPr>
          <w:rFonts w:ascii="Verdana" w:hAnsi="Verdana"/>
          <w:i/>
          <w:sz w:val="16"/>
          <w:szCs w:val="16"/>
        </w:rPr>
        <w:t xml:space="preserve"> </w:t>
      </w:r>
      <w:proofErr w:type="spellStart"/>
      <w:r w:rsidRPr="00CD664D">
        <w:rPr>
          <w:rFonts w:ascii="Verdana" w:hAnsi="Verdana"/>
          <w:i/>
          <w:sz w:val="16"/>
          <w:szCs w:val="16"/>
        </w:rPr>
        <w:t>Kásek</w:t>
      </w:r>
      <w:proofErr w:type="spellEnd"/>
      <w:r w:rsidRPr="00CD664D">
        <w:rPr>
          <w:rFonts w:ascii="Verdana" w:hAnsi="Verdana"/>
          <w:i/>
          <w:sz w:val="16"/>
          <w:szCs w:val="16"/>
        </w:rPr>
        <w:t xml:space="preserve"> Vs. Paraguay.</w:t>
      </w:r>
      <w:r w:rsidRPr="00CD664D">
        <w:rPr>
          <w:rFonts w:ascii="Verdana" w:hAnsi="Verdana"/>
          <w:sz w:val="16"/>
          <w:szCs w:val="16"/>
        </w:rPr>
        <w:t xml:space="preserve"> Supervisión de Cumplimiento de Sentencia. Resolución de la Corte Interamericana de Derechos Humanos de 24 junio de 2015, Considerando 13.</w:t>
      </w:r>
    </w:p>
  </w:footnote>
  <w:footnote w:id="15">
    <w:p w:rsidR="00FA194C" w:rsidRPr="00FA194C" w:rsidRDefault="00FA194C">
      <w:pPr>
        <w:pStyle w:val="Textonotapie"/>
        <w:rPr>
          <w:rFonts w:ascii="Verdana" w:hAnsi="Verdana"/>
          <w:sz w:val="16"/>
          <w:szCs w:val="16"/>
        </w:rPr>
      </w:pPr>
      <w:r w:rsidRPr="00FA194C">
        <w:rPr>
          <w:rStyle w:val="Refdenotaalpie"/>
          <w:rFonts w:ascii="Verdana" w:hAnsi="Verdana"/>
          <w:sz w:val="16"/>
          <w:szCs w:val="16"/>
        </w:rPr>
        <w:footnoteRef/>
      </w:r>
      <w:r w:rsidRPr="00FA194C">
        <w:rPr>
          <w:rFonts w:ascii="Verdana" w:hAnsi="Verdana"/>
          <w:sz w:val="16"/>
          <w:szCs w:val="16"/>
        </w:rPr>
        <w:t xml:space="preserve"> </w:t>
      </w:r>
      <w:r>
        <w:rPr>
          <w:rFonts w:ascii="Verdana" w:hAnsi="Verdana"/>
          <w:sz w:val="16"/>
          <w:szCs w:val="16"/>
        </w:rPr>
        <w:tab/>
      </w:r>
      <w:r w:rsidR="00BE1F87" w:rsidRPr="00CD664D">
        <w:rPr>
          <w:rFonts w:ascii="Verdana" w:hAnsi="Verdana"/>
          <w:i/>
          <w:sz w:val="16"/>
          <w:szCs w:val="16"/>
        </w:rPr>
        <w:t xml:space="preserve">Cfr. Casos de las Comunidades Indígenas </w:t>
      </w:r>
      <w:proofErr w:type="spellStart"/>
      <w:r w:rsidR="00BE1F87" w:rsidRPr="00CD664D">
        <w:rPr>
          <w:rFonts w:ascii="Verdana" w:hAnsi="Verdana"/>
          <w:i/>
          <w:sz w:val="16"/>
          <w:szCs w:val="16"/>
        </w:rPr>
        <w:t>Yakye</w:t>
      </w:r>
      <w:proofErr w:type="spellEnd"/>
      <w:r w:rsidR="00BE1F87" w:rsidRPr="00CD664D">
        <w:rPr>
          <w:rFonts w:ascii="Verdana" w:hAnsi="Verdana"/>
          <w:i/>
          <w:sz w:val="16"/>
          <w:szCs w:val="16"/>
        </w:rPr>
        <w:t xml:space="preserve"> Axa, </w:t>
      </w:r>
      <w:proofErr w:type="spellStart"/>
      <w:r w:rsidR="00BE1F87" w:rsidRPr="00CD664D">
        <w:rPr>
          <w:rFonts w:ascii="Verdana" w:hAnsi="Verdana"/>
          <w:i/>
          <w:sz w:val="16"/>
          <w:szCs w:val="16"/>
        </w:rPr>
        <w:t>Sawhoyamaxa</w:t>
      </w:r>
      <w:proofErr w:type="spellEnd"/>
      <w:r w:rsidR="00BE1F87" w:rsidRPr="00CD664D">
        <w:rPr>
          <w:rFonts w:ascii="Verdana" w:hAnsi="Verdana"/>
          <w:i/>
          <w:sz w:val="16"/>
          <w:szCs w:val="16"/>
        </w:rPr>
        <w:t xml:space="preserve"> y </w:t>
      </w:r>
      <w:proofErr w:type="spellStart"/>
      <w:r w:rsidR="00BE1F87" w:rsidRPr="00CD664D">
        <w:rPr>
          <w:rFonts w:ascii="Verdana" w:hAnsi="Verdana"/>
          <w:i/>
          <w:sz w:val="16"/>
          <w:szCs w:val="16"/>
        </w:rPr>
        <w:t>Xákmok</w:t>
      </w:r>
      <w:proofErr w:type="spellEnd"/>
      <w:r w:rsidR="00BE1F87" w:rsidRPr="00CD664D">
        <w:rPr>
          <w:rFonts w:ascii="Verdana" w:hAnsi="Verdana"/>
          <w:i/>
          <w:sz w:val="16"/>
          <w:szCs w:val="16"/>
        </w:rPr>
        <w:t xml:space="preserve"> </w:t>
      </w:r>
      <w:proofErr w:type="spellStart"/>
      <w:r w:rsidR="00BE1F87" w:rsidRPr="00CD664D">
        <w:rPr>
          <w:rFonts w:ascii="Verdana" w:hAnsi="Verdana"/>
          <w:i/>
          <w:sz w:val="16"/>
          <w:szCs w:val="16"/>
        </w:rPr>
        <w:t>Kásek</w:t>
      </w:r>
      <w:proofErr w:type="spellEnd"/>
      <w:r w:rsidR="00BE1F87" w:rsidRPr="00CD664D">
        <w:rPr>
          <w:rFonts w:ascii="Verdana" w:hAnsi="Verdana"/>
          <w:i/>
          <w:sz w:val="16"/>
          <w:szCs w:val="16"/>
        </w:rPr>
        <w:t xml:space="preserve"> Vs. Paraguay.</w:t>
      </w:r>
      <w:r w:rsidR="00BE1F87" w:rsidRPr="00CD664D">
        <w:rPr>
          <w:rFonts w:ascii="Verdana" w:hAnsi="Verdana"/>
          <w:sz w:val="16"/>
          <w:szCs w:val="16"/>
        </w:rPr>
        <w:t xml:space="preserve"> Supervisión de Cumplimiento de Sentencia. Resolución de la Corte Interamericana de Derechos Humanos de 24 junio de 2015,</w:t>
      </w:r>
      <w:r w:rsidR="00BE1F87">
        <w:rPr>
          <w:rFonts w:ascii="Verdana" w:hAnsi="Verdana"/>
          <w:sz w:val="16"/>
          <w:szCs w:val="16"/>
        </w:rPr>
        <w:t xml:space="preserve"> </w:t>
      </w:r>
      <w:r w:rsidRPr="00FA194C">
        <w:rPr>
          <w:rFonts w:ascii="Verdana" w:hAnsi="Verdana"/>
          <w:sz w:val="16"/>
          <w:szCs w:val="16"/>
        </w:rPr>
        <w:t>Considerando 16.</w:t>
      </w:r>
    </w:p>
  </w:footnote>
  <w:footnote w:id="16">
    <w:p w:rsidR="00FA194C" w:rsidRPr="006E2AA6" w:rsidRDefault="00FA194C" w:rsidP="006E2AA6">
      <w:pPr>
        <w:pStyle w:val="Textonotapie"/>
        <w:jc w:val="both"/>
        <w:rPr>
          <w:rFonts w:ascii="Verdana" w:hAnsi="Verdana"/>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t xml:space="preserve">En la Resolución de 2015 la Corte hizo notar que el Estado afirmó que habría adquirido tierras alternativas dirigidas al cumplimiento de esta medida, pero que “no consta en el expediente documento alguno que acredite la adquisición de las tierras”. </w:t>
      </w:r>
      <w:r w:rsidR="00BE1F87" w:rsidRPr="00CD664D">
        <w:rPr>
          <w:rFonts w:ascii="Verdana" w:hAnsi="Verdana"/>
          <w:i/>
          <w:sz w:val="16"/>
          <w:szCs w:val="16"/>
        </w:rPr>
        <w:t xml:space="preserve">Cfr. Casos de las Comunidades Indígenas </w:t>
      </w:r>
      <w:proofErr w:type="spellStart"/>
      <w:r w:rsidR="00BE1F87" w:rsidRPr="00CD664D">
        <w:rPr>
          <w:rFonts w:ascii="Verdana" w:hAnsi="Verdana"/>
          <w:i/>
          <w:sz w:val="16"/>
          <w:szCs w:val="16"/>
        </w:rPr>
        <w:t>Yakye</w:t>
      </w:r>
      <w:proofErr w:type="spellEnd"/>
      <w:r w:rsidR="00BE1F87" w:rsidRPr="00CD664D">
        <w:rPr>
          <w:rFonts w:ascii="Verdana" w:hAnsi="Verdana"/>
          <w:i/>
          <w:sz w:val="16"/>
          <w:szCs w:val="16"/>
        </w:rPr>
        <w:t xml:space="preserve"> Axa, </w:t>
      </w:r>
      <w:proofErr w:type="spellStart"/>
      <w:r w:rsidR="00BE1F87" w:rsidRPr="00CD664D">
        <w:rPr>
          <w:rFonts w:ascii="Verdana" w:hAnsi="Verdana"/>
          <w:i/>
          <w:sz w:val="16"/>
          <w:szCs w:val="16"/>
        </w:rPr>
        <w:t>Sawhoyamaxa</w:t>
      </w:r>
      <w:proofErr w:type="spellEnd"/>
      <w:r w:rsidR="00BE1F87" w:rsidRPr="00CD664D">
        <w:rPr>
          <w:rFonts w:ascii="Verdana" w:hAnsi="Verdana"/>
          <w:i/>
          <w:sz w:val="16"/>
          <w:szCs w:val="16"/>
        </w:rPr>
        <w:t xml:space="preserve"> y </w:t>
      </w:r>
      <w:proofErr w:type="spellStart"/>
      <w:r w:rsidR="00BE1F87" w:rsidRPr="00CD664D">
        <w:rPr>
          <w:rFonts w:ascii="Verdana" w:hAnsi="Verdana"/>
          <w:i/>
          <w:sz w:val="16"/>
          <w:szCs w:val="16"/>
        </w:rPr>
        <w:t>Xákmok</w:t>
      </w:r>
      <w:proofErr w:type="spellEnd"/>
      <w:r w:rsidR="00BE1F87" w:rsidRPr="00CD664D">
        <w:rPr>
          <w:rFonts w:ascii="Verdana" w:hAnsi="Verdana"/>
          <w:i/>
          <w:sz w:val="16"/>
          <w:szCs w:val="16"/>
        </w:rPr>
        <w:t xml:space="preserve"> </w:t>
      </w:r>
      <w:proofErr w:type="spellStart"/>
      <w:r w:rsidR="00BE1F87" w:rsidRPr="00CD664D">
        <w:rPr>
          <w:rFonts w:ascii="Verdana" w:hAnsi="Verdana"/>
          <w:i/>
          <w:sz w:val="16"/>
          <w:szCs w:val="16"/>
        </w:rPr>
        <w:t>Kásek</w:t>
      </w:r>
      <w:proofErr w:type="spellEnd"/>
      <w:r w:rsidR="00BE1F87" w:rsidRPr="00CD664D">
        <w:rPr>
          <w:rFonts w:ascii="Verdana" w:hAnsi="Verdana"/>
          <w:i/>
          <w:sz w:val="16"/>
          <w:szCs w:val="16"/>
        </w:rPr>
        <w:t xml:space="preserve"> Vs. Paraguay.</w:t>
      </w:r>
      <w:r w:rsidR="00BE1F87" w:rsidRPr="00CD664D">
        <w:rPr>
          <w:rFonts w:ascii="Verdana" w:hAnsi="Verdana"/>
          <w:sz w:val="16"/>
          <w:szCs w:val="16"/>
        </w:rPr>
        <w:t xml:space="preserve"> Supervisión de Cumplimiento de Sentencia. Resolución de la Corte Interamericana de Derechos Humanos de 24 junio de 2015,</w:t>
      </w:r>
      <w:r w:rsidR="00BE1F87">
        <w:rPr>
          <w:rFonts w:ascii="Verdana" w:hAnsi="Verdana"/>
          <w:sz w:val="16"/>
          <w:szCs w:val="16"/>
        </w:rPr>
        <w:t xml:space="preserve"> </w:t>
      </w:r>
      <w:r w:rsidRPr="00CD664D">
        <w:rPr>
          <w:rFonts w:ascii="Verdana" w:hAnsi="Verdana"/>
          <w:sz w:val="16"/>
          <w:szCs w:val="16"/>
        </w:rPr>
        <w:t xml:space="preserve">Considerando 12.  </w:t>
      </w:r>
    </w:p>
  </w:footnote>
  <w:footnote w:id="17">
    <w:p w:rsidR="00FA194C" w:rsidRPr="008B6C49" w:rsidRDefault="00FA194C" w:rsidP="002704B0">
      <w:pPr>
        <w:pStyle w:val="Textonotapie"/>
        <w:jc w:val="both"/>
        <w:rPr>
          <w:rFonts w:ascii="Verdana" w:hAnsi="Verdana"/>
          <w:strike/>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t xml:space="preserve">En la Resolución de 2015 la Corte observó que las partes coincidían en que no se había entregado título de propiedad a la comunidad </w:t>
      </w:r>
      <w:proofErr w:type="spellStart"/>
      <w:r w:rsidRPr="00CD664D">
        <w:rPr>
          <w:rFonts w:ascii="Verdana" w:hAnsi="Verdana"/>
          <w:sz w:val="16"/>
          <w:szCs w:val="16"/>
        </w:rPr>
        <w:t>Yakye</w:t>
      </w:r>
      <w:proofErr w:type="spellEnd"/>
      <w:r w:rsidRPr="00CD664D">
        <w:rPr>
          <w:rFonts w:ascii="Verdana" w:hAnsi="Verdana"/>
          <w:sz w:val="16"/>
          <w:szCs w:val="16"/>
        </w:rPr>
        <w:t xml:space="preserve"> Axa sobre las tierras alternativas acordadas con los líderes de la comunidad, y resaltó que </w:t>
      </w:r>
      <w:r w:rsidRPr="00CD664D">
        <w:rPr>
          <w:rFonts w:ascii="Verdana" w:hAnsi="Verdana"/>
          <w:sz w:val="16"/>
          <w:szCs w:val="16"/>
          <w:lang w:val="es-ES"/>
        </w:rPr>
        <w:t>corresponde al Estado asegurar la efectividad de la medida cautelar dictada en la jurisdicción paraguaya “que garantice inmediatamente el acceso y libre tránsito” para que los funcionarios estatales puedan proceder a avanzar en la construcción del camino que permita a los integrantes de la comunidad a ingresar a dichas tierras. La Corte igualmente ordenó ejecutar</w:t>
      </w:r>
      <w:r w:rsidR="00B03505">
        <w:rPr>
          <w:rFonts w:ascii="Verdana" w:hAnsi="Verdana"/>
          <w:sz w:val="16"/>
          <w:szCs w:val="16"/>
          <w:lang w:val="es-ES"/>
        </w:rPr>
        <w:t>,</w:t>
      </w:r>
      <w:r w:rsidRPr="00CD664D">
        <w:rPr>
          <w:rFonts w:ascii="Verdana" w:hAnsi="Verdana"/>
          <w:sz w:val="16"/>
          <w:szCs w:val="16"/>
          <w:lang w:val="es-ES"/>
        </w:rPr>
        <w:t xml:space="preserve"> a la mayor brevedad</w:t>
      </w:r>
      <w:r w:rsidR="00B03505">
        <w:rPr>
          <w:rFonts w:ascii="Verdana" w:hAnsi="Verdana"/>
          <w:sz w:val="16"/>
          <w:szCs w:val="16"/>
          <w:lang w:val="es-ES"/>
        </w:rPr>
        <w:t>,</w:t>
      </w:r>
      <w:r w:rsidRPr="00CD664D">
        <w:rPr>
          <w:rFonts w:ascii="Verdana" w:hAnsi="Verdana"/>
          <w:sz w:val="16"/>
          <w:szCs w:val="16"/>
          <w:lang w:val="es-ES"/>
        </w:rPr>
        <w:t xml:space="preserve"> todas las acciones necesarias para construir el camino de acceso a las tierras alternativas.</w:t>
      </w:r>
      <w:r w:rsidR="00BE1F87">
        <w:rPr>
          <w:rFonts w:ascii="Verdana" w:hAnsi="Verdana"/>
          <w:i/>
          <w:sz w:val="16"/>
          <w:szCs w:val="16"/>
        </w:rPr>
        <w:t xml:space="preserve"> </w:t>
      </w:r>
      <w:r w:rsidR="00BE1F87" w:rsidRPr="00CD664D">
        <w:rPr>
          <w:rFonts w:ascii="Verdana" w:hAnsi="Verdana"/>
          <w:i/>
          <w:sz w:val="16"/>
          <w:szCs w:val="16"/>
        </w:rPr>
        <w:t xml:space="preserve">Cfr. Casos de las Comunidades Indígenas </w:t>
      </w:r>
      <w:proofErr w:type="spellStart"/>
      <w:r w:rsidR="00BE1F87" w:rsidRPr="00CD664D">
        <w:rPr>
          <w:rFonts w:ascii="Verdana" w:hAnsi="Verdana"/>
          <w:i/>
          <w:sz w:val="16"/>
          <w:szCs w:val="16"/>
        </w:rPr>
        <w:t>Yakye</w:t>
      </w:r>
      <w:proofErr w:type="spellEnd"/>
      <w:r w:rsidR="00BE1F87" w:rsidRPr="00CD664D">
        <w:rPr>
          <w:rFonts w:ascii="Verdana" w:hAnsi="Verdana"/>
          <w:i/>
          <w:sz w:val="16"/>
          <w:szCs w:val="16"/>
        </w:rPr>
        <w:t xml:space="preserve"> Axa, </w:t>
      </w:r>
      <w:proofErr w:type="spellStart"/>
      <w:r w:rsidR="00BE1F87" w:rsidRPr="00CD664D">
        <w:rPr>
          <w:rFonts w:ascii="Verdana" w:hAnsi="Verdana"/>
          <w:i/>
          <w:sz w:val="16"/>
          <w:szCs w:val="16"/>
        </w:rPr>
        <w:t>Sawhoyamaxa</w:t>
      </w:r>
      <w:proofErr w:type="spellEnd"/>
      <w:r w:rsidR="00BE1F87" w:rsidRPr="00CD664D">
        <w:rPr>
          <w:rFonts w:ascii="Verdana" w:hAnsi="Verdana"/>
          <w:i/>
          <w:sz w:val="16"/>
          <w:szCs w:val="16"/>
        </w:rPr>
        <w:t xml:space="preserve"> y </w:t>
      </w:r>
      <w:proofErr w:type="spellStart"/>
      <w:r w:rsidR="00BE1F87" w:rsidRPr="00CD664D">
        <w:rPr>
          <w:rFonts w:ascii="Verdana" w:hAnsi="Verdana"/>
          <w:i/>
          <w:sz w:val="16"/>
          <w:szCs w:val="16"/>
        </w:rPr>
        <w:t>Xákmok</w:t>
      </w:r>
      <w:proofErr w:type="spellEnd"/>
      <w:r w:rsidR="00BE1F87" w:rsidRPr="00CD664D">
        <w:rPr>
          <w:rFonts w:ascii="Verdana" w:hAnsi="Verdana"/>
          <w:i/>
          <w:sz w:val="16"/>
          <w:szCs w:val="16"/>
        </w:rPr>
        <w:t xml:space="preserve"> </w:t>
      </w:r>
      <w:proofErr w:type="spellStart"/>
      <w:r w:rsidR="00BE1F87" w:rsidRPr="00CD664D">
        <w:rPr>
          <w:rFonts w:ascii="Verdana" w:hAnsi="Verdana"/>
          <w:i/>
          <w:sz w:val="16"/>
          <w:szCs w:val="16"/>
        </w:rPr>
        <w:t>Kásek</w:t>
      </w:r>
      <w:proofErr w:type="spellEnd"/>
      <w:r w:rsidR="00BE1F87" w:rsidRPr="00CD664D">
        <w:rPr>
          <w:rFonts w:ascii="Verdana" w:hAnsi="Verdana"/>
          <w:i/>
          <w:sz w:val="16"/>
          <w:szCs w:val="16"/>
        </w:rPr>
        <w:t xml:space="preserve"> Vs. Paraguay.</w:t>
      </w:r>
      <w:r w:rsidR="00BE1F87" w:rsidRPr="00CD664D">
        <w:rPr>
          <w:rFonts w:ascii="Verdana" w:hAnsi="Verdana"/>
          <w:sz w:val="16"/>
          <w:szCs w:val="16"/>
        </w:rPr>
        <w:t xml:space="preserve"> Supervisión de Cumplimiento de Sentencia. Resolución de la Corte Interamericana de Derechos Humanos de 24 junio de 2015,</w:t>
      </w:r>
      <w:r w:rsidR="00106FA1" w:rsidRPr="00CD664D">
        <w:rPr>
          <w:rFonts w:ascii="Verdana" w:hAnsi="Verdana"/>
          <w:sz w:val="16"/>
          <w:szCs w:val="16"/>
        </w:rPr>
        <w:t xml:space="preserve"> </w:t>
      </w:r>
      <w:r w:rsidRPr="00CD664D">
        <w:rPr>
          <w:rFonts w:ascii="Verdana" w:hAnsi="Verdana"/>
          <w:sz w:val="16"/>
          <w:szCs w:val="16"/>
        </w:rPr>
        <w:t>Considerandos 14 y 15.</w:t>
      </w:r>
      <w:r>
        <w:rPr>
          <w:rFonts w:ascii="Verdana" w:hAnsi="Verdana"/>
          <w:sz w:val="16"/>
          <w:szCs w:val="16"/>
        </w:rPr>
        <w:t xml:space="preserve">  </w:t>
      </w:r>
    </w:p>
  </w:footnote>
  <w:footnote w:id="18">
    <w:p w:rsidR="00FA194C" w:rsidRPr="00220C99" w:rsidRDefault="00FA194C">
      <w:pPr>
        <w:pStyle w:val="Textonotapie"/>
        <w:rPr>
          <w:rFonts w:ascii="Verdana" w:hAnsi="Verdana"/>
          <w:sz w:val="16"/>
          <w:szCs w:val="16"/>
        </w:rPr>
      </w:pPr>
      <w:r w:rsidRPr="00312828">
        <w:rPr>
          <w:rStyle w:val="Refdenotaalpie"/>
          <w:rFonts w:ascii="Verdana" w:hAnsi="Verdana"/>
          <w:sz w:val="16"/>
          <w:szCs w:val="16"/>
        </w:rPr>
        <w:footnoteRef/>
      </w:r>
      <w:r w:rsidRPr="00312828">
        <w:rPr>
          <w:rFonts w:ascii="Verdana" w:hAnsi="Verdana"/>
          <w:sz w:val="16"/>
          <w:szCs w:val="16"/>
        </w:rPr>
        <w:t xml:space="preserve"> </w:t>
      </w:r>
      <w:r w:rsidRPr="00312828">
        <w:rPr>
          <w:rFonts w:ascii="Verdana" w:hAnsi="Verdana"/>
          <w:sz w:val="16"/>
          <w:szCs w:val="16"/>
        </w:rPr>
        <w:tab/>
      </w:r>
      <w:r w:rsidRPr="00312828">
        <w:rPr>
          <w:rFonts w:ascii="Verdana" w:hAnsi="Verdana"/>
          <w:i/>
          <w:sz w:val="16"/>
          <w:szCs w:val="16"/>
        </w:rPr>
        <w:t>Cfr.</w:t>
      </w:r>
      <w:r w:rsidR="00BE1F87" w:rsidRPr="00CD664D">
        <w:rPr>
          <w:rFonts w:ascii="Verdana" w:hAnsi="Verdana"/>
          <w:i/>
          <w:sz w:val="16"/>
          <w:szCs w:val="16"/>
        </w:rPr>
        <w:t xml:space="preserve"> Casos de las Comunidades Indígenas </w:t>
      </w:r>
      <w:proofErr w:type="spellStart"/>
      <w:r w:rsidR="00BE1F87" w:rsidRPr="00CD664D">
        <w:rPr>
          <w:rFonts w:ascii="Verdana" w:hAnsi="Verdana"/>
          <w:i/>
          <w:sz w:val="16"/>
          <w:szCs w:val="16"/>
        </w:rPr>
        <w:t>Yakye</w:t>
      </w:r>
      <w:proofErr w:type="spellEnd"/>
      <w:r w:rsidR="00BE1F87" w:rsidRPr="00CD664D">
        <w:rPr>
          <w:rFonts w:ascii="Verdana" w:hAnsi="Verdana"/>
          <w:i/>
          <w:sz w:val="16"/>
          <w:szCs w:val="16"/>
        </w:rPr>
        <w:t xml:space="preserve"> Axa, </w:t>
      </w:r>
      <w:proofErr w:type="spellStart"/>
      <w:r w:rsidR="00BE1F87" w:rsidRPr="00CD664D">
        <w:rPr>
          <w:rFonts w:ascii="Verdana" w:hAnsi="Verdana"/>
          <w:i/>
          <w:sz w:val="16"/>
          <w:szCs w:val="16"/>
        </w:rPr>
        <w:t>Sawhoyamaxa</w:t>
      </w:r>
      <w:proofErr w:type="spellEnd"/>
      <w:r w:rsidR="00BE1F87" w:rsidRPr="00CD664D">
        <w:rPr>
          <w:rFonts w:ascii="Verdana" w:hAnsi="Verdana"/>
          <w:i/>
          <w:sz w:val="16"/>
          <w:szCs w:val="16"/>
        </w:rPr>
        <w:t xml:space="preserve"> y </w:t>
      </w:r>
      <w:proofErr w:type="spellStart"/>
      <w:r w:rsidR="00BE1F87" w:rsidRPr="00CD664D">
        <w:rPr>
          <w:rFonts w:ascii="Verdana" w:hAnsi="Verdana"/>
          <w:i/>
          <w:sz w:val="16"/>
          <w:szCs w:val="16"/>
        </w:rPr>
        <w:t>Xákmok</w:t>
      </w:r>
      <w:proofErr w:type="spellEnd"/>
      <w:r w:rsidR="00BE1F87" w:rsidRPr="00CD664D">
        <w:rPr>
          <w:rFonts w:ascii="Verdana" w:hAnsi="Verdana"/>
          <w:i/>
          <w:sz w:val="16"/>
          <w:szCs w:val="16"/>
        </w:rPr>
        <w:t xml:space="preserve"> </w:t>
      </w:r>
      <w:proofErr w:type="spellStart"/>
      <w:r w:rsidR="00BE1F87" w:rsidRPr="00CD664D">
        <w:rPr>
          <w:rFonts w:ascii="Verdana" w:hAnsi="Verdana"/>
          <w:i/>
          <w:sz w:val="16"/>
          <w:szCs w:val="16"/>
        </w:rPr>
        <w:t>Kásek</w:t>
      </w:r>
      <w:proofErr w:type="spellEnd"/>
      <w:r w:rsidR="00BE1F87" w:rsidRPr="00CD664D">
        <w:rPr>
          <w:rFonts w:ascii="Verdana" w:hAnsi="Verdana"/>
          <w:i/>
          <w:sz w:val="16"/>
          <w:szCs w:val="16"/>
        </w:rPr>
        <w:t xml:space="preserve"> Vs. Paraguay.</w:t>
      </w:r>
      <w:r w:rsidR="00BE1F87" w:rsidRPr="00CD664D">
        <w:rPr>
          <w:rFonts w:ascii="Verdana" w:hAnsi="Verdana"/>
          <w:sz w:val="16"/>
          <w:szCs w:val="16"/>
        </w:rPr>
        <w:t xml:space="preserve"> Supervisión de Cumplimiento de Sentencia. Resolución de la Corte Interamericana de Derechos Humanos de 24 junio de 2015,</w:t>
      </w:r>
      <w:r w:rsidR="00BE1F87">
        <w:rPr>
          <w:rFonts w:ascii="Verdana" w:hAnsi="Verdana"/>
          <w:sz w:val="16"/>
          <w:szCs w:val="16"/>
        </w:rPr>
        <w:t xml:space="preserve"> </w:t>
      </w:r>
      <w:r w:rsidRPr="00312828">
        <w:rPr>
          <w:rFonts w:ascii="Verdana" w:hAnsi="Verdana"/>
          <w:sz w:val="16"/>
          <w:szCs w:val="16"/>
        </w:rPr>
        <w:t>Considerando 46.</w:t>
      </w:r>
      <w:r w:rsidRPr="00220C99">
        <w:rPr>
          <w:rFonts w:ascii="Verdana" w:hAnsi="Verdana"/>
          <w:sz w:val="16"/>
          <w:szCs w:val="16"/>
        </w:rPr>
        <w:t xml:space="preserve">  </w:t>
      </w:r>
    </w:p>
  </w:footnote>
  <w:footnote w:id="19">
    <w:p w:rsidR="006E44FD" w:rsidRPr="006E44FD" w:rsidRDefault="006E44FD">
      <w:pPr>
        <w:pStyle w:val="Textonotapie"/>
        <w:rPr>
          <w:rFonts w:ascii="Verdana" w:hAnsi="Verdana"/>
          <w:sz w:val="16"/>
          <w:szCs w:val="16"/>
        </w:rPr>
      </w:pPr>
      <w:r w:rsidRPr="006E44FD">
        <w:rPr>
          <w:rStyle w:val="Refdenotaalpie"/>
          <w:rFonts w:ascii="Verdana" w:hAnsi="Verdana"/>
          <w:sz w:val="16"/>
          <w:szCs w:val="16"/>
        </w:rPr>
        <w:footnoteRef/>
      </w:r>
      <w:r w:rsidRPr="006E44FD">
        <w:rPr>
          <w:rFonts w:ascii="Verdana" w:hAnsi="Verdana"/>
          <w:sz w:val="16"/>
          <w:szCs w:val="16"/>
        </w:rPr>
        <w:t xml:space="preserve"> </w:t>
      </w:r>
      <w:r w:rsidRPr="006E44FD">
        <w:rPr>
          <w:rFonts w:ascii="Verdana" w:hAnsi="Verdana"/>
          <w:sz w:val="16"/>
          <w:szCs w:val="16"/>
        </w:rPr>
        <w:tab/>
        <w:t>La cual será valorada por la Corte en su oportunidad.</w:t>
      </w:r>
    </w:p>
  </w:footnote>
  <w:footnote w:id="20">
    <w:p w:rsidR="00FA194C" w:rsidRPr="00CD664D" w:rsidRDefault="00FA194C" w:rsidP="001234EB">
      <w:pPr>
        <w:pStyle w:val="Textonotapie"/>
        <w:jc w:val="both"/>
        <w:rPr>
          <w:rFonts w:ascii="Verdana" w:hAnsi="Verdana"/>
          <w:sz w:val="16"/>
          <w:szCs w:val="16"/>
          <w:lang w:val="es-CR"/>
        </w:rPr>
      </w:pPr>
      <w:r w:rsidRPr="00330485">
        <w:rPr>
          <w:rStyle w:val="Refdenotaalpie"/>
          <w:rFonts w:ascii="Verdana" w:hAnsi="Verdana"/>
          <w:sz w:val="16"/>
          <w:szCs w:val="16"/>
        </w:rPr>
        <w:footnoteRef/>
      </w:r>
      <w:r w:rsidRPr="00330485">
        <w:rPr>
          <w:rFonts w:ascii="Verdana" w:hAnsi="Verdana"/>
          <w:sz w:val="16"/>
          <w:szCs w:val="16"/>
        </w:rPr>
        <w:t xml:space="preserve"> </w:t>
      </w:r>
      <w:r w:rsidRPr="00330485">
        <w:rPr>
          <w:rFonts w:ascii="Verdana" w:hAnsi="Verdana"/>
          <w:sz w:val="16"/>
          <w:szCs w:val="16"/>
          <w:lang w:val="es-CR"/>
        </w:rPr>
        <w:tab/>
      </w:r>
      <w:r w:rsidR="00170C76" w:rsidRPr="00CD664D">
        <w:rPr>
          <w:rFonts w:ascii="Verdana" w:hAnsi="Verdana"/>
          <w:sz w:val="16"/>
          <w:szCs w:val="16"/>
        </w:rPr>
        <w:t>El Estado no proporcionó información sobre avances en concreto en la construcción de dicho camino.</w:t>
      </w:r>
      <w:r w:rsidR="00170C76" w:rsidRPr="00CD664D">
        <w:rPr>
          <w:rFonts w:ascii="Verdana" w:hAnsi="Verdana"/>
          <w:sz w:val="16"/>
          <w:szCs w:val="16"/>
          <w:lang w:val="es-CR"/>
        </w:rPr>
        <w:t xml:space="preserve"> </w:t>
      </w:r>
      <w:r w:rsidRPr="00CD664D">
        <w:rPr>
          <w:rFonts w:ascii="Verdana" w:hAnsi="Verdana"/>
          <w:sz w:val="16"/>
          <w:szCs w:val="16"/>
          <w:lang w:val="es-CR"/>
        </w:rPr>
        <w:t>El Estado reiteró que en el 2014 se inició un “</w:t>
      </w:r>
      <w:r w:rsidR="000C12EF">
        <w:rPr>
          <w:rFonts w:ascii="Verdana" w:hAnsi="Verdana"/>
          <w:sz w:val="16"/>
          <w:szCs w:val="16"/>
          <w:lang w:val="es-CR"/>
        </w:rPr>
        <w:t>j</w:t>
      </w:r>
      <w:r w:rsidRPr="00CD664D">
        <w:rPr>
          <w:rFonts w:ascii="Verdana" w:hAnsi="Verdana"/>
          <w:sz w:val="16"/>
          <w:szCs w:val="16"/>
          <w:lang w:val="es-CR"/>
        </w:rPr>
        <w:t xml:space="preserve">uicio de </w:t>
      </w:r>
      <w:r w:rsidR="000C12EF">
        <w:rPr>
          <w:rFonts w:ascii="Verdana" w:hAnsi="Verdana"/>
          <w:sz w:val="16"/>
          <w:szCs w:val="16"/>
          <w:lang w:val="es-CR"/>
        </w:rPr>
        <w:t>[s]</w:t>
      </w:r>
      <w:proofErr w:type="spellStart"/>
      <w:r w:rsidRPr="00CD664D">
        <w:rPr>
          <w:rFonts w:ascii="Verdana" w:hAnsi="Verdana"/>
          <w:sz w:val="16"/>
          <w:szCs w:val="16"/>
          <w:lang w:val="es-CR"/>
        </w:rPr>
        <w:t>ervidumbre</w:t>
      </w:r>
      <w:proofErr w:type="spellEnd"/>
      <w:r w:rsidRPr="00CD664D">
        <w:rPr>
          <w:rFonts w:ascii="Verdana" w:hAnsi="Verdana"/>
          <w:sz w:val="16"/>
          <w:szCs w:val="16"/>
          <w:lang w:val="es-CR"/>
        </w:rPr>
        <w:t xml:space="preserve">” contra los titulares de las tierras </w:t>
      </w:r>
      <w:r w:rsidR="007D3ABF">
        <w:rPr>
          <w:rFonts w:ascii="Verdana" w:hAnsi="Verdana"/>
          <w:sz w:val="16"/>
          <w:szCs w:val="16"/>
          <w:lang w:val="es-CR"/>
        </w:rPr>
        <w:t>que se verán afectadas por</w:t>
      </w:r>
      <w:r w:rsidRPr="00CD664D">
        <w:rPr>
          <w:rFonts w:ascii="Verdana" w:hAnsi="Verdana"/>
          <w:sz w:val="16"/>
          <w:szCs w:val="16"/>
          <w:lang w:val="es-CR"/>
        </w:rPr>
        <w:t xml:space="preserve"> la construcción </w:t>
      </w:r>
      <w:r w:rsidR="007D3ABF">
        <w:rPr>
          <w:rFonts w:ascii="Verdana" w:hAnsi="Verdana"/>
          <w:sz w:val="16"/>
          <w:szCs w:val="16"/>
          <w:lang w:val="es-CR"/>
        </w:rPr>
        <w:t>del camino</w:t>
      </w:r>
      <w:r w:rsidRPr="00CD664D">
        <w:rPr>
          <w:rFonts w:ascii="Verdana" w:hAnsi="Verdana"/>
          <w:sz w:val="16"/>
          <w:szCs w:val="16"/>
          <w:lang w:val="es-CR"/>
        </w:rPr>
        <w:t xml:space="preserve">, e indicó que, en el marco de dicho juicio, “el Juzgado [de primera instancia en lo civil y comercial del noveno turno] dispuso como medida de urgencia una autorización judicial que garantice inmediatamente el acceso y libre tránsito hasta el inmueble […] con el fin de posibilitar provisionalmente el acceso de los miembros de la Comunidad Indígena </w:t>
      </w:r>
      <w:proofErr w:type="spellStart"/>
      <w:r w:rsidRPr="00CD664D">
        <w:rPr>
          <w:rFonts w:ascii="Verdana" w:hAnsi="Verdana"/>
          <w:sz w:val="16"/>
          <w:szCs w:val="16"/>
          <w:lang w:val="es-CR"/>
        </w:rPr>
        <w:t>Yakye</w:t>
      </w:r>
      <w:proofErr w:type="spellEnd"/>
      <w:r w:rsidRPr="00CD664D">
        <w:rPr>
          <w:rFonts w:ascii="Verdana" w:hAnsi="Verdana"/>
          <w:sz w:val="16"/>
          <w:szCs w:val="16"/>
          <w:lang w:val="es-CR"/>
        </w:rPr>
        <w:t xml:space="preserve"> Axa </w:t>
      </w:r>
      <w:r w:rsidR="000C12EF">
        <w:rPr>
          <w:rFonts w:ascii="Verdana" w:hAnsi="Verdana"/>
          <w:sz w:val="16"/>
          <w:szCs w:val="16"/>
          <w:lang w:val="es-CR"/>
        </w:rPr>
        <w:t>en</w:t>
      </w:r>
      <w:r w:rsidRPr="00CD664D">
        <w:rPr>
          <w:rFonts w:ascii="Verdana" w:hAnsi="Verdana"/>
          <w:sz w:val="16"/>
          <w:szCs w:val="16"/>
          <w:lang w:val="es-CR"/>
        </w:rPr>
        <w:t xml:space="preserve"> la zona, y de todo funcionario del Estado que cuente con una orden de trabajo para el cumplimiento de sus funciones para la realización de los estudios técnicos de factibilidad requeridos para la construcción y habilitación de un camino público de todo tiempo en el lugar señalado”. Sobre este punto, el Estado no presentó soporte probatorio alguno. El Estado agregó que se esperan “modificaciones en el rumbo procesal” del referido juicio, “debido a que [existe un nuevo trazado, por el cual], existen propiedades inicialmente demandadas que actualmente ya no estarán afectadas y por lo menos una propiedad que quedará afectada y que no está demandada en el juicio presentado inicialmente”.  Los representantes hicieron notar que </w:t>
      </w:r>
      <w:r w:rsidR="00170C76" w:rsidRPr="00CD664D">
        <w:rPr>
          <w:rFonts w:ascii="Verdana" w:hAnsi="Verdana"/>
          <w:sz w:val="16"/>
          <w:szCs w:val="16"/>
          <w:lang w:val="es-CR"/>
        </w:rPr>
        <w:t>la modificación del trazado se habría realizado hace un año “y que el camino no ha avanzado un solo metro”. Afirman también que el Estado no ha rectificado dicha acción judicial, y, en conclusión, que la comunidad “se encuentra en la misma situación que la Corte IDH conociera hace 11 años”</w:t>
      </w:r>
      <w:r w:rsidRPr="00CD664D">
        <w:rPr>
          <w:rFonts w:ascii="Verdana" w:hAnsi="Verdana"/>
          <w:sz w:val="16"/>
          <w:szCs w:val="16"/>
          <w:lang w:val="es-CR"/>
        </w:rPr>
        <w:t>.</w:t>
      </w:r>
    </w:p>
  </w:footnote>
  <w:footnote w:id="21">
    <w:p w:rsidR="00FA194C" w:rsidRPr="00FA680A" w:rsidRDefault="00FA194C" w:rsidP="00D50724">
      <w:pPr>
        <w:pStyle w:val="Textonotapie"/>
        <w:jc w:val="both"/>
        <w:rPr>
          <w:rFonts w:ascii="Verdana" w:hAnsi="Verdana"/>
          <w:sz w:val="16"/>
          <w:szCs w:val="16"/>
          <w:lang w:val="es-CR"/>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lang w:val="es-CR"/>
        </w:rPr>
        <w:tab/>
        <w:t>En esa oportunidad, la Corte constató que: el 21 de mayo de 2014 se aprobó la ley de expropiación de las tierras tradicionales que corresponden a dicha comunidad indígena; la Corte Suprema de Justicia de Paraguay resolvió “no hacer lugar” a una acción de inconstitucionalidad promovida contra la referida ley de expropiación; ante la negativa de las sociedades anónimas titulares de las referidas tierras de aceptar los pagos correspondientes a la expropiación, el 5 de febrero de 2015 el Juzgado de</w:t>
      </w:r>
      <w:r w:rsidRPr="00FA680A">
        <w:rPr>
          <w:rFonts w:ascii="Verdana" w:hAnsi="Verdana"/>
          <w:sz w:val="16"/>
          <w:szCs w:val="16"/>
          <w:lang w:val="es-CR"/>
        </w:rPr>
        <w:t xml:space="preserve"> Primera Instancia en lo Civil y Comercial del Segundo Turno ordenó al Banco Nacional de Fomento “la [a]</w:t>
      </w:r>
      <w:proofErr w:type="spellStart"/>
      <w:r w:rsidRPr="00FA680A">
        <w:rPr>
          <w:rFonts w:ascii="Verdana" w:hAnsi="Verdana"/>
          <w:sz w:val="16"/>
          <w:szCs w:val="16"/>
          <w:lang w:val="es-CR"/>
        </w:rPr>
        <w:t>pertura</w:t>
      </w:r>
      <w:proofErr w:type="spellEnd"/>
      <w:r w:rsidRPr="00FA680A">
        <w:rPr>
          <w:rFonts w:ascii="Verdana" w:hAnsi="Verdana"/>
          <w:sz w:val="16"/>
          <w:szCs w:val="16"/>
          <w:lang w:val="es-CR"/>
        </w:rPr>
        <w:t xml:space="preserve"> de una cuenta judicial a nombre del juicio”, que según los representantes de la comunidad permitiría preservar los recursos para tal fin, y se presentó la “</w:t>
      </w:r>
      <w:r w:rsidR="00BA44FD">
        <w:rPr>
          <w:rFonts w:ascii="Verdana" w:hAnsi="Verdana"/>
          <w:sz w:val="16"/>
          <w:szCs w:val="16"/>
          <w:lang w:val="es-CR"/>
        </w:rPr>
        <w:t>[s]</w:t>
      </w:r>
      <w:proofErr w:type="spellStart"/>
      <w:r w:rsidRPr="00FA680A">
        <w:rPr>
          <w:rFonts w:ascii="Verdana" w:hAnsi="Verdana"/>
          <w:sz w:val="16"/>
          <w:szCs w:val="16"/>
          <w:lang w:val="es-CR"/>
        </w:rPr>
        <w:t>olicitud</w:t>
      </w:r>
      <w:proofErr w:type="spellEnd"/>
      <w:r w:rsidRPr="00FA680A">
        <w:rPr>
          <w:rFonts w:ascii="Verdana" w:hAnsi="Verdana"/>
          <w:sz w:val="16"/>
          <w:szCs w:val="16"/>
          <w:lang w:val="es-CR"/>
        </w:rPr>
        <w:t xml:space="preserve"> de </w:t>
      </w:r>
      <w:r w:rsidR="00BA44FD">
        <w:rPr>
          <w:rFonts w:ascii="Verdana" w:hAnsi="Verdana"/>
          <w:sz w:val="16"/>
          <w:szCs w:val="16"/>
          <w:lang w:val="es-CR"/>
        </w:rPr>
        <w:t>[i]</w:t>
      </w:r>
      <w:proofErr w:type="spellStart"/>
      <w:r w:rsidRPr="00FA680A">
        <w:rPr>
          <w:rFonts w:ascii="Verdana" w:hAnsi="Verdana"/>
          <w:sz w:val="16"/>
          <w:szCs w:val="16"/>
          <w:lang w:val="es-CR"/>
        </w:rPr>
        <w:t>nscripción</w:t>
      </w:r>
      <w:proofErr w:type="spellEnd"/>
      <w:r w:rsidRPr="00FA680A">
        <w:rPr>
          <w:rFonts w:ascii="Verdana" w:hAnsi="Verdana"/>
          <w:sz w:val="16"/>
          <w:szCs w:val="16"/>
          <w:lang w:val="es-CR"/>
        </w:rPr>
        <w:t xml:space="preserve"> preventiva de [dicha] </w:t>
      </w:r>
      <w:r w:rsidR="00BA44FD">
        <w:rPr>
          <w:rFonts w:ascii="Verdana" w:hAnsi="Verdana"/>
          <w:sz w:val="16"/>
          <w:szCs w:val="16"/>
          <w:lang w:val="es-CR"/>
        </w:rPr>
        <w:t>[l]</w:t>
      </w:r>
      <w:proofErr w:type="spellStart"/>
      <w:r w:rsidRPr="00FA680A">
        <w:rPr>
          <w:rFonts w:ascii="Verdana" w:hAnsi="Verdana"/>
          <w:sz w:val="16"/>
          <w:szCs w:val="16"/>
          <w:lang w:val="es-CR"/>
        </w:rPr>
        <w:t>ey</w:t>
      </w:r>
      <w:proofErr w:type="spellEnd"/>
      <w:r w:rsidRPr="00FA680A">
        <w:rPr>
          <w:rFonts w:ascii="Verdana" w:hAnsi="Verdana"/>
          <w:sz w:val="16"/>
          <w:szCs w:val="16"/>
          <w:lang w:val="es-CR"/>
        </w:rPr>
        <w:t xml:space="preserve"> ante el Juzgado de Primera Instancia en lo Civil y Comercial</w:t>
      </w:r>
      <w:r w:rsidRPr="00DA783D">
        <w:rPr>
          <w:rFonts w:ascii="Verdana" w:hAnsi="Verdana"/>
          <w:sz w:val="16"/>
          <w:szCs w:val="16"/>
          <w:lang w:val="es-CR"/>
        </w:rPr>
        <w:t>”.</w:t>
      </w:r>
      <w:r w:rsidR="00170C76" w:rsidRPr="00DA783D">
        <w:rPr>
          <w:rFonts w:ascii="Verdana" w:hAnsi="Verdana"/>
          <w:i/>
          <w:sz w:val="16"/>
          <w:szCs w:val="16"/>
        </w:rPr>
        <w:t xml:space="preserve"> Cfr. Casos de las Comunidades Indígenas </w:t>
      </w:r>
      <w:proofErr w:type="spellStart"/>
      <w:r w:rsidR="00170C76" w:rsidRPr="00DA783D">
        <w:rPr>
          <w:rFonts w:ascii="Verdana" w:hAnsi="Verdana"/>
          <w:i/>
          <w:sz w:val="16"/>
          <w:szCs w:val="16"/>
        </w:rPr>
        <w:t>Yakye</w:t>
      </w:r>
      <w:proofErr w:type="spellEnd"/>
      <w:r w:rsidR="00170C76" w:rsidRPr="00DA783D">
        <w:rPr>
          <w:rFonts w:ascii="Verdana" w:hAnsi="Verdana"/>
          <w:i/>
          <w:sz w:val="16"/>
          <w:szCs w:val="16"/>
        </w:rPr>
        <w:t xml:space="preserve"> Axa, </w:t>
      </w:r>
      <w:proofErr w:type="spellStart"/>
      <w:r w:rsidR="00170C76" w:rsidRPr="00DA783D">
        <w:rPr>
          <w:rFonts w:ascii="Verdana" w:hAnsi="Verdana"/>
          <w:i/>
          <w:sz w:val="16"/>
          <w:szCs w:val="16"/>
        </w:rPr>
        <w:t>Sawhoyamaxa</w:t>
      </w:r>
      <w:proofErr w:type="spellEnd"/>
      <w:r w:rsidR="00170C76" w:rsidRPr="00DA783D">
        <w:rPr>
          <w:rFonts w:ascii="Verdana" w:hAnsi="Verdana"/>
          <w:i/>
          <w:sz w:val="16"/>
          <w:szCs w:val="16"/>
        </w:rPr>
        <w:t xml:space="preserve"> y </w:t>
      </w:r>
      <w:proofErr w:type="spellStart"/>
      <w:r w:rsidR="00170C76" w:rsidRPr="00DA783D">
        <w:rPr>
          <w:rFonts w:ascii="Verdana" w:hAnsi="Verdana"/>
          <w:i/>
          <w:sz w:val="16"/>
          <w:szCs w:val="16"/>
        </w:rPr>
        <w:t>Xákmok</w:t>
      </w:r>
      <w:proofErr w:type="spellEnd"/>
      <w:r w:rsidR="00170C76" w:rsidRPr="00DA783D">
        <w:rPr>
          <w:rFonts w:ascii="Verdana" w:hAnsi="Verdana"/>
          <w:i/>
          <w:sz w:val="16"/>
          <w:szCs w:val="16"/>
        </w:rPr>
        <w:t xml:space="preserve"> </w:t>
      </w:r>
      <w:proofErr w:type="spellStart"/>
      <w:r w:rsidR="00170C76" w:rsidRPr="00DA783D">
        <w:rPr>
          <w:rFonts w:ascii="Verdana" w:hAnsi="Verdana"/>
          <w:i/>
          <w:sz w:val="16"/>
          <w:szCs w:val="16"/>
        </w:rPr>
        <w:t>Kásek</w:t>
      </w:r>
      <w:proofErr w:type="spellEnd"/>
      <w:r w:rsidR="00170C76" w:rsidRPr="00DA783D">
        <w:rPr>
          <w:rFonts w:ascii="Verdana" w:hAnsi="Verdana"/>
          <w:i/>
          <w:sz w:val="16"/>
          <w:szCs w:val="16"/>
        </w:rPr>
        <w:t xml:space="preserve"> Vs. Paraguay.</w:t>
      </w:r>
      <w:r w:rsidR="00170C76" w:rsidRPr="00DA783D">
        <w:rPr>
          <w:rFonts w:ascii="Verdana" w:hAnsi="Verdana"/>
          <w:sz w:val="16"/>
          <w:szCs w:val="16"/>
        </w:rPr>
        <w:t xml:space="preserve"> Supervisión de Cumplimiento de Sentencia. Resolución de la Corte Interamericana de Derechos Humanos de 24 junio de 2015, Considerandos 22 y 27.</w:t>
      </w:r>
      <w:r w:rsidR="00170C76">
        <w:rPr>
          <w:rFonts w:ascii="Verdana" w:hAnsi="Verdana"/>
          <w:sz w:val="16"/>
          <w:szCs w:val="16"/>
        </w:rPr>
        <w:t xml:space="preserve">  </w:t>
      </w:r>
    </w:p>
  </w:footnote>
  <w:footnote w:id="22">
    <w:p w:rsidR="00170C76" w:rsidRPr="00170C76" w:rsidRDefault="00170C76">
      <w:pPr>
        <w:pStyle w:val="Textonotapie"/>
        <w:rPr>
          <w:rFonts w:ascii="Verdana" w:hAnsi="Verdana"/>
          <w:sz w:val="16"/>
          <w:szCs w:val="16"/>
        </w:rPr>
      </w:pPr>
      <w:r w:rsidRPr="00DA783D">
        <w:rPr>
          <w:rStyle w:val="Refdenotaalpie"/>
          <w:rFonts w:ascii="Verdana" w:hAnsi="Verdana"/>
          <w:sz w:val="16"/>
          <w:szCs w:val="16"/>
        </w:rPr>
        <w:footnoteRef/>
      </w:r>
      <w:r w:rsidRPr="00DA783D">
        <w:rPr>
          <w:rFonts w:ascii="Verdana" w:hAnsi="Verdana"/>
          <w:sz w:val="16"/>
          <w:szCs w:val="16"/>
        </w:rPr>
        <w:t xml:space="preserve"> </w:t>
      </w:r>
      <w:r w:rsidRPr="00DA783D">
        <w:rPr>
          <w:rFonts w:ascii="Verdana" w:hAnsi="Verdana"/>
          <w:sz w:val="16"/>
          <w:szCs w:val="16"/>
        </w:rPr>
        <w:tab/>
      </w:r>
      <w:r w:rsidRPr="00DA783D">
        <w:rPr>
          <w:rFonts w:ascii="Verdana" w:hAnsi="Verdana"/>
          <w:i/>
          <w:sz w:val="16"/>
          <w:szCs w:val="16"/>
        </w:rPr>
        <w:t xml:space="preserve">Cfr. Casos de las Comunidades Indígenas </w:t>
      </w:r>
      <w:proofErr w:type="spellStart"/>
      <w:r w:rsidRPr="00DA783D">
        <w:rPr>
          <w:rFonts w:ascii="Verdana" w:hAnsi="Verdana"/>
          <w:i/>
          <w:sz w:val="16"/>
          <w:szCs w:val="16"/>
        </w:rPr>
        <w:t>Yakye</w:t>
      </w:r>
      <w:proofErr w:type="spellEnd"/>
      <w:r w:rsidRPr="00DA783D">
        <w:rPr>
          <w:rFonts w:ascii="Verdana" w:hAnsi="Verdana"/>
          <w:i/>
          <w:sz w:val="16"/>
          <w:szCs w:val="16"/>
        </w:rPr>
        <w:t xml:space="preserve"> Axa, </w:t>
      </w:r>
      <w:proofErr w:type="spellStart"/>
      <w:r w:rsidRPr="00DA783D">
        <w:rPr>
          <w:rFonts w:ascii="Verdana" w:hAnsi="Verdana"/>
          <w:i/>
          <w:sz w:val="16"/>
          <w:szCs w:val="16"/>
        </w:rPr>
        <w:t>Sawhoyamaxa</w:t>
      </w:r>
      <w:proofErr w:type="spellEnd"/>
      <w:r w:rsidRPr="00DA783D">
        <w:rPr>
          <w:rFonts w:ascii="Verdana" w:hAnsi="Verdana"/>
          <w:i/>
          <w:sz w:val="16"/>
          <w:szCs w:val="16"/>
        </w:rPr>
        <w:t xml:space="preserve"> y </w:t>
      </w:r>
      <w:proofErr w:type="spellStart"/>
      <w:r w:rsidRPr="00DA783D">
        <w:rPr>
          <w:rFonts w:ascii="Verdana" w:hAnsi="Verdana"/>
          <w:i/>
          <w:sz w:val="16"/>
          <w:szCs w:val="16"/>
        </w:rPr>
        <w:t>Xákmok</w:t>
      </w:r>
      <w:proofErr w:type="spellEnd"/>
      <w:r w:rsidRPr="00DA783D">
        <w:rPr>
          <w:rFonts w:ascii="Verdana" w:hAnsi="Verdana"/>
          <w:i/>
          <w:sz w:val="16"/>
          <w:szCs w:val="16"/>
        </w:rPr>
        <w:t xml:space="preserve"> </w:t>
      </w:r>
      <w:proofErr w:type="spellStart"/>
      <w:r w:rsidRPr="00DA783D">
        <w:rPr>
          <w:rFonts w:ascii="Verdana" w:hAnsi="Verdana"/>
          <w:i/>
          <w:sz w:val="16"/>
          <w:szCs w:val="16"/>
        </w:rPr>
        <w:t>Kásek</w:t>
      </w:r>
      <w:proofErr w:type="spellEnd"/>
      <w:r w:rsidRPr="00DA783D">
        <w:rPr>
          <w:rFonts w:ascii="Verdana" w:hAnsi="Verdana"/>
          <w:i/>
          <w:sz w:val="16"/>
          <w:szCs w:val="16"/>
        </w:rPr>
        <w:t xml:space="preserve"> Vs. Paraguay.</w:t>
      </w:r>
      <w:r w:rsidRPr="00DA783D">
        <w:rPr>
          <w:rFonts w:ascii="Verdana" w:hAnsi="Verdana"/>
          <w:sz w:val="16"/>
          <w:szCs w:val="16"/>
        </w:rPr>
        <w:t xml:space="preserve"> Supervisión de Cumplimiento de Sentencia. Resolución de la Corte Interamericana de Derechos Humanos de 24 junio de 2015, Considerandos 24 a 26.</w:t>
      </w:r>
      <w:r w:rsidRPr="00170C76">
        <w:rPr>
          <w:rFonts w:ascii="Verdana" w:hAnsi="Verdana"/>
          <w:sz w:val="16"/>
          <w:szCs w:val="16"/>
        </w:rPr>
        <w:t xml:space="preserve">  </w:t>
      </w:r>
    </w:p>
  </w:footnote>
  <w:footnote w:id="23">
    <w:p w:rsidR="00E91E91" w:rsidRPr="00E91E91" w:rsidRDefault="00E91E91" w:rsidP="00753653">
      <w:pPr>
        <w:pStyle w:val="Textonotapie"/>
        <w:jc w:val="both"/>
        <w:rPr>
          <w:rFonts w:ascii="Verdana" w:hAnsi="Verdana"/>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t xml:space="preserve">En el mismo orden de ideas, la Comisión manifestó que </w:t>
      </w:r>
      <w:r w:rsidR="00D8580A" w:rsidRPr="00CD664D">
        <w:rPr>
          <w:rFonts w:ascii="Verdana" w:hAnsi="Verdana"/>
          <w:sz w:val="16"/>
          <w:szCs w:val="16"/>
        </w:rPr>
        <w:t xml:space="preserve">quedaba </w:t>
      </w:r>
      <w:r w:rsidRPr="00CD664D">
        <w:rPr>
          <w:rFonts w:ascii="Verdana" w:hAnsi="Verdana"/>
          <w:sz w:val="16"/>
          <w:szCs w:val="16"/>
        </w:rPr>
        <w:t xml:space="preserve"> “a la espera de información sobre las medidas adoptadas para superar todos los obstáculos procesales y judiciales, e implementar a la brevedad posible la Ley [de expropiación]”.</w:t>
      </w:r>
    </w:p>
  </w:footnote>
  <w:footnote w:id="24">
    <w:p w:rsidR="00FA194C" w:rsidRPr="00FA680A" w:rsidRDefault="00FA194C" w:rsidP="008B6C49">
      <w:pPr>
        <w:pStyle w:val="Textonotapie"/>
        <w:jc w:val="both"/>
        <w:rPr>
          <w:rFonts w:ascii="Verdana" w:hAnsi="Verdana"/>
          <w:sz w:val="16"/>
          <w:szCs w:val="16"/>
          <w:lang w:val="es-CR"/>
        </w:rPr>
      </w:pPr>
      <w:r w:rsidRPr="00FA680A">
        <w:rPr>
          <w:rStyle w:val="Refdenotaalpie"/>
          <w:rFonts w:ascii="Verdana" w:hAnsi="Verdana"/>
          <w:sz w:val="16"/>
          <w:szCs w:val="16"/>
        </w:rPr>
        <w:footnoteRef/>
      </w:r>
      <w:r w:rsidRPr="00FA680A">
        <w:rPr>
          <w:rFonts w:ascii="Verdana" w:hAnsi="Verdana"/>
          <w:sz w:val="16"/>
          <w:szCs w:val="16"/>
        </w:rPr>
        <w:t xml:space="preserve"> </w:t>
      </w:r>
      <w:r w:rsidRPr="00FA680A">
        <w:rPr>
          <w:rFonts w:ascii="Verdana" w:hAnsi="Verdana"/>
          <w:sz w:val="16"/>
          <w:szCs w:val="16"/>
          <w:lang w:val="es-CR"/>
        </w:rPr>
        <w:tab/>
        <w:t>La Corte observó que el Estado sólo aportó alguna información sobre la negociación con una empresa para la adquisición de 7.700 hectáreas de las 10.700 que le corresponden a la comunidad indígena.</w:t>
      </w:r>
      <w:r w:rsidR="001F5D6C">
        <w:rPr>
          <w:rFonts w:ascii="Verdana" w:hAnsi="Verdana"/>
          <w:sz w:val="16"/>
          <w:szCs w:val="16"/>
          <w:lang w:val="es-CR"/>
        </w:rPr>
        <w:t xml:space="preserve"> </w:t>
      </w:r>
      <w:r w:rsidR="001F5D6C" w:rsidRPr="00DA783D">
        <w:rPr>
          <w:rFonts w:ascii="Verdana" w:hAnsi="Verdana"/>
          <w:i/>
          <w:sz w:val="16"/>
          <w:szCs w:val="16"/>
        </w:rPr>
        <w:t xml:space="preserve">Cfr. Casos de las Comunidades Indígenas </w:t>
      </w:r>
      <w:proofErr w:type="spellStart"/>
      <w:r w:rsidR="001F5D6C" w:rsidRPr="00DA783D">
        <w:rPr>
          <w:rFonts w:ascii="Verdana" w:hAnsi="Verdana"/>
          <w:i/>
          <w:sz w:val="16"/>
          <w:szCs w:val="16"/>
        </w:rPr>
        <w:t>Yakye</w:t>
      </w:r>
      <w:proofErr w:type="spellEnd"/>
      <w:r w:rsidR="001F5D6C" w:rsidRPr="00DA783D">
        <w:rPr>
          <w:rFonts w:ascii="Verdana" w:hAnsi="Verdana"/>
          <w:i/>
          <w:sz w:val="16"/>
          <w:szCs w:val="16"/>
        </w:rPr>
        <w:t xml:space="preserve"> Axa, </w:t>
      </w:r>
      <w:proofErr w:type="spellStart"/>
      <w:r w:rsidR="001F5D6C" w:rsidRPr="00DA783D">
        <w:rPr>
          <w:rFonts w:ascii="Verdana" w:hAnsi="Verdana"/>
          <w:i/>
          <w:sz w:val="16"/>
          <w:szCs w:val="16"/>
        </w:rPr>
        <w:t>Sawhoyamaxa</w:t>
      </w:r>
      <w:proofErr w:type="spellEnd"/>
      <w:r w:rsidR="001F5D6C" w:rsidRPr="00DA783D">
        <w:rPr>
          <w:rFonts w:ascii="Verdana" w:hAnsi="Verdana"/>
          <w:i/>
          <w:sz w:val="16"/>
          <w:szCs w:val="16"/>
        </w:rPr>
        <w:t xml:space="preserve"> y </w:t>
      </w:r>
      <w:proofErr w:type="spellStart"/>
      <w:r w:rsidR="001F5D6C" w:rsidRPr="00DA783D">
        <w:rPr>
          <w:rFonts w:ascii="Verdana" w:hAnsi="Verdana"/>
          <w:i/>
          <w:sz w:val="16"/>
          <w:szCs w:val="16"/>
        </w:rPr>
        <w:t>Xákmok</w:t>
      </w:r>
      <w:proofErr w:type="spellEnd"/>
      <w:r w:rsidR="001F5D6C" w:rsidRPr="00DA783D">
        <w:rPr>
          <w:rFonts w:ascii="Verdana" w:hAnsi="Verdana"/>
          <w:i/>
          <w:sz w:val="16"/>
          <w:szCs w:val="16"/>
        </w:rPr>
        <w:t xml:space="preserve"> </w:t>
      </w:r>
      <w:proofErr w:type="spellStart"/>
      <w:r w:rsidR="001F5D6C" w:rsidRPr="00DA783D">
        <w:rPr>
          <w:rFonts w:ascii="Verdana" w:hAnsi="Verdana"/>
          <w:i/>
          <w:sz w:val="16"/>
          <w:szCs w:val="16"/>
        </w:rPr>
        <w:t>Kásek</w:t>
      </w:r>
      <w:proofErr w:type="spellEnd"/>
      <w:r w:rsidR="001F5D6C" w:rsidRPr="00DA783D">
        <w:rPr>
          <w:rFonts w:ascii="Verdana" w:hAnsi="Verdana"/>
          <w:i/>
          <w:sz w:val="16"/>
          <w:szCs w:val="16"/>
        </w:rPr>
        <w:t xml:space="preserve"> Vs. Paraguay.</w:t>
      </w:r>
      <w:r w:rsidR="001F5D6C" w:rsidRPr="00DA783D">
        <w:rPr>
          <w:rFonts w:ascii="Verdana" w:hAnsi="Verdana"/>
          <w:sz w:val="16"/>
          <w:szCs w:val="16"/>
        </w:rPr>
        <w:t xml:space="preserve"> Supervisión de Cumplimiento de Sentencia. Resolución de la Corte Interamericana de Derechos Humanos de 24 junio de 2015, Considerandos </w:t>
      </w:r>
      <w:r w:rsidR="001F5D6C">
        <w:rPr>
          <w:rFonts w:ascii="Verdana" w:hAnsi="Verdana"/>
          <w:sz w:val="16"/>
          <w:szCs w:val="16"/>
        </w:rPr>
        <w:t>35</w:t>
      </w:r>
      <w:r w:rsidR="001F5D6C" w:rsidRPr="00DA783D">
        <w:rPr>
          <w:rFonts w:ascii="Verdana" w:hAnsi="Verdana"/>
          <w:sz w:val="16"/>
          <w:szCs w:val="16"/>
        </w:rPr>
        <w:t xml:space="preserve"> </w:t>
      </w:r>
      <w:r w:rsidR="001F5D6C">
        <w:rPr>
          <w:rFonts w:ascii="Verdana" w:hAnsi="Verdana"/>
          <w:sz w:val="16"/>
          <w:szCs w:val="16"/>
        </w:rPr>
        <w:t>y</w:t>
      </w:r>
      <w:r w:rsidR="001F5D6C" w:rsidRPr="00DA783D">
        <w:rPr>
          <w:rFonts w:ascii="Verdana" w:hAnsi="Verdana"/>
          <w:sz w:val="16"/>
          <w:szCs w:val="16"/>
        </w:rPr>
        <w:t xml:space="preserve"> </w:t>
      </w:r>
      <w:r w:rsidR="001F5D6C">
        <w:rPr>
          <w:rFonts w:ascii="Verdana" w:hAnsi="Verdana"/>
          <w:sz w:val="16"/>
          <w:szCs w:val="16"/>
        </w:rPr>
        <w:t>36</w:t>
      </w:r>
      <w:r w:rsidR="001F5D6C" w:rsidRPr="00DA783D">
        <w:rPr>
          <w:rFonts w:ascii="Verdana" w:hAnsi="Verdana"/>
          <w:sz w:val="16"/>
          <w:szCs w:val="16"/>
        </w:rPr>
        <w:t>.</w:t>
      </w:r>
      <w:r w:rsidR="001F5D6C" w:rsidRPr="00170C76">
        <w:rPr>
          <w:rFonts w:ascii="Verdana" w:hAnsi="Verdana"/>
          <w:sz w:val="16"/>
          <w:szCs w:val="16"/>
        </w:rPr>
        <w:t xml:space="preserve">  </w:t>
      </w:r>
      <w:r w:rsidRPr="00FA680A">
        <w:rPr>
          <w:rFonts w:ascii="Verdana" w:hAnsi="Verdana"/>
          <w:sz w:val="16"/>
          <w:szCs w:val="16"/>
          <w:lang w:val="es-CR"/>
        </w:rPr>
        <w:t xml:space="preserve"> </w:t>
      </w:r>
    </w:p>
  </w:footnote>
  <w:footnote w:id="25">
    <w:p w:rsidR="00FA194C" w:rsidRPr="00FA680A" w:rsidRDefault="00FA194C" w:rsidP="008B6C49">
      <w:pPr>
        <w:pStyle w:val="Textonotapie"/>
        <w:jc w:val="both"/>
        <w:rPr>
          <w:rFonts w:ascii="Verdana" w:hAnsi="Verdana"/>
          <w:sz w:val="16"/>
          <w:szCs w:val="16"/>
          <w:lang w:val="es-CR"/>
        </w:rPr>
      </w:pPr>
      <w:r w:rsidRPr="00FA680A">
        <w:rPr>
          <w:rStyle w:val="Refdenotaalpie"/>
          <w:rFonts w:ascii="Verdana" w:hAnsi="Verdana"/>
          <w:sz w:val="16"/>
          <w:szCs w:val="16"/>
        </w:rPr>
        <w:footnoteRef/>
      </w:r>
      <w:r w:rsidRPr="00FA680A">
        <w:rPr>
          <w:rFonts w:ascii="Verdana" w:hAnsi="Verdana"/>
          <w:sz w:val="16"/>
          <w:szCs w:val="16"/>
        </w:rPr>
        <w:t xml:space="preserve"> </w:t>
      </w:r>
      <w:r w:rsidRPr="00FA680A">
        <w:rPr>
          <w:rFonts w:ascii="Verdana" w:hAnsi="Verdana"/>
          <w:sz w:val="16"/>
          <w:szCs w:val="16"/>
          <w:lang w:val="es-CR"/>
        </w:rPr>
        <w:tab/>
        <w:t xml:space="preserve">La Corte hizo notar que </w:t>
      </w:r>
      <w:r w:rsidRPr="00FA680A">
        <w:rPr>
          <w:rFonts w:ascii="Verdana" w:hAnsi="Verdana"/>
          <w:sz w:val="16"/>
          <w:szCs w:val="16"/>
          <w:lang w:val="es-ES"/>
        </w:rPr>
        <w:t>existe</w:t>
      </w:r>
      <w:r w:rsidR="00581C32">
        <w:rPr>
          <w:rFonts w:ascii="Verdana" w:hAnsi="Verdana"/>
          <w:sz w:val="16"/>
          <w:szCs w:val="16"/>
          <w:lang w:val="es-ES"/>
        </w:rPr>
        <w:t>n</w:t>
      </w:r>
      <w:r w:rsidRPr="00FA680A">
        <w:rPr>
          <w:rFonts w:ascii="Verdana" w:hAnsi="Verdana"/>
          <w:sz w:val="16"/>
          <w:szCs w:val="16"/>
          <w:lang w:val="es-ES"/>
        </w:rPr>
        <w:t xml:space="preserve"> sólo medida</w:t>
      </w:r>
      <w:r w:rsidR="00581C32">
        <w:rPr>
          <w:rFonts w:ascii="Verdana" w:hAnsi="Verdana"/>
          <w:sz w:val="16"/>
          <w:szCs w:val="16"/>
          <w:lang w:val="es-ES"/>
        </w:rPr>
        <w:t>s</w:t>
      </w:r>
      <w:r w:rsidRPr="00FA680A">
        <w:rPr>
          <w:rFonts w:ascii="Verdana" w:hAnsi="Verdana"/>
          <w:sz w:val="16"/>
          <w:szCs w:val="16"/>
          <w:lang w:val="es-ES"/>
        </w:rPr>
        <w:t xml:space="preserve"> de protección sobre la fracción de 7.700 hectáreas de las 10.700 que conforman las tierras tradicionales de la comunidad.</w:t>
      </w:r>
      <w:r w:rsidR="00581C32">
        <w:rPr>
          <w:rFonts w:ascii="Verdana" w:hAnsi="Verdana"/>
          <w:sz w:val="16"/>
          <w:szCs w:val="16"/>
          <w:lang w:val="es-ES"/>
        </w:rPr>
        <w:t xml:space="preserve"> La Corte también requirió al Estado que brinde una explicación con relación a los señalamientos de los representantes respecto a la alegada destrucción del cementerio de la comunidad.</w:t>
      </w:r>
      <w:r w:rsidR="001F5D6C">
        <w:rPr>
          <w:rFonts w:ascii="Verdana" w:hAnsi="Verdana"/>
          <w:sz w:val="16"/>
          <w:szCs w:val="16"/>
          <w:lang w:val="es-ES"/>
        </w:rPr>
        <w:t xml:space="preserve"> </w:t>
      </w:r>
      <w:r w:rsidR="001F5D6C" w:rsidRPr="00DA783D">
        <w:rPr>
          <w:rFonts w:ascii="Verdana" w:hAnsi="Verdana"/>
          <w:i/>
          <w:sz w:val="16"/>
          <w:szCs w:val="16"/>
        </w:rPr>
        <w:t xml:space="preserve">Cfr. Casos de las Comunidades Indígenas </w:t>
      </w:r>
      <w:proofErr w:type="spellStart"/>
      <w:r w:rsidR="001F5D6C" w:rsidRPr="00DA783D">
        <w:rPr>
          <w:rFonts w:ascii="Verdana" w:hAnsi="Verdana"/>
          <w:i/>
          <w:sz w:val="16"/>
          <w:szCs w:val="16"/>
        </w:rPr>
        <w:t>Yakye</w:t>
      </w:r>
      <w:proofErr w:type="spellEnd"/>
      <w:r w:rsidR="001F5D6C" w:rsidRPr="00DA783D">
        <w:rPr>
          <w:rFonts w:ascii="Verdana" w:hAnsi="Verdana"/>
          <w:i/>
          <w:sz w:val="16"/>
          <w:szCs w:val="16"/>
        </w:rPr>
        <w:t xml:space="preserve"> Axa, </w:t>
      </w:r>
      <w:proofErr w:type="spellStart"/>
      <w:r w:rsidR="001F5D6C" w:rsidRPr="00DA783D">
        <w:rPr>
          <w:rFonts w:ascii="Verdana" w:hAnsi="Verdana"/>
          <w:i/>
          <w:sz w:val="16"/>
          <w:szCs w:val="16"/>
        </w:rPr>
        <w:t>Sawhoyamaxa</w:t>
      </w:r>
      <w:proofErr w:type="spellEnd"/>
      <w:r w:rsidR="001F5D6C" w:rsidRPr="00DA783D">
        <w:rPr>
          <w:rFonts w:ascii="Verdana" w:hAnsi="Verdana"/>
          <w:i/>
          <w:sz w:val="16"/>
          <w:szCs w:val="16"/>
        </w:rPr>
        <w:t xml:space="preserve"> y </w:t>
      </w:r>
      <w:proofErr w:type="spellStart"/>
      <w:r w:rsidR="001F5D6C" w:rsidRPr="00DA783D">
        <w:rPr>
          <w:rFonts w:ascii="Verdana" w:hAnsi="Verdana"/>
          <w:i/>
          <w:sz w:val="16"/>
          <w:szCs w:val="16"/>
        </w:rPr>
        <w:t>Xákmok</w:t>
      </w:r>
      <w:proofErr w:type="spellEnd"/>
      <w:r w:rsidR="001F5D6C" w:rsidRPr="00DA783D">
        <w:rPr>
          <w:rFonts w:ascii="Verdana" w:hAnsi="Verdana"/>
          <w:i/>
          <w:sz w:val="16"/>
          <w:szCs w:val="16"/>
        </w:rPr>
        <w:t xml:space="preserve"> </w:t>
      </w:r>
      <w:proofErr w:type="spellStart"/>
      <w:r w:rsidR="001F5D6C" w:rsidRPr="00DA783D">
        <w:rPr>
          <w:rFonts w:ascii="Verdana" w:hAnsi="Verdana"/>
          <w:i/>
          <w:sz w:val="16"/>
          <w:szCs w:val="16"/>
        </w:rPr>
        <w:t>Kásek</w:t>
      </w:r>
      <w:proofErr w:type="spellEnd"/>
      <w:r w:rsidR="001F5D6C" w:rsidRPr="00DA783D">
        <w:rPr>
          <w:rFonts w:ascii="Verdana" w:hAnsi="Verdana"/>
          <w:i/>
          <w:sz w:val="16"/>
          <w:szCs w:val="16"/>
        </w:rPr>
        <w:t xml:space="preserve"> Vs. Paraguay.</w:t>
      </w:r>
      <w:r w:rsidR="001F5D6C" w:rsidRPr="00DA783D">
        <w:rPr>
          <w:rFonts w:ascii="Verdana" w:hAnsi="Verdana"/>
          <w:sz w:val="16"/>
          <w:szCs w:val="16"/>
        </w:rPr>
        <w:t xml:space="preserve"> Supervisión de Cumplimiento de Sentencia. Resolución de la Corte Interamericana de Derechos Humanos de 24 junio de 2015, Considerandos </w:t>
      </w:r>
      <w:r w:rsidR="001F5D6C">
        <w:rPr>
          <w:rFonts w:ascii="Verdana" w:hAnsi="Verdana"/>
          <w:sz w:val="16"/>
          <w:szCs w:val="16"/>
        </w:rPr>
        <w:t>37</w:t>
      </w:r>
      <w:r w:rsidR="001F5D6C" w:rsidRPr="00DA783D">
        <w:rPr>
          <w:rFonts w:ascii="Verdana" w:hAnsi="Verdana"/>
          <w:sz w:val="16"/>
          <w:szCs w:val="16"/>
        </w:rPr>
        <w:t xml:space="preserve"> </w:t>
      </w:r>
      <w:r w:rsidR="001F5D6C">
        <w:rPr>
          <w:rFonts w:ascii="Verdana" w:hAnsi="Verdana"/>
          <w:sz w:val="16"/>
          <w:szCs w:val="16"/>
        </w:rPr>
        <w:t>y</w:t>
      </w:r>
      <w:r w:rsidR="001F5D6C" w:rsidRPr="00DA783D">
        <w:rPr>
          <w:rFonts w:ascii="Verdana" w:hAnsi="Verdana"/>
          <w:sz w:val="16"/>
          <w:szCs w:val="16"/>
        </w:rPr>
        <w:t xml:space="preserve"> </w:t>
      </w:r>
      <w:r w:rsidR="001F5D6C">
        <w:rPr>
          <w:rFonts w:ascii="Verdana" w:hAnsi="Verdana"/>
          <w:sz w:val="16"/>
          <w:szCs w:val="16"/>
        </w:rPr>
        <w:t>38</w:t>
      </w:r>
      <w:r w:rsidR="001F5D6C" w:rsidRPr="00DA783D">
        <w:rPr>
          <w:rFonts w:ascii="Verdana" w:hAnsi="Verdana"/>
          <w:sz w:val="16"/>
          <w:szCs w:val="16"/>
        </w:rPr>
        <w:t>.</w:t>
      </w:r>
      <w:r w:rsidR="001F5D6C" w:rsidRPr="00170C76">
        <w:rPr>
          <w:rFonts w:ascii="Verdana" w:hAnsi="Verdana"/>
          <w:sz w:val="16"/>
          <w:szCs w:val="16"/>
        </w:rPr>
        <w:t xml:space="preserve">  </w:t>
      </w:r>
    </w:p>
  </w:footnote>
  <w:footnote w:id="26">
    <w:p w:rsidR="00FA194C" w:rsidRPr="008B6C49" w:rsidRDefault="00FA194C" w:rsidP="008B6C49">
      <w:pPr>
        <w:pStyle w:val="Textonotapie"/>
        <w:jc w:val="both"/>
        <w:rPr>
          <w:rFonts w:ascii="Verdana" w:hAnsi="Verdana"/>
          <w:strike/>
          <w:sz w:val="16"/>
          <w:szCs w:val="16"/>
          <w:lang w:val="es-CR"/>
        </w:rPr>
      </w:pPr>
      <w:r w:rsidRPr="00FA680A">
        <w:rPr>
          <w:rStyle w:val="Refdenotaalpie"/>
          <w:rFonts w:ascii="Verdana" w:hAnsi="Verdana"/>
          <w:sz w:val="16"/>
          <w:szCs w:val="16"/>
        </w:rPr>
        <w:footnoteRef/>
      </w:r>
      <w:r w:rsidRPr="00FA680A">
        <w:rPr>
          <w:rFonts w:ascii="Verdana" w:hAnsi="Verdana"/>
          <w:sz w:val="16"/>
          <w:szCs w:val="16"/>
        </w:rPr>
        <w:t xml:space="preserve"> </w:t>
      </w:r>
      <w:r w:rsidRPr="00FA680A">
        <w:rPr>
          <w:rFonts w:ascii="Verdana" w:hAnsi="Verdana"/>
          <w:sz w:val="16"/>
          <w:szCs w:val="16"/>
          <w:lang w:val="es-CR"/>
        </w:rPr>
        <w:tab/>
        <w:t xml:space="preserve">La Corte constató que el Estado </w:t>
      </w:r>
      <w:r w:rsidRPr="00FA680A">
        <w:rPr>
          <w:rFonts w:ascii="Verdana" w:hAnsi="Verdana"/>
          <w:sz w:val="16"/>
          <w:szCs w:val="16"/>
          <w:lang w:val="es-ES"/>
        </w:rPr>
        <w:t xml:space="preserve">no ha brindado información de la cual se desprenda que han sido tituladas dichas tierras a favor de la Comunidad </w:t>
      </w:r>
      <w:proofErr w:type="spellStart"/>
      <w:r w:rsidRPr="00FA680A">
        <w:rPr>
          <w:rFonts w:ascii="Verdana" w:hAnsi="Verdana"/>
          <w:i/>
          <w:sz w:val="16"/>
          <w:szCs w:val="16"/>
          <w:lang w:val="es-ES"/>
        </w:rPr>
        <w:t>Xákmok</w:t>
      </w:r>
      <w:proofErr w:type="spellEnd"/>
      <w:r w:rsidRPr="00FA680A">
        <w:rPr>
          <w:rFonts w:ascii="Verdana" w:hAnsi="Verdana"/>
          <w:i/>
          <w:sz w:val="16"/>
          <w:szCs w:val="16"/>
          <w:lang w:val="es-ES"/>
        </w:rPr>
        <w:t xml:space="preserve"> </w:t>
      </w:r>
      <w:proofErr w:type="spellStart"/>
      <w:r w:rsidRPr="00FA680A">
        <w:rPr>
          <w:rFonts w:ascii="Verdana" w:hAnsi="Verdana"/>
          <w:i/>
          <w:sz w:val="16"/>
          <w:szCs w:val="16"/>
          <w:lang w:val="es-ES"/>
        </w:rPr>
        <w:t>Kásek</w:t>
      </w:r>
      <w:proofErr w:type="spellEnd"/>
      <w:r w:rsidRPr="00FA680A">
        <w:rPr>
          <w:rFonts w:ascii="Verdana" w:hAnsi="Verdana"/>
          <w:sz w:val="16"/>
          <w:szCs w:val="16"/>
          <w:lang w:val="es-ES"/>
        </w:rPr>
        <w:t>.</w:t>
      </w:r>
      <w:r w:rsidR="001F5D6C">
        <w:rPr>
          <w:rFonts w:ascii="Verdana" w:hAnsi="Verdana"/>
          <w:sz w:val="16"/>
          <w:szCs w:val="16"/>
          <w:lang w:val="es-ES"/>
        </w:rPr>
        <w:t xml:space="preserve"> </w:t>
      </w:r>
      <w:r w:rsidR="001F5D6C" w:rsidRPr="00DA783D">
        <w:rPr>
          <w:rFonts w:ascii="Verdana" w:hAnsi="Verdana"/>
          <w:i/>
          <w:sz w:val="16"/>
          <w:szCs w:val="16"/>
        </w:rPr>
        <w:t xml:space="preserve">Cfr. Casos de las Comunidades Indígenas </w:t>
      </w:r>
      <w:proofErr w:type="spellStart"/>
      <w:r w:rsidR="001F5D6C" w:rsidRPr="00DA783D">
        <w:rPr>
          <w:rFonts w:ascii="Verdana" w:hAnsi="Verdana"/>
          <w:i/>
          <w:sz w:val="16"/>
          <w:szCs w:val="16"/>
        </w:rPr>
        <w:t>Yakye</w:t>
      </w:r>
      <w:proofErr w:type="spellEnd"/>
      <w:r w:rsidR="001F5D6C" w:rsidRPr="00DA783D">
        <w:rPr>
          <w:rFonts w:ascii="Verdana" w:hAnsi="Verdana"/>
          <w:i/>
          <w:sz w:val="16"/>
          <w:szCs w:val="16"/>
        </w:rPr>
        <w:t xml:space="preserve"> Axa, </w:t>
      </w:r>
      <w:proofErr w:type="spellStart"/>
      <w:r w:rsidR="001F5D6C" w:rsidRPr="00DA783D">
        <w:rPr>
          <w:rFonts w:ascii="Verdana" w:hAnsi="Verdana"/>
          <w:i/>
          <w:sz w:val="16"/>
          <w:szCs w:val="16"/>
        </w:rPr>
        <w:t>Sawhoyamaxa</w:t>
      </w:r>
      <w:proofErr w:type="spellEnd"/>
      <w:r w:rsidR="001F5D6C" w:rsidRPr="00DA783D">
        <w:rPr>
          <w:rFonts w:ascii="Verdana" w:hAnsi="Verdana"/>
          <w:i/>
          <w:sz w:val="16"/>
          <w:szCs w:val="16"/>
        </w:rPr>
        <w:t xml:space="preserve"> y </w:t>
      </w:r>
      <w:proofErr w:type="spellStart"/>
      <w:r w:rsidR="001F5D6C" w:rsidRPr="00DA783D">
        <w:rPr>
          <w:rFonts w:ascii="Verdana" w:hAnsi="Verdana"/>
          <w:i/>
          <w:sz w:val="16"/>
          <w:szCs w:val="16"/>
        </w:rPr>
        <w:t>Xákmok</w:t>
      </w:r>
      <w:proofErr w:type="spellEnd"/>
      <w:r w:rsidR="001F5D6C" w:rsidRPr="00DA783D">
        <w:rPr>
          <w:rFonts w:ascii="Verdana" w:hAnsi="Verdana"/>
          <w:i/>
          <w:sz w:val="16"/>
          <w:szCs w:val="16"/>
        </w:rPr>
        <w:t xml:space="preserve"> </w:t>
      </w:r>
      <w:proofErr w:type="spellStart"/>
      <w:r w:rsidR="001F5D6C" w:rsidRPr="00DA783D">
        <w:rPr>
          <w:rFonts w:ascii="Verdana" w:hAnsi="Verdana"/>
          <w:i/>
          <w:sz w:val="16"/>
          <w:szCs w:val="16"/>
        </w:rPr>
        <w:t>Kásek</w:t>
      </w:r>
      <w:proofErr w:type="spellEnd"/>
      <w:r w:rsidR="001F5D6C" w:rsidRPr="00DA783D">
        <w:rPr>
          <w:rFonts w:ascii="Verdana" w:hAnsi="Verdana"/>
          <w:i/>
          <w:sz w:val="16"/>
          <w:szCs w:val="16"/>
        </w:rPr>
        <w:t xml:space="preserve"> Vs. Paraguay.</w:t>
      </w:r>
      <w:r w:rsidR="001F5D6C" w:rsidRPr="00DA783D">
        <w:rPr>
          <w:rFonts w:ascii="Verdana" w:hAnsi="Verdana"/>
          <w:sz w:val="16"/>
          <w:szCs w:val="16"/>
        </w:rPr>
        <w:t xml:space="preserve"> Supervisión de Cumplimiento de Sentencia. Resolución de la Corte Interamericana de Derechos Humanos de 24 junio de 2015, Considerando</w:t>
      </w:r>
      <w:r w:rsidR="001F5D6C">
        <w:rPr>
          <w:rFonts w:ascii="Verdana" w:hAnsi="Verdana"/>
          <w:sz w:val="16"/>
          <w:szCs w:val="16"/>
        </w:rPr>
        <w:t xml:space="preserve"> </w:t>
      </w:r>
      <w:r w:rsidR="00007A45">
        <w:rPr>
          <w:rFonts w:ascii="Verdana" w:hAnsi="Verdana"/>
          <w:sz w:val="16"/>
          <w:szCs w:val="16"/>
        </w:rPr>
        <w:t>40</w:t>
      </w:r>
      <w:r w:rsidR="001F5D6C" w:rsidRPr="00DA783D">
        <w:rPr>
          <w:rFonts w:ascii="Verdana" w:hAnsi="Verdana"/>
          <w:sz w:val="16"/>
          <w:szCs w:val="16"/>
        </w:rPr>
        <w:t>.</w:t>
      </w:r>
      <w:r w:rsidR="001F5D6C" w:rsidRPr="00170C76">
        <w:rPr>
          <w:rFonts w:ascii="Verdana" w:hAnsi="Verdana"/>
          <w:sz w:val="16"/>
          <w:szCs w:val="16"/>
        </w:rPr>
        <w:t xml:space="preserve">  </w:t>
      </w:r>
    </w:p>
  </w:footnote>
  <w:footnote w:id="27">
    <w:p w:rsidR="00E91E91" w:rsidRPr="00E91E91" w:rsidRDefault="00E91E91" w:rsidP="00E91E91">
      <w:pPr>
        <w:pStyle w:val="Textonotapie"/>
        <w:jc w:val="both"/>
        <w:rPr>
          <w:rFonts w:ascii="Verdana" w:hAnsi="Verdana"/>
          <w:sz w:val="16"/>
          <w:szCs w:val="16"/>
        </w:rPr>
      </w:pPr>
      <w:r w:rsidRPr="00CD664D">
        <w:rPr>
          <w:rStyle w:val="Refdenotaalpie"/>
          <w:rFonts w:ascii="Verdana" w:hAnsi="Verdana"/>
          <w:sz w:val="16"/>
          <w:szCs w:val="16"/>
        </w:rPr>
        <w:footnoteRef/>
      </w:r>
      <w:r w:rsidRPr="00CD664D">
        <w:rPr>
          <w:rFonts w:ascii="Verdana" w:hAnsi="Verdana"/>
          <w:sz w:val="16"/>
          <w:szCs w:val="16"/>
        </w:rPr>
        <w:t xml:space="preserve"> </w:t>
      </w:r>
      <w:r w:rsidRPr="00CD664D">
        <w:rPr>
          <w:rFonts w:ascii="Verdana" w:hAnsi="Verdana"/>
          <w:sz w:val="16"/>
          <w:szCs w:val="16"/>
        </w:rPr>
        <w:tab/>
        <w:t xml:space="preserve">Sobre ello, la Comisión </w:t>
      </w:r>
      <w:r w:rsidR="00D8580A" w:rsidRPr="00CD664D">
        <w:rPr>
          <w:rFonts w:ascii="Verdana" w:hAnsi="Verdana"/>
          <w:sz w:val="16"/>
          <w:szCs w:val="16"/>
        </w:rPr>
        <w:t xml:space="preserve">indicó que quedaba </w:t>
      </w:r>
      <w:r w:rsidRPr="00CD664D">
        <w:rPr>
          <w:rFonts w:ascii="Verdana" w:hAnsi="Verdana"/>
          <w:sz w:val="16"/>
          <w:szCs w:val="16"/>
        </w:rPr>
        <w:t>a la espera de “información detallada y actualizada sobre las acciones adoptadas a efectos de cumplir con este extremo”.</w:t>
      </w:r>
    </w:p>
  </w:footnote>
  <w:footnote w:id="28">
    <w:p w:rsidR="00FA194C" w:rsidRPr="001C36B9" w:rsidRDefault="00FA194C" w:rsidP="007F5FB0">
      <w:pPr>
        <w:pStyle w:val="Textonotapie"/>
        <w:jc w:val="both"/>
        <w:rPr>
          <w:rFonts w:ascii="Verdana" w:hAnsi="Verdana"/>
          <w:sz w:val="16"/>
          <w:szCs w:val="16"/>
          <w:lang w:val="es-CR"/>
        </w:rPr>
      </w:pPr>
      <w:r w:rsidRPr="001C36B9">
        <w:rPr>
          <w:rStyle w:val="Refdenotaalpie"/>
          <w:rFonts w:ascii="Verdana" w:hAnsi="Verdana"/>
          <w:sz w:val="16"/>
          <w:szCs w:val="16"/>
        </w:rPr>
        <w:footnoteRef/>
      </w:r>
      <w:r w:rsidRPr="001C36B9">
        <w:rPr>
          <w:rFonts w:ascii="Verdana" w:hAnsi="Verdana"/>
          <w:sz w:val="16"/>
          <w:szCs w:val="16"/>
        </w:rPr>
        <w:t xml:space="preserve"> </w:t>
      </w:r>
      <w:r w:rsidRPr="001C36B9">
        <w:rPr>
          <w:rFonts w:ascii="Verdana" w:hAnsi="Verdana"/>
          <w:sz w:val="16"/>
          <w:szCs w:val="16"/>
          <w:lang w:val="es-CR"/>
        </w:rPr>
        <w:tab/>
      </w:r>
      <w:r>
        <w:rPr>
          <w:rFonts w:ascii="Verdana" w:hAnsi="Verdana"/>
          <w:sz w:val="16"/>
          <w:szCs w:val="16"/>
          <w:lang w:val="es-CR"/>
        </w:rPr>
        <w:t>Corresponde a l</w:t>
      </w:r>
      <w:r w:rsidRPr="001C36B9">
        <w:rPr>
          <w:rFonts w:ascii="Verdana" w:hAnsi="Verdana"/>
          <w:sz w:val="16"/>
          <w:szCs w:val="16"/>
          <w:lang w:val="es-CR"/>
        </w:rPr>
        <w:t>a Corte valorar</w:t>
      </w:r>
      <w:r>
        <w:rPr>
          <w:rFonts w:ascii="Verdana" w:hAnsi="Verdana"/>
          <w:sz w:val="16"/>
          <w:szCs w:val="16"/>
          <w:lang w:val="es-CR"/>
        </w:rPr>
        <w:t>,</w:t>
      </w:r>
      <w:r w:rsidRPr="001C36B9">
        <w:rPr>
          <w:rFonts w:ascii="Verdana" w:hAnsi="Verdana"/>
          <w:sz w:val="16"/>
          <w:szCs w:val="16"/>
          <w:lang w:val="es-CR"/>
        </w:rPr>
        <w:t xml:space="preserve"> en una Resolución posterior</w:t>
      </w:r>
      <w:r>
        <w:rPr>
          <w:rFonts w:ascii="Verdana" w:hAnsi="Verdana"/>
          <w:sz w:val="16"/>
          <w:szCs w:val="16"/>
          <w:lang w:val="es-CR"/>
        </w:rPr>
        <w:t xml:space="preserve">, el posible cumplimiento del punto resolutivo 15 de la Sentencia </w:t>
      </w:r>
      <w:r w:rsidR="00A10B15">
        <w:rPr>
          <w:rFonts w:ascii="Verdana" w:hAnsi="Verdana"/>
          <w:sz w:val="16"/>
          <w:szCs w:val="16"/>
          <w:lang w:val="es-CR"/>
        </w:rPr>
        <w:t>con base</w:t>
      </w:r>
      <w:r w:rsidR="007D3ABF">
        <w:rPr>
          <w:rFonts w:ascii="Verdana" w:hAnsi="Verdana"/>
          <w:sz w:val="16"/>
          <w:szCs w:val="16"/>
          <w:lang w:val="es-CR"/>
        </w:rPr>
        <w:t xml:space="preserve"> en</w:t>
      </w:r>
      <w:r>
        <w:rPr>
          <w:rFonts w:ascii="Verdana" w:hAnsi="Verdana"/>
          <w:sz w:val="16"/>
          <w:szCs w:val="16"/>
          <w:lang w:val="es-CR"/>
        </w:rPr>
        <w:t xml:space="preserve"> </w:t>
      </w:r>
      <w:r w:rsidRPr="001C36B9">
        <w:rPr>
          <w:rFonts w:ascii="Verdana" w:hAnsi="Verdana"/>
          <w:sz w:val="16"/>
          <w:szCs w:val="16"/>
          <w:lang w:val="es-CR"/>
        </w:rPr>
        <w:t>la información proporcionada</w:t>
      </w:r>
      <w:r>
        <w:rPr>
          <w:rFonts w:ascii="Verdana" w:hAnsi="Verdana"/>
          <w:sz w:val="16"/>
          <w:szCs w:val="16"/>
          <w:lang w:val="es-CR"/>
        </w:rPr>
        <w:t xml:space="preserve"> relativa a la titulación de las tierras en “25 de Febrero” a favor de la comunidad </w:t>
      </w:r>
      <w:proofErr w:type="spellStart"/>
      <w:r>
        <w:rPr>
          <w:rFonts w:ascii="Verdana" w:hAnsi="Verdana"/>
          <w:sz w:val="16"/>
          <w:szCs w:val="16"/>
          <w:lang w:val="es-CR"/>
        </w:rPr>
        <w:t>Xákmok</w:t>
      </w:r>
      <w:proofErr w:type="spellEnd"/>
      <w:r>
        <w:rPr>
          <w:rFonts w:ascii="Verdana" w:hAnsi="Verdana"/>
          <w:sz w:val="16"/>
          <w:szCs w:val="16"/>
          <w:lang w:val="es-CR"/>
        </w:rPr>
        <w:t xml:space="preserve"> </w:t>
      </w:r>
      <w:proofErr w:type="spellStart"/>
      <w:r>
        <w:rPr>
          <w:rFonts w:ascii="Verdana" w:hAnsi="Verdana"/>
          <w:sz w:val="16"/>
          <w:szCs w:val="16"/>
          <w:lang w:val="es-CR"/>
        </w:rPr>
        <w:t>Kásek</w:t>
      </w:r>
      <w:proofErr w:type="spellEnd"/>
      <w:r>
        <w:rPr>
          <w:rFonts w:ascii="Verdana" w:hAnsi="Verdana"/>
          <w:sz w:val="16"/>
          <w:szCs w:val="16"/>
          <w:lang w:val="es-CR"/>
        </w:rPr>
        <w:t>.</w:t>
      </w:r>
      <w:r w:rsidRPr="001C36B9">
        <w:rPr>
          <w:rFonts w:ascii="Verdana" w:hAnsi="Verdana"/>
          <w:sz w:val="16"/>
          <w:szCs w:val="16"/>
          <w:lang w:val="es-CR"/>
        </w:rPr>
        <w:t xml:space="preserve"> </w:t>
      </w:r>
    </w:p>
  </w:footnote>
  <w:footnote w:id="29">
    <w:p w:rsidR="005430BE" w:rsidRPr="005430BE" w:rsidRDefault="005430BE">
      <w:pPr>
        <w:pStyle w:val="Textonotapie"/>
        <w:rPr>
          <w:rFonts w:ascii="Verdana" w:hAnsi="Verdana"/>
          <w:sz w:val="16"/>
          <w:szCs w:val="16"/>
        </w:rPr>
      </w:pPr>
      <w:r w:rsidRPr="005430BE">
        <w:rPr>
          <w:rStyle w:val="Refdenotaalpie"/>
          <w:rFonts w:ascii="Verdana" w:hAnsi="Verdana"/>
          <w:sz w:val="16"/>
          <w:szCs w:val="16"/>
        </w:rPr>
        <w:footnoteRef/>
      </w:r>
      <w:r w:rsidRPr="005430BE">
        <w:rPr>
          <w:rFonts w:ascii="Verdana" w:hAnsi="Verdana"/>
          <w:sz w:val="16"/>
          <w:szCs w:val="16"/>
        </w:rPr>
        <w:t xml:space="preserve"> </w:t>
      </w:r>
      <w:r w:rsidRPr="005430BE">
        <w:rPr>
          <w:rFonts w:ascii="Verdana" w:hAnsi="Verdana"/>
          <w:sz w:val="16"/>
          <w:szCs w:val="16"/>
        </w:rPr>
        <w:tab/>
      </w:r>
      <w:r w:rsidRPr="005430BE">
        <w:rPr>
          <w:rFonts w:ascii="Verdana" w:hAnsi="Verdana"/>
          <w:i/>
          <w:sz w:val="16"/>
          <w:szCs w:val="16"/>
        </w:rPr>
        <w:t xml:space="preserve">Cfr. Casos de las Comunidades Indígenas </w:t>
      </w:r>
      <w:proofErr w:type="spellStart"/>
      <w:r w:rsidRPr="005430BE">
        <w:rPr>
          <w:rFonts w:ascii="Verdana" w:hAnsi="Verdana"/>
          <w:i/>
          <w:sz w:val="16"/>
          <w:szCs w:val="16"/>
        </w:rPr>
        <w:t>Yakye</w:t>
      </w:r>
      <w:proofErr w:type="spellEnd"/>
      <w:r w:rsidRPr="005430BE">
        <w:rPr>
          <w:rFonts w:ascii="Verdana" w:hAnsi="Verdana"/>
          <w:i/>
          <w:sz w:val="16"/>
          <w:szCs w:val="16"/>
        </w:rPr>
        <w:t xml:space="preserve"> Axa, </w:t>
      </w:r>
      <w:proofErr w:type="spellStart"/>
      <w:r w:rsidRPr="005430BE">
        <w:rPr>
          <w:rFonts w:ascii="Verdana" w:hAnsi="Verdana"/>
          <w:i/>
          <w:sz w:val="16"/>
          <w:szCs w:val="16"/>
        </w:rPr>
        <w:t>Sawhoyamaxa</w:t>
      </w:r>
      <w:proofErr w:type="spellEnd"/>
      <w:r w:rsidRPr="005430BE">
        <w:rPr>
          <w:rFonts w:ascii="Verdana" w:hAnsi="Verdana"/>
          <w:i/>
          <w:sz w:val="16"/>
          <w:szCs w:val="16"/>
        </w:rPr>
        <w:t xml:space="preserve"> y </w:t>
      </w:r>
      <w:proofErr w:type="spellStart"/>
      <w:r w:rsidRPr="005430BE">
        <w:rPr>
          <w:rFonts w:ascii="Verdana" w:hAnsi="Verdana"/>
          <w:i/>
          <w:sz w:val="16"/>
          <w:szCs w:val="16"/>
        </w:rPr>
        <w:t>Xákmok</w:t>
      </w:r>
      <w:proofErr w:type="spellEnd"/>
      <w:r w:rsidRPr="005430BE">
        <w:rPr>
          <w:rFonts w:ascii="Verdana" w:hAnsi="Verdana"/>
          <w:i/>
          <w:sz w:val="16"/>
          <w:szCs w:val="16"/>
        </w:rPr>
        <w:t xml:space="preserve"> </w:t>
      </w:r>
      <w:proofErr w:type="spellStart"/>
      <w:r w:rsidRPr="005430BE">
        <w:rPr>
          <w:rFonts w:ascii="Verdana" w:hAnsi="Verdana"/>
          <w:i/>
          <w:sz w:val="16"/>
          <w:szCs w:val="16"/>
        </w:rPr>
        <w:t>Kásek</w:t>
      </w:r>
      <w:proofErr w:type="spellEnd"/>
      <w:r w:rsidRPr="005430BE">
        <w:rPr>
          <w:rFonts w:ascii="Verdana" w:hAnsi="Verdana"/>
          <w:i/>
          <w:sz w:val="16"/>
          <w:szCs w:val="16"/>
        </w:rPr>
        <w:t xml:space="preserve"> Vs. Paraguay.</w:t>
      </w:r>
      <w:r w:rsidRPr="005430BE">
        <w:rPr>
          <w:rFonts w:ascii="Verdana" w:hAnsi="Verdana"/>
          <w:sz w:val="16"/>
          <w:szCs w:val="16"/>
        </w:rPr>
        <w:t xml:space="preserve"> Supervisión de Cumplimiento de Sentencia. Resolución de la Corte Interamericana de Derechos Humanos de 24 junio de 2015, Considerando</w:t>
      </w:r>
      <w:r>
        <w:rPr>
          <w:rFonts w:ascii="Verdana" w:hAnsi="Verdana"/>
          <w:sz w:val="16"/>
          <w:szCs w:val="16"/>
        </w:rPr>
        <w:t>s</w:t>
      </w:r>
      <w:r w:rsidRPr="005430BE">
        <w:rPr>
          <w:rFonts w:ascii="Verdana" w:hAnsi="Verdana"/>
          <w:sz w:val="16"/>
          <w:szCs w:val="16"/>
        </w:rPr>
        <w:t xml:space="preserve"> 4</w:t>
      </w:r>
      <w:r>
        <w:rPr>
          <w:rFonts w:ascii="Verdana" w:hAnsi="Verdana"/>
          <w:sz w:val="16"/>
          <w:szCs w:val="16"/>
        </w:rPr>
        <w:t>4 y 45</w:t>
      </w:r>
      <w:r w:rsidRPr="005430BE">
        <w:rPr>
          <w:rFonts w:ascii="Verdana" w:hAnsi="Verdana"/>
          <w:sz w:val="16"/>
          <w:szCs w:val="16"/>
        </w:rPr>
        <w:t>.</w:t>
      </w:r>
    </w:p>
  </w:footnote>
  <w:footnote w:id="30">
    <w:p w:rsidR="00FA194C" w:rsidRPr="001C36B9" w:rsidRDefault="00FA194C" w:rsidP="001234EB">
      <w:pPr>
        <w:pStyle w:val="Textonotapie"/>
        <w:jc w:val="both"/>
        <w:rPr>
          <w:rFonts w:ascii="Verdana" w:hAnsi="Verdana"/>
          <w:sz w:val="16"/>
          <w:szCs w:val="16"/>
          <w:lang w:val="es-CR"/>
        </w:rPr>
      </w:pPr>
      <w:r w:rsidRPr="001C36B9">
        <w:rPr>
          <w:rStyle w:val="Refdenotaalpie"/>
          <w:rFonts w:ascii="Verdana" w:hAnsi="Verdana"/>
          <w:sz w:val="16"/>
          <w:szCs w:val="16"/>
        </w:rPr>
        <w:footnoteRef/>
      </w:r>
      <w:r w:rsidRPr="001C36B9">
        <w:rPr>
          <w:rFonts w:ascii="Verdana" w:hAnsi="Verdana"/>
          <w:sz w:val="16"/>
          <w:szCs w:val="16"/>
        </w:rPr>
        <w:t xml:space="preserve"> </w:t>
      </w:r>
      <w:r w:rsidRPr="001C36B9">
        <w:rPr>
          <w:rFonts w:ascii="Verdana" w:hAnsi="Verdana"/>
          <w:sz w:val="16"/>
          <w:szCs w:val="16"/>
          <w:lang w:val="es-CR"/>
        </w:rPr>
        <w:tab/>
        <w:t xml:space="preserve">Sobre este punto, los </w:t>
      </w:r>
      <w:r w:rsidRPr="001C36B9">
        <w:rPr>
          <w:rFonts w:ascii="Verdana" w:hAnsi="Verdana"/>
          <w:i/>
          <w:sz w:val="16"/>
          <w:szCs w:val="16"/>
          <w:lang w:val="es-CR"/>
        </w:rPr>
        <w:t>representantes</w:t>
      </w:r>
      <w:r w:rsidRPr="001C36B9">
        <w:rPr>
          <w:rFonts w:ascii="Verdana" w:hAnsi="Verdana"/>
          <w:sz w:val="16"/>
          <w:szCs w:val="16"/>
          <w:lang w:val="es-CR"/>
        </w:rPr>
        <w:t xml:space="preserve"> señalaron que “[l]a aceptación de las tierras de </w:t>
      </w:r>
      <w:proofErr w:type="spellStart"/>
      <w:r w:rsidRPr="001C36B9">
        <w:rPr>
          <w:rFonts w:ascii="Verdana" w:hAnsi="Verdana"/>
          <w:sz w:val="16"/>
          <w:szCs w:val="16"/>
          <w:lang w:val="es-CR"/>
        </w:rPr>
        <w:t>Yakye</w:t>
      </w:r>
      <w:proofErr w:type="spellEnd"/>
      <w:r w:rsidRPr="001C36B9">
        <w:rPr>
          <w:rFonts w:ascii="Verdana" w:hAnsi="Verdana"/>
          <w:sz w:val="16"/>
          <w:szCs w:val="16"/>
          <w:lang w:val="es-CR"/>
        </w:rPr>
        <w:t xml:space="preserve"> Axa, están condicionadas a la construcción del camino [… por lo que podrían] volver a su reclamo original si la situación de mora en la construcción del camino permanece</w:t>
      </w:r>
      <w:r>
        <w:rPr>
          <w:rFonts w:ascii="Verdana" w:hAnsi="Verdana"/>
          <w:sz w:val="16"/>
          <w:szCs w:val="16"/>
          <w:lang w:val="es-CR"/>
        </w:rPr>
        <w:t>”</w:t>
      </w:r>
      <w:r w:rsidRPr="001C36B9">
        <w:rPr>
          <w:rFonts w:ascii="Verdana" w:hAnsi="Verdana"/>
          <w:sz w:val="16"/>
          <w:szCs w:val="16"/>
          <w:lang w:val="es-CR"/>
        </w:rPr>
        <w:t xml:space="preserve">. </w:t>
      </w:r>
      <w:r>
        <w:rPr>
          <w:rFonts w:ascii="Verdana" w:hAnsi="Verdana"/>
          <w:sz w:val="16"/>
          <w:szCs w:val="16"/>
          <w:lang w:val="es-CR"/>
        </w:rPr>
        <w:t>Indicaron que “a</w:t>
      </w:r>
      <w:r w:rsidRPr="001C36B9">
        <w:rPr>
          <w:rFonts w:ascii="Verdana" w:hAnsi="Verdana"/>
          <w:sz w:val="16"/>
          <w:szCs w:val="16"/>
          <w:lang w:val="es-CR"/>
        </w:rPr>
        <w:t xml:space="preserve">nte una situación como esta </w:t>
      </w:r>
      <w:r w:rsidR="00EF13CB">
        <w:rPr>
          <w:rFonts w:ascii="Verdana" w:hAnsi="Verdana"/>
          <w:sz w:val="16"/>
          <w:szCs w:val="16"/>
          <w:lang w:val="es-CR"/>
        </w:rPr>
        <w:t>[…]</w:t>
      </w:r>
      <w:r w:rsidRPr="001C36B9">
        <w:rPr>
          <w:rFonts w:ascii="Verdana" w:hAnsi="Verdana"/>
          <w:sz w:val="16"/>
          <w:szCs w:val="16"/>
          <w:lang w:val="es-CR"/>
        </w:rPr>
        <w:t xml:space="preserve"> la falta de recursos afectará la concreción del derecho de la comunidad”.</w:t>
      </w:r>
      <w:r>
        <w:rPr>
          <w:rFonts w:ascii="Verdana" w:hAnsi="Verdana"/>
          <w:sz w:val="16"/>
          <w:szCs w:val="16"/>
          <w:lang w:val="es-CR"/>
        </w:rPr>
        <w:t xml:space="preserve"> Además, afirmaron que los fondos para restituir los montos sustraídos habrían sido “extraídos […] del fondo de desarrollo comunitario”. </w:t>
      </w:r>
    </w:p>
  </w:footnote>
  <w:footnote w:id="31">
    <w:p w:rsidR="005A76EC" w:rsidRPr="005A76EC" w:rsidRDefault="005A76EC" w:rsidP="005A76EC">
      <w:pPr>
        <w:pStyle w:val="Textonotapie"/>
        <w:rPr>
          <w:rFonts w:ascii="Verdana" w:hAnsi="Verdana"/>
          <w:sz w:val="16"/>
          <w:szCs w:val="16"/>
        </w:rPr>
      </w:pPr>
      <w:r w:rsidRPr="005A76EC">
        <w:rPr>
          <w:rStyle w:val="Refdenotaalpie"/>
          <w:rFonts w:ascii="Verdana" w:hAnsi="Verdana"/>
          <w:sz w:val="16"/>
          <w:szCs w:val="16"/>
        </w:rPr>
        <w:footnoteRef/>
      </w:r>
      <w:r w:rsidRPr="005A76EC">
        <w:rPr>
          <w:rFonts w:ascii="Verdana" w:hAnsi="Verdana"/>
          <w:sz w:val="16"/>
          <w:szCs w:val="16"/>
        </w:rPr>
        <w:t xml:space="preserve"> </w:t>
      </w:r>
      <w:r w:rsidRPr="005A76EC">
        <w:rPr>
          <w:rFonts w:ascii="Verdana" w:hAnsi="Verdana"/>
          <w:sz w:val="16"/>
          <w:szCs w:val="16"/>
        </w:rPr>
        <w:tab/>
      </w:r>
      <w:r w:rsidRPr="005A76EC">
        <w:rPr>
          <w:rFonts w:ascii="Verdana" w:hAnsi="Verdana"/>
          <w:i/>
          <w:sz w:val="16"/>
          <w:szCs w:val="16"/>
        </w:rPr>
        <w:t xml:space="preserve">Cfr. Casos de las Comunidades Indígenas </w:t>
      </w:r>
      <w:proofErr w:type="spellStart"/>
      <w:r w:rsidRPr="005A76EC">
        <w:rPr>
          <w:rFonts w:ascii="Verdana" w:hAnsi="Verdana"/>
          <w:i/>
          <w:sz w:val="16"/>
          <w:szCs w:val="16"/>
        </w:rPr>
        <w:t>Yakye</w:t>
      </w:r>
      <w:proofErr w:type="spellEnd"/>
      <w:r w:rsidRPr="005A76EC">
        <w:rPr>
          <w:rFonts w:ascii="Verdana" w:hAnsi="Verdana"/>
          <w:i/>
          <w:sz w:val="16"/>
          <w:szCs w:val="16"/>
        </w:rPr>
        <w:t xml:space="preserve"> Axa, </w:t>
      </w:r>
      <w:proofErr w:type="spellStart"/>
      <w:r w:rsidRPr="005A76EC">
        <w:rPr>
          <w:rFonts w:ascii="Verdana" w:hAnsi="Verdana"/>
          <w:i/>
          <w:sz w:val="16"/>
          <w:szCs w:val="16"/>
        </w:rPr>
        <w:t>Sawhoyamaxa</w:t>
      </w:r>
      <w:proofErr w:type="spellEnd"/>
      <w:r w:rsidRPr="005A76EC">
        <w:rPr>
          <w:rFonts w:ascii="Verdana" w:hAnsi="Verdana"/>
          <w:i/>
          <w:sz w:val="16"/>
          <w:szCs w:val="16"/>
        </w:rPr>
        <w:t xml:space="preserve"> y </w:t>
      </w:r>
      <w:proofErr w:type="spellStart"/>
      <w:r w:rsidRPr="005A76EC">
        <w:rPr>
          <w:rFonts w:ascii="Verdana" w:hAnsi="Verdana"/>
          <w:i/>
          <w:sz w:val="16"/>
          <w:szCs w:val="16"/>
        </w:rPr>
        <w:t>Xákmok</w:t>
      </w:r>
      <w:proofErr w:type="spellEnd"/>
      <w:r w:rsidRPr="005A76EC">
        <w:rPr>
          <w:rFonts w:ascii="Verdana" w:hAnsi="Verdana"/>
          <w:i/>
          <w:sz w:val="16"/>
          <w:szCs w:val="16"/>
        </w:rPr>
        <w:t xml:space="preserve"> </w:t>
      </w:r>
      <w:proofErr w:type="spellStart"/>
      <w:r w:rsidRPr="005A76EC">
        <w:rPr>
          <w:rFonts w:ascii="Verdana" w:hAnsi="Verdana"/>
          <w:i/>
          <w:sz w:val="16"/>
          <w:szCs w:val="16"/>
        </w:rPr>
        <w:t>Kásek</w:t>
      </w:r>
      <w:proofErr w:type="spellEnd"/>
      <w:r w:rsidRPr="005A76EC">
        <w:rPr>
          <w:rFonts w:ascii="Verdana" w:hAnsi="Verdana"/>
          <w:i/>
          <w:sz w:val="16"/>
          <w:szCs w:val="16"/>
        </w:rPr>
        <w:t xml:space="preserve"> Vs. Paraguay.</w:t>
      </w:r>
      <w:r w:rsidRPr="005A76EC">
        <w:rPr>
          <w:rFonts w:ascii="Verdana" w:hAnsi="Verdana"/>
          <w:sz w:val="16"/>
          <w:szCs w:val="16"/>
        </w:rPr>
        <w:t xml:space="preserve"> Supervisión de Cumplimiento de Sentencia. Resolución de la Corte Interamericana de Derechos Humanos de 24 junio de 2015, Considerando 40.</w:t>
      </w:r>
    </w:p>
  </w:footnote>
  <w:footnote w:id="32">
    <w:p w:rsidR="00EA3763" w:rsidRPr="00EA3763" w:rsidRDefault="00EA3763" w:rsidP="00EA3763">
      <w:pPr>
        <w:pStyle w:val="Textonotapie"/>
        <w:jc w:val="both"/>
        <w:rPr>
          <w:rFonts w:ascii="Verdana" w:hAnsi="Verdana"/>
          <w:sz w:val="16"/>
          <w:szCs w:val="16"/>
        </w:rPr>
      </w:pPr>
      <w:r w:rsidRPr="00E01505">
        <w:rPr>
          <w:rStyle w:val="Refdenotaalpie"/>
          <w:rFonts w:ascii="Verdana" w:hAnsi="Verdana"/>
          <w:sz w:val="16"/>
          <w:szCs w:val="16"/>
        </w:rPr>
        <w:footnoteRef/>
      </w:r>
      <w:r w:rsidRPr="00E01505">
        <w:rPr>
          <w:rFonts w:ascii="Verdana" w:hAnsi="Verdana"/>
          <w:sz w:val="16"/>
          <w:szCs w:val="16"/>
        </w:rPr>
        <w:t xml:space="preserve"> </w:t>
      </w:r>
      <w:r w:rsidRPr="00E01505">
        <w:rPr>
          <w:rFonts w:ascii="Verdana" w:hAnsi="Verdana"/>
          <w:sz w:val="16"/>
          <w:szCs w:val="16"/>
        </w:rPr>
        <w:tab/>
      </w:r>
      <w:r w:rsidR="000E4DF3" w:rsidRPr="00E01505">
        <w:rPr>
          <w:rFonts w:ascii="Verdana" w:hAnsi="Verdana"/>
          <w:sz w:val="16"/>
          <w:szCs w:val="16"/>
        </w:rPr>
        <w:t>Durante la audiencia privada de supervisión de cumplimiento de sentencias de 21 de mayo de 2014 y en posteriores informes escritos e</w:t>
      </w:r>
      <w:r w:rsidR="00CD664D" w:rsidRPr="00E01505">
        <w:rPr>
          <w:rFonts w:ascii="Verdana" w:hAnsi="Verdana"/>
          <w:sz w:val="16"/>
          <w:szCs w:val="16"/>
        </w:rPr>
        <w:t xml:space="preserve">l Estado tampoco se refirió a las medidas </w:t>
      </w:r>
      <w:r w:rsidR="00753653">
        <w:rPr>
          <w:rFonts w:ascii="Verdana" w:hAnsi="Verdana"/>
          <w:sz w:val="16"/>
          <w:szCs w:val="16"/>
        </w:rPr>
        <w:t xml:space="preserve">mencionadas en los incisos </w:t>
      </w:r>
      <w:r w:rsidR="005B643D">
        <w:rPr>
          <w:rFonts w:ascii="Verdana" w:hAnsi="Verdana"/>
          <w:sz w:val="16"/>
          <w:szCs w:val="16"/>
        </w:rPr>
        <w:t>5</w:t>
      </w:r>
      <w:r w:rsidR="007D2674">
        <w:rPr>
          <w:rFonts w:ascii="Verdana" w:hAnsi="Verdana"/>
          <w:sz w:val="16"/>
          <w:szCs w:val="16"/>
        </w:rPr>
        <w:t xml:space="preserve"> y</w:t>
      </w:r>
      <w:r w:rsidR="005B643D">
        <w:rPr>
          <w:rFonts w:ascii="Verdana" w:hAnsi="Verdana"/>
          <w:sz w:val="16"/>
          <w:szCs w:val="16"/>
        </w:rPr>
        <w:t xml:space="preserve"> 6</w:t>
      </w:r>
      <w:r w:rsidR="00753653">
        <w:rPr>
          <w:rFonts w:ascii="Verdana" w:hAnsi="Verdana"/>
          <w:sz w:val="16"/>
          <w:szCs w:val="16"/>
        </w:rPr>
        <w:t xml:space="preserve"> del Considerando 13 de la presente Resolución</w:t>
      </w:r>
      <w:r w:rsidR="00CD664D" w:rsidRPr="00E01505">
        <w:rPr>
          <w:rFonts w:ascii="Verdana" w:hAnsi="Verdana"/>
          <w:sz w:val="16"/>
          <w:szCs w:val="16"/>
        </w:rPr>
        <w:t>.</w:t>
      </w:r>
    </w:p>
  </w:footnote>
  <w:footnote w:id="33">
    <w:p w:rsidR="00FA194C" w:rsidRPr="00B01B7D" w:rsidRDefault="00FA194C" w:rsidP="000B145D">
      <w:pPr>
        <w:pStyle w:val="Textonotapie"/>
        <w:jc w:val="both"/>
        <w:rPr>
          <w:rFonts w:ascii="Verdana" w:hAnsi="Verdana"/>
          <w:sz w:val="16"/>
          <w:szCs w:val="16"/>
          <w:lang w:val="es-CR"/>
        </w:rPr>
      </w:pPr>
      <w:r w:rsidRPr="00B01B7D">
        <w:rPr>
          <w:rStyle w:val="Refdenotaalpie"/>
          <w:rFonts w:ascii="Verdana" w:hAnsi="Verdana"/>
          <w:sz w:val="16"/>
          <w:szCs w:val="16"/>
        </w:rPr>
        <w:footnoteRef/>
      </w:r>
      <w:r w:rsidRPr="00B01B7D">
        <w:rPr>
          <w:rFonts w:ascii="Verdana" w:hAnsi="Verdana"/>
          <w:sz w:val="16"/>
          <w:szCs w:val="16"/>
        </w:rPr>
        <w:t xml:space="preserve"> </w:t>
      </w:r>
      <w:r>
        <w:rPr>
          <w:rFonts w:ascii="Verdana" w:hAnsi="Verdana"/>
          <w:sz w:val="16"/>
          <w:szCs w:val="16"/>
        </w:rPr>
        <w:tab/>
        <w:t>En ese sentido, el Estado indicó que de acuerdo con los parámetros del mencionado Proyecto Esfera, “el [k]</w:t>
      </w:r>
      <w:proofErr w:type="spellStart"/>
      <w:r>
        <w:rPr>
          <w:rFonts w:ascii="Verdana" w:hAnsi="Verdana"/>
          <w:sz w:val="16"/>
          <w:szCs w:val="16"/>
        </w:rPr>
        <w:t>it</w:t>
      </w:r>
      <w:proofErr w:type="spellEnd"/>
      <w:r>
        <w:rPr>
          <w:rFonts w:ascii="Verdana" w:hAnsi="Verdana"/>
          <w:sz w:val="16"/>
          <w:szCs w:val="16"/>
        </w:rPr>
        <w:t xml:space="preserve"> de alimento básico está constituido por diez (10) productos básicos: ([c]</w:t>
      </w:r>
      <w:proofErr w:type="spellStart"/>
      <w:r>
        <w:rPr>
          <w:rFonts w:ascii="Verdana" w:hAnsi="Verdana"/>
          <w:sz w:val="16"/>
          <w:szCs w:val="16"/>
        </w:rPr>
        <w:t>arbohidratos</w:t>
      </w:r>
      <w:proofErr w:type="spellEnd"/>
      <w:r>
        <w:rPr>
          <w:rFonts w:ascii="Verdana" w:hAnsi="Verdana"/>
          <w:sz w:val="16"/>
          <w:szCs w:val="16"/>
        </w:rPr>
        <w:t>) arroz, fideos, harina, panificados; una fuente concentrada de energía (glucosa y grasa) en el azúcar y el aceite; y una fuente de proteína: poroto y maní</w:t>
      </w:r>
      <w:r>
        <w:rPr>
          <w:rFonts w:ascii="Verdana" w:hAnsi="Verdana"/>
          <w:sz w:val="16"/>
          <w:szCs w:val="16"/>
          <w:lang w:val="es-CR"/>
        </w:rPr>
        <w:t>”</w:t>
      </w:r>
      <w:r w:rsidR="001B1AE0">
        <w:rPr>
          <w:rFonts w:ascii="Verdana" w:hAnsi="Verdana"/>
          <w:sz w:val="16"/>
          <w:szCs w:val="16"/>
          <w:lang w:val="es-CR"/>
        </w:rPr>
        <w:t>.</w:t>
      </w:r>
      <w:r>
        <w:rPr>
          <w:rFonts w:ascii="Verdana" w:hAnsi="Verdana"/>
          <w:sz w:val="16"/>
          <w:szCs w:val="16"/>
          <w:lang w:val="es-CR"/>
        </w:rPr>
        <w:t xml:space="preserve"> Además, indicaron que se previó que el kit de alimentos “alcance un mes para una familia promedio de 5 miembros”</w:t>
      </w:r>
      <w:r>
        <w:rPr>
          <w:rFonts w:ascii="Verdana" w:hAnsi="Verdana"/>
          <w:sz w:val="16"/>
          <w:szCs w:val="16"/>
        </w:rPr>
        <w:t xml:space="preserve">. Dicho kit sería “complementario” y </w:t>
      </w:r>
      <w:r w:rsidR="00D3134E">
        <w:rPr>
          <w:rFonts w:ascii="Verdana" w:hAnsi="Verdana"/>
          <w:sz w:val="16"/>
          <w:szCs w:val="16"/>
        </w:rPr>
        <w:t>su</w:t>
      </w:r>
      <w:r>
        <w:rPr>
          <w:rFonts w:ascii="Verdana" w:hAnsi="Verdana"/>
          <w:sz w:val="16"/>
          <w:szCs w:val="16"/>
        </w:rPr>
        <w:t xml:space="preserve"> contenido deberá “cubrir la diferencia entre la exigencia nutricional y lo que las personas pueden proveerse por sí mismas”.   </w:t>
      </w:r>
    </w:p>
  </w:footnote>
  <w:footnote w:id="34">
    <w:p w:rsidR="00FA194C" w:rsidRPr="000B145D" w:rsidRDefault="00FA194C" w:rsidP="000B145D">
      <w:pPr>
        <w:pStyle w:val="Textonotapie"/>
        <w:jc w:val="both"/>
        <w:rPr>
          <w:rFonts w:ascii="Verdana" w:hAnsi="Verdana"/>
          <w:sz w:val="16"/>
          <w:szCs w:val="16"/>
          <w:lang w:val="es-CR"/>
        </w:rPr>
      </w:pPr>
      <w:r w:rsidRPr="000B145D">
        <w:rPr>
          <w:rStyle w:val="Refdenotaalpie"/>
          <w:rFonts w:ascii="Verdana" w:hAnsi="Verdana"/>
          <w:sz w:val="16"/>
          <w:szCs w:val="16"/>
        </w:rPr>
        <w:footnoteRef/>
      </w:r>
      <w:r w:rsidRPr="000B145D">
        <w:rPr>
          <w:rFonts w:ascii="Verdana" w:hAnsi="Verdana"/>
          <w:sz w:val="16"/>
          <w:szCs w:val="16"/>
        </w:rPr>
        <w:t xml:space="preserve"> </w:t>
      </w:r>
      <w:r w:rsidRPr="000B145D">
        <w:rPr>
          <w:rFonts w:ascii="Verdana" w:hAnsi="Verdana"/>
          <w:sz w:val="16"/>
          <w:szCs w:val="16"/>
        </w:rPr>
        <w:tab/>
        <w:t xml:space="preserve">En relación con este punto, el Estado hizo referencia a que “[e]l Ministerio de Salud Pública y Bienestar Social ejecuta </w:t>
      </w:r>
      <w:r w:rsidR="00D3134E">
        <w:rPr>
          <w:rFonts w:ascii="Verdana" w:hAnsi="Verdana"/>
          <w:sz w:val="16"/>
          <w:szCs w:val="16"/>
        </w:rPr>
        <w:t>[</w:t>
      </w:r>
      <w:r w:rsidRPr="000B145D">
        <w:rPr>
          <w:rFonts w:ascii="Verdana" w:hAnsi="Verdana"/>
          <w:sz w:val="16"/>
          <w:szCs w:val="16"/>
        </w:rPr>
        <w:t>un</w:t>
      </w:r>
      <w:r w:rsidR="00D3134E">
        <w:rPr>
          <w:rFonts w:ascii="Verdana" w:hAnsi="Verdana"/>
          <w:sz w:val="16"/>
          <w:szCs w:val="16"/>
        </w:rPr>
        <w:t>]</w:t>
      </w:r>
      <w:r w:rsidRPr="000B145D">
        <w:rPr>
          <w:rFonts w:ascii="Verdana" w:hAnsi="Verdana"/>
          <w:sz w:val="16"/>
          <w:szCs w:val="16"/>
        </w:rPr>
        <w:t xml:space="preserve"> Plan de Asistencia a las […] comunidades</w:t>
      </w:r>
      <w:r w:rsidR="00D3134E">
        <w:rPr>
          <w:rFonts w:ascii="Verdana" w:hAnsi="Verdana"/>
          <w:sz w:val="16"/>
          <w:szCs w:val="16"/>
        </w:rPr>
        <w:t>”</w:t>
      </w:r>
      <w:r w:rsidRPr="000B145D">
        <w:rPr>
          <w:rFonts w:ascii="Verdana" w:hAnsi="Verdana"/>
          <w:sz w:val="16"/>
          <w:szCs w:val="16"/>
        </w:rPr>
        <w:t xml:space="preserve">. Asimismo, indicó que </w:t>
      </w:r>
      <w:r w:rsidR="005B643D">
        <w:rPr>
          <w:rFonts w:ascii="Verdana" w:hAnsi="Verdana"/>
          <w:sz w:val="16"/>
          <w:szCs w:val="16"/>
        </w:rPr>
        <w:t>“</w:t>
      </w:r>
      <w:r w:rsidRPr="000B145D">
        <w:rPr>
          <w:rFonts w:ascii="Verdana" w:hAnsi="Verdana"/>
          <w:sz w:val="16"/>
          <w:szCs w:val="16"/>
        </w:rPr>
        <w:t>la Dirección de Salud Indígena periódicamente monitorea el cumplimiento de los compromisos asumidos por el Ministerio de Salud, a través de las Regiones Sanitarias de Concepción y Presidente Hayes”. De acuerdo con la información aportada por el Estado, las tres comunidades indígenas se encuentran recibiendo atención médica</w:t>
      </w:r>
      <w:r w:rsidR="00D3134E">
        <w:rPr>
          <w:rFonts w:ascii="Verdana" w:hAnsi="Verdana"/>
          <w:sz w:val="16"/>
          <w:szCs w:val="16"/>
        </w:rPr>
        <w:t>,</w:t>
      </w:r>
      <w:r w:rsidRPr="000B145D">
        <w:rPr>
          <w:rFonts w:ascii="Verdana" w:hAnsi="Verdana"/>
          <w:sz w:val="16"/>
          <w:szCs w:val="16"/>
        </w:rPr>
        <w:t xml:space="preserve"> e informaron que el Poder Ejecutivo promulgó la “Ley N° 5.469 de Salud Indígena […] destinado a dar un nuevo impulso al acceso de todos los pueblos indígenas del Paraguay a una atención de salud [con prácticas] de la medicina tradicional en articulación con la medicina no indígena”</w:t>
      </w:r>
      <w:r w:rsidR="00D3134E">
        <w:rPr>
          <w:rFonts w:ascii="Verdana" w:hAnsi="Verdana"/>
          <w:sz w:val="16"/>
          <w:szCs w:val="16"/>
        </w:rPr>
        <w:t>.</w:t>
      </w:r>
      <w:r w:rsidRPr="000B145D">
        <w:rPr>
          <w:rFonts w:ascii="Verdana" w:hAnsi="Verdana"/>
          <w:sz w:val="16"/>
          <w:szCs w:val="16"/>
        </w:rPr>
        <w:t xml:space="preserve"> </w:t>
      </w:r>
      <w:r w:rsidR="00D3134E">
        <w:rPr>
          <w:rFonts w:ascii="Verdana" w:hAnsi="Verdana"/>
          <w:sz w:val="16"/>
          <w:szCs w:val="16"/>
        </w:rPr>
        <w:t>A</w:t>
      </w:r>
      <w:r w:rsidRPr="000B145D">
        <w:rPr>
          <w:rFonts w:ascii="Verdana" w:hAnsi="Verdana"/>
          <w:sz w:val="16"/>
          <w:szCs w:val="16"/>
        </w:rPr>
        <w:t>demás señalaron que dicha ley “crea la Dirección Nacional de Salud de los Pueblos Indígenas (DINASAPI) y el Consejo de Salud de los Pueblos Indígenas”.</w:t>
      </w:r>
    </w:p>
  </w:footnote>
  <w:footnote w:id="35">
    <w:p w:rsidR="00FA194C" w:rsidRPr="000B145D" w:rsidRDefault="00FA194C" w:rsidP="000B145D">
      <w:pPr>
        <w:pStyle w:val="Textonotapie"/>
        <w:jc w:val="both"/>
        <w:rPr>
          <w:rFonts w:ascii="Verdana" w:hAnsi="Verdana"/>
          <w:sz w:val="16"/>
          <w:szCs w:val="16"/>
          <w:lang w:val="es-CR"/>
        </w:rPr>
      </w:pPr>
      <w:r w:rsidRPr="000B145D">
        <w:rPr>
          <w:rStyle w:val="Refdenotaalpie"/>
          <w:rFonts w:ascii="Verdana" w:hAnsi="Verdana"/>
          <w:sz w:val="16"/>
          <w:szCs w:val="16"/>
        </w:rPr>
        <w:footnoteRef/>
      </w:r>
      <w:r w:rsidRPr="000B145D">
        <w:rPr>
          <w:rFonts w:ascii="Verdana" w:hAnsi="Verdana"/>
          <w:sz w:val="16"/>
          <w:szCs w:val="16"/>
        </w:rPr>
        <w:t xml:space="preserve"> </w:t>
      </w:r>
      <w:r>
        <w:rPr>
          <w:rFonts w:ascii="Verdana" w:hAnsi="Verdana"/>
          <w:sz w:val="16"/>
          <w:szCs w:val="16"/>
        </w:rPr>
        <w:tab/>
      </w:r>
      <w:r w:rsidRPr="00B01B7D">
        <w:rPr>
          <w:rFonts w:ascii="Verdana" w:hAnsi="Verdana"/>
          <w:sz w:val="16"/>
          <w:szCs w:val="16"/>
        </w:rPr>
        <w:t>El Estad</w:t>
      </w:r>
      <w:r w:rsidRPr="00BF7EAE">
        <w:rPr>
          <w:rFonts w:ascii="Verdana" w:hAnsi="Verdana"/>
          <w:sz w:val="16"/>
          <w:szCs w:val="16"/>
        </w:rPr>
        <w:t>o indic</w:t>
      </w:r>
      <w:r w:rsidRPr="00D224D4">
        <w:rPr>
          <w:rFonts w:ascii="Verdana" w:hAnsi="Verdana"/>
          <w:sz w:val="16"/>
          <w:szCs w:val="16"/>
        </w:rPr>
        <w:t>ó que con respecto al acceso a la educación existen posibilidades de que se construya infraestructura escolar mediante el Proyecto de “</w:t>
      </w:r>
      <w:r w:rsidR="00D3134E">
        <w:rPr>
          <w:rFonts w:ascii="Verdana" w:hAnsi="Verdana"/>
          <w:sz w:val="16"/>
          <w:szCs w:val="16"/>
        </w:rPr>
        <w:t>[i]</w:t>
      </w:r>
      <w:proofErr w:type="spellStart"/>
      <w:r w:rsidRPr="00D224D4">
        <w:rPr>
          <w:rFonts w:ascii="Verdana" w:hAnsi="Verdana"/>
          <w:sz w:val="16"/>
          <w:szCs w:val="16"/>
        </w:rPr>
        <w:t>ntervención</w:t>
      </w:r>
      <w:proofErr w:type="spellEnd"/>
      <w:r w:rsidRPr="00D224D4">
        <w:rPr>
          <w:rFonts w:ascii="Verdana" w:hAnsi="Verdana"/>
          <w:sz w:val="16"/>
          <w:szCs w:val="16"/>
        </w:rPr>
        <w:t xml:space="preserve"> a 254 locales escolares indígenas” y </w:t>
      </w:r>
      <w:r w:rsidR="005B643D">
        <w:rPr>
          <w:rFonts w:ascii="Verdana" w:hAnsi="Verdana"/>
          <w:sz w:val="16"/>
          <w:szCs w:val="16"/>
        </w:rPr>
        <w:t>afirmó</w:t>
      </w:r>
      <w:r w:rsidRPr="00D224D4">
        <w:rPr>
          <w:rFonts w:ascii="Verdana" w:hAnsi="Verdana"/>
          <w:sz w:val="16"/>
          <w:szCs w:val="16"/>
        </w:rPr>
        <w:t xml:space="preserve"> que sería financiado por FONACIDE</w:t>
      </w:r>
      <w:r w:rsidRPr="00B01B7D">
        <w:rPr>
          <w:rFonts w:ascii="Verdana" w:hAnsi="Verdana"/>
          <w:sz w:val="16"/>
          <w:szCs w:val="16"/>
        </w:rPr>
        <w:t xml:space="preserve"> en las comunidades </w:t>
      </w:r>
      <w:proofErr w:type="spellStart"/>
      <w:r w:rsidRPr="00D3134E">
        <w:rPr>
          <w:rFonts w:ascii="Verdana" w:hAnsi="Verdana"/>
          <w:i/>
          <w:sz w:val="16"/>
          <w:szCs w:val="16"/>
        </w:rPr>
        <w:t>Yakye</w:t>
      </w:r>
      <w:proofErr w:type="spellEnd"/>
      <w:r w:rsidRPr="00D3134E">
        <w:rPr>
          <w:rFonts w:ascii="Verdana" w:hAnsi="Verdana"/>
          <w:i/>
          <w:sz w:val="16"/>
          <w:szCs w:val="16"/>
        </w:rPr>
        <w:t xml:space="preserve"> Axa</w:t>
      </w:r>
      <w:r w:rsidRPr="00B01B7D">
        <w:rPr>
          <w:rFonts w:ascii="Verdana" w:hAnsi="Verdana"/>
          <w:sz w:val="16"/>
          <w:szCs w:val="16"/>
        </w:rPr>
        <w:t xml:space="preserve">, </w:t>
      </w:r>
      <w:proofErr w:type="spellStart"/>
      <w:r w:rsidRPr="00D3134E">
        <w:rPr>
          <w:rFonts w:ascii="Verdana" w:hAnsi="Verdana"/>
          <w:i/>
          <w:sz w:val="16"/>
          <w:szCs w:val="16"/>
        </w:rPr>
        <w:t>Sawhoyamaxa</w:t>
      </w:r>
      <w:proofErr w:type="spellEnd"/>
      <w:r w:rsidRPr="00B01B7D">
        <w:rPr>
          <w:rFonts w:ascii="Verdana" w:hAnsi="Verdana"/>
          <w:sz w:val="16"/>
          <w:szCs w:val="16"/>
        </w:rPr>
        <w:t xml:space="preserve"> y </w:t>
      </w:r>
      <w:proofErr w:type="spellStart"/>
      <w:r w:rsidRPr="00D3134E">
        <w:rPr>
          <w:rFonts w:ascii="Verdana" w:hAnsi="Verdana"/>
          <w:i/>
          <w:sz w:val="16"/>
          <w:szCs w:val="16"/>
        </w:rPr>
        <w:t>Xákmok</w:t>
      </w:r>
      <w:proofErr w:type="spellEnd"/>
      <w:r w:rsidRPr="00D3134E">
        <w:rPr>
          <w:rFonts w:ascii="Verdana" w:hAnsi="Verdana"/>
          <w:i/>
          <w:sz w:val="16"/>
          <w:szCs w:val="16"/>
        </w:rPr>
        <w:t xml:space="preserve"> </w:t>
      </w:r>
      <w:proofErr w:type="spellStart"/>
      <w:r w:rsidRPr="00D3134E">
        <w:rPr>
          <w:rFonts w:ascii="Verdana" w:hAnsi="Verdana"/>
          <w:i/>
          <w:sz w:val="16"/>
          <w:szCs w:val="16"/>
        </w:rPr>
        <w:t>Kásek</w:t>
      </w:r>
      <w:proofErr w:type="spellEnd"/>
      <w:r>
        <w:rPr>
          <w:rFonts w:ascii="Verdana" w:hAnsi="Verdana"/>
          <w:sz w:val="16"/>
          <w:szCs w:val="16"/>
        </w:rPr>
        <w:t xml:space="preserve">. También </w:t>
      </w:r>
      <w:r w:rsidR="005B643D">
        <w:rPr>
          <w:rFonts w:ascii="Verdana" w:hAnsi="Verdana"/>
          <w:sz w:val="16"/>
          <w:szCs w:val="16"/>
        </w:rPr>
        <w:t>señaló</w:t>
      </w:r>
      <w:r w:rsidR="009A474E">
        <w:rPr>
          <w:rFonts w:ascii="Verdana" w:hAnsi="Verdana"/>
          <w:sz w:val="16"/>
          <w:szCs w:val="16"/>
        </w:rPr>
        <w:t>,</w:t>
      </w:r>
      <w:r>
        <w:rPr>
          <w:rFonts w:ascii="Verdana" w:hAnsi="Verdana"/>
          <w:sz w:val="16"/>
          <w:szCs w:val="16"/>
        </w:rPr>
        <w:t xml:space="preserve"> </w:t>
      </w:r>
      <w:r w:rsidRPr="00B01B7D">
        <w:rPr>
          <w:rFonts w:ascii="Verdana" w:hAnsi="Verdana"/>
          <w:sz w:val="16"/>
          <w:szCs w:val="16"/>
        </w:rPr>
        <w:t>para esta última comunidad</w:t>
      </w:r>
      <w:r w:rsidR="009A474E">
        <w:rPr>
          <w:rFonts w:ascii="Verdana" w:hAnsi="Verdana"/>
          <w:sz w:val="16"/>
          <w:szCs w:val="16"/>
        </w:rPr>
        <w:t>,</w:t>
      </w:r>
      <w:r w:rsidRPr="00B01B7D">
        <w:rPr>
          <w:rFonts w:ascii="Verdana" w:hAnsi="Verdana"/>
          <w:sz w:val="16"/>
          <w:szCs w:val="16"/>
        </w:rPr>
        <w:t xml:space="preserve"> que instituciones estatales se encuentran coordinando con UNICEF Paraguay para la provisión de escuelas móviles </w:t>
      </w:r>
      <w:r w:rsidR="009A474E">
        <w:rPr>
          <w:rFonts w:ascii="Verdana" w:hAnsi="Verdana"/>
          <w:sz w:val="16"/>
          <w:szCs w:val="16"/>
        </w:rPr>
        <w:t>“a bien de atender las necesidades de los niños que se encuentran asentados en Retiro Primero, a bien de que puedan continuar con normalidad el desarrollo de las clases”</w:t>
      </w:r>
      <w:r w:rsidRPr="00B01B7D">
        <w:rPr>
          <w:rFonts w:ascii="Verdana" w:hAnsi="Verdana"/>
          <w:sz w:val="16"/>
          <w:szCs w:val="16"/>
        </w:rPr>
        <w:t xml:space="preserve">. Por último, </w:t>
      </w:r>
      <w:r w:rsidR="005B643D">
        <w:rPr>
          <w:rFonts w:ascii="Verdana" w:hAnsi="Verdana"/>
          <w:sz w:val="16"/>
          <w:szCs w:val="16"/>
        </w:rPr>
        <w:t>indicó</w:t>
      </w:r>
      <w:r w:rsidRPr="00B01B7D">
        <w:rPr>
          <w:rFonts w:ascii="Verdana" w:hAnsi="Verdana"/>
          <w:sz w:val="16"/>
          <w:szCs w:val="16"/>
        </w:rPr>
        <w:t xml:space="preserve"> que “fue establecido el Consejo Nacional de Educación Indígena, el cual actualmente se encuentra conformado por representantes de 10 Pueblos, entre los cuales se encuentra el Pueblo </w:t>
      </w:r>
      <w:proofErr w:type="spellStart"/>
      <w:r w:rsidRPr="00B01B7D">
        <w:rPr>
          <w:rFonts w:ascii="Verdana" w:hAnsi="Verdana"/>
          <w:sz w:val="16"/>
          <w:szCs w:val="16"/>
        </w:rPr>
        <w:t>Énxet</w:t>
      </w:r>
      <w:proofErr w:type="spellEnd"/>
      <w:r w:rsidRPr="00B01B7D">
        <w:rPr>
          <w:rFonts w:ascii="Verdana" w:hAnsi="Verdana"/>
          <w:sz w:val="16"/>
          <w:szCs w:val="16"/>
        </w:rPr>
        <w:t xml:space="preserve"> y el Pueblo </w:t>
      </w:r>
      <w:proofErr w:type="spellStart"/>
      <w:r w:rsidRPr="00B01B7D">
        <w:rPr>
          <w:rFonts w:ascii="Verdana" w:hAnsi="Verdana"/>
          <w:sz w:val="16"/>
          <w:szCs w:val="16"/>
        </w:rPr>
        <w:t>Sanapaná</w:t>
      </w:r>
      <w:proofErr w:type="spellEnd"/>
      <w:r w:rsidRPr="00B01B7D">
        <w:rPr>
          <w:rFonts w:ascii="Verdana" w:hAnsi="Verdana"/>
          <w:sz w:val="16"/>
          <w:szCs w:val="16"/>
        </w:rPr>
        <w:t xml:space="preserve"> (a los cuales pertenecen las mencionadas escuelas-comunidades</w:t>
      </w:r>
      <w:r>
        <w:rPr>
          <w:rFonts w:ascii="Verdana" w:hAnsi="Verdana"/>
          <w:sz w:val="16"/>
          <w:szCs w:val="16"/>
        </w:rPr>
        <w:t>)</w:t>
      </w:r>
      <w:r w:rsidRPr="00B01B7D">
        <w:rPr>
          <w:rFonts w:ascii="Verdana" w:hAnsi="Verdana"/>
          <w:sz w:val="16"/>
          <w:szCs w:val="16"/>
        </w:rPr>
        <w:t>”.</w:t>
      </w:r>
    </w:p>
  </w:footnote>
  <w:footnote w:id="36">
    <w:p w:rsidR="00CD664D" w:rsidRPr="00CD664D" w:rsidRDefault="00CD664D" w:rsidP="00CD664D">
      <w:pPr>
        <w:pStyle w:val="Textonotapie"/>
        <w:jc w:val="both"/>
        <w:rPr>
          <w:rFonts w:ascii="Verdana" w:hAnsi="Verdana"/>
          <w:sz w:val="16"/>
          <w:szCs w:val="16"/>
          <w:u w:val="single"/>
        </w:rPr>
      </w:pPr>
      <w:r w:rsidRPr="00E01505">
        <w:rPr>
          <w:rStyle w:val="Refdenotaalpie"/>
          <w:rFonts w:ascii="Verdana" w:hAnsi="Verdana"/>
          <w:sz w:val="16"/>
          <w:szCs w:val="16"/>
        </w:rPr>
        <w:footnoteRef/>
      </w:r>
      <w:r w:rsidRPr="00E01505">
        <w:rPr>
          <w:rFonts w:ascii="Verdana" w:hAnsi="Verdana"/>
          <w:sz w:val="16"/>
          <w:szCs w:val="16"/>
        </w:rPr>
        <w:t xml:space="preserve"> </w:t>
      </w:r>
      <w:r w:rsidRPr="00E01505">
        <w:rPr>
          <w:rFonts w:ascii="Verdana" w:hAnsi="Verdana"/>
          <w:sz w:val="16"/>
          <w:szCs w:val="16"/>
        </w:rPr>
        <w:tab/>
        <w:t xml:space="preserve">Entre otros, señalaron que en </w:t>
      </w:r>
      <w:proofErr w:type="spellStart"/>
      <w:r w:rsidRPr="00E01505">
        <w:rPr>
          <w:rFonts w:ascii="Verdana" w:hAnsi="Verdana"/>
          <w:i/>
          <w:sz w:val="16"/>
          <w:szCs w:val="16"/>
        </w:rPr>
        <w:t>Yakye</w:t>
      </w:r>
      <w:proofErr w:type="spellEnd"/>
      <w:r w:rsidRPr="00E01505">
        <w:rPr>
          <w:rFonts w:ascii="Verdana" w:hAnsi="Verdana"/>
          <w:i/>
          <w:sz w:val="16"/>
          <w:szCs w:val="16"/>
        </w:rPr>
        <w:t xml:space="preserve"> Axa</w:t>
      </w:r>
      <w:r w:rsidRPr="00E01505">
        <w:rPr>
          <w:rFonts w:ascii="Verdana" w:hAnsi="Verdana"/>
          <w:sz w:val="16"/>
          <w:szCs w:val="16"/>
        </w:rPr>
        <w:t xml:space="preserve"> </w:t>
      </w:r>
      <w:r w:rsidR="00532AD7">
        <w:rPr>
          <w:rFonts w:ascii="Verdana" w:hAnsi="Verdana"/>
          <w:sz w:val="16"/>
          <w:szCs w:val="16"/>
        </w:rPr>
        <w:t>“</w:t>
      </w:r>
      <w:r w:rsidRPr="00E01505">
        <w:rPr>
          <w:rFonts w:ascii="Verdana" w:hAnsi="Verdana"/>
          <w:sz w:val="16"/>
          <w:szCs w:val="16"/>
        </w:rPr>
        <w:t>[l]os medios de transporte del Estado no cuentan con combustible para casos de emergencia, por lo que las llamadas a centros asistenciales por fuera de las visitas programadas no surten efecto alguno […]. Esto implica retrasos en la atención de salud de las personas, por ejemplo, en abril de 2016 un niño de 1 año […] falleció por problemas pulmonares y por una asistencia tardía”.</w:t>
      </w:r>
      <w:r w:rsidR="00532AD7">
        <w:rPr>
          <w:rFonts w:ascii="Verdana" w:hAnsi="Verdana"/>
          <w:sz w:val="16"/>
          <w:szCs w:val="16"/>
        </w:rPr>
        <w:t xml:space="preserve"> </w:t>
      </w:r>
      <w:r w:rsidRPr="00E01505">
        <w:rPr>
          <w:rFonts w:ascii="Verdana" w:hAnsi="Verdana"/>
          <w:sz w:val="16"/>
          <w:szCs w:val="16"/>
        </w:rPr>
        <w:t xml:space="preserve"> Indicaron </w:t>
      </w:r>
      <w:r w:rsidR="005B643D">
        <w:rPr>
          <w:rFonts w:ascii="Verdana" w:hAnsi="Verdana"/>
          <w:sz w:val="16"/>
          <w:szCs w:val="16"/>
        </w:rPr>
        <w:t>que, igualmente,</w:t>
      </w:r>
      <w:r w:rsidRPr="00E01505">
        <w:rPr>
          <w:rFonts w:ascii="Verdana" w:hAnsi="Verdana"/>
          <w:sz w:val="16"/>
          <w:szCs w:val="16"/>
        </w:rPr>
        <w:t xml:space="preserve"> esta situación se </w:t>
      </w:r>
      <w:r w:rsidR="000E4DF3" w:rsidRPr="00E01505">
        <w:rPr>
          <w:rFonts w:ascii="Verdana" w:hAnsi="Verdana"/>
          <w:sz w:val="16"/>
          <w:szCs w:val="16"/>
        </w:rPr>
        <w:t>presenta</w:t>
      </w:r>
      <w:r w:rsidRPr="00E01505">
        <w:rPr>
          <w:rFonts w:ascii="Verdana" w:hAnsi="Verdana"/>
          <w:sz w:val="16"/>
          <w:szCs w:val="16"/>
        </w:rPr>
        <w:t xml:space="preserve"> en </w:t>
      </w:r>
      <w:proofErr w:type="spellStart"/>
      <w:r w:rsidRPr="00AC5C89">
        <w:rPr>
          <w:rFonts w:ascii="Verdana" w:hAnsi="Verdana"/>
          <w:i/>
          <w:sz w:val="16"/>
          <w:szCs w:val="16"/>
        </w:rPr>
        <w:t>Sawyohamaxa</w:t>
      </w:r>
      <w:proofErr w:type="spellEnd"/>
      <w:r w:rsidRPr="00E01505">
        <w:rPr>
          <w:rFonts w:ascii="Verdana" w:hAnsi="Verdana"/>
          <w:sz w:val="16"/>
          <w:szCs w:val="16"/>
        </w:rPr>
        <w:t xml:space="preserve"> y </w:t>
      </w:r>
      <w:proofErr w:type="spellStart"/>
      <w:r w:rsidRPr="00AC5C89">
        <w:rPr>
          <w:rFonts w:ascii="Verdana" w:hAnsi="Verdana"/>
          <w:i/>
          <w:sz w:val="16"/>
          <w:szCs w:val="16"/>
        </w:rPr>
        <w:t>Xákmok</w:t>
      </w:r>
      <w:proofErr w:type="spellEnd"/>
      <w:r w:rsidRPr="00AC5C89">
        <w:rPr>
          <w:rFonts w:ascii="Verdana" w:hAnsi="Verdana"/>
          <w:i/>
          <w:sz w:val="16"/>
          <w:szCs w:val="16"/>
        </w:rPr>
        <w:t xml:space="preserve"> </w:t>
      </w:r>
      <w:proofErr w:type="spellStart"/>
      <w:r w:rsidRPr="00AC5C89">
        <w:rPr>
          <w:rFonts w:ascii="Verdana" w:hAnsi="Verdana"/>
          <w:i/>
          <w:sz w:val="16"/>
          <w:szCs w:val="16"/>
        </w:rPr>
        <w:t>Kásek</w:t>
      </w:r>
      <w:proofErr w:type="spellEnd"/>
      <w:r w:rsidRPr="00E01505">
        <w:rPr>
          <w:rFonts w:ascii="Verdana" w:hAnsi="Verdana"/>
          <w:sz w:val="16"/>
          <w:szCs w:val="16"/>
        </w:rPr>
        <w:t xml:space="preserve">. </w:t>
      </w:r>
    </w:p>
  </w:footnote>
  <w:footnote w:id="37">
    <w:p w:rsidR="005B643D" w:rsidRPr="005B643D" w:rsidRDefault="005B643D">
      <w:pPr>
        <w:pStyle w:val="Textonotapie"/>
        <w:rPr>
          <w:rFonts w:ascii="Verdana" w:hAnsi="Verdana"/>
          <w:sz w:val="16"/>
          <w:szCs w:val="16"/>
        </w:rPr>
      </w:pPr>
      <w:r w:rsidRPr="005B643D">
        <w:rPr>
          <w:rStyle w:val="Refdenotaalpie"/>
          <w:rFonts w:ascii="Verdana" w:hAnsi="Verdana"/>
          <w:sz w:val="16"/>
          <w:szCs w:val="16"/>
        </w:rPr>
        <w:footnoteRef/>
      </w:r>
      <w:r w:rsidRPr="005B643D">
        <w:rPr>
          <w:rFonts w:ascii="Verdana" w:hAnsi="Verdana"/>
          <w:sz w:val="16"/>
          <w:szCs w:val="16"/>
        </w:rPr>
        <w:t xml:space="preserve"> </w:t>
      </w:r>
      <w:r w:rsidRPr="005B643D">
        <w:rPr>
          <w:rFonts w:ascii="Verdana" w:hAnsi="Verdana"/>
          <w:sz w:val="16"/>
          <w:szCs w:val="16"/>
        </w:rPr>
        <w:tab/>
      </w:r>
      <w:r w:rsidRPr="005B643D">
        <w:rPr>
          <w:rFonts w:ascii="Verdana" w:hAnsi="Verdana"/>
          <w:i/>
          <w:sz w:val="16"/>
          <w:szCs w:val="16"/>
        </w:rPr>
        <w:t xml:space="preserve">Cfr. Casos de las Comunidades Indígenas </w:t>
      </w:r>
      <w:proofErr w:type="spellStart"/>
      <w:r w:rsidRPr="005B643D">
        <w:rPr>
          <w:rFonts w:ascii="Verdana" w:hAnsi="Verdana"/>
          <w:i/>
          <w:sz w:val="16"/>
          <w:szCs w:val="16"/>
        </w:rPr>
        <w:t>Yakye</w:t>
      </w:r>
      <w:proofErr w:type="spellEnd"/>
      <w:r w:rsidRPr="005B643D">
        <w:rPr>
          <w:rFonts w:ascii="Verdana" w:hAnsi="Verdana"/>
          <w:i/>
          <w:sz w:val="16"/>
          <w:szCs w:val="16"/>
        </w:rPr>
        <w:t xml:space="preserve"> Axa, </w:t>
      </w:r>
      <w:proofErr w:type="spellStart"/>
      <w:r w:rsidRPr="005B643D">
        <w:rPr>
          <w:rFonts w:ascii="Verdana" w:hAnsi="Verdana"/>
          <w:i/>
          <w:sz w:val="16"/>
          <w:szCs w:val="16"/>
        </w:rPr>
        <w:t>Sawhoyamaxa</w:t>
      </w:r>
      <w:proofErr w:type="spellEnd"/>
      <w:r w:rsidRPr="005B643D">
        <w:rPr>
          <w:rFonts w:ascii="Verdana" w:hAnsi="Verdana"/>
          <w:i/>
          <w:sz w:val="16"/>
          <w:szCs w:val="16"/>
        </w:rPr>
        <w:t xml:space="preserve"> y </w:t>
      </w:r>
      <w:proofErr w:type="spellStart"/>
      <w:r w:rsidRPr="005B643D">
        <w:rPr>
          <w:rFonts w:ascii="Verdana" w:hAnsi="Verdana"/>
          <w:i/>
          <w:sz w:val="16"/>
          <w:szCs w:val="16"/>
        </w:rPr>
        <w:t>Xákmok</w:t>
      </w:r>
      <w:proofErr w:type="spellEnd"/>
      <w:r w:rsidRPr="005B643D">
        <w:rPr>
          <w:rFonts w:ascii="Verdana" w:hAnsi="Verdana"/>
          <w:i/>
          <w:sz w:val="16"/>
          <w:szCs w:val="16"/>
        </w:rPr>
        <w:t xml:space="preserve"> </w:t>
      </w:r>
      <w:proofErr w:type="spellStart"/>
      <w:r w:rsidRPr="005B643D">
        <w:rPr>
          <w:rFonts w:ascii="Verdana" w:hAnsi="Verdana"/>
          <w:i/>
          <w:sz w:val="16"/>
          <w:szCs w:val="16"/>
        </w:rPr>
        <w:t>Kásek</w:t>
      </w:r>
      <w:proofErr w:type="spellEnd"/>
      <w:r w:rsidRPr="005B643D">
        <w:rPr>
          <w:rFonts w:ascii="Verdana" w:hAnsi="Verdana"/>
          <w:i/>
          <w:sz w:val="16"/>
          <w:szCs w:val="16"/>
        </w:rPr>
        <w:t xml:space="preserve"> Vs. Paraguay.</w:t>
      </w:r>
      <w:r w:rsidRPr="005B643D">
        <w:rPr>
          <w:rFonts w:ascii="Verdana" w:hAnsi="Verdana"/>
          <w:sz w:val="16"/>
          <w:szCs w:val="16"/>
        </w:rPr>
        <w:t xml:space="preserve"> Supervisión de Cumplimiento de Sentencia. Resolución de la Corte Interamericana de Derechos Humanos de 24 junio de 2015, Considerando 48.</w:t>
      </w:r>
    </w:p>
  </w:footnote>
  <w:footnote w:id="38">
    <w:p w:rsidR="00FA194C" w:rsidRDefault="00FA194C" w:rsidP="006A10A4">
      <w:pPr>
        <w:pStyle w:val="Textonotapie"/>
        <w:ind w:right="4"/>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El señor Albino Gómez, líder de </w:t>
      </w:r>
      <w:proofErr w:type="spellStart"/>
      <w:r>
        <w:rPr>
          <w:rFonts w:ascii="Verdana" w:hAnsi="Verdana"/>
          <w:i/>
          <w:sz w:val="16"/>
          <w:szCs w:val="16"/>
        </w:rPr>
        <w:t>Yakye</w:t>
      </w:r>
      <w:proofErr w:type="spellEnd"/>
      <w:r>
        <w:rPr>
          <w:rFonts w:ascii="Verdana" w:hAnsi="Verdana"/>
          <w:i/>
          <w:sz w:val="16"/>
          <w:szCs w:val="16"/>
        </w:rPr>
        <w:t xml:space="preserve"> Axa</w:t>
      </w:r>
      <w:r>
        <w:rPr>
          <w:rFonts w:ascii="Verdana" w:hAnsi="Verdana"/>
          <w:sz w:val="16"/>
          <w:szCs w:val="16"/>
        </w:rPr>
        <w:t xml:space="preserve">, recalcó que para la fecha de la audiencia llevaban “dos años y medio desde que se compraron esas tierras sin que el camino esté hecho”; con relación a esta misma comunidad, los representantes de las víctimas </w:t>
      </w:r>
      <w:r>
        <w:rPr>
          <w:rFonts w:ascii="Verdana" w:hAnsi="Verdana"/>
          <w:sz w:val="16"/>
          <w:szCs w:val="16"/>
          <w:lang w:val="es-CR"/>
        </w:rPr>
        <w:t>destacaron que</w:t>
      </w:r>
      <w:r>
        <w:rPr>
          <w:rFonts w:ascii="Verdana" w:hAnsi="Verdana"/>
          <w:sz w:val="16"/>
          <w:szCs w:val="16"/>
        </w:rPr>
        <w:t xml:space="preserve"> “la comunidad se encuentra en el mismo lugar que conoció esta Corte al momento de sustanciar el proceso”, y que lleva ya casi 18 años de espera; por su parte, el señor Carlos </w:t>
      </w:r>
      <w:proofErr w:type="spellStart"/>
      <w:r>
        <w:rPr>
          <w:rFonts w:ascii="Verdana" w:hAnsi="Verdana"/>
          <w:sz w:val="16"/>
          <w:szCs w:val="16"/>
        </w:rPr>
        <w:t>Marecos</w:t>
      </w:r>
      <w:proofErr w:type="spellEnd"/>
      <w:r>
        <w:rPr>
          <w:rFonts w:ascii="Verdana" w:hAnsi="Verdana"/>
          <w:sz w:val="16"/>
          <w:szCs w:val="16"/>
        </w:rPr>
        <w:t xml:space="preserve">, líder de la Comunidad </w:t>
      </w:r>
      <w:proofErr w:type="spellStart"/>
      <w:r>
        <w:rPr>
          <w:rFonts w:ascii="Verdana" w:hAnsi="Verdana"/>
          <w:i/>
          <w:sz w:val="16"/>
          <w:szCs w:val="16"/>
        </w:rPr>
        <w:t>Sawhoyamaxa</w:t>
      </w:r>
      <w:proofErr w:type="spellEnd"/>
      <w:r>
        <w:rPr>
          <w:rFonts w:ascii="Verdana" w:hAnsi="Verdana"/>
          <w:sz w:val="16"/>
          <w:szCs w:val="16"/>
        </w:rPr>
        <w:t xml:space="preserve">, afirmó que “ellos como comunidad indígena siguen sufriendo mucho tipo de maltrato”, derivado, entre otros, “en todos estos años de vigencia de pronunciamiento de la sentencia no ha visto un respeto acorde a la misma por parte de las autoridades del Estado”. Finalmente, Clemente </w:t>
      </w:r>
      <w:proofErr w:type="spellStart"/>
      <w:r>
        <w:rPr>
          <w:rFonts w:ascii="Verdana" w:hAnsi="Verdana"/>
          <w:sz w:val="16"/>
          <w:szCs w:val="16"/>
        </w:rPr>
        <w:t>Dermont</w:t>
      </w:r>
      <w:proofErr w:type="spellEnd"/>
      <w:r>
        <w:rPr>
          <w:rFonts w:ascii="Verdana" w:hAnsi="Verdana"/>
          <w:sz w:val="16"/>
          <w:szCs w:val="16"/>
        </w:rPr>
        <w:t xml:space="preserve">, líder de la comunidad </w:t>
      </w:r>
      <w:proofErr w:type="spellStart"/>
      <w:r>
        <w:rPr>
          <w:rFonts w:ascii="Verdana" w:hAnsi="Verdana"/>
          <w:i/>
          <w:sz w:val="16"/>
          <w:szCs w:val="16"/>
        </w:rPr>
        <w:t>Xákmok</w:t>
      </w:r>
      <w:proofErr w:type="spellEnd"/>
      <w:r>
        <w:rPr>
          <w:rFonts w:ascii="Verdana" w:hAnsi="Verdana"/>
          <w:i/>
          <w:sz w:val="16"/>
          <w:szCs w:val="16"/>
        </w:rPr>
        <w:t xml:space="preserve"> </w:t>
      </w:r>
      <w:proofErr w:type="spellStart"/>
      <w:r>
        <w:rPr>
          <w:rFonts w:ascii="Verdana" w:hAnsi="Verdana"/>
          <w:i/>
          <w:sz w:val="16"/>
          <w:szCs w:val="16"/>
        </w:rPr>
        <w:t>Kásek</w:t>
      </w:r>
      <w:proofErr w:type="spellEnd"/>
      <w:r>
        <w:rPr>
          <w:rFonts w:ascii="Verdana" w:hAnsi="Verdana"/>
          <w:sz w:val="16"/>
          <w:szCs w:val="16"/>
        </w:rPr>
        <w:t>, solicitó el apoyo de la Corte para “concretar estas situaciones, estas demandas que tenemos porque allá todo es muy lento”.</w:t>
      </w:r>
    </w:p>
  </w:footnote>
  <w:footnote w:id="39">
    <w:p w:rsidR="00FA194C" w:rsidRDefault="00FA194C" w:rsidP="006A10A4">
      <w:pPr>
        <w:pStyle w:val="Textonotapie"/>
        <w:ind w:right="4"/>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sidR="00781A18">
        <w:rPr>
          <w:rFonts w:ascii="Verdana" w:hAnsi="Verdana"/>
          <w:sz w:val="16"/>
          <w:szCs w:val="16"/>
        </w:rPr>
        <w:tab/>
      </w:r>
      <w:r>
        <w:rPr>
          <w:rFonts w:ascii="Verdana" w:hAnsi="Verdana"/>
          <w:sz w:val="16"/>
          <w:szCs w:val="16"/>
          <w:lang w:val="es-EC"/>
        </w:rPr>
        <w:t xml:space="preserve">En la Sentencia del </w:t>
      </w:r>
      <w:r>
        <w:rPr>
          <w:rFonts w:ascii="Verdana" w:hAnsi="Verdana"/>
          <w:i/>
          <w:sz w:val="16"/>
          <w:szCs w:val="16"/>
          <w:lang w:val="es-EC"/>
        </w:rPr>
        <w:t xml:space="preserve">caso </w:t>
      </w:r>
      <w:proofErr w:type="spellStart"/>
      <w:r>
        <w:rPr>
          <w:rFonts w:ascii="Verdana" w:hAnsi="Verdana"/>
          <w:i/>
          <w:sz w:val="16"/>
          <w:szCs w:val="16"/>
          <w:lang w:val="es-EC"/>
        </w:rPr>
        <w:t>Yakye</w:t>
      </w:r>
      <w:proofErr w:type="spellEnd"/>
      <w:r>
        <w:rPr>
          <w:rFonts w:ascii="Verdana" w:hAnsi="Verdana"/>
          <w:i/>
          <w:sz w:val="16"/>
          <w:szCs w:val="16"/>
          <w:lang w:val="es-EC"/>
        </w:rPr>
        <w:t xml:space="preserve"> Axa</w:t>
      </w:r>
      <w:r>
        <w:rPr>
          <w:rFonts w:ascii="Verdana" w:hAnsi="Verdana"/>
          <w:sz w:val="16"/>
          <w:szCs w:val="16"/>
          <w:lang w:val="es-EC"/>
        </w:rPr>
        <w:t xml:space="preserve">, la Corte resaltó que la relación de los indígenas con sus tierras tradicionales debía de ser “reconocida y comprendida como la base fundamental de su cultura, vida espiritual, integridad, supervivencia económica y su preservación y transmisión a las generaciones futuras”, y sostuvo que la cultura de los miembros de las comunidades indígenas “corresponde a una forma de vida particular de ser, ver y actuar en el mundo, constituido a partir de su estrecha relación con sus territorios tradicionales y los recursos que allí se encuentran, no sólo por ser estos su </w:t>
      </w:r>
      <w:r>
        <w:rPr>
          <w:rFonts w:ascii="Verdana" w:hAnsi="Verdana"/>
          <w:sz w:val="16"/>
          <w:szCs w:val="16"/>
          <w:lang w:val="es-CR"/>
        </w:rPr>
        <w:t>principal</w:t>
      </w:r>
      <w:r>
        <w:rPr>
          <w:rFonts w:ascii="Verdana" w:hAnsi="Verdana"/>
          <w:sz w:val="16"/>
          <w:szCs w:val="16"/>
          <w:lang w:val="es-EC"/>
        </w:rPr>
        <w:t xml:space="preserve"> medio de subsistencia, sino además porque constituyen un elemento integrante de su cosmovisión, religiosidad y, por ende, de su identidad cultural”. Asimismo, </w:t>
      </w:r>
      <w:r w:rsidR="005B643D">
        <w:rPr>
          <w:rFonts w:ascii="Verdana" w:hAnsi="Verdana"/>
          <w:sz w:val="16"/>
          <w:szCs w:val="16"/>
          <w:lang w:val="es-EC"/>
        </w:rPr>
        <w:t xml:space="preserve">en la Resolución de 2015, </w:t>
      </w:r>
      <w:r>
        <w:rPr>
          <w:rFonts w:ascii="Verdana" w:hAnsi="Verdana"/>
          <w:sz w:val="16"/>
          <w:szCs w:val="16"/>
          <w:lang w:val="es-ES"/>
        </w:rPr>
        <w:t>la Corte destac</w:t>
      </w:r>
      <w:r w:rsidR="005B643D">
        <w:rPr>
          <w:rFonts w:ascii="Verdana" w:hAnsi="Verdana"/>
          <w:sz w:val="16"/>
          <w:szCs w:val="16"/>
          <w:lang w:val="es-ES"/>
        </w:rPr>
        <w:t>ó</w:t>
      </w:r>
      <w:r>
        <w:rPr>
          <w:rFonts w:ascii="Verdana" w:hAnsi="Verdana"/>
          <w:sz w:val="16"/>
          <w:szCs w:val="16"/>
          <w:lang w:val="es-ES"/>
        </w:rPr>
        <w:t xml:space="preserve"> lo señalado en la Sentencia del caso </w:t>
      </w:r>
      <w:proofErr w:type="spellStart"/>
      <w:r>
        <w:rPr>
          <w:rFonts w:ascii="Verdana" w:hAnsi="Verdana"/>
          <w:i/>
          <w:sz w:val="16"/>
          <w:szCs w:val="16"/>
          <w:lang w:val="es-ES"/>
        </w:rPr>
        <w:t>Xákmok</w:t>
      </w:r>
      <w:proofErr w:type="spellEnd"/>
      <w:r>
        <w:rPr>
          <w:rFonts w:ascii="Verdana" w:hAnsi="Verdana"/>
          <w:i/>
          <w:sz w:val="16"/>
          <w:szCs w:val="16"/>
          <w:lang w:val="es-ES"/>
        </w:rPr>
        <w:t xml:space="preserve"> </w:t>
      </w:r>
      <w:proofErr w:type="spellStart"/>
      <w:r>
        <w:rPr>
          <w:rFonts w:ascii="Verdana" w:hAnsi="Verdana"/>
          <w:i/>
          <w:sz w:val="16"/>
          <w:szCs w:val="16"/>
          <w:lang w:val="es-ES"/>
        </w:rPr>
        <w:t>Kásek</w:t>
      </w:r>
      <w:proofErr w:type="spellEnd"/>
      <w:r>
        <w:rPr>
          <w:rFonts w:ascii="Verdana" w:hAnsi="Verdana"/>
          <w:i/>
          <w:sz w:val="16"/>
          <w:szCs w:val="16"/>
          <w:lang w:val="es-ES"/>
        </w:rPr>
        <w:t xml:space="preserve">, </w:t>
      </w:r>
      <w:r>
        <w:rPr>
          <w:rFonts w:ascii="Verdana" w:hAnsi="Verdana"/>
          <w:sz w:val="16"/>
          <w:szCs w:val="16"/>
          <w:lang w:val="es-ES"/>
        </w:rPr>
        <w:t>en sus párrafos 181 y 182</w:t>
      </w:r>
      <w:r>
        <w:rPr>
          <w:rFonts w:ascii="Verdana" w:hAnsi="Verdana"/>
          <w:i/>
          <w:sz w:val="16"/>
          <w:szCs w:val="16"/>
          <w:lang w:val="es-ES"/>
        </w:rPr>
        <w:t>,</w:t>
      </w:r>
      <w:r>
        <w:rPr>
          <w:rFonts w:ascii="Verdana" w:hAnsi="Verdana"/>
          <w:sz w:val="16"/>
          <w:szCs w:val="16"/>
          <w:lang w:val="es-ES"/>
        </w:rPr>
        <w:t xml:space="preserve"> al establecer que “la falta de sus tierras tradicionales y las limitaciones impuestas por los propietarios privados repercutió en los medios de subsistencia de los miembros de la Comunidad” y que “[t]odas estas afectaciones se incrementan con el transcurso del tiempo y aumentan la percepción de los miembros de la Comunidad de que sus reclamos no son atendidos”. En la Sentencia del caso </w:t>
      </w:r>
      <w:proofErr w:type="spellStart"/>
      <w:r>
        <w:rPr>
          <w:rFonts w:ascii="Verdana" w:hAnsi="Verdana"/>
          <w:i/>
          <w:sz w:val="16"/>
          <w:szCs w:val="16"/>
          <w:lang w:val="es-ES"/>
        </w:rPr>
        <w:t>Sawhoyamaxa</w:t>
      </w:r>
      <w:proofErr w:type="spellEnd"/>
      <w:r>
        <w:rPr>
          <w:rFonts w:ascii="Verdana" w:hAnsi="Verdana"/>
          <w:sz w:val="16"/>
          <w:szCs w:val="16"/>
          <w:lang w:val="es-ES"/>
        </w:rPr>
        <w:t xml:space="preserve">, además, en su párrafo 118, se determinó que “[l]a cultura de los miembros de las comunidades indígenas corresponde a una forma de vida particular de ser […] constituido a partir de su estrecha relación con sus tierras tradicionales y recursos naturales, no sólo por ser estos su principal medio de subsistencia, sino además porque constituyen un elemento integrante de su cosmovisión, religiosidad y, por ende, de su identidad cultural”.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94C" w:rsidRPr="004B06A6" w:rsidRDefault="00FA194C" w:rsidP="004B06A6">
    <w:pPr>
      <w:pStyle w:val="Encabezado"/>
      <w:jc w:val="right"/>
      <w:rPr>
        <w:i/>
        <w:lang w:val="es-CR"/>
      </w:rPr>
    </w:pPr>
    <w:r>
      <w:rPr>
        <w:i/>
        <w:lang w:val="es-CR"/>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1176"/>
    <w:multiLevelType w:val="hybridMultilevel"/>
    <w:tmpl w:val="373C5D02"/>
    <w:lvl w:ilvl="0" w:tplc="07AE0842">
      <w:start w:val="2"/>
      <w:numFmt w:val="lowerLetter"/>
      <w:lvlText w:val="%1."/>
      <w:lvlJc w:val="left"/>
      <w:pPr>
        <w:ind w:left="144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85E7926"/>
    <w:multiLevelType w:val="hybridMultilevel"/>
    <w:tmpl w:val="4948A556"/>
    <w:lvl w:ilvl="0" w:tplc="6FE074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0FC2D7A"/>
    <w:multiLevelType w:val="hybridMultilevel"/>
    <w:tmpl w:val="ABD812E8"/>
    <w:lvl w:ilvl="0" w:tplc="9E3623CC">
      <w:start w:val="1"/>
      <w:numFmt w:val="decimal"/>
      <w:lvlText w:val="%1)"/>
      <w:lvlJc w:val="left"/>
      <w:pPr>
        <w:ind w:left="1730" w:hanging="360"/>
      </w:pPr>
      <w:rPr>
        <w:i w:val="0"/>
      </w:rPr>
    </w:lvl>
    <w:lvl w:ilvl="1" w:tplc="04090019">
      <w:start w:val="1"/>
      <w:numFmt w:val="lowerLetter"/>
      <w:lvlText w:val="%2."/>
      <w:lvlJc w:val="left"/>
      <w:pPr>
        <w:ind w:left="2450" w:hanging="360"/>
      </w:pPr>
    </w:lvl>
    <w:lvl w:ilvl="2" w:tplc="0409001B" w:tentative="1">
      <w:start w:val="1"/>
      <w:numFmt w:val="lowerRoman"/>
      <w:lvlText w:val="%3."/>
      <w:lvlJc w:val="right"/>
      <w:pPr>
        <w:ind w:left="3170" w:hanging="180"/>
      </w:pPr>
    </w:lvl>
    <w:lvl w:ilvl="3" w:tplc="0409000F" w:tentative="1">
      <w:start w:val="1"/>
      <w:numFmt w:val="decimal"/>
      <w:lvlText w:val="%4."/>
      <w:lvlJc w:val="left"/>
      <w:pPr>
        <w:ind w:left="3890" w:hanging="360"/>
      </w:pPr>
    </w:lvl>
    <w:lvl w:ilvl="4" w:tplc="04090019" w:tentative="1">
      <w:start w:val="1"/>
      <w:numFmt w:val="lowerLetter"/>
      <w:lvlText w:val="%5."/>
      <w:lvlJc w:val="left"/>
      <w:pPr>
        <w:ind w:left="4610" w:hanging="360"/>
      </w:pPr>
    </w:lvl>
    <w:lvl w:ilvl="5" w:tplc="0409001B" w:tentative="1">
      <w:start w:val="1"/>
      <w:numFmt w:val="lowerRoman"/>
      <w:lvlText w:val="%6."/>
      <w:lvlJc w:val="right"/>
      <w:pPr>
        <w:ind w:left="5330" w:hanging="180"/>
      </w:pPr>
    </w:lvl>
    <w:lvl w:ilvl="6" w:tplc="0409000F" w:tentative="1">
      <w:start w:val="1"/>
      <w:numFmt w:val="decimal"/>
      <w:lvlText w:val="%7."/>
      <w:lvlJc w:val="left"/>
      <w:pPr>
        <w:ind w:left="6050" w:hanging="360"/>
      </w:pPr>
    </w:lvl>
    <w:lvl w:ilvl="7" w:tplc="04090019" w:tentative="1">
      <w:start w:val="1"/>
      <w:numFmt w:val="lowerLetter"/>
      <w:lvlText w:val="%8."/>
      <w:lvlJc w:val="left"/>
      <w:pPr>
        <w:ind w:left="6770" w:hanging="360"/>
      </w:pPr>
    </w:lvl>
    <w:lvl w:ilvl="8" w:tplc="0409001B" w:tentative="1">
      <w:start w:val="1"/>
      <w:numFmt w:val="lowerRoman"/>
      <w:lvlText w:val="%9."/>
      <w:lvlJc w:val="right"/>
      <w:pPr>
        <w:ind w:left="7490" w:hanging="180"/>
      </w:pPr>
    </w:lvl>
  </w:abstractNum>
  <w:abstractNum w:abstractNumId="3">
    <w:nsid w:val="2AB05B55"/>
    <w:multiLevelType w:val="hybridMultilevel"/>
    <w:tmpl w:val="A7A04C5A"/>
    <w:lvl w:ilvl="0" w:tplc="E7A8B5AC">
      <w:start w:val="1"/>
      <w:numFmt w:val="decimal"/>
      <w:lvlText w:val="%1."/>
      <w:lvlJc w:val="left"/>
      <w:pPr>
        <w:ind w:left="1065" w:hanging="705"/>
      </w:pPr>
      <w:rPr>
        <w:rFonts w:ascii="Verdana" w:hAnsi="Verdana" w:hint="default"/>
        <w:b w:val="0"/>
        <w:i w:val="0"/>
        <w:strike w:val="0"/>
        <w:dstrike w:val="0"/>
        <w:color w:val="auto"/>
        <w:sz w:val="20"/>
        <w:szCs w:val="20"/>
        <w:u w:val="none"/>
        <w:effect w:val="none"/>
      </w:rPr>
    </w:lvl>
    <w:lvl w:ilvl="1" w:tplc="641289D8">
      <w:start w:val="1"/>
      <w:numFmt w:val="lowerLetter"/>
      <w:pStyle w:val="Ttulo1"/>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EA059E2"/>
    <w:multiLevelType w:val="hybridMultilevel"/>
    <w:tmpl w:val="B9AEDA66"/>
    <w:lvl w:ilvl="0" w:tplc="71E01234">
      <w:start w:val="1"/>
      <w:numFmt w:val="upperLetter"/>
      <w:lvlText w:val="%1."/>
      <w:lvlJc w:val="left"/>
      <w:pPr>
        <w:ind w:left="108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5">
    <w:nsid w:val="30277358"/>
    <w:multiLevelType w:val="hybridMultilevel"/>
    <w:tmpl w:val="BF3E646A"/>
    <w:lvl w:ilvl="0" w:tplc="9900014C">
      <w:start w:val="1"/>
      <w:numFmt w:val="decimal"/>
      <w:lvlText w:val="%1."/>
      <w:lvlJc w:val="left"/>
      <w:pPr>
        <w:ind w:left="1065" w:hanging="705"/>
      </w:pPr>
      <w:rPr>
        <w:b w:val="0"/>
        <w:i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49A3053"/>
    <w:multiLevelType w:val="hybridMultilevel"/>
    <w:tmpl w:val="51DA80C4"/>
    <w:lvl w:ilvl="0" w:tplc="04090011">
      <w:start w:val="1"/>
      <w:numFmt w:val="decimal"/>
      <w:lvlText w:val="%1)"/>
      <w:lvlJc w:val="left"/>
      <w:pPr>
        <w:ind w:left="1730" w:hanging="360"/>
      </w:pPr>
    </w:lvl>
    <w:lvl w:ilvl="1" w:tplc="04090019">
      <w:start w:val="1"/>
      <w:numFmt w:val="lowerLetter"/>
      <w:lvlText w:val="%2."/>
      <w:lvlJc w:val="left"/>
      <w:pPr>
        <w:ind w:left="2450" w:hanging="360"/>
      </w:pPr>
    </w:lvl>
    <w:lvl w:ilvl="2" w:tplc="0409001B" w:tentative="1">
      <w:start w:val="1"/>
      <w:numFmt w:val="lowerRoman"/>
      <w:lvlText w:val="%3."/>
      <w:lvlJc w:val="right"/>
      <w:pPr>
        <w:ind w:left="3170" w:hanging="180"/>
      </w:pPr>
    </w:lvl>
    <w:lvl w:ilvl="3" w:tplc="0409000F" w:tentative="1">
      <w:start w:val="1"/>
      <w:numFmt w:val="decimal"/>
      <w:lvlText w:val="%4."/>
      <w:lvlJc w:val="left"/>
      <w:pPr>
        <w:ind w:left="3890" w:hanging="360"/>
      </w:pPr>
    </w:lvl>
    <w:lvl w:ilvl="4" w:tplc="04090019" w:tentative="1">
      <w:start w:val="1"/>
      <w:numFmt w:val="lowerLetter"/>
      <w:lvlText w:val="%5."/>
      <w:lvlJc w:val="left"/>
      <w:pPr>
        <w:ind w:left="4610" w:hanging="360"/>
      </w:pPr>
    </w:lvl>
    <w:lvl w:ilvl="5" w:tplc="0409001B" w:tentative="1">
      <w:start w:val="1"/>
      <w:numFmt w:val="lowerRoman"/>
      <w:lvlText w:val="%6."/>
      <w:lvlJc w:val="right"/>
      <w:pPr>
        <w:ind w:left="5330" w:hanging="180"/>
      </w:pPr>
    </w:lvl>
    <w:lvl w:ilvl="6" w:tplc="0409000F" w:tentative="1">
      <w:start w:val="1"/>
      <w:numFmt w:val="decimal"/>
      <w:lvlText w:val="%7."/>
      <w:lvlJc w:val="left"/>
      <w:pPr>
        <w:ind w:left="6050" w:hanging="360"/>
      </w:pPr>
    </w:lvl>
    <w:lvl w:ilvl="7" w:tplc="04090019" w:tentative="1">
      <w:start w:val="1"/>
      <w:numFmt w:val="lowerLetter"/>
      <w:lvlText w:val="%8."/>
      <w:lvlJc w:val="left"/>
      <w:pPr>
        <w:ind w:left="6770" w:hanging="360"/>
      </w:pPr>
    </w:lvl>
    <w:lvl w:ilvl="8" w:tplc="0409001B" w:tentative="1">
      <w:start w:val="1"/>
      <w:numFmt w:val="lowerRoman"/>
      <w:lvlText w:val="%9."/>
      <w:lvlJc w:val="right"/>
      <w:pPr>
        <w:ind w:left="7490" w:hanging="180"/>
      </w:pPr>
    </w:lvl>
  </w:abstractNum>
  <w:abstractNum w:abstractNumId="7">
    <w:nsid w:val="3A934E10"/>
    <w:multiLevelType w:val="hybridMultilevel"/>
    <w:tmpl w:val="71B8238A"/>
    <w:lvl w:ilvl="0" w:tplc="7D62995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8">
    <w:nsid w:val="43282524"/>
    <w:multiLevelType w:val="hybridMultilevel"/>
    <w:tmpl w:val="99E69AAE"/>
    <w:lvl w:ilvl="0" w:tplc="E7A8B5AC">
      <w:start w:val="1"/>
      <w:numFmt w:val="decimal"/>
      <w:lvlText w:val="%1."/>
      <w:lvlJc w:val="left"/>
      <w:pPr>
        <w:ind w:left="1065" w:hanging="705"/>
      </w:pPr>
      <w:rPr>
        <w:rFonts w:ascii="Verdana" w:hAnsi="Verdana" w:hint="default"/>
        <w:b w:val="0"/>
        <w:i w:val="0"/>
        <w:strike w:val="0"/>
        <w:dstrike w:val="0"/>
        <w:color w:val="auto"/>
        <w:sz w:val="20"/>
        <w:szCs w:val="2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60DC284E"/>
    <w:multiLevelType w:val="hybridMultilevel"/>
    <w:tmpl w:val="BF3E646A"/>
    <w:lvl w:ilvl="0" w:tplc="9900014C">
      <w:start w:val="1"/>
      <w:numFmt w:val="decimal"/>
      <w:lvlText w:val="%1."/>
      <w:lvlJc w:val="left"/>
      <w:pPr>
        <w:ind w:left="1065" w:hanging="705"/>
      </w:pPr>
      <w:rPr>
        <w:b w:val="0"/>
        <w:i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A3D5433"/>
    <w:multiLevelType w:val="hybridMultilevel"/>
    <w:tmpl w:val="D2ACD240"/>
    <w:lvl w:ilvl="0" w:tplc="140A0019">
      <w:start w:val="1"/>
      <w:numFmt w:val="low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10"/>
  </w:num>
  <w:num w:numId="9">
    <w:abstractNumId w:val="0"/>
  </w:num>
  <w:num w:numId="10">
    <w:abstractNumId w:val="8"/>
  </w:num>
  <w:num w:numId="11">
    <w:abstractNumId w:val="3"/>
  </w:num>
  <w:num w:numId="12">
    <w:abstractNumId w:val="3"/>
    <w:lvlOverride w:ilvl="0">
      <w:startOverride w:val="2"/>
    </w:lvlOverride>
  </w:num>
  <w:num w:numId="13">
    <w:abstractNumId w:val="3"/>
  </w:num>
  <w:num w:numId="14">
    <w:abstractNumId w:val="3"/>
  </w:num>
  <w:num w:numId="15">
    <w:abstractNumId w:val="3"/>
    <w:lvlOverride w:ilvl="0">
      <w:startOverride w:val="3"/>
    </w:lvlOverride>
  </w:num>
  <w:num w:numId="16">
    <w:abstractNumId w:val="3"/>
    <w:lvlOverride w:ilvl="0">
      <w:startOverride w:val="1"/>
    </w:lvlOverride>
    <w:lvlOverride w:ilvl="1">
      <w:startOverride w:val="3"/>
    </w:lvlOverride>
  </w:num>
  <w:num w:numId="17">
    <w:abstractNumId w:val="3"/>
    <w:lvlOverride w:ilvl="0">
      <w:startOverride w:val="1"/>
    </w:lvlOverride>
    <w:lvlOverride w:ilvl="1">
      <w:startOverride w:val="2"/>
    </w:lvlOverride>
  </w:num>
  <w:num w:numId="18">
    <w:abstractNumId w:val="1"/>
  </w:num>
  <w:num w:numId="19">
    <w:abstractNumId w:val="6"/>
  </w:num>
  <w:num w:numId="20">
    <w:abstractNumId w:val="2"/>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60F5"/>
    <w:rsid w:val="00004086"/>
    <w:rsid w:val="00007A45"/>
    <w:rsid w:val="00015ED1"/>
    <w:rsid w:val="00017C98"/>
    <w:rsid w:val="00022098"/>
    <w:rsid w:val="000241A6"/>
    <w:rsid w:val="00026178"/>
    <w:rsid w:val="00026E76"/>
    <w:rsid w:val="000367C0"/>
    <w:rsid w:val="00044A8F"/>
    <w:rsid w:val="00080AE7"/>
    <w:rsid w:val="000900AB"/>
    <w:rsid w:val="000A6B90"/>
    <w:rsid w:val="000B145D"/>
    <w:rsid w:val="000C12EF"/>
    <w:rsid w:val="000C3847"/>
    <w:rsid w:val="000D6D6E"/>
    <w:rsid w:val="000D7117"/>
    <w:rsid w:val="000E4DF3"/>
    <w:rsid w:val="000E55B3"/>
    <w:rsid w:val="000E58BD"/>
    <w:rsid w:val="000F6324"/>
    <w:rsid w:val="00106FA1"/>
    <w:rsid w:val="00107695"/>
    <w:rsid w:val="0011730F"/>
    <w:rsid w:val="001234EB"/>
    <w:rsid w:val="001370A9"/>
    <w:rsid w:val="0016362C"/>
    <w:rsid w:val="0016746E"/>
    <w:rsid w:val="00170C76"/>
    <w:rsid w:val="00184C2B"/>
    <w:rsid w:val="0018556F"/>
    <w:rsid w:val="00190426"/>
    <w:rsid w:val="001947CE"/>
    <w:rsid w:val="001B03DF"/>
    <w:rsid w:val="001B14B2"/>
    <w:rsid w:val="001B1AE0"/>
    <w:rsid w:val="001B7198"/>
    <w:rsid w:val="001C052A"/>
    <w:rsid w:val="001C36B9"/>
    <w:rsid w:val="001D7ECC"/>
    <w:rsid w:val="001E478A"/>
    <w:rsid w:val="001E7D44"/>
    <w:rsid w:val="001F5D6C"/>
    <w:rsid w:val="00205B6D"/>
    <w:rsid w:val="00217BE9"/>
    <w:rsid w:val="00220C99"/>
    <w:rsid w:val="00232061"/>
    <w:rsid w:val="00245DD1"/>
    <w:rsid w:val="0026503B"/>
    <w:rsid w:val="002704B0"/>
    <w:rsid w:val="00292D7A"/>
    <w:rsid w:val="00294653"/>
    <w:rsid w:val="002C4657"/>
    <w:rsid w:val="002C772A"/>
    <w:rsid w:val="002D141C"/>
    <w:rsid w:val="002D2175"/>
    <w:rsid w:val="002D561E"/>
    <w:rsid w:val="002F427F"/>
    <w:rsid w:val="002F7B99"/>
    <w:rsid w:val="00304679"/>
    <w:rsid w:val="00310475"/>
    <w:rsid w:val="0031225C"/>
    <w:rsid w:val="00312828"/>
    <w:rsid w:val="00316A20"/>
    <w:rsid w:val="00316DA0"/>
    <w:rsid w:val="003176E4"/>
    <w:rsid w:val="00320B1C"/>
    <w:rsid w:val="00330485"/>
    <w:rsid w:val="0033128A"/>
    <w:rsid w:val="003377DD"/>
    <w:rsid w:val="00340A9E"/>
    <w:rsid w:val="00341C2F"/>
    <w:rsid w:val="00344566"/>
    <w:rsid w:val="00354002"/>
    <w:rsid w:val="00364C2E"/>
    <w:rsid w:val="00364E60"/>
    <w:rsid w:val="00364F3D"/>
    <w:rsid w:val="00377631"/>
    <w:rsid w:val="0038109A"/>
    <w:rsid w:val="003877EF"/>
    <w:rsid w:val="003934F4"/>
    <w:rsid w:val="00396025"/>
    <w:rsid w:val="003A0F9B"/>
    <w:rsid w:val="003A57D6"/>
    <w:rsid w:val="003C0369"/>
    <w:rsid w:val="003C40FD"/>
    <w:rsid w:val="003C6CDD"/>
    <w:rsid w:val="003E0292"/>
    <w:rsid w:val="00415071"/>
    <w:rsid w:val="00423CDA"/>
    <w:rsid w:val="00437E81"/>
    <w:rsid w:val="00443A9C"/>
    <w:rsid w:val="00445BBC"/>
    <w:rsid w:val="00455AF4"/>
    <w:rsid w:val="00460358"/>
    <w:rsid w:val="00461F95"/>
    <w:rsid w:val="00466732"/>
    <w:rsid w:val="004711F3"/>
    <w:rsid w:val="00471E3A"/>
    <w:rsid w:val="00482022"/>
    <w:rsid w:val="00491D5F"/>
    <w:rsid w:val="0049720C"/>
    <w:rsid w:val="004A5B24"/>
    <w:rsid w:val="004B06A6"/>
    <w:rsid w:val="004E0001"/>
    <w:rsid w:val="004E3281"/>
    <w:rsid w:val="004E6D6D"/>
    <w:rsid w:val="004F6579"/>
    <w:rsid w:val="004F7F76"/>
    <w:rsid w:val="00501D17"/>
    <w:rsid w:val="00503865"/>
    <w:rsid w:val="00532AD7"/>
    <w:rsid w:val="005339B2"/>
    <w:rsid w:val="005430BE"/>
    <w:rsid w:val="00552FDA"/>
    <w:rsid w:val="00553ABF"/>
    <w:rsid w:val="005611E4"/>
    <w:rsid w:val="00566446"/>
    <w:rsid w:val="005756DD"/>
    <w:rsid w:val="00581C32"/>
    <w:rsid w:val="0058238B"/>
    <w:rsid w:val="00592865"/>
    <w:rsid w:val="005A76EC"/>
    <w:rsid w:val="005B643D"/>
    <w:rsid w:val="005C6D68"/>
    <w:rsid w:val="005D04EA"/>
    <w:rsid w:val="005D3476"/>
    <w:rsid w:val="005E47CA"/>
    <w:rsid w:val="005F6D37"/>
    <w:rsid w:val="006231F7"/>
    <w:rsid w:val="00624FE6"/>
    <w:rsid w:val="006301C2"/>
    <w:rsid w:val="006333E9"/>
    <w:rsid w:val="00641A3B"/>
    <w:rsid w:val="006442D1"/>
    <w:rsid w:val="0064708D"/>
    <w:rsid w:val="0065018B"/>
    <w:rsid w:val="00660DEE"/>
    <w:rsid w:val="00676C47"/>
    <w:rsid w:val="00681C2A"/>
    <w:rsid w:val="00681EB2"/>
    <w:rsid w:val="00684E30"/>
    <w:rsid w:val="00696882"/>
    <w:rsid w:val="006A10A4"/>
    <w:rsid w:val="006A29B4"/>
    <w:rsid w:val="006C1A66"/>
    <w:rsid w:val="006D5834"/>
    <w:rsid w:val="006E25A0"/>
    <w:rsid w:val="006E2AA6"/>
    <w:rsid w:val="006E44FD"/>
    <w:rsid w:val="006F705B"/>
    <w:rsid w:val="0070766E"/>
    <w:rsid w:val="00717A33"/>
    <w:rsid w:val="00734D84"/>
    <w:rsid w:val="00752486"/>
    <w:rsid w:val="007530C8"/>
    <w:rsid w:val="00753653"/>
    <w:rsid w:val="00755BEC"/>
    <w:rsid w:val="007561A6"/>
    <w:rsid w:val="00772A73"/>
    <w:rsid w:val="00781A18"/>
    <w:rsid w:val="007A4FA6"/>
    <w:rsid w:val="007A52EE"/>
    <w:rsid w:val="007C03EE"/>
    <w:rsid w:val="007C046D"/>
    <w:rsid w:val="007C2403"/>
    <w:rsid w:val="007D2674"/>
    <w:rsid w:val="007D3ABF"/>
    <w:rsid w:val="007D4E29"/>
    <w:rsid w:val="007E094C"/>
    <w:rsid w:val="007F2D86"/>
    <w:rsid w:val="007F5FB0"/>
    <w:rsid w:val="00811C68"/>
    <w:rsid w:val="00822D7E"/>
    <w:rsid w:val="00823EDD"/>
    <w:rsid w:val="00825928"/>
    <w:rsid w:val="00833A8A"/>
    <w:rsid w:val="00833F6F"/>
    <w:rsid w:val="00835A61"/>
    <w:rsid w:val="008401C5"/>
    <w:rsid w:val="0084302C"/>
    <w:rsid w:val="00860364"/>
    <w:rsid w:val="00871278"/>
    <w:rsid w:val="0087241F"/>
    <w:rsid w:val="0087325E"/>
    <w:rsid w:val="008826D1"/>
    <w:rsid w:val="0088562A"/>
    <w:rsid w:val="00887BBC"/>
    <w:rsid w:val="0089190D"/>
    <w:rsid w:val="008A3AA6"/>
    <w:rsid w:val="008A526B"/>
    <w:rsid w:val="008B25E2"/>
    <w:rsid w:val="008B6C49"/>
    <w:rsid w:val="008C51A4"/>
    <w:rsid w:val="008C7C9B"/>
    <w:rsid w:val="008D3E10"/>
    <w:rsid w:val="008D576B"/>
    <w:rsid w:val="008D6889"/>
    <w:rsid w:val="008D72EA"/>
    <w:rsid w:val="008F1212"/>
    <w:rsid w:val="008F4C92"/>
    <w:rsid w:val="00931AE0"/>
    <w:rsid w:val="009364B5"/>
    <w:rsid w:val="00941EC2"/>
    <w:rsid w:val="0094749F"/>
    <w:rsid w:val="009532FB"/>
    <w:rsid w:val="00953A3D"/>
    <w:rsid w:val="009658DB"/>
    <w:rsid w:val="009858EC"/>
    <w:rsid w:val="009965E0"/>
    <w:rsid w:val="009A00D9"/>
    <w:rsid w:val="009A370E"/>
    <w:rsid w:val="009A474E"/>
    <w:rsid w:val="009A5EF1"/>
    <w:rsid w:val="009A6B63"/>
    <w:rsid w:val="009D19CC"/>
    <w:rsid w:val="009D53B0"/>
    <w:rsid w:val="009E69D0"/>
    <w:rsid w:val="009E6B87"/>
    <w:rsid w:val="009F7615"/>
    <w:rsid w:val="00A0534D"/>
    <w:rsid w:val="00A0751E"/>
    <w:rsid w:val="00A10B15"/>
    <w:rsid w:val="00A1198A"/>
    <w:rsid w:val="00A142CB"/>
    <w:rsid w:val="00A46F12"/>
    <w:rsid w:val="00A75A24"/>
    <w:rsid w:val="00A932FF"/>
    <w:rsid w:val="00A947A3"/>
    <w:rsid w:val="00AA3F61"/>
    <w:rsid w:val="00AA7EF9"/>
    <w:rsid w:val="00AB021F"/>
    <w:rsid w:val="00AB60F5"/>
    <w:rsid w:val="00AC5C89"/>
    <w:rsid w:val="00AC6A7D"/>
    <w:rsid w:val="00AD130C"/>
    <w:rsid w:val="00AE5B6C"/>
    <w:rsid w:val="00AE7DDF"/>
    <w:rsid w:val="00B03505"/>
    <w:rsid w:val="00B1540B"/>
    <w:rsid w:val="00B25B15"/>
    <w:rsid w:val="00B312D6"/>
    <w:rsid w:val="00B43E2F"/>
    <w:rsid w:val="00B535E1"/>
    <w:rsid w:val="00B7142F"/>
    <w:rsid w:val="00B716CF"/>
    <w:rsid w:val="00B723B1"/>
    <w:rsid w:val="00B903C4"/>
    <w:rsid w:val="00BA44FD"/>
    <w:rsid w:val="00BA4DA5"/>
    <w:rsid w:val="00BA7894"/>
    <w:rsid w:val="00BB301C"/>
    <w:rsid w:val="00BB4E71"/>
    <w:rsid w:val="00BB61E1"/>
    <w:rsid w:val="00BC28CD"/>
    <w:rsid w:val="00BC7EA3"/>
    <w:rsid w:val="00BE1F87"/>
    <w:rsid w:val="00C030CA"/>
    <w:rsid w:val="00C2106A"/>
    <w:rsid w:val="00C21752"/>
    <w:rsid w:val="00C23E84"/>
    <w:rsid w:val="00C376A8"/>
    <w:rsid w:val="00C40DE0"/>
    <w:rsid w:val="00C40F64"/>
    <w:rsid w:val="00C51D20"/>
    <w:rsid w:val="00C579A8"/>
    <w:rsid w:val="00C663B6"/>
    <w:rsid w:val="00C72206"/>
    <w:rsid w:val="00C74759"/>
    <w:rsid w:val="00C754A2"/>
    <w:rsid w:val="00C77819"/>
    <w:rsid w:val="00CA088B"/>
    <w:rsid w:val="00CC24A9"/>
    <w:rsid w:val="00CD664D"/>
    <w:rsid w:val="00CE4ED7"/>
    <w:rsid w:val="00CF129C"/>
    <w:rsid w:val="00CF3B05"/>
    <w:rsid w:val="00CF7C43"/>
    <w:rsid w:val="00D255B7"/>
    <w:rsid w:val="00D2787D"/>
    <w:rsid w:val="00D3134E"/>
    <w:rsid w:val="00D347CE"/>
    <w:rsid w:val="00D45520"/>
    <w:rsid w:val="00D50724"/>
    <w:rsid w:val="00D7171E"/>
    <w:rsid w:val="00D805FE"/>
    <w:rsid w:val="00D8370D"/>
    <w:rsid w:val="00D8580A"/>
    <w:rsid w:val="00DA0746"/>
    <w:rsid w:val="00DA783D"/>
    <w:rsid w:val="00DB12DB"/>
    <w:rsid w:val="00DB7F85"/>
    <w:rsid w:val="00DC6547"/>
    <w:rsid w:val="00DD73BD"/>
    <w:rsid w:val="00DF2BE2"/>
    <w:rsid w:val="00DF68A5"/>
    <w:rsid w:val="00E01505"/>
    <w:rsid w:val="00E276EF"/>
    <w:rsid w:val="00E322E4"/>
    <w:rsid w:val="00E34257"/>
    <w:rsid w:val="00E35D69"/>
    <w:rsid w:val="00E42BD9"/>
    <w:rsid w:val="00E45843"/>
    <w:rsid w:val="00E50748"/>
    <w:rsid w:val="00E5717C"/>
    <w:rsid w:val="00E72E90"/>
    <w:rsid w:val="00E865A0"/>
    <w:rsid w:val="00E91E91"/>
    <w:rsid w:val="00E92D1D"/>
    <w:rsid w:val="00EA1B0E"/>
    <w:rsid w:val="00EA3763"/>
    <w:rsid w:val="00EB3955"/>
    <w:rsid w:val="00EB5950"/>
    <w:rsid w:val="00EB73E4"/>
    <w:rsid w:val="00ED0CEF"/>
    <w:rsid w:val="00EE381D"/>
    <w:rsid w:val="00EF13CB"/>
    <w:rsid w:val="00EF4FF2"/>
    <w:rsid w:val="00EF653C"/>
    <w:rsid w:val="00EF733D"/>
    <w:rsid w:val="00F0552C"/>
    <w:rsid w:val="00F12260"/>
    <w:rsid w:val="00F16A67"/>
    <w:rsid w:val="00F213E8"/>
    <w:rsid w:val="00F237FC"/>
    <w:rsid w:val="00F36DC3"/>
    <w:rsid w:val="00F51174"/>
    <w:rsid w:val="00F62585"/>
    <w:rsid w:val="00F63A9B"/>
    <w:rsid w:val="00F722FB"/>
    <w:rsid w:val="00F83E66"/>
    <w:rsid w:val="00F8478C"/>
    <w:rsid w:val="00F93CF7"/>
    <w:rsid w:val="00F93FBB"/>
    <w:rsid w:val="00FA194C"/>
    <w:rsid w:val="00FA5426"/>
    <w:rsid w:val="00FA680A"/>
    <w:rsid w:val="00FA6E5E"/>
    <w:rsid w:val="00FB051D"/>
    <w:rsid w:val="00FB2D42"/>
    <w:rsid w:val="00FB65C8"/>
    <w:rsid w:val="00FC00E8"/>
    <w:rsid w:val="00FC2DA9"/>
    <w:rsid w:val="00FC31C0"/>
    <w:rsid w:val="00FC52BE"/>
    <w:rsid w:val="00FD3527"/>
    <w:rsid w:val="00FD55B1"/>
    <w:rsid w:val="00FD6205"/>
    <w:rsid w:val="00FE074B"/>
    <w:rsid w:val="00FF69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0F5"/>
    <w:rPr>
      <w:rFonts w:ascii="Garamond" w:eastAsia="Times" w:hAnsi="Garamond"/>
      <w:sz w:val="24"/>
      <w:lang w:val="es-ES_tradnl" w:eastAsia="en-US"/>
    </w:rPr>
  </w:style>
  <w:style w:type="paragraph" w:styleId="Ttulo1">
    <w:name w:val="heading 1"/>
    <w:basedOn w:val="Normal"/>
    <w:next w:val="Normal"/>
    <w:link w:val="Ttulo1Car"/>
    <w:uiPriority w:val="9"/>
    <w:qFormat/>
    <w:rsid w:val="006E25A0"/>
    <w:pPr>
      <w:numPr>
        <w:ilvl w:val="1"/>
        <w:numId w:val="13"/>
      </w:numPr>
      <w:ind w:right="4"/>
      <w:jc w:val="both"/>
      <w:outlineLvl w:val="0"/>
    </w:pPr>
    <w:rPr>
      <w:rFonts w:ascii="Verdana" w:hAnsi="Verdana"/>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AB60F5"/>
  </w:style>
  <w:style w:type="character" w:styleId="Hipervnculo">
    <w:name w:val="Hyperlink"/>
    <w:uiPriority w:val="99"/>
    <w:unhideWhenUsed/>
    <w:rsid w:val="00AB60F5"/>
    <w:rPr>
      <w:color w:val="0000FF"/>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AB60F5"/>
    <w:rPr>
      <w:rFonts w:ascii="Times" w:eastAsia="Times" w:hAnsi="Times" w:cs="Times"/>
      <w:sz w:val="24"/>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B60F5"/>
    <w:rPr>
      <w:rFonts w:ascii="Times" w:hAnsi="Times" w:cs="Times"/>
      <w:szCs w:val="22"/>
    </w:rPr>
  </w:style>
  <w:style w:type="character" w:customStyle="1" w:styleId="FootnoteTextChar1">
    <w:name w:val="Footnote Text Char1"/>
    <w:uiPriority w:val="99"/>
    <w:semiHidden/>
    <w:rsid w:val="00AB60F5"/>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AB60F5"/>
    <w:rPr>
      <w:vertAlign w:val="superscript"/>
    </w:rPr>
  </w:style>
  <w:style w:type="character" w:styleId="Textoennegrita">
    <w:name w:val="Strong"/>
    <w:uiPriority w:val="22"/>
    <w:qFormat/>
    <w:rsid w:val="00AB60F5"/>
    <w:rPr>
      <w:b/>
      <w:bCs/>
    </w:rPr>
  </w:style>
  <w:style w:type="paragraph" w:styleId="Prrafodelista">
    <w:name w:val="List Paragraph"/>
    <w:aliases w:val="Footnote"/>
    <w:basedOn w:val="Normal"/>
    <w:link w:val="PrrafodelistaCar"/>
    <w:uiPriority w:val="34"/>
    <w:qFormat/>
    <w:rsid w:val="00AB60F5"/>
    <w:pPr>
      <w:ind w:left="720"/>
      <w:contextualSpacing/>
    </w:pPr>
  </w:style>
  <w:style w:type="character" w:styleId="Refdecomentario">
    <w:name w:val="annotation reference"/>
    <w:uiPriority w:val="99"/>
    <w:semiHidden/>
    <w:unhideWhenUsed/>
    <w:rsid w:val="002D141C"/>
    <w:rPr>
      <w:sz w:val="16"/>
      <w:szCs w:val="16"/>
    </w:rPr>
  </w:style>
  <w:style w:type="paragraph" w:styleId="Textocomentario">
    <w:name w:val="annotation text"/>
    <w:basedOn w:val="Normal"/>
    <w:link w:val="TextocomentarioCar"/>
    <w:uiPriority w:val="99"/>
    <w:semiHidden/>
    <w:unhideWhenUsed/>
    <w:rsid w:val="002D141C"/>
    <w:rPr>
      <w:sz w:val="20"/>
    </w:rPr>
  </w:style>
  <w:style w:type="character" w:customStyle="1" w:styleId="TextocomentarioCar">
    <w:name w:val="Texto comentario Car"/>
    <w:link w:val="Textocomentario"/>
    <w:uiPriority w:val="99"/>
    <w:semiHidden/>
    <w:rsid w:val="002D141C"/>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D141C"/>
    <w:rPr>
      <w:b/>
      <w:bCs/>
    </w:rPr>
  </w:style>
  <w:style w:type="character" w:customStyle="1" w:styleId="AsuntodelcomentarioCar">
    <w:name w:val="Asunto del comentario Car"/>
    <w:link w:val="Asuntodelcomentario"/>
    <w:uiPriority w:val="99"/>
    <w:semiHidden/>
    <w:rsid w:val="002D141C"/>
    <w:rPr>
      <w:rFonts w:ascii="Garamond" w:eastAsia="Times" w:hAnsi="Garamond" w:cs="Times New Roman"/>
      <w:b/>
      <w:bCs/>
      <w:sz w:val="20"/>
      <w:szCs w:val="20"/>
      <w:lang w:val="es-ES_tradnl"/>
    </w:rPr>
  </w:style>
  <w:style w:type="paragraph" w:styleId="Textodeglobo">
    <w:name w:val="Balloon Text"/>
    <w:basedOn w:val="Normal"/>
    <w:link w:val="TextodegloboCar"/>
    <w:uiPriority w:val="99"/>
    <w:semiHidden/>
    <w:unhideWhenUsed/>
    <w:rsid w:val="002D141C"/>
    <w:rPr>
      <w:rFonts w:ascii="Tahoma" w:hAnsi="Tahoma" w:cs="Tahoma"/>
      <w:sz w:val="16"/>
      <w:szCs w:val="16"/>
    </w:rPr>
  </w:style>
  <w:style w:type="character" w:customStyle="1" w:styleId="TextodegloboCar">
    <w:name w:val="Texto de globo Car"/>
    <w:link w:val="Textodeglobo"/>
    <w:uiPriority w:val="99"/>
    <w:semiHidden/>
    <w:rsid w:val="002D141C"/>
    <w:rPr>
      <w:rFonts w:ascii="Tahoma" w:eastAsia="Times" w:hAnsi="Tahoma" w:cs="Tahoma"/>
      <w:sz w:val="16"/>
      <w:szCs w:val="16"/>
      <w:lang w:val="es-ES_tradnl"/>
    </w:rPr>
  </w:style>
  <w:style w:type="character" w:customStyle="1" w:styleId="PrrafodelistaCar">
    <w:name w:val="Párrafo de lista Car"/>
    <w:aliases w:val="Footnote Car"/>
    <w:link w:val="Prrafodelista"/>
    <w:uiPriority w:val="34"/>
    <w:locked/>
    <w:rsid w:val="002D141C"/>
    <w:rPr>
      <w:rFonts w:ascii="Garamond" w:eastAsia="Times" w:hAnsi="Garamond" w:cs="Times New Roman"/>
      <w:sz w:val="24"/>
      <w:szCs w:val="20"/>
      <w:lang w:val="es-ES_tradnl"/>
    </w:rPr>
  </w:style>
  <w:style w:type="paragraph" w:styleId="Encabezado">
    <w:name w:val="header"/>
    <w:basedOn w:val="Normal"/>
    <w:link w:val="EncabezadoCar"/>
    <w:uiPriority w:val="99"/>
    <w:unhideWhenUsed/>
    <w:rsid w:val="006D5834"/>
    <w:pPr>
      <w:tabs>
        <w:tab w:val="center" w:pos="4419"/>
        <w:tab w:val="right" w:pos="8838"/>
      </w:tabs>
    </w:pPr>
  </w:style>
  <w:style w:type="character" w:customStyle="1" w:styleId="EncabezadoCar">
    <w:name w:val="Encabezado Car"/>
    <w:link w:val="Encabezado"/>
    <w:uiPriority w:val="99"/>
    <w:rsid w:val="006D5834"/>
    <w:rPr>
      <w:rFonts w:ascii="Garamond" w:eastAsia="Times" w:hAnsi="Garamond" w:cs="Times New Roman"/>
      <w:sz w:val="24"/>
      <w:szCs w:val="20"/>
      <w:lang w:val="es-ES_tradnl"/>
    </w:rPr>
  </w:style>
  <w:style w:type="paragraph" w:styleId="Piedepgina">
    <w:name w:val="footer"/>
    <w:basedOn w:val="Normal"/>
    <w:link w:val="PiedepginaCar"/>
    <w:uiPriority w:val="99"/>
    <w:unhideWhenUsed/>
    <w:rsid w:val="006D5834"/>
    <w:pPr>
      <w:tabs>
        <w:tab w:val="center" w:pos="4419"/>
        <w:tab w:val="right" w:pos="8838"/>
      </w:tabs>
    </w:pPr>
  </w:style>
  <w:style w:type="character" w:customStyle="1" w:styleId="PiedepginaCar">
    <w:name w:val="Pie de página Car"/>
    <w:link w:val="Piedepgina"/>
    <w:uiPriority w:val="99"/>
    <w:rsid w:val="006D5834"/>
    <w:rPr>
      <w:rFonts w:ascii="Garamond" w:eastAsia="Times" w:hAnsi="Garamond" w:cs="Times New Roman"/>
      <w:sz w:val="24"/>
      <w:szCs w:val="20"/>
      <w:lang w:val="es-ES_tradnl"/>
    </w:rPr>
  </w:style>
  <w:style w:type="character" w:customStyle="1" w:styleId="Ttulo1Car">
    <w:name w:val="Título 1 Car"/>
    <w:link w:val="Ttulo1"/>
    <w:uiPriority w:val="9"/>
    <w:rsid w:val="006E25A0"/>
    <w:rPr>
      <w:rFonts w:ascii="Verdana" w:eastAsia="Times" w:hAnsi="Verdana" w:cs="Times New Roman"/>
      <w:b/>
      <w:sz w:val="20"/>
      <w:szCs w:val="20"/>
      <w:lang w:val="es-ES_tradnl"/>
    </w:rPr>
  </w:style>
  <w:style w:type="paragraph" w:styleId="TtulodeTDC">
    <w:name w:val="TOC Heading"/>
    <w:basedOn w:val="Ttulo1"/>
    <w:next w:val="Normal"/>
    <w:uiPriority w:val="39"/>
    <w:semiHidden/>
    <w:unhideWhenUsed/>
    <w:qFormat/>
    <w:rsid w:val="006E25A0"/>
    <w:pPr>
      <w:keepNext/>
      <w:keepLines/>
      <w:numPr>
        <w:ilvl w:val="0"/>
        <w:numId w:val="0"/>
      </w:numPr>
      <w:spacing w:before="480" w:line="276" w:lineRule="auto"/>
      <w:ind w:right="0"/>
      <w:jc w:val="left"/>
      <w:outlineLvl w:val="9"/>
    </w:pPr>
    <w:rPr>
      <w:rFonts w:ascii="Cambria" w:eastAsia="MS Gothic" w:hAnsi="Cambria"/>
      <w:bCs/>
      <w:color w:val="365F91"/>
      <w:sz w:val="28"/>
      <w:szCs w:val="28"/>
      <w:lang w:val="en-US" w:eastAsia="ja-JP"/>
    </w:rPr>
  </w:style>
  <w:style w:type="paragraph" w:styleId="TDC1">
    <w:name w:val="toc 1"/>
    <w:basedOn w:val="Normal"/>
    <w:next w:val="Normal"/>
    <w:autoRedefine/>
    <w:uiPriority w:val="39"/>
    <w:unhideWhenUsed/>
    <w:qFormat/>
    <w:rsid w:val="006E25A0"/>
    <w:pPr>
      <w:spacing w:after="100"/>
    </w:pPr>
  </w:style>
  <w:style w:type="paragraph" w:styleId="Revisin">
    <w:name w:val="Revision"/>
    <w:hidden/>
    <w:uiPriority w:val="99"/>
    <w:semiHidden/>
    <w:rsid w:val="00E322E4"/>
    <w:rPr>
      <w:rFonts w:ascii="Garamond" w:eastAsia="Times" w:hAnsi="Garamond"/>
      <w:sz w:val="24"/>
      <w:lang w:val="es-ES_tradnl" w:eastAsia="en-US"/>
    </w:rPr>
  </w:style>
  <w:style w:type="paragraph" w:styleId="TDC2">
    <w:name w:val="toc 2"/>
    <w:basedOn w:val="Normal"/>
    <w:next w:val="Normal"/>
    <w:autoRedefine/>
    <w:uiPriority w:val="39"/>
    <w:semiHidden/>
    <w:unhideWhenUsed/>
    <w:qFormat/>
    <w:rsid w:val="005B643D"/>
    <w:pPr>
      <w:spacing w:after="100" w:line="276" w:lineRule="auto"/>
      <w:ind w:left="220"/>
    </w:pPr>
    <w:rPr>
      <w:rFonts w:ascii="Calibri" w:eastAsia="MS Mincho" w:hAnsi="Calibri"/>
      <w:sz w:val="22"/>
      <w:szCs w:val="22"/>
      <w:lang w:val="en-US" w:eastAsia="ja-JP"/>
    </w:rPr>
  </w:style>
  <w:style w:type="paragraph" w:styleId="TDC3">
    <w:name w:val="toc 3"/>
    <w:basedOn w:val="Normal"/>
    <w:next w:val="Normal"/>
    <w:autoRedefine/>
    <w:uiPriority w:val="39"/>
    <w:semiHidden/>
    <w:unhideWhenUsed/>
    <w:qFormat/>
    <w:rsid w:val="005B643D"/>
    <w:pPr>
      <w:spacing w:after="100" w:line="276" w:lineRule="auto"/>
      <w:ind w:left="440"/>
    </w:pPr>
    <w:rPr>
      <w:rFonts w:ascii="Calibri" w:eastAsia="MS Mincho" w:hAnsi="Calibri"/>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5971">
      <w:bodyDiv w:val="1"/>
      <w:marLeft w:val="0"/>
      <w:marRight w:val="0"/>
      <w:marTop w:val="0"/>
      <w:marBottom w:val="0"/>
      <w:divBdr>
        <w:top w:val="none" w:sz="0" w:space="0" w:color="auto"/>
        <w:left w:val="none" w:sz="0" w:space="0" w:color="auto"/>
        <w:bottom w:val="none" w:sz="0" w:space="0" w:color="auto"/>
        <w:right w:val="none" w:sz="0" w:space="0" w:color="auto"/>
      </w:divBdr>
    </w:div>
    <w:div w:id="179399317">
      <w:bodyDiv w:val="1"/>
      <w:marLeft w:val="0"/>
      <w:marRight w:val="0"/>
      <w:marTop w:val="0"/>
      <w:marBottom w:val="0"/>
      <w:divBdr>
        <w:top w:val="none" w:sz="0" w:space="0" w:color="auto"/>
        <w:left w:val="none" w:sz="0" w:space="0" w:color="auto"/>
        <w:bottom w:val="none" w:sz="0" w:space="0" w:color="auto"/>
        <w:right w:val="none" w:sz="0" w:space="0" w:color="auto"/>
      </w:divBdr>
    </w:div>
    <w:div w:id="255554384">
      <w:bodyDiv w:val="1"/>
      <w:marLeft w:val="0"/>
      <w:marRight w:val="0"/>
      <w:marTop w:val="0"/>
      <w:marBottom w:val="0"/>
      <w:divBdr>
        <w:top w:val="none" w:sz="0" w:space="0" w:color="auto"/>
        <w:left w:val="none" w:sz="0" w:space="0" w:color="auto"/>
        <w:bottom w:val="none" w:sz="0" w:space="0" w:color="auto"/>
        <w:right w:val="none" w:sz="0" w:space="0" w:color="auto"/>
      </w:divBdr>
    </w:div>
    <w:div w:id="603422688">
      <w:bodyDiv w:val="1"/>
      <w:marLeft w:val="0"/>
      <w:marRight w:val="0"/>
      <w:marTop w:val="0"/>
      <w:marBottom w:val="0"/>
      <w:divBdr>
        <w:top w:val="none" w:sz="0" w:space="0" w:color="auto"/>
        <w:left w:val="none" w:sz="0" w:space="0" w:color="auto"/>
        <w:bottom w:val="none" w:sz="0" w:space="0" w:color="auto"/>
        <w:right w:val="none" w:sz="0" w:space="0" w:color="auto"/>
      </w:divBdr>
    </w:div>
    <w:div w:id="1522475953">
      <w:bodyDiv w:val="1"/>
      <w:marLeft w:val="0"/>
      <w:marRight w:val="0"/>
      <w:marTop w:val="0"/>
      <w:marBottom w:val="0"/>
      <w:divBdr>
        <w:top w:val="none" w:sz="0" w:space="0" w:color="auto"/>
        <w:left w:val="none" w:sz="0" w:space="0" w:color="auto"/>
        <w:bottom w:val="none" w:sz="0" w:space="0" w:color="auto"/>
        <w:right w:val="none" w:sz="0" w:space="0" w:color="auto"/>
      </w:divBdr>
    </w:div>
    <w:div w:id="1891771785">
      <w:bodyDiv w:val="1"/>
      <w:marLeft w:val="0"/>
      <w:marRight w:val="0"/>
      <w:marTop w:val="0"/>
      <w:marBottom w:val="0"/>
      <w:divBdr>
        <w:top w:val="none" w:sz="0" w:space="0" w:color="auto"/>
        <w:left w:val="none" w:sz="0" w:space="0" w:color="auto"/>
        <w:bottom w:val="none" w:sz="0" w:space="0" w:color="auto"/>
        <w:right w:val="none" w:sz="0" w:space="0" w:color="auto"/>
      </w:divBdr>
    </w:div>
    <w:div w:id="1903368908">
      <w:bodyDiv w:val="1"/>
      <w:marLeft w:val="0"/>
      <w:marRight w:val="0"/>
      <w:marTop w:val="0"/>
      <w:marBottom w:val="0"/>
      <w:divBdr>
        <w:top w:val="none" w:sz="0" w:space="0" w:color="auto"/>
        <w:left w:val="none" w:sz="0" w:space="0" w:color="auto"/>
        <w:bottom w:val="none" w:sz="0" w:space="0" w:color="auto"/>
        <w:right w:val="none" w:sz="0" w:space="0" w:color="auto"/>
      </w:divBdr>
    </w:div>
    <w:div w:id="1920092033">
      <w:bodyDiv w:val="1"/>
      <w:marLeft w:val="0"/>
      <w:marRight w:val="0"/>
      <w:marTop w:val="0"/>
      <w:marBottom w:val="0"/>
      <w:divBdr>
        <w:top w:val="none" w:sz="0" w:space="0" w:color="auto"/>
        <w:left w:val="none" w:sz="0" w:space="0" w:color="auto"/>
        <w:bottom w:val="none" w:sz="0" w:space="0" w:color="auto"/>
        <w:right w:val="none" w:sz="0" w:space="0" w:color="auto"/>
      </w:divBdr>
    </w:div>
    <w:div w:id="1938369211">
      <w:bodyDiv w:val="1"/>
      <w:marLeft w:val="0"/>
      <w:marRight w:val="0"/>
      <w:marTop w:val="0"/>
      <w:marBottom w:val="0"/>
      <w:divBdr>
        <w:top w:val="none" w:sz="0" w:space="0" w:color="auto"/>
        <w:left w:val="none" w:sz="0" w:space="0" w:color="auto"/>
        <w:bottom w:val="none" w:sz="0" w:space="0" w:color="auto"/>
        <w:right w:val="none" w:sz="0" w:space="0" w:color="auto"/>
      </w:divBdr>
    </w:div>
    <w:div w:id="1950309896">
      <w:bodyDiv w:val="1"/>
      <w:marLeft w:val="0"/>
      <w:marRight w:val="0"/>
      <w:marTop w:val="0"/>
      <w:marBottom w:val="0"/>
      <w:divBdr>
        <w:top w:val="none" w:sz="0" w:space="0" w:color="auto"/>
        <w:left w:val="none" w:sz="0" w:space="0" w:color="auto"/>
        <w:bottom w:val="none" w:sz="0" w:space="0" w:color="auto"/>
        <w:right w:val="none" w:sz="0" w:space="0" w:color="auto"/>
      </w:divBdr>
    </w:div>
    <w:div w:id="204088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casos/articulos/seriec_214_esp.pdf" TargetMode="External"/><Relationship Id="rId2" Type="http://schemas.openxmlformats.org/officeDocument/2006/relationships/hyperlink" Target="http://www.corteidh.or.cr/docs/casos/articulos/seriec_146_esp2.pdf" TargetMode="External"/><Relationship Id="rId1" Type="http://schemas.openxmlformats.org/officeDocument/2006/relationships/hyperlink" Target="http://www.corteidh.or.cr/docs/casos/articulos/seriec_125_esp.pdf" TargetMode="External"/><Relationship Id="rId5" Type="http://schemas.openxmlformats.org/officeDocument/2006/relationships/hyperlink" Target="http://www.corteidh.or.cr/docs/supervisiones/yakie_24_06_15.pdf" TargetMode="External"/><Relationship Id="rId4" Type="http://schemas.openxmlformats.org/officeDocument/2006/relationships/hyperlink" Target="http://www.corteidh.or.cr/docs/casos/articulos/seriec_142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E6188-3901-4AA0-BA37-5C426D30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4277</Words>
  <Characters>23526</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27748</CharactersWithSpaces>
  <SharedDoc>false</SharedDoc>
  <HLinks>
    <vt:vector size="48" baseType="variant">
      <vt:variant>
        <vt:i4>1048638</vt:i4>
      </vt:variant>
      <vt:variant>
        <vt:i4>47</vt:i4>
      </vt:variant>
      <vt:variant>
        <vt:i4>0</vt:i4>
      </vt:variant>
      <vt:variant>
        <vt:i4>5</vt:i4>
      </vt:variant>
      <vt:variant>
        <vt:lpwstr/>
      </vt:variant>
      <vt:variant>
        <vt:lpwstr>_Toc456959926</vt:lpwstr>
      </vt:variant>
      <vt:variant>
        <vt:i4>1048638</vt:i4>
      </vt:variant>
      <vt:variant>
        <vt:i4>41</vt:i4>
      </vt:variant>
      <vt:variant>
        <vt:i4>0</vt:i4>
      </vt:variant>
      <vt:variant>
        <vt:i4>5</vt:i4>
      </vt:variant>
      <vt:variant>
        <vt:lpwstr/>
      </vt:variant>
      <vt:variant>
        <vt:lpwstr>_Toc456959925</vt:lpwstr>
      </vt:variant>
      <vt:variant>
        <vt:i4>1048638</vt:i4>
      </vt:variant>
      <vt:variant>
        <vt:i4>35</vt:i4>
      </vt:variant>
      <vt:variant>
        <vt:i4>0</vt:i4>
      </vt:variant>
      <vt:variant>
        <vt:i4>5</vt:i4>
      </vt:variant>
      <vt:variant>
        <vt:lpwstr/>
      </vt:variant>
      <vt:variant>
        <vt:lpwstr>_Toc456959924</vt:lpwstr>
      </vt:variant>
      <vt:variant>
        <vt:i4>786472</vt:i4>
      </vt:variant>
      <vt:variant>
        <vt:i4>12</vt:i4>
      </vt:variant>
      <vt:variant>
        <vt:i4>0</vt:i4>
      </vt:variant>
      <vt:variant>
        <vt:i4>5</vt:i4>
      </vt:variant>
      <vt:variant>
        <vt:lpwstr>http://www.corteidh.or.cr/docs/supervisiones/yakie_24_06_15.pdf</vt:lpwstr>
      </vt:variant>
      <vt:variant>
        <vt:lpwstr/>
      </vt:variant>
      <vt:variant>
        <vt:i4>5505111</vt:i4>
      </vt:variant>
      <vt:variant>
        <vt:i4>9</vt:i4>
      </vt:variant>
      <vt:variant>
        <vt:i4>0</vt:i4>
      </vt:variant>
      <vt:variant>
        <vt:i4>5</vt:i4>
      </vt:variant>
      <vt:variant>
        <vt:lpwstr>http://www.corteidh.or.cr/docs/casos/articulos/seriec_142_esp.pdf</vt:lpwstr>
      </vt:variant>
      <vt:variant>
        <vt:lpwstr/>
      </vt:variant>
      <vt:variant>
        <vt:i4>5308498</vt:i4>
      </vt:variant>
      <vt:variant>
        <vt:i4>6</vt:i4>
      </vt:variant>
      <vt:variant>
        <vt:i4>0</vt:i4>
      </vt:variant>
      <vt:variant>
        <vt:i4>5</vt:i4>
      </vt:variant>
      <vt:variant>
        <vt:lpwstr>http://www.corteidh.or.cr/docs/casos/articulos/seriec_214_esp.pdf</vt:lpwstr>
      </vt:variant>
      <vt:variant>
        <vt:lpwstr/>
      </vt:variant>
      <vt:variant>
        <vt:i4>3801193</vt:i4>
      </vt:variant>
      <vt:variant>
        <vt:i4>3</vt:i4>
      </vt:variant>
      <vt:variant>
        <vt:i4>0</vt:i4>
      </vt:variant>
      <vt:variant>
        <vt:i4>5</vt:i4>
      </vt:variant>
      <vt:variant>
        <vt:lpwstr>http://www.corteidh.or.cr/docs/casos/articulos/seriec_146_esp2.pdf</vt:lpwstr>
      </vt:variant>
      <vt:variant>
        <vt:lpwstr/>
      </vt:variant>
      <vt:variant>
        <vt:i4>5374032</vt:i4>
      </vt:variant>
      <vt:variant>
        <vt:i4>0</vt:i4>
      </vt:variant>
      <vt:variant>
        <vt:i4>0</vt:i4>
      </vt:variant>
      <vt:variant>
        <vt:i4>5</vt:i4>
      </vt:variant>
      <vt:variant>
        <vt:lpwstr>http://www.corteidh.or.cr/docs/casos/articulos/seriec_125_esp.pdf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2017-08-22T17:15:00Z</cp:lastPrinted>
  <dcterms:created xsi:type="dcterms:W3CDTF">2017-08-22T17:15:00Z</dcterms:created>
  <dcterms:modified xsi:type="dcterms:W3CDTF">2017-08-22T17:15:00Z</dcterms:modified>
</cp:coreProperties>
</file>